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7910A" w14:textId="77777777" w:rsidR="004B4C17" w:rsidRDefault="004B4C17" w:rsidP="004B4C17">
      <w:pPr>
        <w:jc w:val="center"/>
        <w:rPr>
          <w:rFonts w:ascii="Verdana" w:hAnsi="Verdana"/>
          <w:b/>
          <w:lang w:val="en-US"/>
        </w:rPr>
      </w:pPr>
      <w:r w:rsidRPr="00357374">
        <w:rPr>
          <w:rFonts w:ascii="Verdana" w:eastAsia="Cambria" w:hAnsi="Verdana"/>
          <w:b/>
          <w:noProof/>
          <w:sz w:val="36"/>
          <w:szCs w:val="36"/>
          <w:lang w:val="en-US"/>
        </w:rPr>
        <w:drawing>
          <wp:inline distT="0" distB="0" distL="0" distR="0" wp14:anchorId="6EE40D03" wp14:editId="3DD41D75">
            <wp:extent cx="1981200" cy="172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63FE29" w14:textId="77777777" w:rsidR="004B4C17" w:rsidRDefault="004B4C17" w:rsidP="004B4C17">
      <w:pPr>
        <w:jc w:val="center"/>
        <w:rPr>
          <w:rFonts w:ascii="Verdana" w:hAnsi="Verdana"/>
          <w:b/>
          <w:sz w:val="36"/>
          <w:szCs w:val="36"/>
          <w:lang w:val="en-US"/>
        </w:rPr>
      </w:pPr>
    </w:p>
    <w:p w14:paraId="2C86FC97" w14:textId="64A84BFB" w:rsidR="00221A3F" w:rsidRPr="00221A3F" w:rsidRDefault="004B4C17" w:rsidP="00221A3F">
      <w:pPr>
        <w:jc w:val="center"/>
        <w:rPr>
          <w:rFonts w:ascii="Verdana" w:hAnsi="Verdana"/>
          <w:b/>
          <w:sz w:val="36"/>
          <w:szCs w:val="36"/>
          <w:lang w:val="en-US"/>
        </w:rPr>
      </w:pPr>
      <w:r w:rsidRPr="009C59A4">
        <w:rPr>
          <w:rFonts w:ascii="Verdana" w:hAnsi="Verdana"/>
          <w:b/>
          <w:sz w:val="36"/>
          <w:szCs w:val="36"/>
          <w:lang w:val="en-US"/>
        </w:rPr>
        <w:t xml:space="preserve">INSIDE STORY – </w:t>
      </w:r>
      <w:r w:rsidR="008147F1">
        <w:rPr>
          <w:rFonts w:ascii="Verdana" w:hAnsi="Verdana"/>
          <w:b/>
          <w:sz w:val="36"/>
          <w:szCs w:val="36"/>
          <w:lang w:val="en-US"/>
        </w:rPr>
        <w:t>MARCH</w:t>
      </w:r>
      <w:r w:rsidR="006E515C">
        <w:rPr>
          <w:rFonts w:ascii="Verdana" w:hAnsi="Verdana"/>
          <w:b/>
          <w:sz w:val="36"/>
          <w:szCs w:val="36"/>
          <w:lang w:val="en-US"/>
        </w:rPr>
        <w:t xml:space="preserve"> 2017</w:t>
      </w:r>
    </w:p>
    <w:p w14:paraId="041E8159" w14:textId="52131A44" w:rsidR="008147F1" w:rsidRPr="008147F1" w:rsidRDefault="008147F1" w:rsidP="008147F1">
      <w:pPr>
        <w:spacing w:line="240" w:lineRule="auto"/>
        <w:jc w:val="center"/>
        <w:rPr>
          <w:b/>
          <w:bCs/>
          <w:sz w:val="36"/>
          <w:szCs w:val="36"/>
          <w:lang w:val="en-GB" w:bidi="en-GB"/>
        </w:rPr>
      </w:pPr>
      <w:r w:rsidRPr="008147F1">
        <w:rPr>
          <w:b/>
          <w:bCs/>
          <w:sz w:val="36"/>
          <w:szCs w:val="36"/>
          <w:lang w:val="en-GB" w:bidi="en-GB"/>
        </w:rPr>
        <w:t xml:space="preserve">The clash between criminal procedure </w:t>
      </w:r>
      <w:r>
        <w:rPr>
          <w:b/>
          <w:bCs/>
          <w:sz w:val="36"/>
          <w:szCs w:val="36"/>
          <w:lang w:val="en-GB" w:bidi="en-GB"/>
        </w:rPr>
        <w:br/>
      </w:r>
      <w:r w:rsidRPr="008147F1">
        <w:rPr>
          <w:b/>
          <w:bCs/>
          <w:sz w:val="36"/>
          <w:szCs w:val="36"/>
          <w:lang w:val="en-GB" w:bidi="en-GB"/>
        </w:rPr>
        <w:t>and insolvency in Romania</w:t>
      </w:r>
    </w:p>
    <w:p w14:paraId="5B537A48" w14:textId="77777777" w:rsidR="00221A3F" w:rsidRDefault="00221A3F" w:rsidP="00221A3F">
      <w:pPr>
        <w:spacing w:line="240" w:lineRule="auto"/>
        <w:rPr>
          <w:rFonts w:ascii="Calibri" w:hAnsi="Calibri" w:cs="Calibri"/>
          <w:bCs/>
          <w:lang w:val="en-GB"/>
        </w:rPr>
      </w:pPr>
    </w:p>
    <w:p w14:paraId="2AD6D96E" w14:textId="77777777" w:rsidR="008147F1" w:rsidRPr="008147F1" w:rsidRDefault="008147F1" w:rsidP="008147F1">
      <w:pPr>
        <w:spacing w:line="240" w:lineRule="auto"/>
        <w:rPr>
          <w:rFonts w:ascii="Calibri" w:hAnsi="Calibri" w:cs="Calibri"/>
          <w:bCs/>
          <w:lang w:val="en-GB" w:bidi="en-GB"/>
        </w:rPr>
      </w:pPr>
      <w:r w:rsidRPr="008147F1">
        <w:rPr>
          <w:rFonts w:ascii="Calibri" w:hAnsi="Calibri" w:cs="Calibri"/>
          <w:bCs/>
          <w:lang w:val="en-GB" w:bidi="en-GB"/>
        </w:rPr>
        <w:t>For a couple of years now, the precautionary measures established during the criminal trial have given Romanian insolvency practitioners, judges, debtors and creditors a headache.</w:t>
      </w:r>
    </w:p>
    <w:p w14:paraId="0F601A78" w14:textId="6F64937E" w:rsidR="008147F1" w:rsidRPr="008147F1" w:rsidRDefault="008147F1" w:rsidP="008147F1">
      <w:pPr>
        <w:spacing w:line="240" w:lineRule="auto"/>
        <w:rPr>
          <w:rFonts w:ascii="Calibri" w:hAnsi="Calibri" w:cs="Calibri"/>
          <w:bCs/>
          <w:lang w:val="en-GB" w:bidi="en-GB"/>
        </w:rPr>
      </w:pPr>
      <w:r w:rsidRPr="008147F1">
        <w:rPr>
          <w:rFonts w:ascii="Calibri" w:hAnsi="Calibri" w:cs="Calibri"/>
          <w:bCs/>
          <w:lang w:val="en-GB" w:bidi="en-GB"/>
        </w:rPr>
        <w:t>In the first semester of 2015, the number of insolvency procedures which involved criminal precautionary measures against the debtor’s assets were as low as 75.  A year later, from a total of 29</w:t>
      </w:r>
      <w:r>
        <w:rPr>
          <w:rFonts w:ascii="Calibri" w:hAnsi="Calibri" w:cs="Calibri"/>
          <w:bCs/>
          <w:lang w:val="en-GB" w:bidi="en-GB"/>
        </w:rPr>
        <w:t>,</w:t>
      </w:r>
      <w:r w:rsidRPr="008147F1">
        <w:rPr>
          <w:rFonts w:ascii="Calibri" w:hAnsi="Calibri" w:cs="Calibri"/>
          <w:bCs/>
          <w:lang w:val="en-GB" w:bidi="en-GB"/>
        </w:rPr>
        <w:t xml:space="preserve">365 number of insolvency procedures, 377 of them involved criminal precautionary measures. At the end of 2015, the turnover of these debtors with assets encumbered by criminal precautionary measures amounted to </w:t>
      </w:r>
      <w:r>
        <w:rPr>
          <w:rFonts w:ascii="Calibri" w:hAnsi="Calibri" w:cs="Calibri"/>
          <w:bCs/>
          <w:lang w:val="en-GB" w:bidi="en-GB"/>
        </w:rPr>
        <w:t>0.</w:t>
      </w:r>
      <w:r w:rsidRPr="008147F1">
        <w:rPr>
          <w:rFonts w:ascii="Calibri" w:hAnsi="Calibri" w:cs="Calibri"/>
          <w:bCs/>
          <w:lang w:val="en-GB" w:bidi="en-GB"/>
        </w:rPr>
        <w:t xml:space="preserve">55% of the GDP. </w:t>
      </w:r>
    </w:p>
    <w:p w14:paraId="5878ED7A" w14:textId="0951B1BB" w:rsidR="008147F1" w:rsidRPr="008147F1" w:rsidRDefault="008147F1" w:rsidP="008147F1">
      <w:pPr>
        <w:spacing w:line="240" w:lineRule="auto"/>
        <w:rPr>
          <w:rFonts w:ascii="Calibri" w:hAnsi="Calibri" w:cs="Calibri"/>
          <w:bCs/>
          <w:lang w:val="en-GB" w:bidi="en-GB"/>
        </w:rPr>
      </w:pPr>
      <w:r w:rsidRPr="008147F1">
        <w:rPr>
          <w:rFonts w:ascii="Calibri" w:hAnsi="Calibri" w:cs="Calibri"/>
          <w:bCs/>
          <w:lang w:val="en-GB" w:bidi="en-GB"/>
        </w:rPr>
        <w:t>The precautionary measure we are going to briefly explore in this report is sequestration.</w:t>
      </w:r>
      <w:r>
        <w:rPr>
          <w:rFonts w:ascii="Calibri" w:hAnsi="Calibri" w:cs="Calibri"/>
          <w:bCs/>
          <w:lang w:val="en-GB" w:bidi="en-GB"/>
        </w:rPr>
        <w:t xml:space="preserve"> </w:t>
      </w:r>
      <w:r w:rsidRPr="008147F1">
        <w:rPr>
          <w:rFonts w:ascii="Calibri" w:hAnsi="Calibri" w:cs="Calibri"/>
          <w:bCs/>
          <w:lang w:val="en-GB" w:bidi="en-GB"/>
        </w:rPr>
        <w:t>The big question Romanians pose themselves is whether the IPs can sell these types of assets encumbered by this precautionary measure established during the criminal trial or not. The answer and consequences will greatly differ depending on the respondent.</w:t>
      </w:r>
    </w:p>
    <w:p w14:paraId="245C70F3" w14:textId="77777777" w:rsidR="008147F1" w:rsidRPr="008147F1" w:rsidRDefault="008147F1" w:rsidP="008147F1">
      <w:pPr>
        <w:spacing w:line="240" w:lineRule="auto"/>
        <w:rPr>
          <w:rFonts w:ascii="Calibri" w:hAnsi="Calibri" w:cs="Calibri"/>
          <w:bCs/>
          <w:i/>
          <w:iCs/>
          <w:lang w:val="en-GB" w:bidi="en-GB"/>
        </w:rPr>
      </w:pPr>
      <w:r w:rsidRPr="008147F1">
        <w:rPr>
          <w:rFonts w:ascii="Calibri" w:hAnsi="Calibri" w:cs="Calibri"/>
          <w:bCs/>
          <w:lang w:val="en-GB" w:bidi="en-GB"/>
        </w:rPr>
        <w:t>According to the article 249 of the Criminal Procedure Code,</w:t>
      </w:r>
      <w:r w:rsidRPr="008147F1">
        <w:rPr>
          <w:rFonts w:ascii="Calibri" w:hAnsi="Calibri" w:cs="Calibri"/>
          <w:bCs/>
          <w:i/>
          <w:iCs/>
          <w:lang w:val="en-GB" w:bidi="en-GB"/>
        </w:rPr>
        <w:t xml:space="preserve"> the prosecutor, during prosecution, the judge of preliminary chamber or the Court of its own motion or at the request of the prosecutor, in the preliminary chamber procedure or during trial, may take precautionary measures in order to avoid concealment, destruction, alienation or evading pursuing assets that may be confiscated or subjected to extended confiscation or which may serve for the enforcement of the fine or legal costs or to repair the damages caused by the offense. </w:t>
      </w:r>
      <w:r w:rsidRPr="008147F1">
        <w:rPr>
          <w:rFonts w:ascii="Calibri" w:hAnsi="Calibri" w:cs="Calibri"/>
          <w:bCs/>
          <w:lang w:val="en-GB" w:bidi="en-GB"/>
        </w:rPr>
        <w:t>According to the Criminal Procedure Code,</w:t>
      </w:r>
      <w:r w:rsidRPr="008147F1">
        <w:rPr>
          <w:rFonts w:ascii="Calibri" w:hAnsi="Calibri" w:cs="Calibri"/>
          <w:bCs/>
          <w:i/>
          <w:iCs/>
          <w:lang w:val="en-GB" w:bidi="en-GB"/>
        </w:rPr>
        <w:t xml:space="preserve"> the effect of the precautionary measure is sequestration, which withdraws the debtor’s right of disposal.</w:t>
      </w:r>
    </w:p>
    <w:p w14:paraId="241CD98F" w14:textId="77777777" w:rsidR="008147F1" w:rsidRPr="008147F1" w:rsidRDefault="008147F1" w:rsidP="008147F1">
      <w:pPr>
        <w:spacing w:line="240" w:lineRule="auto"/>
        <w:rPr>
          <w:rFonts w:ascii="Calibri" w:hAnsi="Calibri" w:cs="Calibri"/>
          <w:bCs/>
          <w:i/>
          <w:iCs/>
          <w:lang w:val="en-GB" w:bidi="en-GB"/>
        </w:rPr>
      </w:pPr>
      <w:r w:rsidRPr="008147F1">
        <w:rPr>
          <w:rFonts w:ascii="Calibri" w:hAnsi="Calibri" w:cs="Calibri"/>
          <w:bCs/>
          <w:lang w:val="en-GB" w:bidi="en-GB"/>
        </w:rPr>
        <w:t>According to the article 53 of the Law 85/2006 on insolvency procedure</w:t>
      </w:r>
      <w:r w:rsidRPr="008147F1">
        <w:rPr>
          <w:rFonts w:ascii="Calibri" w:hAnsi="Calibri" w:cs="Calibri"/>
          <w:bCs/>
          <w:i/>
          <w:iCs/>
          <w:lang w:val="en-GB" w:bidi="en-GB"/>
        </w:rPr>
        <w:t xml:space="preserve">, the assets alienated by the judicial administrator or by the judicial liquidator, while exercising his powers provided in this Law shall be acquired free of any encumbrances, such as any kind of privileges, mortgages, pledges or possessory liens, seizures. Exempted from this regime shall be the precautionary measures established during the criminal trial. </w:t>
      </w:r>
    </w:p>
    <w:p w14:paraId="195AD633" w14:textId="77777777" w:rsidR="008147F1" w:rsidRPr="008147F1" w:rsidRDefault="008147F1" w:rsidP="008147F1">
      <w:pPr>
        <w:spacing w:line="240" w:lineRule="auto"/>
        <w:rPr>
          <w:rFonts w:ascii="Calibri" w:hAnsi="Calibri" w:cs="Calibri"/>
          <w:bCs/>
          <w:lang w:val="en-GB" w:bidi="en-GB"/>
        </w:rPr>
      </w:pPr>
      <w:r w:rsidRPr="008147F1">
        <w:rPr>
          <w:rFonts w:ascii="Calibri" w:hAnsi="Calibri" w:cs="Calibri"/>
          <w:bCs/>
          <w:lang w:val="en-GB" w:bidi="en-GB"/>
        </w:rPr>
        <w:t xml:space="preserve">The article 53 of Law 85/2006 on insolvency proceedings, as shown above, has been modified approximately four times since 2010, by the Code of Civil Procedure or the Code of Criminal Procedure, each legislation trying to clarify at least to some extent the mechanism of the sequestrations. There have been long debates on whether this regime exempts from the possibility of alienating the assets altogether or the fact that the assets can be alienated, but will be acquired free of any encumbrances. </w:t>
      </w:r>
    </w:p>
    <w:p w14:paraId="4CD811A9" w14:textId="77777777" w:rsidR="008147F1" w:rsidRPr="008147F1" w:rsidRDefault="008147F1" w:rsidP="008147F1">
      <w:pPr>
        <w:spacing w:line="240" w:lineRule="auto"/>
        <w:rPr>
          <w:rFonts w:ascii="Calibri" w:hAnsi="Calibri" w:cs="Calibri"/>
          <w:bCs/>
          <w:lang w:val="en-GB" w:bidi="en-GB"/>
        </w:rPr>
      </w:pPr>
    </w:p>
    <w:p w14:paraId="182A548B" w14:textId="77777777" w:rsidR="008147F1" w:rsidRPr="008147F1" w:rsidRDefault="008147F1" w:rsidP="008147F1">
      <w:pPr>
        <w:spacing w:line="240" w:lineRule="auto"/>
        <w:rPr>
          <w:rFonts w:ascii="Calibri" w:hAnsi="Calibri" w:cs="Calibri"/>
          <w:b/>
          <w:bCs/>
          <w:lang w:val="en-GB" w:bidi="en-GB"/>
        </w:rPr>
      </w:pPr>
      <w:r w:rsidRPr="008147F1">
        <w:rPr>
          <w:rFonts w:ascii="Calibri" w:hAnsi="Calibri" w:cs="Calibri"/>
          <w:b/>
          <w:bCs/>
          <w:lang w:val="en-GB" w:bidi="en-GB"/>
        </w:rPr>
        <w:t>Regarding the possibility that the assets can be alienated:</w:t>
      </w:r>
    </w:p>
    <w:p w14:paraId="5590424B" w14:textId="1E1C1985" w:rsidR="008147F1" w:rsidRPr="008147F1" w:rsidRDefault="008147F1" w:rsidP="008147F1">
      <w:pPr>
        <w:spacing w:line="240" w:lineRule="auto"/>
        <w:rPr>
          <w:rFonts w:ascii="Calibri" w:hAnsi="Calibri" w:cs="Calibri"/>
          <w:bCs/>
          <w:lang w:val="en-GB" w:bidi="en-GB"/>
        </w:rPr>
      </w:pPr>
      <w:r w:rsidRPr="008147F1">
        <w:rPr>
          <w:rFonts w:ascii="Calibri" w:hAnsi="Calibri" w:cs="Calibri"/>
          <w:bCs/>
          <w:lang w:val="en-GB" w:bidi="en-GB"/>
        </w:rPr>
        <w:t>As seen above, the pursued assets may be confiscated or may serve for the enforcement of the fine, of the legal costs or to repair the damages caused by the offense. The prosecutor is obliged to state the scope of the sequestration. In most cases, the scope is to facilitate the State’s enforcement of the legal costs, the fine or the injured party’s enforcement of the claim. Another scope is to protect the public interest and here is where confiscation comes in. The confiscation applies to dangerous assets, assets that have been used in perpetrating the criminal offence; those assets have a particular regime which we are not going to explore today.</w:t>
      </w:r>
    </w:p>
    <w:p w14:paraId="72F62DA3" w14:textId="370BBAD7" w:rsidR="008147F1" w:rsidRPr="008147F1" w:rsidRDefault="008147F1" w:rsidP="008147F1">
      <w:pPr>
        <w:spacing w:line="240" w:lineRule="auto"/>
        <w:rPr>
          <w:rFonts w:ascii="Calibri" w:hAnsi="Calibri" w:cs="Calibri"/>
          <w:bCs/>
          <w:lang w:val="en-GB" w:bidi="en-GB"/>
        </w:rPr>
      </w:pPr>
      <w:r w:rsidRPr="008147F1">
        <w:rPr>
          <w:rFonts w:ascii="Calibri" w:hAnsi="Calibri" w:cs="Calibri"/>
          <w:bCs/>
          <w:lang w:val="en-GB" w:bidi="en-GB"/>
        </w:rPr>
        <w:t xml:space="preserve">What we see in practice is that the prosecutors will set a sequestration early in the criminal process, in the investigations stage. Outside an insolvency procedure, this may protect the injured party or the State, by maintaining the assets in the debtor’s estate. But in insolvency, until the final settlement of the civil action in the criminal proceedings, and this may take a while, their claim falls under suspensive condition.  Meanwhile, the expenses necessary for the preservation and the administration of these sequestrated assets are increasing, and the IPs inability to sell is detrimental to the other creditors in favour of a conditional claim. When the final settlement of the civil action in the criminal proceedings is reached, neither the injured party nor the State will have a secured claim.  Furthermore, the Court may very well declare that there is no guilt, no prejudice and no claim. </w:t>
      </w:r>
    </w:p>
    <w:p w14:paraId="18498C85" w14:textId="580B946F" w:rsidR="008147F1" w:rsidRPr="008147F1" w:rsidRDefault="008147F1" w:rsidP="008147F1">
      <w:pPr>
        <w:spacing w:line="240" w:lineRule="auto"/>
        <w:rPr>
          <w:rFonts w:ascii="Calibri" w:hAnsi="Calibri" w:cs="Calibri"/>
          <w:bCs/>
          <w:lang w:val="en-GB" w:bidi="en-GB"/>
        </w:rPr>
      </w:pPr>
      <w:r w:rsidRPr="008147F1">
        <w:rPr>
          <w:rFonts w:ascii="Calibri" w:hAnsi="Calibri" w:cs="Calibri"/>
          <w:bCs/>
          <w:lang w:val="en-GB" w:bidi="en-GB"/>
        </w:rPr>
        <w:t xml:space="preserve">Adding another element into the mixture, the Code of Criminal Procedure establishes the offence of evading sequestrations – </w:t>
      </w:r>
      <w:r w:rsidRPr="008147F1">
        <w:rPr>
          <w:rFonts w:ascii="Calibri" w:hAnsi="Calibri" w:cs="Calibri"/>
          <w:bCs/>
          <w:i/>
          <w:iCs/>
          <w:lang w:val="en-GB" w:bidi="en-GB"/>
        </w:rPr>
        <w:t>The</w:t>
      </w:r>
      <w:r w:rsidRPr="008147F1">
        <w:rPr>
          <w:rFonts w:ascii="Calibri" w:hAnsi="Calibri" w:cs="Calibri"/>
          <w:bCs/>
          <w:lang w:val="en-GB" w:bidi="en-GB"/>
        </w:rPr>
        <w:t xml:space="preserve"> </w:t>
      </w:r>
      <w:r w:rsidRPr="008147F1">
        <w:rPr>
          <w:rFonts w:ascii="Calibri" w:hAnsi="Calibri" w:cs="Calibri"/>
          <w:bCs/>
          <w:i/>
          <w:iCs/>
          <w:lang w:val="en-GB" w:bidi="en-GB"/>
        </w:rPr>
        <w:t>evading of legally sequestrated property is punishable by imprisonment from 3 months to one year or a fine</w:t>
      </w:r>
      <w:r w:rsidRPr="008147F1">
        <w:rPr>
          <w:rFonts w:ascii="Calibri" w:hAnsi="Calibri" w:cs="Calibri"/>
          <w:bCs/>
          <w:lang w:val="en-GB" w:bidi="en-GB"/>
        </w:rPr>
        <w:t xml:space="preserve">. </w:t>
      </w:r>
      <w:r w:rsidRPr="008147F1">
        <w:rPr>
          <w:rFonts w:ascii="Calibri" w:hAnsi="Calibri" w:cs="Calibri"/>
          <w:bCs/>
          <w:i/>
          <w:iCs/>
          <w:lang w:val="en-GB" w:bidi="en-GB"/>
        </w:rPr>
        <w:t>If the act was committed by the custodian, the punishment is imprisonment from 6 months to 2 years or a fine</w:t>
      </w:r>
      <w:r w:rsidRPr="008147F1">
        <w:rPr>
          <w:rFonts w:ascii="Calibri" w:hAnsi="Calibri" w:cs="Calibri"/>
          <w:bCs/>
          <w:lang w:val="en-GB" w:bidi="en-GB"/>
        </w:rPr>
        <w:t>. Criminal procedure authorities all seem to agree that this offence may be perpetrated by the IPs, while IPs consider that it is their duty to sell the debtor assets, according to the insolvency law.</w:t>
      </w:r>
    </w:p>
    <w:p w14:paraId="20A4BF4F" w14:textId="4F4A475B" w:rsidR="008147F1" w:rsidRPr="008147F1" w:rsidRDefault="008147F1" w:rsidP="008147F1">
      <w:pPr>
        <w:spacing w:line="240" w:lineRule="auto"/>
        <w:rPr>
          <w:rFonts w:ascii="Calibri" w:hAnsi="Calibri" w:cs="Calibri"/>
          <w:bCs/>
          <w:lang w:val="en-GB" w:bidi="en-GB"/>
        </w:rPr>
      </w:pPr>
      <w:r w:rsidRPr="008147F1">
        <w:rPr>
          <w:rFonts w:ascii="Calibri" w:hAnsi="Calibri" w:cs="Calibri"/>
          <w:bCs/>
          <w:lang w:val="en-GB" w:bidi="en-GB"/>
        </w:rPr>
        <w:t>In this conditions, once a sequestration is in place, the insolvency procedure reaches a deadlock, the length of the procedure is considerably increased and the assets lose value over time.</w:t>
      </w:r>
    </w:p>
    <w:p w14:paraId="6B4BF03F" w14:textId="77777777" w:rsidR="008147F1" w:rsidRPr="008147F1" w:rsidRDefault="008147F1" w:rsidP="008147F1">
      <w:pPr>
        <w:spacing w:line="240" w:lineRule="auto"/>
        <w:rPr>
          <w:rFonts w:ascii="Calibri" w:hAnsi="Calibri" w:cs="Calibri"/>
          <w:b/>
          <w:bCs/>
          <w:lang w:val="en-GB" w:bidi="en-GB"/>
        </w:rPr>
      </w:pPr>
      <w:r w:rsidRPr="008147F1">
        <w:rPr>
          <w:rFonts w:ascii="Calibri" w:hAnsi="Calibri" w:cs="Calibri"/>
          <w:b/>
          <w:bCs/>
          <w:lang w:val="en-GB" w:bidi="en-GB"/>
        </w:rPr>
        <w:t>Regarding the possibility that the assets can be alienated but will be acquired with the sequestration:</w:t>
      </w:r>
    </w:p>
    <w:p w14:paraId="2165F3CD" w14:textId="6FA05083" w:rsidR="008147F1" w:rsidRPr="008147F1" w:rsidRDefault="008147F1" w:rsidP="008147F1">
      <w:pPr>
        <w:spacing w:line="240" w:lineRule="auto"/>
        <w:rPr>
          <w:rFonts w:ascii="Calibri" w:hAnsi="Calibri" w:cs="Calibri"/>
          <w:bCs/>
          <w:lang w:val="en-GB" w:bidi="en-GB"/>
        </w:rPr>
      </w:pPr>
      <w:r w:rsidRPr="008147F1">
        <w:rPr>
          <w:rFonts w:ascii="Calibri" w:hAnsi="Calibri" w:cs="Calibri"/>
          <w:bCs/>
          <w:lang w:val="en-GB" w:bidi="en-GB"/>
        </w:rPr>
        <w:t>If we interpret that the article 53 of the Insolvency Law exemption refers to the encumbrances, that this is a special provision derogating from the general rule established by the Criminal Procedure Code, then what would that mean for the State or the injured party? What is the effect of sequestration then?</w:t>
      </w:r>
    </w:p>
    <w:p w14:paraId="37E6F375" w14:textId="743DA55A" w:rsidR="008147F1" w:rsidRPr="008147F1" w:rsidRDefault="008147F1" w:rsidP="008147F1">
      <w:pPr>
        <w:spacing w:line="240" w:lineRule="auto"/>
        <w:rPr>
          <w:rFonts w:ascii="Calibri" w:hAnsi="Calibri" w:cs="Calibri"/>
          <w:bCs/>
          <w:lang w:val="en-GB" w:bidi="en-GB"/>
        </w:rPr>
      </w:pPr>
      <w:r w:rsidRPr="008147F1">
        <w:rPr>
          <w:rFonts w:ascii="Calibri" w:hAnsi="Calibri" w:cs="Calibri"/>
          <w:bCs/>
          <w:lang w:val="en-GB" w:bidi="en-GB"/>
        </w:rPr>
        <w:t xml:space="preserve">After discussions and some dissenting opinions, the majority agree that the provisions from the Romanian Civil Code and the Code of Criminal Procedure do not transform a sequestration established during a criminal trial into a secured interest. The security interest would create in favour of the creditor (in this case the State/injured party) the right to recover his debts, prior to any unsecured creditor or any creditors holding subsequent ranking security interests or other preference rights. Moreover, the secured creditor would have the right to enforce its debt irrespective of the holder of the secured asset (the right of pursuit). </w:t>
      </w:r>
    </w:p>
    <w:p w14:paraId="32169B08" w14:textId="77777777" w:rsidR="008147F1" w:rsidRPr="008147F1" w:rsidRDefault="008147F1" w:rsidP="008147F1">
      <w:pPr>
        <w:spacing w:line="240" w:lineRule="auto"/>
        <w:rPr>
          <w:rFonts w:ascii="Calibri" w:hAnsi="Calibri" w:cs="Calibri"/>
          <w:bCs/>
          <w:lang w:val="en-GB" w:bidi="en-GB"/>
        </w:rPr>
      </w:pPr>
      <w:r w:rsidRPr="008147F1">
        <w:rPr>
          <w:rFonts w:ascii="Calibri" w:hAnsi="Calibri" w:cs="Calibri"/>
          <w:bCs/>
          <w:lang w:val="en-GB" w:bidi="en-GB"/>
        </w:rPr>
        <w:t xml:space="preserve">However, what the sequestration does is having the debtor’s right of disposal withdrawn. Thus, by alienation, the asset sequestration is without effect. There have been some interesting jurisprudential approaches which state that the sequestration is then placed on the funds received, after distributing the funds to the secured claims, thus preserving the right for these conditional claims without damaging the other creditors. But the jurisprudence is conflictual. </w:t>
      </w:r>
    </w:p>
    <w:p w14:paraId="2EC479DA" w14:textId="7BFD5FF5" w:rsidR="008147F1" w:rsidRPr="008147F1" w:rsidRDefault="008147F1" w:rsidP="008147F1">
      <w:pPr>
        <w:spacing w:line="240" w:lineRule="auto"/>
        <w:rPr>
          <w:rFonts w:ascii="Calibri" w:hAnsi="Calibri" w:cs="Calibri"/>
          <w:bCs/>
          <w:lang w:val="en-GB" w:bidi="en-GB"/>
        </w:rPr>
      </w:pPr>
      <w:r w:rsidRPr="008147F1">
        <w:rPr>
          <w:rFonts w:ascii="Calibri" w:hAnsi="Calibri" w:cs="Calibri"/>
          <w:bCs/>
          <w:lang w:val="en-GB" w:bidi="en-GB"/>
        </w:rPr>
        <w:t xml:space="preserve">With divided positions on the interpretation of article 53 of the Law 85/2006 on insolvency procedure, the insolvency procedures remain in a deadlock. </w:t>
      </w:r>
    </w:p>
    <w:p w14:paraId="6A0B3ADD" w14:textId="42573A5B" w:rsidR="004B4C17" w:rsidRPr="008147F1" w:rsidRDefault="008147F1" w:rsidP="00221A3F">
      <w:pPr>
        <w:spacing w:line="240" w:lineRule="auto"/>
        <w:rPr>
          <w:rFonts w:ascii="Calibri" w:hAnsi="Calibri" w:cs="Calibri"/>
          <w:bCs/>
          <w:lang w:val="en-GB" w:bidi="en-GB"/>
        </w:rPr>
      </w:pPr>
      <w:r w:rsidRPr="008147F1">
        <w:rPr>
          <w:rFonts w:ascii="Calibri" w:hAnsi="Calibri" w:cs="Calibri"/>
          <w:bCs/>
          <w:lang w:val="en-GB" w:bidi="en-GB"/>
        </w:rPr>
        <w:t xml:space="preserve">Still, we are hopeful as there have been recent discussions on the possibility of the exemption stated by article 53 being implicitly repealed by the new Insolvency Law 85/2014, but the Courts have yet to state a </w:t>
      </w:r>
      <w:r w:rsidRPr="008147F1">
        <w:rPr>
          <w:rFonts w:ascii="Calibri" w:hAnsi="Calibri" w:cs="Calibri"/>
          <w:bCs/>
          <w:lang w:val="en-GB" w:bidi="en-GB"/>
        </w:rPr>
        <w:lastRenderedPageBreak/>
        <w:t>clear position regarding this matter. It is my opinion that over time, this amendment introduced by the Law 85/2014 will clarify the legal effects of sequestration, providing further protection for all participants to the insolvency procedure.</w:t>
      </w:r>
    </w:p>
    <w:p w14:paraId="72FC63D9" w14:textId="067C185A" w:rsidR="0074691B" w:rsidRDefault="005C5539" w:rsidP="00221A3F">
      <w:pPr>
        <w:spacing w:line="240" w:lineRule="auto"/>
        <w:rPr>
          <w:b/>
          <w:bCs/>
          <w:i/>
          <w:lang w:val="en-US"/>
        </w:rPr>
      </w:pPr>
      <w:r w:rsidRPr="00221A3F">
        <w:rPr>
          <w:b/>
          <w:i/>
          <w:lang w:val="en-US"/>
        </w:rPr>
        <w:t xml:space="preserve">This </w:t>
      </w:r>
      <w:r w:rsidR="006D1289" w:rsidRPr="00221A3F">
        <w:rPr>
          <w:b/>
          <w:i/>
          <w:lang w:val="en-US"/>
        </w:rPr>
        <w:t>Inside</w:t>
      </w:r>
      <w:r w:rsidRPr="00221A3F">
        <w:rPr>
          <w:b/>
          <w:i/>
          <w:lang w:val="en-US"/>
        </w:rPr>
        <w:t xml:space="preserve"> </w:t>
      </w:r>
      <w:r w:rsidR="00221A3F">
        <w:rPr>
          <w:b/>
          <w:i/>
          <w:lang w:val="en-US"/>
        </w:rPr>
        <w:t>S</w:t>
      </w:r>
      <w:r w:rsidRPr="00221A3F">
        <w:rPr>
          <w:b/>
          <w:i/>
          <w:lang w:val="en-US"/>
        </w:rPr>
        <w:t>tory is written</w:t>
      </w:r>
      <w:r w:rsidR="00221A3F">
        <w:rPr>
          <w:b/>
          <w:i/>
          <w:lang w:val="en-US"/>
        </w:rPr>
        <w:t xml:space="preserve"> b</w:t>
      </w:r>
      <w:r w:rsidR="005C3E16">
        <w:rPr>
          <w:b/>
          <w:i/>
          <w:lang w:val="en-US"/>
        </w:rPr>
        <w:t xml:space="preserve">y </w:t>
      </w:r>
      <w:hyperlink r:id="rId8" w:history="1">
        <w:r w:rsidR="005C3E16" w:rsidRPr="005C3E16">
          <w:rPr>
            <w:rStyle w:val="Hyperlink"/>
            <w:b/>
            <w:i/>
            <w:lang w:val="en-US"/>
          </w:rPr>
          <w:t>Niculina Somlea</w:t>
        </w:r>
      </w:hyperlink>
      <w:bookmarkStart w:id="0" w:name="_GoBack"/>
      <w:bookmarkEnd w:id="0"/>
      <w:r w:rsidR="005C3E16">
        <w:rPr>
          <w:b/>
          <w:i/>
          <w:lang w:val="en-US"/>
        </w:rPr>
        <w:t xml:space="preserve"> of CITR, Romania</w:t>
      </w:r>
      <w:r w:rsidR="00225167">
        <w:rPr>
          <w:b/>
          <w:bCs/>
          <w:i/>
          <w:lang w:val="en-US"/>
        </w:rPr>
        <w:t xml:space="preserve"> </w:t>
      </w:r>
    </w:p>
    <w:p w14:paraId="578F7EE1" w14:textId="72C9DA91" w:rsidR="0074691B" w:rsidRPr="00221A3F" w:rsidRDefault="0074691B" w:rsidP="00221A3F">
      <w:pPr>
        <w:spacing w:line="240" w:lineRule="auto"/>
        <w:rPr>
          <w:b/>
          <w:bCs/>
          <w:i/>
          <w:lang w:val="en-GB"/>
        </w:rPr>
      </w:pPr>
      <w:r>
        <w:rPr>
          <w:b/>
          <w:bCs/>
          <w:i/>
          <w:lang w:val="en-US"/>
        </w:rPr>
        <w:t xml:space="preserve">Previous editions are archived on the INSOL Europe website: </w:t>
      </w:r>
      <w:r>
        <w:rPr>
          <w:b/>
          <w:bCs/>
          <w:i/>
          <w:lang w:val="en-US"/>
        </w:rPr>
        <w:br/>
      </w:r>
      <w:hyperlink r:id="rId9" w:history="1">
        <w:r w:rsidRPr="0074691B">
          <w:rPr>
            <w:rStyle w:val="Hyperlink"/>
            <w:b/>
            <w:bCs/>
            <w:i/>
            <w:lang w:val="en-US"/>
          </w:rPr>
          <w:t>http://www.insol-europe.org/news/inside-stories</w:t>
        </w:r>
      </w:hyperlink>
    </w:p>
    <w:sectPr w:rsidR="0074691B" w:rsidRPr="00221A3F" w:rsidSect="004B4C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61A2A" w14:textId="77777777" w:rsidR="005C776A" w:rsidRDefault="005C776A" w:rsidP="00221A3F">
      <w:pPr>
        <w:spacing w:after="0" w:line="240" w:lineRule="auto"/>
      </w:pPr>
      <w:r>
        <w:separator/>
      </w:r>
    </w:p>
  </w:endnote>
  <w:endnote w:type="continuationSeparator" w:id="0">
    <w:p w14:paraId="068DB64E" w14:textId="77777777" w:rsidR="005C776A" w:rsidRDefault="005C776A" w:rsidP="0022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AB901" w14:textId="77777777" w:rsidR="005C776A" w:rsidRDefault="005C776A" w:rsidP="00221A3F">
      <w:pPr>
        <w:spacing w:after="0" w:line="240" w:lineRule="auto"/>
      </w:pPr>
      <w:r>
        <w:separator/>
      </w:r>
    </w:p>
  </w:footnote>
  <w:footnote w:type="continuationSeparator" w:id="0">
    <w:p w14:paraId="1545D99D" w14:textId="77777777" w:rsidR="005C776A" w:rsidRDefault="005C776A" w:rsidP="00221A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716B1"/>
    <w:multiLevelType w:val="hybridMultilevel"/>
    <w:tmpl w:val="A7A61F82"/>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5961520"/>
    <w:multiLevelType w:val="hybridMultilevel"/>
    <w:tmpl w:val="CECCE0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2184771"/>
    <w:multiLevelType w:val="hybridMultilevel"/>
    <w:tmpl w:val="98DE1918"/>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AA"/>
    <w:rsid w:val="0000014D"/>
    <w:rsid w:val="00035690"/>
    <w:rsid w:val="00057A1E"/>
    <w:rsid w:val="00062E37"/>
    <w:rsid w:val="000C284D"/>
    <w:rsid w:val="000D7AD4"/>
    <w:rsid w:val="00127426"/>
    <w:rsid w:val="001E367F"/>
    <w:rsid w:val="001F2151"/>
    <w:rsid w:val="00207FB1"/>
    <w:rsid w:val="00221A3F"/>
    <w:rsid w:val="00225167"/>
    <w:rsid w:val="00303912"/>
    <w:rsid w:val="003366C3"/>
    <w:rsid w:val="00357602"/>
    <w:rsid w:val="00362A32"/>
    <w:rsid w:val="00384413"/>
    <w:rsid w:val="003F7222"/>
    <w:rsid w:val="004B4C17"/>
    <w:rsid w:val="0053696B"/>
    <w:rsid w:val="00557752"/>
    <w:rsid w:val="005608F5"/>
    <w:rsid w:val="00566CBF"/>
    <w:rsid w:val="00575B77"/>
    <w:rsid w:val="005C3E16"/>
    <w:rsid w:val="005C5539"/>
    <w:rsid w:val="005C776A"/>
    <w:rsid w:val="00681E15"/>
    <w:rsid w:val="006D1289"/>
    <w:rsid w:val="006D5F34"/>
    <w:rsid w:val="006E515C"/>
    <w:rsid w:val="007250CA"/>
    <w:rsid w:val="0074691B"/>
    <w:rsid w:val="007633F2"/>
    <w:rsid w:val="008147F1"/>
    <w:rsid w:val="008275EE"/>
    <w:rsid w:val="00833979"/>
    <w:rsid w:val="00836601"/>
    <w:rsid w:val="00840E09"/>
    <w:rsid w:val="008777EF"/>
    <w:rsid w:val="008B2F30"/>
    <w:rsid w:val="008C051B"/>
    <w:rsid w:val="008F0968"/>
    <w:rsid w:val="00916897"/>
    <w:rsid w:val="00950BD4"/>
    <w:rsid w:val="009B62C5"/>
    <w:rsid w:val="00A02761"/>
    <w:rsid w:val="00A061D6"/>
    <w:rsid w:val="00A348DE"/>
    <w:rsid w:val="00A60BA3"/>
    <w:rsid w:val="00AA64BD"/>
    <w:rsid w:val="00AB752B"/>
    <w:rsid w:val="00AF5A80"/>
    <w:rsid w:val="00B22BAA"/>
    <w:rsid w:val="00BA539D"/>
    <w:rsid w:val="00BB122D"/>
    <w:rsid w:val="00BD072D"/>
    <w:rsid w:val="00BD4FAA"/>
    <w:rsid w:val="00BE5EDE"/>
    <w:rsid w:val="00C06AC4"/>
    <w:rsid w:val="00C1469B"/>
    <w:rsid w:val="00C655CC"/>
    <w:rsid w:val="00C660F5"/>
    <w:rsid w:val="00C723F1"/>
    <w:rsid w:val="00C94693"/>
    <w:rsid w:val="00D21B44"/>
    <w:rsid w:val="00D73933"/>
    <w:rsid w:val="00DB563B"/>
    <w:rsid w:val="00E434C7"/>
    <w:rsid w:val="00E53B31"/>
    <w:rsid w:val="00E6265E"/>
    <w:rsid w:val="00EE327C"/>
    <w:rsid w:val="00FD58F5"/>
    <w:rsid w:val="00FD6B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3C7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539"/>
    <w:rPr>
      <w:color w:val="0000FF" w:themeColor="hyperlink"/>
      <w:u w:val="single"/>
    </w:rPr>
  </w:style>
  <w:style w:type="paragraph" w:styleId="ListParagraph">
    <w:name w:val="List Paragraph"/>
    <w:basedOn w:val="Normal"/>
    <w:uiPriority w:val="34"/>
    <w:qFormat/>
    <w:rsid w:val="00DB563B"/>
    <w:pPr>
      <w:ind w:left="720"/>
      <w:contextualSpacing/>
    </w:pPr>
  </w:style>
  <w:style w:type="paragraph" w:styleId="FootnoteText">
    <w:name w:val="footnote text"/>
    <w:basedOn w:val="Normal"/>
    <w:link w:val="FootnoteTextChar"/>
    <w:uiPriority w:val="99"/>
    <w:semiHidden/>
    <w:unhideWhenUsed/>
    <w:rsid w:val="00221A3F"/>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221A3F"/>
    <w:rPr>
      <w:sz w:val="24"/>
      <w:szCs w:val="24"/>
    </w:rPr>
  </w:style>
  <w:style w:type="character" w:styleId="FootnoteReference">
    <w:name w:val="footnote reference"/>
    <w:basedOn w:val="DefaultParagraphFont"/>
    <w:uiPriority w:val="99"/>
    <w:semiHidden/>
    <w:unhideWhenUsed/>
    <w:rsid w:val="00221A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niculina.somlea@citr.ro" TargetMode="External"/><Relationship Id="rId9" Type="http://schemas.openxmlformats.org/officeDocument/2006/relationships/hyperlink" Target="http://www.insol-europe.org/news/inside-stori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1112</Words>
  <Characters>6344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Georges-Louis Harang</dc:creator>
  <cp:lastModifiedBy>Microsoft Office User</cp:lastModifiedBy>
  <cp:revision>9</cp:revision>
  <dcterms:created xsi:type="dcterms:W3CDTF">2016-04-19T08:54:00Z</dcterms:created>
  <dcterms:modified xsi:type="dcterms:W3CDTF">2017-03-28T11:04:00Z</dcterms:modified>
</cp:coreProperties>
</file>