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5D" w:rsidRPr="003B5B5D" w:rsidRDefault="003B5B5D" w:rsidP="003B5B5D">
      <w:pPr>
        <w:keepNext/>
        <w:tabs>
          <w:tab w:val="num" w:pos="0"/>
        </w:tabs>
        <w:suppressAutoHyphens/>
        <w:spacing w:after="0" w:line="240" w:lineRule="auto"/>
        <w:ind w:left="432" w:hanging="432"/>
        <w:jc w:val="both"/>
        <w:outlineLvl w:val="0"/>
        <w:rPr>
          <w:rFonts w:ascii="Times New Roman" w:eastAsia="Times New Roman" w:hAnsi="Times New Roman" w:cs="Times New Roman"/>
          <w:b/>
          <w:bCs/>
          <w:sz w:val="20"/>
          <w:szCs w:val="24"/>
          <w:lang w:eastAsia="he-IL" w:bidi="he-IL"/>
        </w:rPr>
      </w:pPr>
    </w:p>
    <w:p w:rsidR="003B5B5D" w:rsidRPr="003B5B5D" w:rsidRDefault="003B5B5D" w:rsidP="003B5B5D">
      <w:pPr>
        <w:suppressAutoHyphens/>
        <w:spacing w:after="0" w:line="240" w:lineRule="auto"/>
        <w:rPr>
          <w:rFonts w:ascii="AvantGarde-Demi" w:eastAsia="Times New Roman" w:hAnsi="AvantGarde-Demi" w:cs="AvantGarde-Demi"/>
          <w:b/>
          <w:bCs/>
          <w:color w:val="FFFFFF"/>
          <w:sz w:val="28"/>
          <w:szCs w:val="28"/>
          <w:lang w:eastAsia="fr-FR"/>
        </w:rPr>
      </w:pPr>
      <w:r w:rsidRPr="003B5B5D">
        <w:rPr>
          <w:rFonts w:ascii="Times New Roman" w:eastAsia="Times New Roman" w:hAnsi="Times New Roman" w:cs="Times New Roman"/>
          <w:sz w:val="96"/>
          <w:szCs w:val="96"/>
          <w:u w:val="single"/>
          <w:lang w:eastAsia="ar-SA"/>
        </w:rPr>
        <w:t xml:space="preserve">e   u   r   o   </w:t>
      </w:r>
      <w:r w:rsidRPr="003B5B5D">
        <w:rPr>
          <w:rFonts w:ascii="Times New Roman" w:eastAsia="Times New Roman" w:hAnsi="Times New Roman" w:cs="Times New Roman"/>
          <w:i/>
          <w:iCs/>
          <w:sz w:val="96"/>
          <w:szCs w:val="96"/>
          <w:u w:val="single"/>
          <w:lang w:eastAsia="ar-SA"/>
        </w:rPr>
        <w:t>f  e  n  i  x</w:t>
      </w:r>
    </w:p>
    <w:p w:rsidR="003B5B5D" w:rsidRPr="003B5B5D" w:rsidRDefault="003B5B5D" w:rsidP="003B5B5D">
      <w:pPr>
        <w:keepNext/>
        <w:numPr>
          <w:ilvl w:val="1"/>
          <w:numId w:val="0"/>
        </w:numPr>
        <w:tabs>
          <w:tab w:val="num" w:pos="0"/>
          <w:tab w:val="left" w:pos="5040"/>
        </w:tabs>
        <w:suppressAutoHyphens/>
        <w:spacing w:after="0" w:line="240" w:lineRule="auto"/>
        <w:ind w:left="576" w:hanging="576"/>
        <w:jc w:val="center"/>
        <w:outlineLvl w:val="1"/>
        <w:rPr>
          <w:rFonts w:ascii="Latha" w:eastAsia="Times New Roman" w:hAnsi="Latha" w:cs="Latha"/>
          <w:b/>
          <w:bCs/>
          <w:iCs/>
          <w:sz w:val="32"/>
          <w:szCs w:val="32"/>
          <w:lang w:eastAsia="he-IL" w:bidi="he-IL"/>
        </w:rPr>
      </w:pPr>
      <w:r w:rsidRPr="003B5B5D">
        <w:rPr>
          <w:rFonts w:ascii="Latha" w:eastAsia="Times New Roman" w:hAnsi="Latha" w:cs="Latha"/>
          <w:b/>
          <w:bCs/>
          <w:iCs/>
          <w:sz w:val="32"/>
          <w:szCs w:val="32"/>
          <w:lang w:eastAsia="he-IL" w:bidi="he-IL"/>
        </w:rPr>
        <w:tab/>
        <w:t xml:space="preserve">               La revue d’INSOL Europe</w:t>
      </w:r>
    </w:p>
    <w:p w:rsidR="003B5B5D" w:rsidRPr="003B5B5D" w:rsidRDefault="003B5B5D" w:rsidP="003B5B5D">
      <w:pPr>
        <w:tabs>
          <w:tab w:val="left" w:pos="5220"/>
        </w:tabs>
        <w:suppressAutoHyphens/>
        <w:spacing w:after="0" w:line="240" w:lineRule="auto"/>
        <w:rPr>
          <w:rFonts w:ascii="Times New Roman" w:eastAsia="Times New Roman" w:hAnsi="Times New Roman" w:cs="Times New Roman"/>
          <w:b/>
          <w:sz w:val="24"/>
          <w:szCs w:val="24"/>
          <w:lang w:eastAsia="he-IL" w:bidi="he-IL"/>
        </w:rPr>
      </w:pPr>
      <w:r w:rsidRPr="003B5B5D">
        <w:rPr>
          <w:rFonts w:ascii="Times New Roman" w:eastAsia="Times New Roman" w:hAnsi="Times New Roman" w:cs="Times New Roman"/>
          <w:sz w:val="24"/>
          <w:szCs w:val="24"/>
          <w:lang w:eastAsia="he-IL" w:bidi="he-IL"/>
        </w:rPr>
        <w:tab/>
      </w:r>
      <w:r w:rsidRPr="003B5B5D">
        <w:rPr>
          <w:rFonts w:ascii="Times New Roman" w:eastAsia="Times New Roman" w:hAnsi="Times New Roman" w:cs="Times New Roman"/>
          <w:sz w:val="24"/>
          <w:szCs w:val="24"/>
          <w:lang w:eastAsia="he-IL" w:bidi="he-IL"/>
        </w:rPr>
        <w:tab/>
      </w:r>
      <w:r w:rsidRPr="003B5B5D">
        <w:rPr>
          <w:rFonts w:ascii="Times New Roman" w:eastAsia="Times New Roman" w:hAnsi="Times New Roman" w:cs="Times New Roman"/>
          <w:sz w:val="24"/>
          <w:szCs w:val="24"/>
          <w:lang w:eastAsia="he-IL" w:bidi="he-IL"/>
        </w:rPr>
        <w:tab/>
      </w:r>
      <w:r w:rsidRPr="003B5B5D">
        <w:rPr>
          <w:rFonts w:ascii="Times New Roman" w:eastAsia="Times New Roman" w:hAnsi="Times New Roman" w:cs="Times New Roman"/>
          <w:b/>
          <w:sz w:val="24"/>
          <w:szCs w:val="24"/>
          <w:lang w:eastAsia="he-IL" w:bidi="he-IL"/>
        </w:rPr>
        <w:t xml:space="preserve">Printemps </w:t>
      </w:r>
      <w:r w:rsidRPr="003B5B5D">
        <w:rPr>
          <w:rFonts w:ascii="Latha" w:eastAsia="Times New Roman" w:hAnsi="Latha" w:cs="Latha"/>
          <w:b/>
          <w:sz w:val="24"/>
          <w:szCs w:val="24"/>
          <w:lang w:eastAsia="he-IL" w:bidi="he-IL"/>
        </w:rPr>
        <w:t>2018</w:t>
      </w:r>
    </w:p>
    <w:p w:rsidR="003B5B5D" w:rsidRPr="003B5B5D" w:rsidRDefault="003B5B5D" w:rsidP="003B5B5D">
      <w:pPr>
        <w:suppressAutoHyphens/>
        <w:spacing w:after="0" w:line="240" w:lineRule="auto"/>
        <w:rPr>
          <w:rFonts w:ascii="Times New Roman" w:eastAsia="Times New Roman" w:hAnsi="Times New Roman" w:cs="Times New Roman"/>
          <w:sz w:val="44"/>
          <w:szCs w:val="44"/>
          <w:lang w:eastAsia="he-IL" w:bidi="he-IL"/>
        </w:rPr>
      </w:pPr>
    </w:p>
    <w:p w:rsidR="003B5B5D" w:rsidRPr="003B5B5D" w:rsidRDefault="003B5B5D" w:rsidP="003B5B5D">
      <w:pPr>
        <w:suppressAutoHyphens/>
        <w:spacing w:after="0" w:line="240" w:lineRule="auto"/>
        <w:ind w:firstLine="7020"/>
        <w:rPr>
          <w:rFonts w:ascii="Times New Roman" w:eastAsia="Courier 10cpi" w:hAnsi="Times New Roman" w:cs="Courier 10cpi"/>
          <w:b/>
          <w:color w:val="010101"/>
          <w:sz w:val="48"/>
          <w:szCs w:val="48"/>
          <w:lang w:eastAsia="ar-SA"/>
        </w:rPr>
      </w:pPr>
      <w:r w:rsidRPr="003B5B5D">
        <w:rPr>
          <w:rFonts w:ascii="Times New Roman" w:eastAsia="Times New Roman" w:hAnsi="Times New Roman" w:cs="Times New Roman"/>
          <w:noProof/>
          <w:lang w:eastAsia="fr-FR"/>
        </w:rPr>
        <w:drawing>
          <wp:inline distT="0" distB="0" distL="0" distR="0" wp14:anchorId="417E7BF9" wp14:editId="2C66E0CA">
            <wp:extent cx="80010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solidFill>
                      <a:srgbClr val="FFFFFF"/>
                    </a:solidFill>
                    <a:ln>
                      <a:noFill/>
                    </a:ln>
                  </pic:spPr>
                </pic:pic>
              </a:graphicData>
            </a:graphic>
          </wp:inline>
        </w:drawing>
      </w:r>
    </w:p>
    <w:p w:rsidR="003B5B5D" w:rsidRDefault="003B5B5D" w:rsidP="003B5B5D">
      <w:pPr>
        <w:suppressAutoHyphens/>
        <w:spacing w:after="0" w:line="240" w:lineRule="auto"/>
        <w:rPr>
          <w:rFonts w:ascii="Times New Roman" w:eastAsia="Times New Roman" w:hAnsi="Times New Roman" w:cs="Times New Roman"/>
          <w:b/>
          <w:bCs/>
          <w:sz w:val="24"/>
          <w:szCs w:val="24"/>
          <w:lang w:eastAsia="he-IL" w:bidi="he-IL"/>
        </w:rPr>
      </w:pPr>
    </w:p>
    <w:p w:rsidR="008563A8" w:rsidRDefault="008563A8" w:rsidP="003B5B5D">
      <w:pPr>
        <w:suppressAutoHyphens/>
        <w:spacing w:after="0" w:line="240" w:lineRule="auto"/>
        <w:rPr>
          <w:rFonts w:ascii="Times New Roman" w:eastAsia="Times New Roman" w:hAnsi="Times New Roman" w:cs="Times New Roman"/>
          <w:b/>
          <w:bCs/>
          <w:sz w:val="24"/>
          <w:szCs w:val="24"/>
          <w:lang w:eastAsia="he-IL" w:bidi="he-IL"/>
        </w:rPr>
      </w:pPr>
    </w:p>
    <w:p w:rsidR="008563A8" w:rsidRPr="003B5B5D" w:rsidRDefault="008563A8" w:rsidP="003B5B5D">
      <w:pPr>
        <w:suppressAutoHyphens/>
        <w:spacing w:after="0" w:line="240" w:lineRule="auto"/>
        <w:rPr>
          <w:rFonts w:ascii="Times New Roman" w:eastAsia="Times New Roman" w:hAnsi="Times New Roman" w:cs="Times New Roman"/>
          <w:b/>
          <w:bCs/>
          <w:sz w:val="24"/>
          <w:szCs w:val="24"/>
          <w:lang w:eastAsia="he-IL" w:bidi="he-IL"/>
        </w:rPr>
      </w:pPr>
    </w:p>
    <w:p w:rsidR="003B5B5D" w:rsidRPr="003B5B5D" w:rsidRDefault="003B5B5D" w:rsidP="003B5B5D">
      <w:pPr>
        <w:suppressAutoHyphens/>
        <w:spacing w:after="0" w:line="240" w:lineRule="auto"/>
        <w:ind w:left="3540" w:firstLine="708"/>
        <w:rPr>
          <w:rFonts w:ascii="Arial" w:eastAsia="Times New Roman" w:hAnsi="Arial" w:cs="Arial"/>
          <w:i/>
          <w:sz w:val="28"/>
          <w:szCs w:val="28"/>
          <w:lang w:eastAsia="fr-FR"/>
        </w:rPr>
      </w:pPr>
    </w:p>
    <w:p w:rsidR="00113CF4" w:rsidRDefault="008D04BF" w:rsidP="00113CF4">
      <w:pPr>
        <w:suppressAutoHyphens/>
        <w:spacing w:after="0" w:line="240" w:lineRule="auto"/>
        <w:rPr>
          <w:rFonts w:ascii="Arial" w:eastAsia="Times New Roman" w:hAnsi="Arial" w:cs="Arial"/>
          <w:i/>
          <w:sz w:val="28"/>
          <w:szCs w:val="28"/>
          <w:lang w:eastAsia="fr-FR"/>
        </w:rPr>
      </w:pPr>
      <w:r w:rsidRPr="00C7111E">
        <w:rPr>
          <w:rFonts w:ascii="Times New Roman" w:hAnsi="Times New Roman" w:cs="Times New Roman"/>
          <w:b/>
          <w:sz w:val="48"/>
          <w:szCs w:val="48"/>
        </w:rPr>
        <w:t>Désignation des PI par tirage au sort</w:t>
      </w:r>
    </w:p>
    <w:p w:rsidR="003B5B5D" w:rsidRPr="00113CF4" w:rsidRDefault="00113CF4" w:rsidP="00113CF4">
      <w:pPr>
        <w:suppressAutoHyphens/>
        <w:spacing w:after="0" w:line="240" w:lineRule="auto"/>
        <w:rPr>
          <w:rFonts w:ascii="Arial" w:eastAsia="Times New Roman" w:hAnsi="Arial" w:cs="Arial"/>
          <w:i/>
          <w:sz w:val="28"/>
          <w:szCs w:val="28"/>
          <w:lang w:eastAsia="fr-FR"/>
        </w:rPr>
      </w:pPr>
      <w:r w:rsidRPr="006616DA">
        <w:rPr>
          <w:rFonts w:ascii="Arial Narrow" w:hAnsi="Arial Narrow" w:cs="Times New Roman"/>
          <w:i/>
          <w:sz w:val="24"/>
          <w:szCs w:val="24"/>
        </w:rPr>
        <w:t>Comparaison du nouveau système lituanien aux systèmes slovaque et hongrois</w:t>
      </w: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8563A8" w:rsidRDefault="008563A8"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3B5B5D" w:rsidRPr="003B5B5D" w:rsidRDefault="003B5B5D" w:rsidP="003B5B5D">
      <w:pPr>
        <w:suppressAutoHyphens/>
        <w:spacing w:after="0" w:line="240" w:lineRule="auto"/>
        <w:jc w:val="both"/>
        <w:rPr>
          <w:rFonts w:ascii="Times New Roman" w:eastAsia="Times New Roman" w:hAnsi="Times New Roman" w:cs="Times New Roman"/>
          <w:b/>
          <w:bCs/>
          <w:sz w:val="32"/>
          <w:szCs w:val="32"/>
          <w:lang w:eastAsia="he-IL" w:bidi="he-IL"/>
        </w:rPr>
      </w:pPr>
      <w:r w:rsidRPr="003B5B5D">
        <w:rPr>
          <w:rFonts w:ascii="Times New Roman" w:eastAsia="Times New Roman" w:hAnsi="Times New Roman" w:cs="Times New Roman"/>
          <w:b/>
          <w:bCs/>
          <w:sz w:val="24"/>
          <w:szCs w:val="24"/>
          <w:lang w:eastAsia="he-IL" w:bidi="he-IL"/>
        </w:rPr>
        <w:tab/>
      </w:r>
      <w:r w:rsidRPr="003B5B5D">
        <w:rPr>
          <w:rFonts w:ascii="Times New Roman" w:eastAsia="Times New Roman" w:hAnsi="Times New Roman" w:cs="Times New Roman"/>
          <w:b/>
          <w:bCs/>
          <w:sz w:val="24"/>
          <w:szCs w:val="24"/>
          <w:lang w:eastAsia="he-IL" w:bidi="he-IL"/>
        </w:rPr>
        <w:tab/>
      </w:r>
      <w:r w:rsidRPr="003B5B5D">
        <w:rPr>
          <w:rFonts w:ascii="Times New Roman" w:eastAsia="Times New Roman" w:hAnsi="Times New Roman" w:cs="Times New Roman"/>
          <w:b/>
          <w:bCs/>
          <w:sz w:val="24"/>
          <w:szCs w:val="24"/>
          <w:lang w:eastAsia="he-IL" w:bidi="he-IL"/>
        </w:rPr>
        <w:tab/>
      </w:r>
      <w:r w:rsidRPr="003B5B5D">
        <w:rPr>
          <w:rFonts w:ascii="Times New Roman" w:eastAsia="Times New Roman" w:hAnsi="Times New Roman" w:cs="Times New Roman"/>
          <w:b/>
          <w:bCs/>
          <w:sz w:val="24"/>
          <w:szCs w:val="24"/>
          <w:lang w:eastAsia="he-IL" w:bidi="he-IL"/>
        </w:rPr>
        <w:tab/>
      </w:r>
      <w:r w:rsidRPr="003B5B5D">
        <w:rPr>
          <w:rFonts w:ascii="Times New Roman" w:eastAsia="Times New Roman" w:hAnsi="Times New Roman" w:cs="Times New Roman"/>
          <w:b/>
          <w:bCs/>
          <w:sz w:val="24"/>
          <w:szCs w:val="24"/>
          <w:lang w:eastAsia="he-IL" w:bidi="he-IL"/>
        </w:rPr>
        <w:tab/>
      </w:r>
      <w:r w:rsidRPr="003B5B5D">
        <w:rPr>
          <w:rFonts w:ascii="Times New Roman" w:eastAsia="Times New Roman" w:hAnsi="Times New Roman" w:cs="Times New Roman"/>
          <w:b/>
          <w:bCs/>
          <w:sz w:val="24"/>
          <w:szCs w:val="24"/>
          <w:lang w:eastAsia="he-IL" w:bidi="he-IL"/>
        </w:rPr>
        <w:tab/>
      </w:r>
    </w:p>
    <w:p w:rsidR="00113CF4" w:rsidRDefault="003B5B5D" w:rsidP="00113CF4">
      <w:pPr>
        <w:spacing w:after="0" w:line="240" w:lineRule="auto"/>
        <w:jc w:val="center"/>
        <w:rPr>
          <w:rFonts w:ascii="Times New Roman" w:hAnsi="Times New Roman" w:cs="Times New Roman"/>
          <w:b/>
          <w:sz w:val="48"/>
          <w:szCs w:val="48"/>
        </w:rPr>
      </w:pPr>
      <w:r w:rsidRPr="003B5B5D">
        <w:rPr>
          <w:rFonts w:ascii="Times New Roman" w:eastAsia="Times New Roman" w:hAnsi="Times New Roman" w:cs="Times New Roman"/>
          <w:b/>
          <w:bCs/>
          <w:sz w:val="40"/>
          <w:szCs w:val="40"/>
          <w:lang w:eastAsia="he-IL" w:bidi="he-IL"/>
        </w:rPr>
        <w:t xml:space="preserve">                               </w:t>
      </w:r>
      <w:r w:rsidRPr="008563A8">
        <w:rPr>
          <w:rFonts w:ascii="Times New Roman" w:eastAsia="Times New Roman" w:hAnsi="Times New Roman" w:cs="Times New Roman"/>
          <w:b/>
          <w:bCs/>
          <w:i/>
          <w:sz w:val="40"/>
          <w:szCs w:val="40"/>
          <w:lang w:eastAsia="he-IL" w:bidi="he-IL"/>
        </w:rPr>
        <w:t xml:space="preserve">  </w:t>
      </w:r>
      <w:r w:rsidR="00113CF4" w:rsidRPr="008563A8">
        <w:rPr>
          <w:rFonts w:ascii="Times New Roman" w:hAnsi="Times New Roman" w:cs="Times New Roman"/>
          <w:b/>
          <w:i/>
          <w:sz w:val="48"/>
          <w:szCs w:val="48"/>
        </w:rPr>
        <w:t>Cybersécurité </w:t>
      </w:r>
      <w:r w:rsidR="00113CF4" w:rsidRPr="00A867E1">
        <w:rPr>
          <w:rFonts w:ascii="Times New Roman" w:hAnsi="Times New Roman" w:cs="Times New Roman"/>
          <w:b/>
          <w:sz w:val="48"/>
          <w:szCs w:val="48"/>
        </w:rPr>
        <w:t xml:space="preserve">: </w:t>
      </w:r>
    </w:p>
    <w:p w:rsidR="00113CF4" w:rsidRPr="008563A8" w:rsidRDefault="00113CF4" w:rsidP="00113CF4">
      <w:pPr>
        <w:suppressAutoHyphens/>
        <w:spacing w:after="0" w:line="240" w:lineRule="auto"/>
        <w:ind w:left="1416"/>
        <w:jc w:val="both"/>
        <w:rPr>
          <w:rFonts w:ascii="Times New Roman" w:hAnsi="Times New Roman" w:cs="Times New Roman"/>
          <w:b/>
          <w:sz w:val="40"/>
          <w:szCs w:val="40"/>
        </w:rPr>
      </w:pPr>
      <w:r>
        <w:rPr>
          <w:rFonts w:ascii="Times New Roman" w:hAnsi="Times New Roman" w:cs="Times New Roman"/>
          <w:b/>
          <w:sz w:val="48"/>
          <w:szCs w:val="48"/>
        </w:rPr>
        <w:t xml:space="preserve">      </w:t>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sidRPr="008563A8">
        <w:rPr>
          <w:rFonts w:ascii="Times New Roman" w:hAnsi="Times New Roman" w:cs="Times New Roman"/>
          <w:b/>
          <w:sz w:val="40"/>
          <w:szCs w:val="40"/>
        </w:rPr>
        <w:t xml:space="preserve">toutes les entreprises </w:t>
      </w:r>
    </w:p>
    <w:p w:rsidR="003B5B5D" w:rsidRPr="003B5B5D" w:rsidRDefault="00113CF4" w:rsidP="00113CF4">
      <w:pPr>
        <w:suppressAutoHyphens/>
        <w:spacing w:after="0" w:line="240" w:lineRule="auto"/>
        <w:ind w:left="4248" w:firstLine="708"/>
        <w:jc w:val="both"/>
        <w:rPr>
          <w:rFonts w:ascii="Times New Roman" w:eastAsia="Times New Roman" w:hAnsi="Times New Roman" w:cs="Times New Roman"/>
          <w:b/>
          <w:bCs/>
          <w:sz w:val="32"/>
          <w:szCs w:val="32"/>
          <w:lang w:eastAsia="he-IL" w:bidi="he-IL"/>
        </w:rPr>
      </w:pPr>
      <w:r w:rsidRPr="008563A8">
        <w:rPr>
          <w:rFonts w:ascii="Times New Roman" w:hAnsi="Times New Roman" w:cs="Times New Roman"/>
          <w:b/>
          <w:sz w:val="40"/>
          <w:szCs w:val="40"/>
        </w:rPr>
        <w:t>sont concernées</w:t>
      </w:r>
    </w:p>
    <w:p w:rsidR="003B5B5D" w:rsidRPr="003B5B5D" w:rsidRDefault="00113CF4" w:rsidP="003B5B5D">
      <w:pPr>
        <w:suppressAutoHyphens/>
        <w:spacing w:after="0" w:line="240" w:lineRule="auto"/>
        <w:jc w:val="both"/>
        <w:rPr>
          <w:rFonts w:ascii="Times New Roman" w:eastAsia="Times New Roman" w:hAnsi="Times New Roman" w:cs="Times New Roman"/>
          <w:b/>
          <w:bCs/>
          <w:sz w:val="24"/>
          <w:szCs w:val="24"/>
          <w:lang w:eastAsia="he-IL" w:bidi="he-IL"/>
        </w:rPr>
      </w:pPr>
      <w:r>
        <w:rPr>
          <w:rFonts w:ascii="Times New Roman" w:eastAsia="Times New Roman" w:hAnsi="Times New Roman" w:cs="Times New Roman"/>
          <w:b/>
          <w:bCs/>
          <w:sz w:val="24"/>
          <w:szCs w:val="24"/>
          <w:lang w:eastAsia="he-IL" w:bidi="he-IL"/>
        </w:rPr>
        <w:tab/>
      </w:r>
      <w:r>
        <w:rPr>
          <w:rFonts w:ascii="Times New Roman" w:eastAsia="Times New Roman" w:hAnsi="Times New Roman" w:cs="Times New Roman"/>
          <w:b/>
          <w:bCs/>
          <w:sz w:val="24"/>
          <w:szCs w:val="24"/>
          <w:lang w:eastAsia="he-IL" w:bidi="he-IL"/>
        </w:rPr>
        <w:tab/>
      </w:r>
      <w:r>
        <w:rPr>
          <w:rFonts w:ascii="Times New Roman" w:eastAsia="Times New Roman" w:hAnsi="Times New Roman" w:cs="Times New Roman"/>
          <w:b/>
          <w:bCs/>
          <w:sz w:val="24"/>
          <w:szCs w:val="24"/>
          <w:lang w:eastAsia="he-IL" w:bidi="he-IL"/>
        </w:rPr>
        <w:tab/>
      </w:r>
      <w:r>
        <w:rPr>
          <w:rFonts w:ascii="Times New Roman" w:eastAsia="Times New Roman" w:hAnsi="Times New Roman" w:cs="Times New Roman"/>
          <w:b/>
          <w:bCs/>
          <w:sz w:val="24"/>
          <w:szCs w:val="24"/>
          <w:lang w:eastAsia="he-IL" w:bidi="he-IL"/>
        </w:rPr>
        <w:tab/>
      </w:r>
      <w:r>
        <w:rPr>
          <w:rFonts w:ascii="Times New Roman" w:eastAsia="Times New Roman" w:hAnsi="Times New Roman" w:cs="Times New Roman"/>
          <w:b/>
          <w:bCs/>
          <w:sz w:val="24"/>
          <w:szCs w:val="24"/>
          <w:lang w:eastAsia="he-IL" w:bidi="he-IL"/>
        </w:rPr>
        <w:tab/>
      </w:r>
      <w:r>
        <w:rPr>
          <w:rFonts w:ascii="Times New Roman" w:eastAsia="Times New Roman" w:hAnsi="Times New Roman" w:cs="Times New Roman"/>
          <w:b/>
          <w:bCs/>
          <w:sz w:val="24"/>
          <w:szCs w:val="24"/>
          <w:lang w:eastAsia="he-IL" w:bidi="he-IL"/>
        </w:rPr>
        <w:tab/>
      </w:r>
      <w:r>
        <w:rPr>
          <w:rFonts w:ascii="Times New Roman" w:eastAsia="Times New Roman" w:hAnsi="Times New Roman" w:cs="Times New Roman"/>
          <w:b/>
          <w:bCs/>
          <w:sz w:val="24"/>
          <w:szCs w:val="24"/>
          <w:lang w:eastAsia="he-IL" w:bidi="he-IL"/>
        </w:rPr>
        <w:tab/>
        <w:t>(pas si, mais quand…)</w:t>
      </w: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r w:rsidRPr="003B5B5D">
        <w:rPr>
          <w:rFonts w:ascii="Arial" w:eastAsia="Times New Roman" w:hAnsi="Arial" w:cs="Arial"/>
          <w:i/>
          <w:sz w:val="28"/>
          <w:szCs w:val="28"/>
          <w:lang w:eastAsia="fr-FR"/>
        </w:rPr>
        <w:t>Et aussi dans ce numéro :</w:t>
      </w:r>
    </w:p>
    <w:p w:rsidR="003B5B5D" w:rsidRPr="008563A8" w:rsidRDefault="00113CF4" w:rsidP="00113CF4">
      <w:pPr>
        <w:pStyle w:val="Paragraphedeliste"/>
        <w:numPr>
          <w:ilvl w:val="0"/>
          <w:numId w:val="46"/>
        </w:numPr>
        <w:jc w:val="both"/>
        <w:rPr>
          <w:b/>
          <w:bCs/>
          <w:sz w:val="28"/>
          <w:szCs w:val="28"/>
          <w:lang w:eastAsia="he-IL" w:bidi="he-IL"/>
        </w:rPr>
      </w:pPr>
      <w:r w:rsidRPr="008563A8">
        <w:rPr>
          <w:b/>
          <w:bCs/>
          <w:sz w:val="28"/>
          <w:szCs w:val="28"/>
          <w:lang w:eastAsia="he-IL" w:bidi="he-IL"/>
        </w:rPr>
        <w:t>L’Administrateur Judiciaire en France</w:t>
      </w:r>
    </w:p>
    <w:p w:rsidR="00113CF4" w:rsidRPr="008563A8" w:rsidRDefault="00113CF4" w:rsidP="00113CF4">
      <w:pPr>
        <w:pStyle w:val="Paragraphedeliste"/>
        <w:numPr>
          <w:ilvl w:val="0"/>
          <w:numId w:val="46"/>
        </w:numPr>
        <w:jc w:val="both"/>
        <w:rPr>
          <w:b/>
          <w:bCs/>
          <w:sz w:val="28"/>
          <w:szCs w:val="28"/>
          <w:lang w:eastAsia="he-IL" w:bidi="he-IL"/>
        </w:rPr>
      </w:pPr>
      <w:r w:rsidRPr="008563A8">
        <w:rPr>
          <w:b/>
          <w:bCs/>
          <w:sz w:val="28"/>
          <w:szCs w:val="28"/>
          <w:lang w:eastAsia="he-IL" w:bidi="he-IL"/>
        </w:rPr>
        <w:t>L’insolvabilité des entreprises ‘stratégiques’ en Roumanie</w:t>
      </w:r>
    </w:p>
    <w:p w:rsidR="00113CF4" w:rsidRPr="008563A8" w:rsidRDefault="00113CF4" w:rsidP="00113CF4">
      <w:pPr>
        <w:pStyle w:val="Paragraphedeliste"/>
        <w:numPr>
          <w:ilvl w:val="0"/>
          <w:numId w:val="46"/>
        </w:numPr>
        <w:jc w:val="both"/>
        <w:rPr>
          <w:b/>
          <w:bCs/>
          <w:sz w:val="28"/>
          <w:szCs w:val="28"/>
          <w:lang w:eastAsia="he-IL" w:bidi="he-IL"/>
        </w:rPr>
      </w:pPr>
      <w:r w:rsidRPr="008563A8">
        <w:rPr>
          <w:b/>
          <w:bCs/>
          <w:sz w:val="28"/>
          <w:szCs w:val="28"/>
          <w:lang w:eastAsia="he-IL" w:bidi="he-IL"/>
        </w:rPr>
        <w:t>La succéssion d’employeurs en Espagne</w:t>
      </w:r>
    </w:p>
    <w:p w:rsidR="00113CF4" w:rsidRPr="008563A8" w:rsidRDefault="008563A8" w:rsidP="00113CF4">
      <w:pPr>
        <w:pStyle w:val="Paragraphedeliste"/>
        <w:numPr>
          <w:ilvl w:val="0"/>
          <w:numId w:val="46"/>
        </w:numPr>
        <w:jc w:val="both"/>
        <w:rPr>
          <w:b/>
          <w:bCs/>
          <w:sz w:val="28"/>
          <w:szCs w:val="28"/>
          <w:lang w:eastAsia="he-IL" w:bidi="he-IL"/>
        </w:rPr>
      </w:pPr>
      <w:r w:rsidRPr="008563A8">
        <w:rPr>
          <w:b/>
          <w:bCs/>
          <w:sz w:val="28"/>
          <w:szCs w:val="28"/>
          <w:lang w:eastAsia="he-IL" w:bidi="he-IL"/>
        </w:rPr>
        <w:t>Récentes modifications du Registre d’affaires fondées sur le REI</w:t>
      </w:r>
    </w:p>
    <w:p w:rsidR="003B5B5D" w:rsidRPr="008563A8" w:rsidRDefault="003B5B5D" w:rsidP="003B5B5D">
      <w:pPr>
        <w:suppressAutoHyphens/>
        <w:spacing w:after="0" w:line="240" w:lineRule="auto"/>
        <w:jc w:val="both"/>
        <w:rPr>
          <w:rFonts w:ascii="Times New Roman" w:eastAsia="Times New Roman" w:hAnsi="Times New Roman" w:cs="Times New Roman"/>
          <w:b/>
          <w:bCs/>
          <w:sz w:val="28"/>
          <w:szCs w:val="28"/>
          <w:lang w:eastAsia="he-IL" w:bidi="he-IL"/>
        </w:rPr>
      </w:pPr>
      <w:r w:rsidRPr="008563A8">
        <w:rPr>
          <w:rFonts w:ascii="Times New Roman" w:eastAsia="Times New Roman" w:hAnsi="Times New Roman" w:cs="Times New Roman"/>
          <w:b/>
          <w:bCs/>
          <w:sz w:val="28"/>
          <w:szCs w:val="28"/>
          <w:lang w:eastAsia="he-IL" w:bidi="he-IL"/>
        </w:rPr>
        <w:tab/>
      </w:r>
      <w:r w:rsidRPr="008563A8">
        <w:rPr>
          <w:rFonts w:ascii="Times New Roman" w:eastAsia="Times New Roman" w:hAnsi="Times New Roman" w:cs="Times New Roman"/>
          <w:b/>
          <w:bCs/>
          <w:sz w:val="28"/>
          <w:szCs w:val="28"/>
          <w:lang w:eastAsia="he-IL" w:bidi="he-IL"/>
        </w:rPr>
        <w:tab/>
      </w:r>
      <w:r w:rsidRPr="008563A8">
        <w:rPr>
          <w:rFonts w:ascii="Times New Roman" w:eastAsia="Times New Roman" w:hAnsi="Times New Roman" w:cs="Times New Roman"/>
          <w:b/>
          <w:bCs/>
          <w:sz w:val="28"/>
          <w:szCs w:val="28"/>
          <w:lang w:eastAsia="he-IL" w:bidi="he-IL"/>
        </w:rPr>
        <w:tab/>
      </w:r>
      <w:r w:rsidRPr="008563A8">
        <w:rPr>
          <w:rFonts w:ascii="Times New Roman" w:eastAsia="Times New Roman" w:hAnsi="Times New Roman" w:cs="Times New Roman"/>
          <w:b/>
          <w:bCs/>
          <w:sz w:val="28"/>
          <w:szCs w:val="28"/>
          <w:lang w:eastAsia="he-IL" w:bidi="he-IL"/>
        </w:rPr>
        <w:tab/>
      </w:r>
      <w:r w:rsidRPr="008563A8">
        <w:rPr>
          <w:rFonts w:ascii="Times New Roman" w:eastAsia="Times New Roman" w:hAnsi="Times New Roman" w:cs="Times New Roman"/>
          <w:b/>
          <w:bCs/>
          <w:sz w:val="28"/>
          <w:szCs w:val="28"/>
          <w:lang w:eastAsia="he-IL" w:bidi="he-IL"/>
        </w:rPr>
        <w:tab/>
      </w:r>
      <w:r w:rsidRPr="008563A8">
        <w:rPr>
          <w:rFonts w:ascii="Times New Roman" w:eastAsia="Times New Roman" w:hAnsi="Times New Roman" w:cs="Times New Roman"/>
          <w:b/>
          <w:bCs/>
          <w:sz w:val="28"/>
          <w:szCs w:val="28"/>
          <w:lang w:eastAsia="he-IL" w:bidi="he-IL"/>
        </w:rPr>
        <w:tab/>
      </w:r>
      <w:r w:rsidRPr="008563A8">
        <w:rPr>
          <w:rFonts w:ascii="Times New Roman" w:eastAsia="Times New Roman" w:hAnsi="Times New Roman" w:cs="Times New Roman"/>
          <w:b/>
          <w:bCs/>
          <w:sz w:val="28"/>
          <w:szCs w:val="28"/>
          <w:lang w:eastAsia="he-IL" w:bidi="he-IL"/>
        </w:rPr>
        <w:tab/>
      </w:r>
      <w:r w:rsidR="008563A8">
        <w:rPr>
          <w:rFonts w:ascii="Times New Roman" w:eastAsia="Times New Roman" w:hAnsi="Times New Roman" w:cs="Times New Roman"/>
          <w:b/>
          <w:bCs/>
          <w:sz w:val="28"/>
          <w:szCs w:val="28"/>
          <w:lang w:eastAsia="he-IL" w:bidi="he-IL"/>
        </w:rPr>
        <w:t xml:space="preserve">                                                </w:t>
      </w:r>
      <w:r w:rsidRPr="008563A8">
        <w:rPr>
          <w:rFonts w:ascii="Times New Roman" w:eastAsia="Times New Roman" w:hAnsi="Times New Roman" w:cs="Times New Roman"/>
          <w:b/>
          <w:bCs/>
          <w:sz w:val="28"/>
          <w:szCs w:val="28"/>
          <w:lang w:eastAsia="he-IL" w:bidi="he-IL"/>
        </w:rPr>
        <w:t>…et plus</w:t>
      </w: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8563A8" w:rsidRPr="003B5B5D" w:rsidRDefault="008563A8"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p>
    <w:p w:rsidR="003B5B5D" w:rsidRPr="003B5B5D" w:rsidRDefault="008563A8" w:rsidP="003B5B5D">
      <w:pPr>
        <w:suppressAutoHyphens/>
        <w:spacing w:after="0" w:line="240" w:lineRule="auto"/>
        <w:jc w:val="both"/>
        <w:rPr>
          <w:rFonts w:ascii="Times New Roman" w:eastAsia="Times New Roman" w:hAnsi="Times New Roman" w:cs="Times New Roman"/>
          <w:b/>
          <w:bCs/>
          <w:sz w:val="24"/>
          <w:szCs w:val="24"/>
          <w:lang w:eastAsia="he-IL" w:bidi="he-IL"/>
        </w:rPr>
      </w:pPr>
      <w:r>
        <w:rPr>
          <w:rFonts w:ascii="Times New Roman" w:eastAsia="Times New Roman" w:hAnsi="Times New Roman" w:cs="Times New Roman"/>
          <w:b/>
          <w:bCs/>
          <w:sz w:val="24"/>
          <w:szCs w:val="24"/>
          <w:lang w:eastAsia="he-IL" w:bidi="he-IL"/>
        </w:rPr>
        <w:t>Numéro70 : € 31</w:t>
      </w:r>
      <w:r w:rsidR="003B5B5D" w:rsidRPr="003B5B5D">
        <w:rPr>
          <w:rFonts w:ascii="Times New Roman" w:eastAsia="Times New Roman" w:hAnsi="Times New Roman" w:cs="Times New Roman"/>
          <w:b/>
          <w:bCs/>
          <w:sz w:val="24"/>
          <w:szCs w:val="24"/>
          <w:lang w:eastAsia="he-IL" w:bidi="he-IL"/>
        </w:rPr>
        <w:tab/>
      </w:r>
      <w:r w:rsidR="003B5B5D" w:rsidRPr="003B5B5D">
        <w:rPr>
          <w:rFonts w:ascii="Times New Roman" w:eastAsia="Times New Roman" w:hAnsi="Times New Roman" w:cs="Times New Roman"/>
          <w:b/>
          <w:bCs/>
          <w:sz w:val="24"/>
          <w:szCs w:val="24"/>
          <w:lang w:eastAsia="he-IL" w:bidi="he-IL"/>
        </w:rPr>
        <w:tab/>
      </w:r>
      <w:r w:rsidR="003B5B5D" w:rsidRPr="003B5B5D">
        <w:rPr>
          <w:rFonts w:ascii="Times New Roman" w:eastAsia="Times New Roman" w:hAnsi="Times New Roman" w:cs="Times New Roman"/>
          <w:b/>
          <w:bCs/>
          <w:sz w:val="24"/>
          <w:szCs w:val="24"/>
          <w:lang w:eastAsia="he-IL" w:bidi="he-IL"/>
        </w:rPr>
        <w:tab/>
      </w:r>
      <w:r w:rsidR="003B5B5D" w:rsidRPr="003B5B5D">
        <w:rPr>
          <w:rFonts w:ascii="Times New Roman" w:eastAsia="Times New Roman" w:hAnsi="Times New Roman" w:cs="Times New Roman"/>
          <w:b/>
          <w:bCs/>
          <w:sz w:val="24"/>
          <w:szCs w:val="24"/>
          <w:lang w:eastAsia="he-IL" w:bidi="he-IL"/>
        </w:rPr>
        <w:tab/>
      </w:r>
      <w:r w:rsidR="003B5B5D" w:rsidRPr="003B5B5D">
        <w:rPr>
          <w:rFonts w:ascii="Times New Roman" w:eastAsia="Times New Roman" w:hAnsi="Times New Roman" w:cs="Times New Roman"/>
          <w:b/>
          <w:bCs/>
          <w:sz w:val="24"/>
          <w:szCs w:val="24"/>
          <w:lang w:eastAsia="he-IL" w:bidi="he-IL"/>
        </w:rPr>
        <w:tab/>
      </w:r>
      <w:r w:rsidR="003B5B5D" w:rsidRPr="003B5B5D">
        <w:rPr>
          <w:rFonts w:ascii="Times New Roman" w:eastAsia="Times New Roman" w:hAnsi="Times New Roman" w:cs="Times New Roman"/>
          <w:b/>
          <w:bCs/>
          <w:sz w:val="24"/>
          <w:szCs w:val="24"/>
          <w:lang w:eastAsia="he-IL" w:bidi="he-IL"/>
        </w:rPr>
        <w:tab/>
      </w: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r w:rsidRPr="003B5B5D">
        <w:rPr>
          <w:rFonts w:ascii="Times New Roman" w:eastAsia="Times New Roman" w:hAnsi="Times New Roman" w:cs="Times New Roman"/>
          <w:b/>
          <w:bCs/>
          <w:sz w:val="24"/>
          <w:szCs w:val="24"/>
          <w:lang w:eastAsia="he-IL" w:bidi="he-IL"/>
        </w:rPr>
        <w:t>N°ISSN 1752-5187</w:t>
      </w:r>
    </w:p>
    <w:p w:rsidR="003B5B5D" w:rsidRPr="003B5B5D" w:rsidRDefault="003B5B5D" w:rsidP="003B5B5D">
      <w:pPr>
        <w:suppressAutoHyphens/>
        <w:spacing w:after="0" w:line="240" w:lineRule="auto"/>
        <w:jc w:val="both"/>
        <w:rPr>
          <w:rFonts w:ascii="Times New Roman" w:eastAsia="Times New Roman" w:hAnsi="Times New Roman" w:cs="Times New Roman"/>
          <w:b/>
          <w:bCs/>
          <w:sz w:val="24"/>
          <w:szCs w:val="24"/>
          <w:lang w:eastAsia="he-IL" w:bidi="he-IL"/>
        </w:rPr>
      </w:pPr>
    </w:p>
    <w:tbl>
      <w:tblPr>
        <w:tblW w:w="0" w:type="auto"/>
        <w:tblInd w:w="-300" w:type="dxa"/>
        <w:tblLayout w:type="fixed"/>
        <w:tblCellMar>
          <w:left w:w="70" w:type="dxa"/>
          <w:right w:w="70" w:type="dxa"/>
        </w:tblCellMar>
        <w:tblLook w:val="0000" w:firstRow="0" w:lastRow="0" w:firstColumn="0" w:lastColumn="0" w:noHBand="0" w:noVBand="0"/>
      </w:tblPr>
      <w:tblGrid>
        <w:gridCol w:w="4848"/>
        <w:gridCol w:w="372"/>
        <w:gridCol w:w="4880"/>
      </w:tblGrid>
      <w:tr w:rsidR="003B5B5D" w:rsidRPr="003B5B5D" w:rsidTr="0052658C">
        <w:trPr>
          <w:cantSplit/>
        </w:trPr>
        <w:tc>
          <w:tcPr>
            <w:tcW w:w="4848" w:type="dxa"/>
            <w:tcBorders>
              <w:top w:val="single" w:sz="4" w:space="0" w:color="000000"/>
              <w:left w:val="single" w:sz="4" w:space="0" w:color="000000"/>
              <w:bottom w:val="single" w:sz="4" w:space="0" w:color="000000"/>
            </w:tcBorders>
            <w:shd w:val="clear" w:color="auto" w:fill="auto"/>
          </w:tcPr>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lastRenderedPageBreak/>
              <w:t>CONTACTS :</w:t>
            </w:r>
          </w:p>
          <w:p w:rsidR="003B5B5D" w:rsidRPr="003B5B5D" w:rsidRDefault="003B5B5D" w:rsidP="003B5B5D">
            <w:pPr>
              <w:suppressAutoHyphens/>
              <w:spacing w:after="0" w:line="240" w:lineRule="auto"/>
              <w:rPr>
                <w:rFonts w:ascii="Times New Roman" w:eastAsia="Times New Roman" w:hAnsi="Times New Roman" w:cs="Times New Roman"/>
                <w:b/>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sz w:val="20"/>
                <w:szCs w:val="20"/>
                <w:lang w:eastAsia="ar-SA"/>
              </w:rPr>
              <w:t>INSOL Europe</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 xml:space="preserve">PO Box 7149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Clifton, Nottingham NG11 6WD, Royaume Uni</w:t>
            </w:r>
          </w:p>
          <w:p w:rsidR="003B5B5D" w:rsidRPr="003B5B5D" w:rsidRDefault="003B5B5D" w:rsidP="003B5B5D">
            <w:pPr>
              <w:suppressAutoHyphens/>
              <w:spacing w:after="0" w:line="240" w:lineRule="auto"/>
              <w:rPr>
                <w:rFonts w:ascii="Times New Roman" w:eastAsia="Times New Roman" w:hAnsi="Times New Roman" w:cs="Times New Roman"/>
                <w:b/>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sz w:val="20"/>
                <w:szCs w:val="20"/>
                <w:lang w:eastAsia="ar-SA"/>
              </w:rPr>
              <w:t>Renseignements</w:t>
            </w:r>
            <w:r w:rsidRPr="003B5B5D">
              <w:rPr>
                <w:rFonts w:ascii="Times New Roman" w:eastAsia="Times New Roman" w:hAnsi="Times New Roman" w:cs="Times New Roman"/>
                <w:sz w:val="20"/>
                <w:szCs w:val="20"/>
                <w:lang w:eastAsia="ar-SA"/>
              </w:rPr>
              <w:t xml:space="preserve"> : </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t>Caroline Taylor</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Tél./Fax : +44 115 878 0584</w:t>
            </w:r>
          </w:p>
          <w:p w:rsidR="003B5B5D" w:rsidRPr="003B5B5D" w:rsidRDefault="003B5B5D" w:rsidP="003B5B5D">
            <w:pPr>
              <w:suppressAutoHyphens/>
              <w:spacing w:after="0" w:line="240" w:lineRule="auto"/>
              <w:rPr>
                <w:rFonts w:ascii="Times New Roman" w:eastAsia="Times New Roman" w:hAnsi="Times New Roman" w:cs="Times New Roman"/>
                <w:color w:val="0000FF"/>
                <w:sz w:val="20"/>
                <w:szCs w:val="20"/>
                <w:u w:val="single"/>
                <w:lang w:eastAsia="ar-SA"/>
              </w:rPr>
            </w:pPr>
            <w:r w:rsidRPr="003B5B5D">
              <w:rPr>
                <w:rFonts w:ascii="Times New Roman" w:eastAsia="Times New Roman" w:hAnsi="Times New Roman" w:cs="Times New Roman"/>
                <w:sz w:val="20"/>
                <w:szCs w:val="20"/>
                <w:lang w:val="de-DE" w:eastAsia="ar-SA"/>
              </w:rPr>
              <w:t xml:space="preserve">E-mail : </w:t>
            </w:r>
            <w:hyperlink r:id="rId9" w:history="1">
              <w:r w:rsidRPr="003B5B5D">
                <w:rPr>
                  <w:rFonts w:ascii="Times New Roman" w:eastAsia="Times New Roman" w:hAnsi="Times New Roman" w:cs="Times New Roman"/>
                  <w:color w:val="0000FF"/>
                  <w:sz w:val="20"/>
                  <w:szCs w:val="20"/>
                  <w:u w:val="single"/>
                  <w:lang w:eastAsia="ar-SA"/>
                </w:rPr>
                <w:t>carolinetaylor@insol-europe.org</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 xml:space="preserve">Site internet : </w:t>
            </w:r>
            <w:hyperlink r:id="rId10" w:history="1">
              <w:r w:rsidRPr="003B5B5D">
                <w:rPr>
                  <w:rFonts w:ascii="Times New Roman" w:eastAsia="Times New Roman" w:hAnsi="Times New Roman" w:cs="Times New Roman"/>
                  <w:color w:val="0000FF"/>
                  <w:sz w:val="20"/>
                  <w:szCs w:val="20"/>
                  <w:u w:val="single"/>
                  <w:lang w:eastAsia="ar-SA"/>
                </w:rPr>
                <w:t>www.insol-europe.org</w:t>
              </w:r>
            </w:hyperlink>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t>Comité exécutif </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bCs/>
                <w:sz w:val="20"/>
                <w:szCs w:val="20"/>
                <w:lang w:eastAsia="ar-SA"/>
              </w:rPr>
              <w:t>Président</w:t>
            </w:r>
            <w:r w:rsidRPr="003B5B5D">
              <w:rPr>
                <w:rFonts w:ascii="Times New Roman" w:eastAsia="Times New Roman" w:hAnsi="Times New Roman" w:cs="Times New Roman"/>
                <w:sz w:val="20"/>
                <w:szCs w:val="20"/>
                <w:lang w:eastAsia="ar-SA"/>
              </w:rPr>
              <w:t> : Radu Lotrean (</w:t>
            </w:r>
            <w:hyperlink r:id="rId11" w:history="1">
              <w:r w:rsidRPr="003B5B5D">
                <w:rPr>
                  <w:rFonts w:ascii="Times New Roman" w:eastAsia="Times New Roman" w:hAnsi="Times New Roman" w:cs="Times New Roman"/>
                  <w:color w:val="0000FF"/>
                  <w:sz w:val="20"/>
                  <w:szCs w:val="20"/>
                  <w:u w:val="single"/>
                  <w:lang w:eastAsia="ar-SA"/>
                </w:rPr>
                <w:t>radu.lotrean@citr.ro</w:t>
              </w:r>
            </w:hyperlink>
            <w:r w:rsidRPr="003B5B5D">
              <w:rPr>
                <w:rFonts w:ascii="Times New Roman" w:eastAsia="Times New Roman" w:hAnsi="Times New Roman" w:cs="Times New Roman"/>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bCs/>
                <w:sz w:val="20"/>
                <w:szCs w:val="20"/>
                <w:lang w:val="de-DE" w:eastAsia="ar-SA"/>
              </w:rPr>
              <w:t>Président adjoint</w:t>
            </w:r>
            <w:r w:rsidRPr="003B5B5D">
              <w:rPr>
                <w:rFonts w:ascii="Times New Roman" w:eastAsia="Times New Roman" w:hAnsi="Times New Roman" w:cs="Times New Roman"/>
                <w:sz w:val="20"/>
                <w:szCs w:val="20"/>
                <w:lang w:val="de-DE" w:eastAsia="ar-SA"/>
              </w:rPr>
              <w:t> : Alistair Beveridge (</w:t>
            </w:r>
            <w:hyperlink r:id="rId12" w:history="1">
              <w:r w:rsidRPr="003B5B5D">
                <w:rPr>
                  <w:rFonts w:ascii="Times New Roman" w:eastAsia="Times New Roman" w:hAnsi="Times New Roman" w:cs="Times New Roman"/>
                  <w:color w:val="0000FF"/>
                  <w:sz w:val="20"/>
                  <w:szCs w:val="20"/>
                  <w:u w:val="single"/>
                  <w:lang w:val="de-DE" w:eastAsia="ar-SA"/>
                </w:rPr>
                <w:t>abeveridge@alixpartners.com</w:t>
              </w:r>
            </w:hyperlink>
            <w:r w:rsidRPr="003B5B5D">
              <w:rPr>
                <w:rFonts w:ascii="Times New Roman" w:eastAsia="Times New Roman" w:hAnsi="Times New Roman" w:cs="Times New Roman"/>
                <w:color w:val="0000FF"/>
                <w:sz w:val="20"/>
                <w:szCs w:val="20"/>
                <w:u w:val="single"/>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bCs/>
                <w:sz w:val="20"/>
                <w:szCs w:val="20"/>
                <w:lang w:val="de-DE" w:eastAsia="ar-SA"/>
              </w:rPr>
              <w:t>Vice-président</w:t>
            </w:r>
            <w:r w:rsidRPr="003B5B5D">
              <w:rPr>
                <w:rFonts w:ascii="Times New Roman" w:eastAsia="Times New Roman" w:hAnsi="Times New Roman" w:cs="Times New Roman"/>
                <w:sz w:val="20"/>
                <w:szCs w:val="20"/>
                <w:lang w:val="de-DE" w:eastAsia="ar-SA"/>
              </w:rPr>
              <w:t> : Piya Mukherjee (</w:t>
            </w:r>
            <w:hyperlink r:id="rId13" w:history="1">
              <w:r w:rsidRPr="003B5B5D">
                <w:rPr>
                  <w:rFonts w:ascii="Times New Roman" w:eastAsia="Times New Roman" w:hAnsi="Times New Roman" w:cs="Times New Roman"/>
                  <w:color w:val="0000FF"/>
                  <w:sz w:val="20"/>
                  <w:szCs w:val="20"/>
                  <w:u w:val="single"/>
                  <w:lang w:val="de-DE" w:eastAsia="ar-SA"/>
                </w:rPr>
                <w:t>pmu@horten.dk</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sz w:val="20"/>
                <w:szCs w:val="20"/>
                <w:lang w:val="de-DE" w:eastAsia="ar-SA"/>
              </w:rPr>
              <w:t>Président précédent</w:t>
            </w:r>
            <w:r w:rsidRPr="003B5B5D">
              <w:rPr>
                <w:rFonts w:ascii="Times New Roman" w:eastAsia="Times New Roman" w:hAnsi="Times New Roman" w:cs="Times New Roman"/>
                <w:sz w:val="20"/>
                <w:szCs w:val="20"/>
                <w:lang w:val="de-DE" w:eastAsia="ar-SA"/>
              </w:rPr>
              <w:t xml:space="preserve"> : Steffen Koch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w:t>
            </w:r>
            <w:hyperlink r:id="rId14" w:history="1">
              <w:r w:rsidRPr="003B5B5D">
                <w:rPr>
                  <w:rFonts w:ascii="Times New Roman" w:eastAsia="Times New Roman" w:hAnsi="Times New Roman" w:cs="Times New Roman"/>
                  <w:color w:val="0000FF"/>
                  <w:sz w:val="20"/>
                  <w:szCs w:val="20"/>
                  <w:u w:val="single"/>
                  <w:lang w:val="de-DE" w:eastAsia="ar-SA"/>
                </w:rPr>
                <w:t>steffen.koch@hww-kanzlei.de</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bCs/>
                <w:sz w:val="20"/>
                <w:szCs w:val="20"/>
                <w:lang w:val="de-DE" w:eastAsia="ar-SA"/>
              </w:rPr>
              <w:t>Trésorier</w:t>
            </w:r>
            <w:r w:rsidRPr="003B5B5D">
              <w:rPr>
                <w:rFonts w:ascii="Times New Roman" w:eastAsia="Times New Roman" w:hAnsi="Times New Roman" w:cs="Times New Roman"/>
                <w:sz w:val="20"/>
                <w:szCs w:val="20"/>
                <w:lang w:val="de-DE" w:eastAsia="ar-SA"/>
              </w:rPr>
              <w:t> : Christopher Laughton (</w:t>
            </w:r>
            <w:hyperlink r:id="rId15" w:history="1">
              <w:r w:rsidRPr="003B5B5D">
                <w:rPr>
                  <w:rFonts w:ascii="Times New Roman" w:eastAsia="Times New Roman" w:hAnsi="Times New Roman" w:cs="Times New Roman"/>
                  <w:color w:val="0000FF"/>
                  <w:sz w:val="20"/>
                  <w:szCs w:val="20"/>
                  <w:u w:val="single"/>
                  <w:lang w:val="de-DE" w:eastAsia="ar-SA"/>
                </w:rPr>
                <w:t>chrislaughton@mercerhole.co.uk</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bCs/>
                <w:sz w:val="20"/>
                <w:szCs w:val="20"/>
                <w:lang w:val="de-DE" w:eastAsia="ar-SA"/>
              </w:rPr>
              <w:t>Directeur administratif</w:t>
            </w:r>
            <w:r w:rsidRPr="003B5B5D">
              <w:rPr>
                <w:rFonts w:ascii="Times New Roman" w:eastAsia="Times New Roman" w:hAnsi="Times New Roman" w:cs="Times New Roman"/>
                <w:sz w:val="20"/>
                <w:szCs w:val="20"/>
                <w:lang w:val="de-DE" w:eastAsia="ar-SA"/>
              </w:rPr>
              <w:t xml:space="preserve"> : Caroline Taylor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w:t>
            </w:r>
            <w:hyperlink r:id="rId16" w:history="1">
              <w:r w:rsidRPr="003B5B5D">
                <w:rPr>
                  <w:rFonts w:ascii="Times New Roman" w:eastAsia="Times New Roman" w:hAnsi="Times New Roman" w:cs="Times New Roman"/>
                  <w:color w:val="0000FF"/>
                  <w:sz w:val="20"/>
                  <w:szCs w:val="20"/>
                  <w:u w:val="single"/>
                  <w:lang w:val="de-DE" w:eastAsia="ar-SA"/>
                </w:rPr>
                <w:t>carolinetaylor@insol-europe.org</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4"/>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b/>
                <w:sz w:val="20"/>
                <w:szCs w:val="24"/>
                <w:lang w:eastAsia="ar-SA"/>
              </w:rPr>
              <w:t>Secrétariat</w:t>
            </w:r>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r w:rsidRPr="003B5B5D">
              <w:rPr>
                <w:rFonts w:ascii="Times New Roman" w:eastAsia="Times New Roman" w:hAnsi="Times New Roman" w:cs="Times New Roman"/>
                <w:b/>
                <w:sz w:val="20"/>
                <w:szCs w:val="20"/>
                <w:lang w:eastAsia="ar-SA"/>
              </w:rPr>
              <w:t>Comité des</w:t>
            </w:r>
            <w:r w:rsidRPr="003B5B5D">
              <w:rPr>
                <w:rFonts w:ascii="Times New Roman" w:eastAsia="Times New Roman" w:hAnsi="Times New Roman" w:cs="Times New Roman"/>
                <w:b/>
                <w:bCs/>
                <w:sz w:val="20"/>
                <w:szCs w:val="20"/>
                <w:lang w:eastAsia="ar-SA"/>
              </w:rPr>
              <w:t xml:space="preserve"> </w:t>
            </w:r>
            <w:r w:rsidRPr="003B5B5D">
              <w:rPr>
                <w:rFonts w:ascii="Times New Roman" w:eastAsia="Times New Roman" w:hAnsi="Times New Roman" w:cs="Times New Roman"/>
                <w:b/>
                <w:sz w:val="20"/>
                <w:szCs w:val="20"/>
                <w:lang w:eastAsia="ar-SA"/>
              </w:rPr>
              <w:t>pays de l’Europe Orientale (EECC)</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Florica Sincu, Secrétaire</w:t>
            </w: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r w:rsidRPr="003B5B5D">
              <w:rPr>
                <w:rFonts w:ascii="Times New Roman" w:eastAsia="Times New Roman" w:hAnsi="Times New Roman" w:cs="Times New Roman"/>
                <w:sz w:val="20"/>
                <w:szCs w:val="24"/>
                <w:lang w:val="de-DE" w:eastAsia="ar-SA"/>
              </w:rPr>
              <w:t>(</w:t>
            </w:r>
            <w:hyperlink r:id="rId17" w:history="1">
              <w:r w:rsidRPr="003B5B5D">
                <w:rPr>
                  <w:rFonts w:ascii="Times New Roman" w:eastAsia="Times New Roman" w:hAnsi="Times New Roman" w:cs="Times New Roman"/>
                  <w:color w:val="0000FF"/>
                  <w:sz w:val="20"/>
                  <w:szCs w:val="24"/>
                  <w:u w:val="single"/>
                  <w:lang w:val="de-DE" w:eastAsia="ar-SA"/>
                </w:rPr>
                <w:t>floricasincu@insol-europe.org</w:t>
              </w:r>
            </w:hyperlink>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r w:rsidRPr="003B5B5D">
              <w:rPr>
                <w:rFonts w:ascii="Times New Roman" w:eastAsia="Times New Roman" w:hAnsi="Times New Roman" w:cs="Times New Roman"/>
                <w:b/>
                <w:sz w:val="20"/>
                <w:szCs w:val="24"/>
                <w:lang w:val="de-DE" w:eastAsia="ar-SA"/>
              </w:rPr>
              <w:t xml:space="preserve">Communication: </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Paul Newson</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w:t>
            </w:r>
            <w:hyperlink r:id="rId18" w:history="1">
              <w:r w:rsidRPr="003B5B5D">
                <w:rPr>
                  <w:rFonts w:ascii="Times New Roman" w:eastAsia="Times New Roman" w:hAnsi="Times New Roman" w:cs="Times New Roman"/>
                  <w:color w:val="0000FF"/>
                  <w:sz w:val="20"/>
                  <w:szCs w:val="24"/>
                  <w:u w:val="single"/>
                  <w:lang w:val="de-DE" w:eastAsia="ar-SA"/>
                </w:rPr>
                <w:t>paulnewson@insol-europe.org</w:t>
              </w:r>
            </w:hyperlink>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r w:rsidRPr="003B5B5D">
              <w:rPr>
                <w:rFonts w:ascii="Times New Roman" w:eastAsia="Times New Roman" w:hAnsi="Times New Roman" w:cs="Times New Roman"/>
                <w:b/>
                <w:sz w:val="20"/>
                <w:szCs w:val="24"/>
                <w:lang w:val="de-DE" w:eastAsia="ar-SA"/>
              </w:rPr>
              <w:t>Co-ordinateur membres et enregistrements aux conférences:</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Wendy Cooper</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w:t>
            </w:r>
            <w:hyperlink r:id="rId19" w:history="1">
              <w:r w:rsidRPr="003B5B5D">
                <w:rPr>
                  <w:rFonts w:ascii="Times New Roman" w:eastAsia="Times New Roman" w:hAnsi="Times New Roman" w:cs="Times New Roman"/>
                  <w:color w:val="0000FF"/>
                  <w:sz w:val="20"/>
                  <w:szCs w:val="24"/>
                  <w:u w:val="single"/>
                  <w:lang w:val="de-DE" w:eastAsia="ar-SA"/>
                </w:rPr>
                <w:t>wendycooper@insol-europe.org</w:t>
              </w:r>
            </w:hyperlink>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b/>
                <w:sz w:val="20"/>
                <w:szCs w:val="24"/>
                <w:lang w:val="de-DE" w:eastAsia="ar-SA"/>
              </w:rPr>
              <w:t>Co</w:t>
            </w:r>
            <w:r w:rsidRPr="003B5B5D">
              <w:rPr>
                <w:rFonts w:ascii="Times New Roman" w:eastAsia="Times New Roman" w:hAnsi="Times New Roman" w:cs="Times New Roman"/>
                <w:b/>
                <w:sz w:val="20"/>
                <w:szCs w:val="24"/>
                <w:lang w:eastAsia="ar-SA"/>
              </w:rPr>
              <w:t>-ordinateur</w:t>
            </w:r>
            <w:r w:rsidRPr="003B5B5D">
              <w:rPr>
                <w:rFonts w:ascii="Times New Roman" w:eastAsia="Times New Roman" w:hAnsi="Times New Roman" w:cs="Times New Roman"/>
                <w:b/>
                <w:sz w:val="20"/>
                <w:szCs w:val="24"/>
                <w:lang w:val="de-DE" w:eastAsia="ar-SA"/>
              </w:rPr>
              <w:t xml:space="preserve"> parrainages</w:t>
            </w:r>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Hannah Denney</w:t>
            </w:r>
          </w:p>
          <w:p w:rsidR="003B5B5D" w:rsidRPr="003B5B5D" w:rsidRDefault="009A1930" w:rsidP="003B5B5D">
            <w:pPr>
              <w:suppressAutoHyphens/>
              <w:spacing w:after="0" w:line="240" w:lineRule="auto"/>
              <w:rPr>
                <w:rFonts w:ascii="Times New Roman" w:eastAsia="Times New Roman" w:hAnsi="Times New Roman" w:cs="Times New Roman"/>
                <w:sz w:val="20"/>
                <w:szCs w:val="24"/>
                <w:lang w:val="de-DE" w:eastAsia="ar-SA"/>
              </w:rPr>
            </w:pPr>
            <w:hyperlink r:id="rId20" w:history="1">
              <w:r w:rsidR="003B5B5D" w:rsidRPr="003B5B5D">
                <w:rPr>
                  <w:rFonts w:ascii="Times New Roman" w:eastAsia="Times New Roman" w:hAnsi="Times New Roman" w:cs="Times New Roman"/>
                  <w:color w:val="0000FF"/>
                  <w:sz w:val="20"/>
                  <w:szCs w:val="24"/>
                  <w:u w:val="single"/>
                  <w:lang w:val="de-DE" w:eastAsia="ar-SA"/>
                </w:rPr>
                <w:t>hannahdenney@insol-europe.org</w:t>
              </w:r>
            </w:hyperlink>
            <w:r w:rsidR="003B5B5D"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r w:rsidRPr="003B5B5D">
              <w:rPr>
                <w:rFonts w:ascii="Times New Roman" w:eastAsia="Times New Roman" w:hAnsi="Times New Roman" w:cs="Times New Roman"/>
                <w:b/>
                <w:sz w:val="20"/>
                <w:szCs w:val="24"/>
                <w:lang w:val="de-DE" w:eastAsia="ar-SA"/>
              </w:rPr>
              <w:t>Co-ordinateur des recherches techniques:</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Paul Omar (</w:t>
            </w:r>
            <w:hyperlink r:id="rId21" w:history="1">
              <w:r w:rsidRPr="003B5B5D">
                <w:rPr>
                  <w:rFonts w:ascii="Times New Roman" w:eastAsia="Times New Roman" w:hAnsi="Times New Roman" w:cs="Times New Roman"/>
                  <w:color w:val="0000FF"/>
                  <w:sz w:val="20"/>
                  <w:szCs w:val="24"/>
                  <w:u w:val="single"/>
                  <w:lang w:val="de-DE" w:eastAsia="ar-SA"/>
                </w:rPr>
                <w:t>khaemwaset@yahoo.co.uk</w:t>
              </w:r>
            </w:hyperlink>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4"/>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b/>
                <w:sz w:val="20"/>
                <w:szCs w:val="24"/>
                <w:lang w:val="de-DE" w:eastAsia="ar-SA"/>
              </w:rPr>
              <w:t>Responsables techniques</w:t>
            </w:r>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Emmanuelle Inacio &amp; Myriam  Mailly</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r w:rsidRPr="003B5B5D">
              <w:rPr>
                <w:rFonts w:ascii="Times New Roman" w:eastAsia="Times New Roman" w:hAnsi="Times New Roman" w:cs="Times New Roman"/>
                <w:sz w:val="20"/>
                <w:szCs w:val="24"/>
                <w:lang w:val="de-DE" w:eastAsia="ar-SA"/>
              </w:rPr>
              <w:t>(</w:t>
            </w:r>
            <w:hyperlink r:id="rId22" w:history="1">
              <w:r w:rsidRPr="003B5B5D">
                <w:rPr>
                  <w:rFonts w:ascii="Times New Roman" w:eastAsia="Times New Roman" w:hAnsi="Times New Roman" w:cs="Times New Roman"/>
                  <w:color w:val="0000FF"/>
                  <w:sz w:val="20"/>
                  <w:szCs w:val="24"/>
                  <w:u w:val="single"/>
                  <w:lang w:val="de-DE" w:eastAsia="ar-SA"/>
                </w:rPr>
                <w:t>technical@insol-europe.org</w:t>
              </w:r>
            </w:hyperlink>
            <w:r w:rsidRPr="003B5B5D">
              <w:rPr>
                <w:rFonts w:ascii="Times New Roman" w:eastAsia="Times New Roman" w:hAnsi="Times New Roman" w:cs="Times New Roman"/>
                <w:sz w:val="20"/>
                <w:szCs w:val="24"/>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4"/>
                <w:lang w:val="de-DE" w:eastAsia="ar-SA"/>
              </w:rPr>
            </w:pPr>
          </w:p>
        </w:tc>
        <w:tc>
          <w:tcPr>
            <w:tcW w:w="372" w:type="dxa"/>
            <w:tcBorders>
              <w:left w:val="single" w:sz="4" w:space="0" w:color="000000"/>
            </w:tcBorders>
            <w:shd w:val="clear" w:color="auto" w:fill="auto"/>
          </w:tcPr>
          <w:p w:rsidR="003B5B5D" w:rsidRPr="003B5B5D" w:rsidRDefault="003B5B5D" w:rsidP="003B5B5D">
            <w:pPr>
              <w:suppressAutoHyphens/>
              <w:snapToGrid w:val="0"/>
              <w:spacing w:after="0" w:line="240" w:lineRule="auto"/>
              <w:rPr>
                <w:rFonts w:ascii="Times New Roman" w:eastAsia="Times New Roman" w:hAnsi="Times New Roman" w:cs="Times New Roman"/>
                <w:sz w:val="20"/>
                <w:szCs w:val="24"/>
                <w:lang w:val="de-DE" w:eastAsia="ar-SA"/>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3B5B5D" w:rsidRPr="003B5B5D" w:rsidRDefault="003B5B5D" w:rsidP="003B5B5D">
            <w:pPr>
              <w:suppressAutoHyphens/>
              <w:spacing w:after="0" w:line="240" w:lineRule="auto"/>
              <w:rPr>
                <w:rFonts w:ascii="Times New Roman" w:eastAsia="Times New Roman" w:hAnsi="Times New Roman" w:cs="Times New Roman"/>
                <w:b/>
                <w:sz w:val="20"/>
                <w:szCs w:val="20"/>
                <w:lang w:eastAsia="ar-SA"/>
              </w:rPr>
            </w:pPr>
            <w:r w:rsidRPr="003B5B5D">
              <w:rPr>
                <w:rFonts w:ascii="Times New Roman" w:eastAsia="Times New Roman" w:hAnsi="Times New Roman" w:cs="Times New Roman"/>
                <w:b/>
                <w:sz w:val="20"/>
                <w:szCs w:val="20"/>
                <w:lang w:eastAsia="ar-SA"/>
              </w:rPr>
              <w:t>Responsables des comités et groupes de travail :</w:t>
            </w:r>
          </w:p>
          <w:p w:rsidR="003B5B5D" w:rsidRPr="003B5B5D" w:rsidRDefault="003B5B5D" w:rsidP="003B5B5D">
            <w:pPr>
              <w:suppressAutoHyphens/>
              <w:spacing w:after="0" w:line="240" w:lineRule="auto"/>
              <w:rPr>
                <w:rFonts w:ascii="Times New Roman" w:eastAsia="Times New Roman" w:hAnsi="Times New Roman" w:cs="Times New Roman"/>
                <w:b/>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sz w:val="20"/>
                <w:szCs w:val="20"/>
                <w:lang w:eastAsia="ar-SA"/>
              </w:rPr>
              <w:t>Branche Anti-fraude</w:t>
            </w:r>
            <w:r w:rsidRPr="003B5B5D">
              <w:rPr>
                <w:rFonts w:ascii="Times New Roman" w:eastAsia="Times New Roman" w:hAnsi="Times New Roman" w:cs="Times New Roman"/>
                <w:sz w:val="20"/>
                <w:szCs w:val="20"/>
                <w:lang w:eastAsia="ar-SA"/>
              </w:rPr>
              <w:t>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David Ingram (</w:t>
            </w:r>
            <w:hyperlink r:id="rId23" w:history="1">
              <w:r w:rsidRPr="003B5B5D">
                <w:rPr>
                  <w:rFonts w:ascii="Times New Roman" w:eastAsia="Times New Roman" w:hAnsi="Times New Roman" w:cs="Times New Roman"/>
                  <w:color w:val="0000FF"/>
                  <w:sz w:val="20"/>
                  <w:szCs w:val="20"/>
                  <w:u w:val="single"/>
                  <w:lang w:eastAsia="ar-SA"/>
                </w:rPr>
                <w:t>david.ingram@uk.gt.com</w:t>
              </w:r>
            </w:hyperlink>
            <w:r w:rsidRPr="003B5B5D">
              <w:rPr>
                <w:rFonts w:ascii="Times New Roman" w:eastAsia="Times New Roman" w:hAnsi="Times New Roman" w:cs="Times New Roman"/>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Eitan Erez (</w:t>
            </w:r>
            <w:hyperlink r:id="rId24" w:history="1">
              <w:r w:rsidRPr="003B5B5D">
                <w:rPr>
                  <w:rFonts w:ascii="Times New Roman" w:eastAsia="Times New Roman" w:hAnsi="Times New Roman" w:cs="Times New Roman"/>
                  <w:color w:val="0000FF"/>
                  <w:sz w:val="20"/>
                  <w:szCs w:val="20"/>
                  <w:u w:val="single"/>
                  <w:lang w:eastAsia="ar-SA"/>
                </w:rPr>
                <w:t>eitan@eitan-erez-law.com</w:t>
              </w:r>
            </w:hyperlink>
            <w:r w:rsidRPr="003B5B5D">
              <w:rPr>
                <w:rFonts w:ascii="Times New Roman" w:eastAsia="Times New Roman" w:hAnsi="Times New Roman" w:cs="Times New Roman"/>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sz w:val="20"/>
                <w:szCs w:val="20"/>
                <w:lang w:val="de-DE" w:eastAsia="ar-SA"/>
              </w:rPr>
              <w:t>Branche Judiciaire</w:t>
            </w:r>
            <w:r w:rsidRPr="003B5B5D">
              <w:rPr>
                <w:rFonts w:ascii="Times New Roman" w:eastAsia="Times New Roman" w:hAnsi="Times New Roman" w:cs="Times New Roman"/>
                <w:sz w:val="20"/>
                <w:szCs w:val="20"/>
                <w:lang w:val="de-DE" w:eastAsia="ar-SA"/>
              </w:rPr>
              <w:t xml:space="preserve"> :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Heinz Vallender  (</w:t>
            </w:r>
            <w:hyperlink r:id="rId25" w:history="1">
              <w:r w:rsidRPr="003B5B5D">
                <w:rPr>
                  <w:rFonts w:ascii="Times New Roman" w:eastAsia="Times New Roman" w:hAnsi="Times New Roman" w:cs="Times New Roman"/>
                  <w:color w:val="0000FF"/>
                  <w:sz w:val="20"/>
                  <w:szCs w:val="20"/>
                  <w:u w:val="single"/>
                  <w:lang w:val="de-DE" w:eastAsia="ar-SA"/>
                </w:rPr>
                <w:t>hvallender@t-online.de</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b/>
                <w:sz w:val="20"/>
                <w:szCs w:val="20"/>
                <w:lang w:val="de-DE" w:eastAsia="ar-SA"/>
              </w:rPr>
            </w:pPr>
            <w:r w:rsidRPr="003B5B5D">
              <w:rPr>
                <w:rFonts w:ascii="Times New Roman" w:eastAsia="Times New Roman" w:hAnsi="Times New Roman" w:cs="Times New Roman"/>
                <w:b/>
                <w:sz w:val="20"/>
                <w:szCs w:val="20"/>
                <w:lang w:val="de-DE" w:eastAsia="ar-SA"/>
              </w:rPr>
              <w:t>Branche Redressement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Alberto Nünez-Lagos (</w:t>
            </w:r>
            <w:hyperlink r:id="rId26" w:history="1">
              <w:r w:rsidRPr="003B5B5D">
                <w:rPr>
                  <w:rFonts w:ascii="Times New Roman" w:eastAsia="Times New Roman" w:hAnsi="Times New Roman" w:cs="Times New Roman"/>
                  <w:color w:val="0000FF"/>
                  <w:sz w:val="20"/>
                  <w:szCs w:val="20"/>
                  <w:u w:val="single"/>
                  <w:lang w:val="de-DE" w:eastAsia="ar-SA"/>
                </w:rPr>
                <w:t>alberto.nunez-lagos@uria.com</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Rita Gismondi (</w:t>
            </w:r>
            <w:hyperlink r:id="rId27" w:history="1">
              <w:r w:rsidRPr="003B5B5D">
                <w:rPr>
                  <w:rFonts w:ascii="Times New Roman" w:eastAsia="Times New Roman" w:hAnsi="Times New Roman" w:cs="Times New Roman"/>
                  <w:color w:val="0000FF"/>
                  <w:sz w:val="20"/>
                  <w:szCs w:val="20"/>
                  <w:u w:val="single"/>
                  <w:lang w:val="de-DE" w:eastAsia="ar-SA"/>
                </w:rPr>
                <w:t>rgismondi@gop.it</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bCs/>
                <w:sz w:val="20"/>
                <w:szCs w:val="20"/>
                <w:lang w:eastAsia="ar-SA"/>
              </w:rPr>
              <w:t xml:space="preserve">Comité constitutif : </w:t>
            </w:r>
            <w:r w:rsidRPr="003B5B5D">
              <w:rPr>
                <w:rFonts w:ascii="Times New Roman" w:eastAsia="Times New Roman" w:hAnsi="Times New Roman" w:cs="Times New Roman"/>
                <w:sz w:val="20"/>
                <w:szCs w:val="20"/>
                <w:lang w:eastAsia="ar-SA"/>
              </w:rPr>
              <w:t xml:space="preserve">Catherine Ottaway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w:t>
            </w:r>
            <w:hyperlink r:id="rId28" w:history="1">
              <w:r w:rsidRPr="003B5B5D">
                <w:rPr>
                  <w:rFonts w:ascii="Times New Roman" w:eastAsia="Times New Roman" w:hAnsi="Times New Roman" w:cs="Times New Roman"/>
                  <w:color w:val="0000FF"/>
                  <w:sz w:val="20"/>
                  <w:szCs w:val="20"/>
                  <w:u w:val="single"/>
                  <w:lang w:eastAsia="ar-SA"/>
                </w:rPr>
                <w:t>ottaway@hocheavocats.com</w:t>
              </w:r>
            </w:hyperlink>
            <w:r w:rsidRPr="003B5B5D">
              <w:rPr>
                <w:rFonts w:ascii="Times New Roman" w:eastAsia="Times New Roman" w:hAnsi="Times New Roman" w:cs="Times New Roman"/>
                <w:sz w:val="20"/>
                <w:szCs w:val="20"/>
                <w:lang w:eastAsia="ar-SA"/>
              </w:rPr>
              <w:t>)</w:t>
            </w:r>
          </w:p>
          <w:p w:rsidR="003B5B5D" w:rsidRPr="003B5B5D" w:rsidRDefault="003B5B5D" w:rsidP="003B5B5D">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0"/>
                <w:szCs w:val="20"/>
                <w:lang w:eastAsia="he-IL" w:bidi="he-IL"/>
              </w:rPr>
            </w:pPr>
          </w:p>
          <w:p w:rsidR="003B5B5D" w:rsidRPr="003B5B5D" w:rsidRDefault="003B5B5D" w:rsidP="003B5B5D">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0"/>
                <w:szCs w:val="20"/>
                <w:lang w:eastAsia="he-IL" w:bidi="he-IL"/>
              </w:rPr>
            </w:pPr>
            <w:r w:rsidRPr="003B5B5D">
              <w:rPr>
                <w:rFonts w:ascii="Times New Roman" w:eastAsia="Times New Roman" w:hAnsi="Times New Roman" w:cs="Times New Roman"/>
                <w:b/>
                <w:bCs/>
                <w:sz w:val="20"/>
                <w:szCs w:val="20"/>
                <w:lang w:eastAsia="ar-SA"/>
              </w:rPr>
              <w:t>Comité des</w:t>
            </w:r>
            <w:r w:rsidRPr="003B5B5D">
              <w:rPr>
                <w:rFonts w:ascii="Times New Roman" w:eastAsia="Times New Roman" w:hAnsi="Times New Roman" w:cs="Times New Roman"/>
                <w:sz w:val="20"/>
                <w:szCs w:val="20"/>
                <w:lang w:eastAsia="ar-SA"/>
              </w:rPr>
              <w:t xml:space="preserve"> </w:t>
            </w:r>
            <w:r w:rsidRPr="003B5B5D">
              <w:rPr>
                <w:rFonts w:ascii="Times New Roman" w:eastAsia="Times New Roman" w:hAnsi="Times New Roman" w:cs="Times New Roman"/>
                <w:b/>
                <w:bCs/>
                <w:sz w:val="20"/>
                <w:szCs w:val="20"/>
                <w:lang w:eastAsia="he-IL" w:bidi="he-IL"/>
              </w:rPr>
              <w:t>pays de l’Europe Orientale (EECC)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Radu Lotrean (</w:t>
            </w:r>
            <w:hyperlink r:id="rId29" w:history="1">
              <w:r w:rsidRPr="003B5B5D">
                <w:rPr>
                  <w:rFonts w:ascii="Times New Roman" w:eastAsia="Times New Roman" w:hAnsi="Times New Roman" w:cs="Times New Roman"/>
                  <w:color w:val="0000FF"/>
                  <w:sz w:val="20"/>
                  <w:szCs w:val="20"/>
                  <w:u w:val="single"/>
                  <w:lang w:val="en-US" w:eastAsia="ar-SA"/>
                </w:rPr>
                <w:t>radu.lotrean@citr.ro</w:t>
              </w:r>
            </w:hyperlink>
            <w:r w:rsidRPr="003B5B5D">
              <w:rPr>
                <w:rFonts w:ascii="Times New Roman" w:eastAsia="Times New Roman" w:hAnsi="Times New Roman" w:cs="Times New Roman"/>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Evert Verwey (</w:t>
            </w:r>
            <w:hyperlink r:id="rId30" w:history="1">
              <w:r w:rsidRPr="003B5B5D">
                <w:rPr>
                  <w:rFonts w:ascii="Times New Roman" w:eastAsia="Times New Roman" w:hAnsi="Times New Roman" w:cs="Times New Roman"/>
                  <w:color w:val="0000FF"/>
                  <w:sz w:val="20"/>
                  <w:szCs w:val="20"/>
                  <w:u w:val="single"/>
                  <w:lang w:val="en-US" w:eastAsia="ar-SA"/>
                </w:rPr>
                <w:t>evert.verwey@CliffordChance.com</w:t>
              </w:r>
            </w:hyperlink>
            <w:r w:rsidRPr="003B5B5D">
              <w:rPr>
                <w:rFonts w:ascii="Times New Roman" w:eastAsia="Times New Roman" w:hAnsi="Times New Roman" w:cs="Times New Roman"/>
                <w:color w:val="0000FF"/>
                <w:sz w:val="20"/>
                <w:szCs w:val="20"/>
                <w:u w:val="single"/>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t xml:space="preserve">Comité technique du congrès d’Athène, 2018: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Frank Tschentscher (</w:t>
            </w:r>
            <w:hyperlink r:id="rId31" w:history="1">
              <w:r w:rsidRPr="003B5B5D">
                <w:rPr>
                  <w:rFonts w:ascii="Times New Roman" w:eastAsia="Times New Roman" w:hAnsi="Times New Roman" w:cs="Times New Roman"/>
                  <w:color w:val="0000FF"/>
                  <w:sz w:val="20"/>
                  <w:szCs w:val="20"/>
                  <w:u w:val="single"/>
                  <w:lang w:val="en-US" w:eastAsia="ar-SA"/>
                </w:rPr>
                <w:t>ftschentscher@schubra.de</w:t>
              </w:r>
            </w:hyperlink>
            <w:r w:rsidRPr="003B5B5D">
              <w:rPr>
                <w:rFonts w:ascii="Times New Roman" w:eastAsia="Times New Roman" w:hAnsi="Times New Roman" w:cs="Times New Roman"/>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George Bazinas (</w:t>
            </w:r>
            <w:hyperlink r:id="rId32" w:history="1">
              <w:r w:rsidRPr="003B5B5D">
                <w:rPr>
                  <w:rFonts w:ascii="Times New Roman" w:eastAsia="Times New Roman" w:hAnsi="Times New Roman" w:cs="Times New Roman"/>
                  <w:color w:val="0000FF"/>
                  <w:sz w:val="20"/>
                  <w:szCs w:val="20"/>
                  <w:u w:val="single"/>
                  <w:lang w:val="en-US" w:eastAsia="ar-SA"/>
                </w:rPr>
                <w:t>g.bazinas@bazinas.com</w:t>
              </w:r>
            </w:hyperlink>
            <w:r w:rsidRPr="003B5B5D">
              <w:rPr>
                <w:rFonts w:ascii="Times New Roman" w:eastAsia="Times New Roman" w:hAnsi="Times New Roman" w:cs="Times New Roman"/>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bCs/>
                <w:sz w:val="20"/>
                <w:szCs w:val="20"/>
                <w:lang w:eastAsia="ar-SA"/>
              </w:rPr>
            </w:pPr>
            <w:r w:rsidRPr="003B5B5D">
              <w:rPr>
                <w:rFonts w:ascii="Times New Roman" w:eastAsia="Times New Roman" w:hAnsi="Times New Roman" w:cs="Times New Roman"/>
                <w:bCs/>
                <w:sz w:val="20"/>
                <w:szCs w:val="20"/>
                <w:lang w:eastAsia="ar-SA"/>
              </w:rPr>
              <w:t>Secrétaire : Emmanuelle Inacio (</w:t>
            </w:r>
            <w:hyperlink r:id="rId33" w:history="1">
              <w:r w:rsidRPr="003B5B5D">
                <w:rPr>
                  <w:rFonts w:ascii="Times New Roman" w:eastAsia="Times New Roman" w:hAnsi="Times New Roman" w:cs="Times New Roman"/>
                  <w:bCs/>
                  <w:color w:val="0000FF"/>
                  <w:sz w:val="20"/>
                  <w:szCs w:val="20"/>
                  <w:u w:val="single"/>
                  <w:lang w:eastAsia="ar-SA"/>
                </w:rPr>
                <w:t>emmanuelleinacio@insol-europe.org</w:t>
              </w:r>
            </w:hyperlink>
            <w:r w:rsidRPr="003B5B5D">
              <w:rPr>
                <w:rFonts w:ascii="Times New Roman" w:eastAsia="Times New Roman" w:hAnsi="Times New Roman" w:cs="Times New Roman"/>
                <w:bCs/>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b/>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sz w:val="20"/>
                <w:szCs w:val="20"/>
                <w:lang w:eastAsia="ar-SA"/>
              </w:rPr>
            </w:pPr>
            <w:r w:rsidRPr="003B5B5D">
              <w:rPr>
                <w:rFonts w:ascii="Times New Roman" w:eastAsia="Times New Roman" w:hAnsi="Times New Roman" w:cs="Times New Roman"/>
                <w:b/>
                <w:sz w:val="20"/>
                <w:szCs w:val="20"/>
                <w:lang w:eastAsia="ar-SA"/>
              </w:rPr>
              <w:t>Forum des mandataires d’insolvabilité</w:t>
            </w:r>
          </w:p>
          <w:p w:rsidR="003B5B5D" w:rsidRPr="003B5B5D" w:rsidRDefault="003B5B5D" w:rsidP="003B5B5D">
            <w:pPr>
              <w:suppressAutoHyphens/>
              <w:spacing w:after="0" w:line="240" w:lineRule="auto"/>
              <w:outlineLvl w:val="4"/>
              <w:rPr>
                <w:rFonts w:ascii="Times New Roman" w:eastAsia="Times New Roman" w:hAnsi="Times New Roman" w:cs="Times New Roman"/>
                <w:bCs/>
                <w:sz w:val="20"/>
                <w:szCs w:val="20"/>
                <w:lang w:eastAsia="ar-SA"/>
              </w:rPr>
            </w:pPr>
            <w:r w:rsidRPr="003B5B5D">
              <w:rPr>
                <w:rFonts w:ascii="Times New Roman" w:eastAsia="Times New Roman" w:hAnsi="Times New Roman" w:cs="Times New Roman"/>
                <w:bCs/>
                <w:sz w:val="20"/>
                <w:szCs w:val="20"/>
                <w:lang w:eastAsia="ar-SA"/>
              </w:rPr>
              <w:t>Marc André (</w:t>
            </w:r>
            <w:hyperlink r:id="rId34" w:history="1">
              <w:r w:rsidRPr="003B5B5D">
                <w:rPr>
                  <w:rFonts w:ascii="Times New Roman" w:eastAsia="Times New Roman" w:hAnsi="Times New Roman" w:cs="Times New Roman"/>
                  <w:bCs/>
                  <w:color w:val="0000FF"/>
                  <w:sz w:val="20"/>
                  <w:szCs w:val="20"/>
                  <w:u w:val="single"/>
                  <w:lang w:eastAsia="ar-SA"/>
                </w:rPr>
                <w:t>mandrelaw@aol.com</w:t>
              </w:r>
            </w:hyperlink>
            <w:r w:rsidRPr="003B5B5D">
              <w:rPr>
                <w:rFonts w:ascii="Times New Roman" w:eastAsia="Times New Roman" w:hAnsi="Times New Roman" w:cs="Times New Roman"/>
                <w:bCs/>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Daniel Fritz (</w:t>
            </w:r>
            <w:hyperlink r:id="rId35" w:history="1">
              <w:r w:rsidRPr="003B5B5D">
                <w:rPr>
                  <w:rFonts w:ascii="Times New Roman" w:eastAsia="Times New Roman" w:hAnsi="Times New Roman" w:cs="Times New Roman"/>
                  <w:color w:val="0000FF"/>
                  <w:sz w:val="20"/>
                  <w:szCs w:val="20"/>
                  <w:u w:val="single"/>
                  <w:lang w:val="en-US" w:eastAsia="ar-SA"/>
                </w:rPr>
                <w:t>Fritz@hermann-law.com</w:t>
              </w:r>
            </w:hyperlink>
            <w:r w:rsidRPr="003B5B5D">
              <w:rPr>
                <w:rFonts w:ascii="Times New Roman" w:eastAsia="Times New Roman" w:hAnsi="Times New Roman" w:cs="Times New Roman"/>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Robert Haenel (</w:t>
            </w:r>
            <w:hyperlink r:id="rId36" w:history="1">
              <w:r w:rsidRPr="003B5B5D">
                <w:rPr>
                  <w:rFonts w:ascii="Times New Roman" w:eastAsia="Times New Roman" w:hAnsi="Times New Roman" w:cs="Times New Roman"/>
                  <w:color w:val="0000FF"/>
                  <w:sz w:val="20"/>
                  <w:szCs w:val="20"/>
                  <w:u w:val="single"/>
                  <w:lang w:val="en-US" w:eastAsia="ar-SA"/>
                </w:rPr>
                <w:t>robert.haenel@anchor.eu</w:t>
              </w:r>
            </w:hyperlink>
            <w:r w:rsidRPr="003B5B5D">
              <w:rPr>
                <w:rFonts w:ascii="Times New Roman" w:eastAsia="Times New Roman" w:hAnsi="Times New Roman" w:cs="Times New Roman"/>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en-US" w:eastAsia="ar-SA"/>
              </w:rPr>
            </w:pPr>
            <w:r w:rsidRPr="003B5B5D">
              <w:rPr>
                <w:rFonts w:ascii="Times New Roman" w:eastAsia="Times New Roman" w:hAnsi="Times New Roman" w:cs="Times New Roman"/>
                <w:sz w:val="20"/>
                <w:szCs w:val="20"/>
                <w:lang w:val="en-US" w:eastAsia="ar-SA"/>
              </w:rPr>
              <w:t>Stephen Harris (</w:t>
            </w:r>
            <w:hyperlink r:id="rId37" w:history="1">
              <w:r w:rsidRPr="003B5B5D">
                <w:rPr>
                  <w:rFonts w:ascii="Times New Roman" w:eastAsia="Times New Roman" w:hAnsi="Times New Roman" w:cs="Times New Roman"/>
                  <w:color w:val="0000FF"/>
                  <w:sz w:val="20"/>
                  <w:szCs w:val="20"/>
                  <w:u w:val="single"/>
                  <w:lang w:val="en-US" w:eastAsia="ar-SA"/>
                </w:rPr>
                <w:t>sharris@uk.ey.com</w:t>
              </w:r>
            </w:hyperlink>
            <w:r w:rsidRPr="003B5B5D">
              <w:rPr>
                <w:rFonts w:ascii="Times New Roman" w:eastAsia="Times New Roman" w:hAnsi="Times New Roman" w:cs="Times New Roman"/>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r w:rsidRPr="003B5B5D">
              <w:rPr>
                <w:rFonts w:ascii="Times New Roman" w:eastAsia="Times New Roman" w:hAnsi="Times New Roman" w:cs="Times New Roman"/>
                <w:b/>
                <w:bCs/>
                <w:sz w:val="20"/>
                <w:szCs w:val="20"/>
                <w:lang w:val="de-DE" w:eastAsia="ar-SA"/>
              </w:rPr>
              <w:t>Groupe de jeunes membres :</w:t>
            </w:r>
          </w:p>
          <w:p w:rsidR="003B5B5D" w:rsidRPr="003B5B5D" w:rsidRDefault="003B5B5D" w:rsidP="003B5B5D">
            <w:pPr>
              <w:suppressAutoHyphens/>
              <w:spacing w:after="0" w:line="240" w:lineRule="auto"/>
              <w:rPr>
                <w:rFonts w:ascii="Times New Roman" w:eastAsia="Times New Roman" w:hAnsi="Times New Roman" w:cs="Times New Roman"/>
                <w:bCs/>
                <w:sz w:val="20"/>
                <w:szCs w:val="20"/>
                <w:lang w:val="de-DE" w:eastAsia="ar-SA"/>
              </w:rPr>
            </w:pPr>
            <w:r w:rsidRPr="003B5B5D">
              <w:rPr>
                <w:rFonts w:ascii="Times New Roman" w:eastAsia="Times New Roman" w:hAnsi="Times New Roman" w:cs="Times New Roman"/>
                <w:bCs/>
                <w:sz w:val="20"/>
                <w:szCs w:val="20"/>
                <w:lang w:val="de-DE" w:eastAsia="ar-SA"/>
              </w:rPr>
              <w:t>Sabina Schellenberg (</w:t>
            </w:r>
            <w:hyperlink r:id="rId38" w:history="1">
              <w:r w:rsidRPr="003B5B5D">
                <w:rPr>
                  <w:rFonts w:ascii="Times New Roman" w:eastAsia="Times New Roman" w:hAnsi="Times New Roman" w:cs="Times New Roman"/>
                  <w:bCs/>
                  <w:color w:val="0000FF"/>
                  <w:sz w:val="20"/>
                  <w:szCs w:val="20"/>
                  <w:u w:val="single"/>
                  <w:lang w:val="de-DE" w:eastAsia="ar-SA"/>
                </w:rPr>
                <w:t>sschellenberg@froriep.ch</w:t>
              </w:r>
            </w:hyperlink>
            <w:r w:rsidRPr="003B5B5D">
              <w:rPr>
                <w:rFonts w:ascii="Times New Roman" w:eastAsia="Times New Roman" w:hAnsi="Times New Roman" w:cs="Times New Roman"/>
                <w:bCs/>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Cs/>
                <w:sz w:val="20"/>
                <w:szCs w:val="20"/>
                <w:lang w:val="de-DE" w:eastAsia="ar-SA"/>
              </w:rPr>
            </w:pPr>
            <w:r w:rsidRPr="003B5B5D">
              <w:rPr>
                <w:rFonts w:ascii="Times New Roman" w:eastAsia="Times New Roman" w:hAnsi="Times New Roman" w:cs="Times New Roman"/>
                <w:bCs/>
                <w:sz w:val="20"/>
                <w:szCs w:val="20"/>
                <w:lang w:val="de-DE" w:eastAsia="ar-SA"/>
              </w:rPr>
              <w:t>Georges-Louis Harang (</w:t>
            </w:r>
            <w:hyperlink r:id="rId39" w:history="1">
              <w:r w:rsidRPr="003B5B5D">
                <w:rPr>
                  <w:rFonts w:ascii="Times New Roman" w:eastAsia="Times New Roman" w:hAnsi="Times New Roman" w:cs="Times New Roman"/>
                  <w:bCs/>
                  <w:color w:val="0000FF"/>
                  <w:sz w:val="20"/>
                  <w:szCs w:val="20"/>
                  <w:u w:val="single"/>
                  <w:lang w:val="de-DE" w:eastAsia="ar-SA"/>
                </w:rPr>
                <w:t>harang@hoche.com</w:t>
              </w:r>
            </w:hyperlink>
            <w:r w:rsidRPr="003B5B5D">
              <w:rPr>
                <w:rFonts w:ascii="Times New Roman" w:eastAsia="Times New Roman" w:hAnsi="Times New Roman" w:cs="Times New Roman"/>
                <w:bCs/>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Cs/>
                <w:sz w:val="20"/>
                <w:szCs w:val="20"/>
                <w:lang w:val="de-DE" w:eastAsia="ar-SA"/>
              </w:rPr>
            </w:pPr>
            <w:r w:rsidRPr="003B5B5D">
              <w:rPr>
                <w:rFonts w:ascii="Times New Roman" w:eastAsia="Times New Roman" w:hAnsi="Times New Roman" w:cs="Times New Roman"/>
                <w:bCs/>
                <w:sz w:val="20"/>
                <w:szCs w:val="20"/>
                <w:lang w:val="de-DE" w:eastAsia="ar-SA"/>
              </w:rPr>
              <w:t>Anne Bach (</w:t>
            </w:r>
            <w:hyperlink r:id="rId40" w:history="1">
              <w:r w:rsidRPr="003B5B5D">
                <w:rPr>
                  <w:rFonts w:ascii="Times New Roman" w:eastAsia="Times New Roman" w:hAnsi="Times New Roman" w:cs="Times New Roman"/>
                  <w:bCs/>
                  <w:color w:val="0000FF"/>
                  <w:sz w:val="20"/>
                  <w:szCs w:val="20"/>
                  <w:u w:val="single"/>
                  <w:lang w:val="de-DE" w:eastAsia="ar-SA"/>
                </w:rPr>
                <w:t>abach@goerg.de</w:t>
              </w:r>
            </w:hyperlink>
            <w:r w:rsidRPr="003B5B5D">
              <w:rPr>
                <w:rFonts w:ascii="Times New Roman" w:eastAsia="Times New Roman" w:hAnsi="Times New Roman" w:cs="Times New Roman"/>
                <w:bCs/>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color w:val="000000"/>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color w:val="000000"/>
                <w:sz w:val="20"/>
                <w:szCs w:val="20"/>
                <w:lang w:eastAsia="ar-SA"/>
              </w:rPr>
            </w:pPr>
            <w:r w:rsidRPr="003B5B5D">
              <w:rPr>
                <w:rFonts w:ascii="Times New Roman" w:eastAsia="Times New Roman" w:hAnsi="Times New Roman" w:cs="Times New Roman"/>
                <w:b/>
                <w:color w:val="000000"/>
                <w:sz w:val="20"/>
                <w:szCs w:val="20"/>
                <w:lang w:eastAsia="ar-SA"/>
              </w:rPr>
              <w:t>Groupe des établissements financiers</w:t>
            </w:r>
            <w:r w:rsidRPr="003B5B5D">
              <w:rPr>
                <w:rFonts w:ascii="Times New Roman" w:eastAsia="Times New Roman" w:hAnsi="Times New Roman" w:cs="Times New Roman"/>
                <w:color w:val="000000"/>
                <w:sz w:val="20"/>
                <w:szCs w:val="20"/>
                <w:lang w:eastAsia="ar-SA"/>
              </w:rPr>
              <w:t xml:space="preserve">: </w:t>
            </w:r>
          </w:p>
          <w:p w:rsidR="003B5B5D" w:rsidRPr="003B5B5D" w:rsidRDefault="003B5B5D" w:rsidP="003B5B5D">
            <w:pPr>
              <w:numPr>
                <w:ilvl w:val="4"/>
                <w:numId w:val="0"/>
              </w:numPr>
              <w:tabs>
                <w:tab w:val="num" w:pos="0"/>
              </w:tabs>
              <w:suppressAutoHyphens/>
              <w:spacing w:after="0" w:line="240" w:lineRule="auto"/>
              <w:ind w:left="1008" w:hanging="1008"/>
              <w:outlineLvl w:val="4"/>
              <w:rPr>
                <w:rFonts w:ascii="Times New Roman" w:eastAsia="Times New Roman" w:hAnsi="Times New Roman" w:cs="Times New Roman"/>
                <w:bCs/>
                <w:iCs/>
                <w:sz w:val="20"/>
                <w:szCs w:val="20"/>
                <w:lang w:eastAsia="ar-SA"/>
              </w:rPr>
            </w:pPr>
            <w:r w:rsidRPr="003B5B5D">
              <w:rPr>
                <w:rFonts w:ascii="Times New Roman" w:eastAsia="Times New Roman" w:hAnsi="Times New Roman" w:cs="Times New Roman"/>
                <w:bCs/>
                <w:iCs/>
                <w:sz w:val="20"/>
                <w:szCs w:val="20"/>
                <w:lang w:eastAsia="ar-SA"/>
              </w:rPr>
              <w:t>Florian Joseph (</w:t>
            </w:r>
            <w:hyperlink r:id="rId41" w:history="1">
              <w:r w:rsidRPr="003B5B5D">
                <w:rPr>
                  <w:rFonts w:ascii="Times New Roman" w:eastAsia="Times New Roman" w:hAnsi="Times New Roman" w:cs="Times New Roman"/>
                  <w:bCs/>
                  <w:iCs/>
                  <w:color w:val="0000FF"/>
                  <w:sz w:val="20"/>
                  <w:szCs w:val="20"/>
                  <w:u w:val="single"/>
                  <w:lang w:eastAsia="ar-SA"/>
                </w:rPr>
                <w:t>florian.joseph@helaba.de</w:t>
              </w:r>
            </w:hyperlink>
            <w:r w:rsidRPr="003B5B5D">
              <w:rPr>
                <w:rFonts w:ascii="Times New Roman" w:eastAsia="Times New Roman" w:hAnsi="Times New Roman" w:cs="Times New Roman"/>
                <w:bCs/>
                <w:iCs/>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r w:rsidRPr="003B5B5D">
              <w:rPr>
                <w:rFonts w:ascii="Times New Roman" w:eastAsia="Times New Roman" w:hAnsi="Times New Roman" w:cs="Times New Roman"/>
                <w:sz w:val="20"/>
                <w:szCs w:val="20"/>
                <w:lang w:val="en-US" w:eastAsia="ar-SA"/>
              </w:rPr>
              <w:t>Alistair Beveridge (</w:t>
            </w:r>
            <w:hyperlink r:id="rId42" w:history="1">
              <w:r w:rsidRPr="003B5B5D">
                <w:rPr>
                  <w:rFonts w:ascii="Times New Roman" w:eastAsia="Times New Roman" w:hAnsi="Times New Roman" w:cs="Times New Roman"/>
                  <w:color w:val="0000FF"/>
                  <w:sz w:val="20"/>
                  <w:szCs w:val="20"/>
                  <w:u w:val="single"/>
                  <w:lang w:val="en-US" w:eastAsia="ar-SA"/>
                </w:rPr>
                <w:t>abeveridge@alixpartners.com</w:t>
              </w:r>
            </w:hyperlink>
            <w:r w:rsidRPr="003B5B5D">
              <w:rPr>
                <w:rFonts w:ascii="Times New Roman" w:eastAsia="Times New Roman" w:hAnsi="Times New Roman" w:cs="Times New Roman"/>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r w:rsidRPr="003B5B5D">
              <w:rPr>
                <w:rFonts w:ascii="Times New Roman" w:eastAsia="Times New Roman" w:hAnsi="Times New Roman" w:cs="Times New Roman"/>
                <w:b/>
                <w:bCs/>
                <w:sz w:val="20"/>
                <w:szCs w:val="20"/>
                <w:lang w:val="de-DE" w:eastAsia="ar-SA"/>
              </w:rPr>
              <w:t xml:space="preserve">INSOL International :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Cs/>
                <w:sz w:val="20"/>
                <w:szCs w:val="20"/>
                <w:lang w:val="de-DE" w:eastAsia="ar-SA"/>
              </w:rPr>
              <w:t>Catherine Ottaway</w:t>
            </w:r>
            <w:r w:rsidRPr="003B5B5D">
              <w:rPr>
                <w:rFonts w:ascii="Times New Roman" w:eastAsia="Times New Roman" w:hAnsi="Times New Roman" w:cs="Times New Roman"/>
                <w:sz w:val="20"/>
                <w:szCs w:val="20"/>
                <w:lang w:val="de-DE" w:eastAsia="ar-SA"/>
              </w:rPr>
              <w:t xml:space="preserve"> (</w:t>
            </w:r>
            <w:hyperlink r:id="rId43" w:history="1">
              <w:r w:rsidRPr="003B5B5D">
                <w:rPr>
                  <w:rFonts w:ascii="Times New Roman" w:eastAsia="Times New Roman" w:hAnsi="Times New Roman" w:cs="Times New Roman"/>
                  <w:color w:val="0000FF"/>
                  <w:sz w:val="20"/>
                  <w:szCs w:val="20"/>
                  <w:u w:val="single"/>
                  <w:lang w:val="de-DE" w:eastAsia="ar-SA"/>
                </w:rPr>
                <w:t>ottaway@hocheavocats.com</w:t>
              </w:r>
            </w:hyperlink>
            <w:r w:rsidRPr="003B5B5D">
              <w:rPr>
                <w:rFonts w:ascii="Times New Roman" w:eastAsia="Times New Roman" w:hAnsi="Times New Roman" w:cs="Times New Roman"/>
                <w:sz w:val="20"/>
                <w:szCs w:val="20"/>
                <w:lang w:val="de-DE"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de-DE" w:eastAsia="ar-SA"/>
              </w:rPr>
            </w:pPr>
            <w:r w:rsidRPr="003B5B5D">
              <w:rPr>
                <w:rFonts w:ascii="Times New Roman" w:eastAsia="Times New Roman" w:hAnsi="Times New Roman" w:cs="Times New Roman"/>
                <w:b/>
                <w:bCs/>
                <w:sz w:val="20"/>
                <w:szCs w:val="20"/>
                <w:lang w:val="de-DE" w:eastAsia="ar-SA"/>
              </w:rPr>
              <w:t xml:space="preserve">Parrainages :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David Rubin  (</w:t>
            </w:r>
            <w:hyperlink r:id="rId44" w:history="1">
              <w:r w:rsidRPr="003B5B5D">
                <w:rPr>
                  <w:rFonts w:ascii="Times New Roman" w:eastAsia="Times New Roman" w:hAnsi="Times New Roman" w:cs="Times New Roman"/>
                  <w:color w:val="0000FF"/>
                  <w:sz w:val="20"/>
                  <w:szCs w:val="20"/>
                  <w:u w:val="single"/>
                  <w:lang w:eastAsia="ar-SA"/>
                </w:rPr>
                <w:t>david@drpartners.com</w:t>
              </w:r>
            </w:hyperlink>
            <w:r w:rsidRPr="003B5B5D">
              <w:rPr>
                <w:rFonts w:ascii="Times New Roman" w:eastAsia="Times New Roman" w:hAnsi="Times New Roman" w:cs="Times New Roman"/>
                <w:sz w:val="20"/>
                <w:szCs w:val="20"/>
                <w:lang w:eastAsia="ar-SA"/>
              </w:rPr>
              <w:t>)</w:t>
            </w:r>
          </w:p>
          <w:p w:rsidR="003B5B5D" w:rsidRPr="003B5B5D" w:rsidRDefault="003B5B5D" w:rsidP="003B5B5D">
            <w:pPr>
              <w:numPr>
                <w:ilvl w:val="4"/>
                <w:numId w:val="0"/>
              </w:numPr>
              <w:tabs>
                <w:tab w:val="num" w:pos="0"/>
              </w:tabs>
              <w:suppressAutoHyphens/>
              <w:spacing w:after="0" w:line="240" w:lineRule="auto"/>
              <w:ind w:left="1008" w:hanging="1008"/>
              <w:outlineLvl w:val="4"/>
              <w:rPr>
                <w:rFonts w:ascii="Times New Roman" w:eastAsia="Times New Roman" w:hAnsi="Times New Roman" w:cs="Times New Roman"/>
                <w:sz w:val="20"/>
                <w:szCs w:val="20"/>
                <w:lang w:val="en-GB" w:eastAsia="ar-SA"/>
              </w:rPr>
            </w:pPr>
            <w:r w:rsidRPr="003B5B5D">
              <w:rPr>
                <w:rFonts w:ascii="Times New Roman" w:eastAsia="Times New Roman" w:hAnsi="Times New Roman" w:cs="Times New Roman"/>
                <w:sz w:val="20"/>
                <w:szCs w:val="20"/>
                <w:lang w:val="en-GB" w:eastAsia="ar-SA"/>
              </w:rPr>
              <w:t>Frank Tschentscher (</w:t>
            </w:r>
            <w:hyperlink r:id="rId45" w:history="1">
              <w:r w:rsidRPr="003B5B5D">
                <w:rPr>
                  <w:rFonts w:ascii="Times New Roman" w:eastAsia="Times New Roman" w:hAnsi="Times New Roman" w:cs="Times New Roman"/>
                  <w:color w:val="0000FF"/>
                  <w:sz w:val="20"/>
                  <w:szCs w:val="20"/>
                  <w:u w:val="single"/>
                  <w:lang w:val="en-GB" w:eastAsia="ar-SA"/>
                </w:rPr>
                <w:t>Ftschentscher@schubra.de</w:t>
              </w:r>
            </w:hyperlink>
            <w:r w:rsidRPr="003B5B5D">
              <w:rPr>
                <w:rFonts w:ascii="Times New Roman" w:eastAsia="Times New Roman" w:hAnsi="Times New Roman" w:cs="Times New Roman"/>
                <w:sz w:val="20"/>
                <w:szCs w:val="20"/>
                <w:lang w:val="en-GB" w:eastAsia="ar-SA"/>
              </w:rPr>
              <w:t>)</w:t>
            </w:r>
          </w:p>
          <w:p w:rsidR="003B5B5D" w:rsidRPr="003B5B5D" w:rsidRDefault="003B5B5D" w:rsidP="003B5B5D">
            <w:pPr>
              <w:suppressAutoHyphens/>
              <w:autoSpaceDE w:val="0"/>
              <w:spacing w:after="0" w:line="240" w:lineRule="auto"/>
              <w:rPr>
                <w:rFonts w:ascii="Times New Roman" w:eastAsia="Times New Roman" w:hAnsi="Times New Roman" w:cs="Times New Roman"/>
                <w:b/>
                <w:sz w:val="20"/>
                <w:szCs w:val="20"/>
                <w:lang w:val="en-US" w:eastAsia="ar-SA"/>
              </w:rPr>
            </w:pPr>
          </w:p>
          <w:p w:rsidR="003B5B5D" w:rsidRPr="003B5B5D" w:rsidRDefault="003B5B5D" w:rsidP="003B5B5D">
            <w:pPr>
              <w:suppressAutoHyphens/>
              <w:autoSpaceDE w:val="0"/>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sz w:val="20"/>
                <w:szCs w:val="20"/>
                <w:lang w:eastAsia="ar-SA"/>
              </w:rPr>
              <w:t>Relations avec l’Union Européenne</w:t>
            </w:r>
            <w:r w:rsidRPr="003B5B5D">
              <w:rPr>
                <w:rFonts w:ascii="Times New Roman" w:eastAsia="Times New Roman" w:hAnsi="Times New Roman" w:cs="Times New Roman"/>
                <w:sz w:val="20"/>
                <w:szCs w:val="20"/>
                <w:lang w:eastAsia="ar-SA"/>
              </w:rPr>
              <w:t xml:space="preserve"> :</w:t>
            </w:r>
          </w:p>
          <w:p w:rsidR="003B5B5D" w:rsidRPr="003B5B5D" w:rsidRDefault="003B5B5D" w:rsidP="003B5B5D">
            <w:pPr>
              <w:suppressAutoHyphens/>
              <w:spacing w:after="0" w:line="240" w:lineRule="auto"/>
              <w:rPr>
                <w:rFonts w:ascii="Times New Roman" w:eastAsia="Times New Roman" w:hAnsi="Times New Roman" w:cs="Times New Roman"/>
                <w:bCs/>
                <w:iCs/>
                <w:sz w:val="20"/>
                <w:szCs w:val="20"/>
                <w:lang w:eastAsia="ar-SA"/>
              </w:rPr>
            </w:pPr>
            <w:r w:rsidRPr="003B5B5D">
              <w:rPr>
                <w:rFonts w:ascii="Times New Roman" w:eastAsia="Times New Roman" w:hAnsi="Times New Roman" w:cs="Times New Roman"/>
                <w:bCs/>
                <w:iCs/>
                <w:sz w:val="20"/>
                <w:szCs w:val="20"/>
                <w:lang w:eastAsia="ar-SA"/>
              </w:rPr>
              <w:t xml:space="preserve">Robert Van Galen </w:t>
            </w:r>
            <w:hyperlink r:id="rId46" w:history="1">
              <w:r w:rsidRPr="003B5B5D">
                <w:rPr>
                  <w:rFonts w:ascii="Times New Roman" w:eastAsia="Times New Roman" w:hAnsi="Times New Roman" w:cs="Times New Roman"/>
                  <w:bCs/>
                  <w:iCs/>
                  <w:color w:val="0000FF"/>
                  <w:sz w:val="20"/>
                  <w:szCs w:val="20"/>
                  <w:u w:val="single"/>
                  <w:lang w:eastAsia="ar-SA"/>
                </w:rPr>
                <w:t>robert.vangalen@nautadutilh.com</w:t>
              </w:r>
            </w:hyperlink>
            <w:r w:rsidRPr="003B5B5D">
              <w:rPr>
                <w:rFonts w:ascii="Times New Roman" w:eastAsia="Times New Roman" w:hAnsi="Times New Roman" w:cs="Times New Roman"/>
                <w:bCs/>
                <w:iCs/>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b/>
                <w:bCs/>
                <w:i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bCs/>
                <w:iCs/>
                <w:sz w:val="20"/>
                <w:szCs w:val="20"/>
                <w:lang w:val="en-US" w:eastAsia="ar-SA"/>
              </w:rPr>
            </w:pPr>
            <w:r w:rsidRPr="003B5B5D">
              <w:rPr>
                <w:rFonts w:ascii="Times New Roman" w:eastAsia="Times New Roman" w:hAnsi="Times New Roman" w:cs="Times New Roman"/>
                <w:b/>
                <w:bCs/>
                <w:iCs/>
                <w:sz w:val="20"/>
                <w:szCs w:val="20"/>
                <w:lang w:val="en-US" w:eastAsia="ar-SA"/>
              </w:rPr>
              <w:t>Strategic Task Force 2025 :</w:t>
            </w:r>
          </w:p>
          <w:p w:rsidR="003B5B5D" w:rsidRPr="003B5B5D" w:rsidRDefault="003B5B5D" w:rsidP="003B5B5D">
            <w:pPr>
              <w:suppressAutoHyphens/>
              <w:spacing w:after="0" w:line="240" w:lineRule="auto"/>
              <w:rPr>
                <w:rFonts w:ascii="Times New Roman" w:eastAsia="Times New Roman" w:hAnsi="Times New Roman" w:cs="Times New Roman"/>
                <w:bCs/>
                <w:iCs/>
                <w:sz w:val="20"/>
                <w:szCs w:val="20"/>
                <w:lang w:val="en-US" w:eastAsia="ar-SA"/>
              </w:rPr>
            </w:pPr>
            <w:r w:rsidRPr="003B5B5D">
              <w:rPr>
                <w:rFonts w:ascii="Times New Roman" w:eastAsia="Times New Roman" w:hAnsi="Times New Roman" w:cs="Times New Roman"/>
                <w:bCs/>
                <w:iCs/>
                <w:sz w:val="20"/>
                <w:szCs w:val="20"/>
                <w:lang w:val="en-US" w:eastAsia="ar-SA"/>
              </w:rPr>
              <w:t>Wolf Waschkuhn (</w:t>
            </w:r>
            <w:hyperlink r:id="rId47" w:history="1">
              <w:r w:rsidRPr="003B5B5D">
                <w:rPr>
                  <w:rFonts w:ascii="Times New Roman" w:eastAsia="Times New Roman" w:hAnsi="Times New Roman" w:cs="Times New Roman"/>
                  <w:bCs/>
                  <w:iCs/>
                  <w:color w:val="0000FF"/>
                  <w:sz w:val="20"/>
                  <w:szCs w:val="20"/>
                  <w:u w:val="single"/>
                  <w:lang w:val="en-US" w:eastAsia="ar-SA"/>
                </w:rPr>
                <w:t>ww@onesquareadvisers.com</w:t>
              </w:r>
            </w:hyperlink>
            <w:r w:rsidRPr="003B5B5D">
              <w:rPr>
                <w:rFonts w:ascii="Times New Roman" w:eastAsia="Times New Roman" w:hAnsi="Times New Roman" w:cs="Times New Roman"/>
                <w:bCs/>
                <w:iCs/>
                <w:sz w:val="20"/>
                <w:szCs w:val="20"/>
                <w:lang w:val="en-US" w:eastAsia="ar-SA"/>
              </w:rPr>
              <w:t>)</w:t>
            </w:r>
          </w:p>
          <w:p w:rsidR="003B5B5D" w:rsidRPr="003B5B5D" w:rsidRDefault="003B5B5D" w:rsidP="003B5B5D">
            <w:pPr>
              <w:suppressAutoHyphens/>
              <w:spacing w:after="0" w:line="240" w:lineRule="auto"/>
              <w:rPr>
                <w:rFonts w:ascii="Times New Roman" w:eastAsia="Times New Roman" w:hAnsi="Times New Roman" w:cs="Times New Roman"/>
                <w:b/>
                <w:bCs/>
                <w:i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b/>
                <w:bCs/>
                <w:iCs/>
                <w:sz w:val="20"/>
                <w:szCs w:val="20"/>
                <w:lang w:eastAsia="ar-SA"/>
              </w:rPr>
            </w:pPr>
            <w:r w:rsidRPr="003B5B5D">
              <w:rPr>
                <w:rFonts w:ascii="Times New Roman" w:eastAsia="Times New Roman" w:hAnsi="Times New Roman" w:cs="Times New Roman"/>
                <w:b/>
                <w:bCs/>
                <w:iCs/>
                <w:sz w:val="20"/>
                <w:szCs w:val="20"/>
                <w:lang w:eastAsia="ar-SA"/>
              </w:rPr>
              <w:t>YANIL</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Jenny Gant (</w:t>
            </w:r>
            <w:hyperlink r:id="rId48" w:history="1">
              <w:r w:rsidRPr="003B5B5D">
                <w:rPr>
                  <w:rFonts w:ascii="Times New Roman" w:eastAsia="Times New Roman" w:hAnsi="Times New Roman" w:cs="Times New Roman"/>
                  <w:color w:val="0000FF"/>
                  <w:sz w:val="20"/>
                  <w:szCs w:val="20"/>
                  <w:u w:val="single"/>
                  <w:lang w:eastAsia="ar-SA"/>
                </w:rPr>
                <w:t>JenniferL.L.Gant@gmail.com</w:t>
              </w:r>
            </w:hyperlink>
            <w:r w:rsidRPr="003B5B5D">
              <w:rPr>
                <w:rFonts w:ascii="Times New Roman" w:eastAsia="Times New Roman" w:hAnsi="Times New Roman" w:cs="Times New Roman"/>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tc>
      </w:tr>
    </w:tbl>
    <w:p w:rsidR="003B5B5D" w:rsidRPr="003B5B5D" w:rsidRDefault="003B5B5D" w:rsidP="003B5B5D">
      <w:pPr>
        <w:suppressAutoHyphens/>
        <w:spacing w:after="0" w:line="240" w:lineRule="auto"/>
        <w:rPr>
          <w:rFonts w:ascii="Times New Roman" w:eastAsia="Times New Roman" w:hAnsi="Times New Roman" w:cs="Times New Roman"/>
          <w:sz w:val="24"/>
          <w:szCs w:val="24"/>
          <w:lang w:eastAsia="he-IL" w:bidi="he-IL"/>
        </w:rPr>
      </w:pPr>
    </w:p>
    <w:p w:rsidR="003B5B5D" w:rsidRPr="003B5B5D" w:rsidRDefault="003B5B5D" w:rsidP="003B5B5D">
      <w:pPr>
        <w:keepNext/>
        <w:suppressAutoHyphens/>
        <w:spacing w:after="0" w:line="240" w:lineRule="auto"/>
        <w:ind w:left="720" w:hanging="720"/>
        <w:jc w:val="center"/>
        <w:outlineLvl w:val="2"/>
        <w:rPr>
          <w:rFonts w:ascii="Times New Roman" w:eastAsia="Times New Roman" w:hAnsi="Times New Roman" w:cs="Times New Roman"/>
          <w:b/>
          <w:bCs/>
          <w:sz w:val="24"/>
          <w:szCs w:val="24"/>
          <w:lang w:eastAsia="he-IL" w:bidi="he-IL"/>
        </w:rPr>
      </w:pPr>
      <w:r w:rsidRPr="003B5B5D">
        <w:rPr>
          <w:rFonts w:ascii="Times New Roman" w:eastAsia="Times New Roman" w:hAnsi="Times New Roman" w:cs="Times New Roman"/>
          <w:b/>
          <w:bCs/>
          <w:sz w:val="24"/>
          <w:szCs w:val="24"/>
          <w:lang w:eastAsia="he-IL" w:bidi="he-IL"/>
        </w:rPr>
        <w:t>S O M M A I R E</w:t>
      </w:r>
    </w:p>
    <w:p w:rsidR="003B5B5D" w:rsidRPr="003B5B5D" w:rsidRDefault="003B5B5D" w:rsidP="003B5B5D">
      <w:pPr>
        <w:suppressAutoHyphens/>
        <w:spacing w:after="0" w:line="240" w:lineRule="auto"/>
        <w:rPr>
          <w:rFonts w:ascii="Times New Roman" w:eastAsia="Times New Roman" w:hAnsi="Times New Roman" w:cs="Times New Roman"/>
          <w:sz w:val="24"/>
          <w:szCs w:val="24"/>
          <w:lang w:eastAsia="he-IL" w:bidi="he-IL"/>
        </w:rPr>
      </w:pP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5</w:t>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t>La le</w:t>
      </w:r>
      <w:r w:rsidR="0023188F">
        <w:rPr>
          <w:rFonts w:ascii="Times New Roman" w:eastAsia="Courier 10cpi" w:hAnsi="Times New Roman" w:cs="Courier 10cpi"/>
          <w:color w:val="010101"/>
          <w:sz w:val="24"/>
          <w:szCs w:val="24"/>
          <w:lang w:eastAsia="ar-SA"/>
        </w:rPr>
        <w:t xml:space="preserve">ttre des co-rédacteurs en chef  par </w:t>
      </w:r>
      <w:r w:rsidRPr="003B5B5D">
        <w:rPr>
          <w:rFonts w:ascii="Times New Roman" w:eastAsia="Courier 10cpi" w:hAnsi="Times New Roman" w:cs="Courier 10cpi"/>
          <w:color w:val="010101"/>
          <w:sz w:val="24"/>
          <w:szCs w:val="24"/>
          <w:lang w:eastAsia="ar-SA"/>
        </w:rPr>
        <w:t xml:space="preserve"> Frank Heemann</w:t>
      </w: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7</w:t>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t xml:space="preserve">Radu Lotrean: La lettre du Président  </w:t>
      </w: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p>
    <w:p w:rsidR="003B5B5D" w:rsidRPr="003B5B5D" w:rsidRDefault="00C42672" w:rsidP="003B5B5D">
      <w:pPr>
        <w:suppressAutoHyphens/>
        <w:spacing w:after="0" w:line="100" w:lineRule="atLeast"/>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10</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t xml:space="preserve">Actualités et événements  </w:t>
      </w: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3B5B5D" w:rsidRPr="003B5B5D" w:rsidRDefault="00C42672"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15</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r>
      <w:r w:rsidR="00FC3B6C">
        <w:rPr>
          <w:rFonts w:ascii="Times New Roman" w:eastAsia="Courier 10cpi" w:hAnsi="Times New Roman" w:cs="Courier 10cpi"/>
          <w:color w:val="010101"/>
          <w:sz w:val="24"/>
          <w:szCs w:val="24"/>
          <w:lang w:eastAsia="ar-SA"/>
        </w:rPr>
        <w:t>Actifs numérique, insolvabilité et restructuration</w:t>
      </w:r>
      <w:r w:rsidR="003B5B5D" w:rsidRPr="003B5B5D">
        <w:rPr>
          <w:rFonts w:ascii="Times New Roman" w:eastAsia="Courier 10cpi" w:hAnsi="Times New Roman" w:cs="Courier 10cpi"/>
          <w:color w:val="010101"/>
          <w:sz w:val="24"/>
          <w:szCs w:val="24"/>
          <w:lang w:eastAsia="ar-SA"/>
        </w:rPr>
        <w:t>  par E. Inacio</w:t>
      </w: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p>
    <w:p w:rsidR="003B5B5D" w:rsidRPr="003B5B5D" w:rsidRDefault="002F1A96" w:rsidP="003B5B5D">
      <w:pPr>
        <w:suppressAutoHyphens/>
        <w:spacing w:after="0" w:line="100" w:lineRule="atLeast"/>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19</w:t>
      </w:r>
      <w:r w:rsidR="00C42672">
        <w:rPr>
          <w:rFonts w:ascii="Times New Roman" w:eastAsia="Courier 10cpi" w:hAnsi="Times New Roman" w:cs="Courier 10cpi"/>
          <w:color w:val="010101"/>
          <w:sz w:val="24"/>
          <w:szCs w:val="24"/>
          <w:lang w:eastAsia="ar-SA"/>
        </w:rPr>
        <w:tab/>
      </w:r>
      <w:r w:rsidR="00C42672">
        <w:rPr>
          <w:rFonts w:ascii="Times New Roman" w:eastAsia="Courier 10cpi" w:hAnsi="Times New Roman" w:cs="Courier 10cpi"/>
          <w:color w:val="010101"/>
          <w:sz w:val="24"/>
          <w:szCs w:val="24"/>
          <w:lang w:eastAsia="ar-SA"/>
        </w:rPr>
        <w:tab/>
        <w:t>France : Le Statut de l’administrateur judiciaire</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r>
    </w:p>
    <w:p w:rsidR="003B5B5D" w:rsidRPr="003B5B5D" w:rsidRDefault="003B5B5D" w:rsidP="003B5B5D">
      <w:pPr>
        <w:suppressAutoHyphens/>
        <w:spacing w:after="0" w:line="100" w:lineRule="atLeast"/>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BD2829" w:rsidRDefault="002F1A96"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24</w:t>
      </w:r>
      <w:r w:rsidR="003B5B5D" w:rsidRPr="003B5B5D">
        <w:rPr>
          <w:rFonts w:ascii="Times New Roman" w:eastAsia="Courier 10cpi" w:hAnsi="Times New Roman" w:cs="Courier 10cpi"/>
          <w:color w:val="010101"/>
          <w:sz w:val="24"/>
          <w:szCs w:val="24"/>
          <w:lang w:eastAsia="ar-SA"/>
        </w:rPr>
        <w:tab/>
      </w:r>
      <w:r w:rsidR="00C42672">
        <w:rPr>
          <w:rFonts w:ascii="Times New Roman" w:eastAsia="Courier 10cpi" w:hAnsi="Times New Roman" w:cs="Courier 10cpi"/>
          <w:color w:val="010101"/>
          <w:sz w:val="24"/>
          <w:szCs w:val="24"/>
          <w:lang w:eastAsia="ar-SA"/>
        </w:rPr>
        <w:t xml:space="preserve">Désignation des PI </w:t>
      </w:r>
      <w:r w:rsidR="009942E5">
        <w:rPr>
          <w:rFonts w:ascii="Times New Roman" w:eastAsia="Courier 10cpi" w:hAnsi="Times New Roman" w:cs="Courier 10cpi"/>
          <w:color w:val="010101"/>
          <w:sz w:val="24"/>
          <w:szCs w:val="24"/>
          <w:lang w:eastAsia="ar-SA"/>
        </w:rPr>
        <w:t>par tirage au sorts (Lituanie, Hongrie, Slovaquie)</w:t>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3B5B5D" w:rsidRPr="003B5B5D" w:rsidRDefault="002F1A96" w:rsidP="00BD2829">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29</w:t>
      </w:r>
      <w:r w:rsidR="003B5B5D" w:rsidRPr="003B5B5D">
        <w:rPr>
          <w:rFonts w:ascii="Times New Roman" w:eastAsia="Courier 10cpi" w:hAnsi="Times New Roman" w:cs="Courier 10cpi"/>
          <w:color w:val="010101"/>
          <w:sz w:val="24"/>
          <w:szCs w:val="24"/>
          <w:lang w:eastAsia="ar-SA"/>
        </w:rPr>
        <w:tab/>
      </w:r>
      <w:r w:rsidR="009942E5">
        <w:rPr>
          <w:rFonts w:ascii="Times New Roman" w:eastAsia="Courier 10cpi" w:hAnsi="Times New Roman" w:cs="Courier 10cpi"/>
          <w:color w:val="010101"/>
          <w:sz w:val="24"/>
          <w:szCs w:val="24"/>
          <w:lang w:eastAsia="ar-SA"/>
        </w:rPr>
        <w:t>Cybersecurité : toutes les entreprises sont concernées</w:t>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p>
    <w:p w:rsidR="003B5B5D" w:rsidRPr="003B5B5D" w:rsidRDefault="002F1A96"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33</w:t>
      </w:r>
      <w:r w:rsidR="009942E5">
        <w:rPr>
          <w:rFonts w:ascii="Times New Roman" w:eastAsia="Courier 10cpi" w:hAnsi="Times New Roman" w:cs="Courier 10cpi"/>
          <w:color w:val="010101"/>
          <w:sz w:val="24"/>
          <w:szCs w:val="24"/>
          <w:lang w:eastAsia="ar-SA"/>
        </w:rPr>
        <w:tab/>
        <w:t>Romania : Insolvabilité stratégique</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r>
    </w:p>
    <w:p w:rsidR="003B5B5D" w:rsidRPr="003B5B5D" w:rsidRDefault="003B5B5D" w:rsidP="003B5B5D">
      <w:pPr>
        <w:suppressAutoHyphens/>
        <w:spacing w:after="0" w:line="100" w:lineRule="atLeast"/>
        <w:jc w:val="both"/>
        <w:rPr>
          <w:rFonts w:ascii="Times New Roman" w:eastAsia="Courier 10cpi" w:hAnsi="Times New Roman" w:cs="Courier 10cpi"/>
          <w:color w:val="010101"/>
          <w:sz w:val="24"/>
          <w:szCs w:val="24"/>
          <w:lang w:eastAsia="ar-SA"/>
        </w:rPr>
      </w:pPr>
    </w:p>
    <w:p w:rsidR="00BD2829" w:rsidRDefault="002F1A96"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37</w:t>
      </w:r>
      <w:r w:rsidR="003B5B5D" w:rsidRPr="003B5B5D">
        <w:rPr>
          <w:rFonts w:ascii="Times New Roman" w:eastAsia="Courier 10cpi" w:hAnsi="Times New Roman" w:cs="Courier 10cpi"/>
          <w:color w:val="010101"/>
          <w:sz w:val="24"/>
          <w:szCs w:val="24"/>
          <w:lang w:eastAsia="ar-SA"/>
        </w:rPr>
        <w:tab/>
      </w:r>
      <w:r w:rsidR="00D85DB7">
        <w:rPr>
          <w:rFonts w:ascii="Times New Roman" w:eastAsia="Courier 10cpi" w:hAnsi="Times New Roman" w:cs="Courier 10cpi"/>
          <w:color w:val="010101"/>
          <w:sz w:val="24"/>
          <w:szCs w:val="24"/>
          <w:lang w:eastAsia="ar-SA"/>
        </w:rPr>
        <w:t>Le Prix Richard Turton</w:t>
      </w:r>
      <w:r w:rsidR="00FC3B6C">
        <w:rPr>
          <w:rFonts w:ascii="Times New Roman" w:eastAsia="Courier 10cpi" w:hAnsi="Times New Roman" w:cs="Courier 10cpi"/>
          <w:color w:val="010101"/>
          <w:sz w:val="24"/>
          <w:szCs w:val="24"/>
          <w:lang w:eastAsia="ar-SA"/>
        </w:rPr>
        <w:t xml:space="preserve"> 2018</w:t>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3B5B5D" w:rsidRPr="003B5B5D" w:rsidRDefault="002F1A96"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38</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r>
      <w:r w:rsidR="00D85DB7">
        <w:rPr>
          <w:rFonts w:ascii="Times New Roman" w:eastAsia="Courier 10cpi" w:hAnsi="Times New Roman" w:cs="Courier 10cpi"/>
          <w:color w:val="010101"/>
          <w:sz w:val="24"/>
          <w:szCs w:val="24"/>
          <w:lang w:eastAsia="ar-SA"/>
        </w:rPr>
        <w:t>Espagne : Réformes de la succession d’employeurs</w:t>
      </w:r>
    </w:p>
    <w:p w:rsidR="003B5B5D" w:rsidRPr="003B5B5D" w:rsidRDefault="003B5B5D" w:rsidP="003B5B5D">
      <w:pPr>
        <w:suppressAutoHyphens/>
        <w:spacing w:after="0" w:line="100" w:lineRule="atLeast"/>
        <w:jc w:val="both"/>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3B5B5D" w:rsidRPr="003B5B5D" w:rsidRDefault="001D0A9C"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41</w:t>
      </w:r>
      <w:r w:rsidR="003B5B5D" w:rsidRPr="003B5B5D">
        <w:rPr>
          <w:rFonts w:ascii="Times New Roman" w:eastAsia="Courier 10cpi" w:hAnsi="Times New Roman" w:cs="Courier 10cpi"/>
          <w:color w:val="010101"/>
          <w:sz w:val="24"/>
          <w:szCs w:val="24"/>
          <w:lang w:eastAsia="ar-SA"/>
        </w:rPr>
        <w:tab/>
      </w:r>
      <w:r w:rsidR="00D85DB7">
        <w:rPr>
          <w:rFonts w:ascii="Times New Roman" w:eastAsia="Courier 10cpi" w:hAnsi="Times New Roman" w:cs="Courier 10cpi"/>
          <w:color w:val="010101"/>
          <w:sz w:val="24"/>
          <w:szCs w:val="24"/>
          <w:lang w:eastAsia="ar-SA"/>
        </w:rPr>
        <w:t>Finlande</w:t>
      </w:r>
      <w:r w:rsidR="003E307D">
        <w:rPr>
          <w:rFonts w:ascii="Times New Roman" w:eastAsia="Courier 10cpi" w:hAnsi="Times New Roman" w:cs="Courier 10cpi"/>
          <w:color w:val="010101"/>
          <w:sz w:val="24"/>
          <w:szCs w:val="24"/>
          <w:lang w:eastAsia="ar-SA"/>
        </w:rPr>
        <w:t> : Peaufinage d’un régime de l’insolvabilité déjà stable</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p>
    <w:p w:rsidR="003B5B5D" w:rsidRPr="003B5B5D" w:rsidRDefault="001D0A9C"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44</w:t>
      </w:r>
      <w:r w:rsidR="003E307D">
        <w:rPr>
          <w:rFonts w:ascii="Times New Roman" w:eastAsia="Courier 10cpi" w:hAnsi="Times New Roman" w:cs="Courier 10cpi"/>
          <w:color w:val="010101"/>
          <w:sz w:val="24"/>
          <w:szCs w:val="24"/>
          <w:lang w:eastAsia="ar-SA"/>
        </w:rPr>
        <w:tab/>
        <w:t>Belgique </w:t>
      </w:r>
      <w:r w:rsidR="00FC3B6C">
        <w:rPr>
          <w:rFonts w:ascii="Times New Roman" w:eastAsia="Courier 10cpi" w:hAnsi="Times New Roman" w:cs="Courier 10cpi"/>
          <w:color w:val="010101"/>
          <w:sz w:val="24"/>
          <w:szCs w:val="24"/>
          <w:lang w:eastAsia="ar-SA"/>
        </w:rPr>
        <w:t>: Nouveau code b</w:t>
      </w:r>
      <w:r w:rsidR="003E307D">
        <w:rPr>
          <w:rFonts w:ascii="Times New Roman" w:eastAsia="Courier 10cpi" w:hAnsi="Times New Roman" w:cs="Courier 10cpi"/>
          <w:color w:val="010101"/>
          <w:sz w:val="24"/>
          <w:szCs w:val="24"/>
          <w:lang w:eastAsia="ar-SA"/>
        </w:rPr>
        <w:t>elge de l’insolvabilité</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4</w:t>
      </w:r>
      <w:r w:rsidR="001D0A9C">
        <w:rPr>
          <w:rFonts w:ascii="Times New Roman" w:eastAsia="Courier 10cpi" w:hAnsi="Times New Roman" w:cs="Courier 10cpi"/>
          <w:color w:val="010101"/>
          <w:sz w:val="24"/>
          <w:szCs w:val="24"/>
          <w:lang w:eastAsia="ar-SA"/>
        </w:rPr>
        <w:t>7</w:t>
      </w:r>
      <w:r w:rsidRPr="003B5B5D">
        <w:rPr>
          <w:rFonts w:ascii="Times New Roman" w:eastAsia="Courier 10cpi" w:hAnsi="Times New Roman" w:cs="Courier 10cpi"/>
          <w:color w:val="010101"/>
          <w:sz w:val="24"/>
          <w:szCs w:val="24"/>
          <w:lang w:eastAsia="ar-SA"/>
        </w:rPr>
        <w:tab/>
      </w:r>
      <w:r w:rsidR="003E307D">
        <w:rPr>
          <w:rFonts w:ascii="Times New Roman" w:eastAsia="Courier 10cpi" w:hAnsi="Times New Roman" w:cs="Courier 10cpi"/>
          <w:color w:val="010101"/>
          <w:sz w:val="24"/>
          <w:szCs w:val="24"/>
          <w:lang w:eastAsia="ar-SA"/>
        </w:rPr>
        <w:t>Etats-Unis : Gestion du risque du crédit dans la chaîne d’approvisionnement</w:t>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 xml:space="preserve"> </w:t>
      </w: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3B5B5D" w:rsidRDefault="00F52D53"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51</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t xml:space="preserve">Actualités par pays : </w:t>
      </w:r>
      <w:r w:rsidR="0023188F">
        <w:rPr>
          <w:rFonts w:ascii="Times New Roman" w:eastAsia="Courier 10cpi" w:hAnsi="Times New Roman" w:cs="Courier 10cpi"/>
          <w:color w:val="010101"/>
          <w:sz w:val="24"/>
          <w:szCs w:val="24"/>
          <w:lang w:eastAsia="ar-SA"/>
        </w:rPr>
        <w:t>France, Turquie, Italie, Letonnie</w:t>
      </w:r>
    </w:p>
    <w:p w:rsidR="001D0A9C" w:rsidRDefault="001D0A9C"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p>
    <w:p w:rsidR="001D0A9C" w:rsidRPr="003B5B5D" w:rsidRDefault="001D0A9C"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57</w:t>
      </w:r>
      <w:r>
        <w:rPr>
          <w:rFonts w:ascii="Times New Roman" w:eastAsia="Courier 10cpi" w:hAnsi="Times New Roman" w:cs="Courier 10cpi"/>
          <w:color w:val="010101"/>
          <w:sz w:val="24"/>
          <w:szCs w:val="24"/>
          <w:lang w:eastAsia="ar-SA"/>
        </w:rPr>
        <w:tab/>
      </w:r>
      <w:r>
        <w:rPr>
          <w:rFonts w:ascii="Times New Roman" w:eastAsia="Courier 10cpi" w:hAnsi="Times New Roman" w:cs="Courier 10cpi"/>
          <w:color w:val="010101"/>
          <w:sz w:val="24"/>
          <w:szCs w:val="24"/>
          <w:lang w:eastAsia="ar-SA"/>
        </w:rPr>
        <w:tab/>
        <w:t>Registre d’affaires fondées sur REI</w:t>
      </w:r>
    </w:p>
    <w:p w:rsidR="003B5B5D" w:rsidRPr="003B5B5D" w:rsidRDefault="003B5B5D"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p>
    <w:p w:rsidR="003B5B5D" w:rsidRPr="003B5B5D" w:rsidRDefault="00F52D53" w:rsidP="003B5B5D">
      <w:pPr>
        <w:suppressAutoHyphens/>
        <w:spacing w:after="0" w:line="100" w:lineRule="atLeast"/>
        <w:ind w:left="1410" w:hanging="1410"/>
        <w:jc w:val="both"/>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61</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t xml:space="preserve">Compte-rendu technique : </w:t>
      </w:r>
      <w:r w:rsidR="0023188F">
        <w:rPr>
          <w:rFonts w:ascii="Times New Roman" w:eastAsia="Courier 10cpi" w:hAnsi="Times New Roman" w:cs="Courier 10cpi"/>
          <w:color w:val="010101"/>
          <w:sz w:val="24"/>
          <w:szCs w:val="24"/>
          <w:lang w:eastAsia="ar-SA"/>
        </w:rPr>
        <w:t>Nouvelles affaires appliquant la refonte du REI</w:t>
      </w:r>
    </w:p>
    <w:p w:rsidR="003B5B5D" w:rsidRPr="003B5B5D" w:rsidRDefault="003B5B5D" w:rsidP="003B5B5D">
      <w:pPr>
        <w:suppressAutoHyphens/>
        <w:spacing w:after="0" w:line="100" w:lineRule="atLeast"/>
        <w:ind w:left="1410"/>
        <w:jc w:val="both"/>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par Myriam Mailly</w:t>
      </w:r>
      <w:r w:rsidR="0023188F">
        <w:rPr>
          <w:rFonts w:ascii="Times New Roman" w:eastAsia="Courier 10cpi" w:hAnsi="Times New Roman" w:cs="Courier 10cpi"/>
          <w:color w:val="010101"/>
          <w:sz w:val="24"/>
          <w:szCs w:val="24"/>
          <w:lang w:eastAsia="ar-SA"/>
        </w:rPr>
        <w:t xml:space="preserve"> et Liens utiles</w:t>
      </w:r>
    </w:p>
    <w:p w:rsidR="003B5B5D" w:rsidRPr="003B5B5D" w:rsidRDefault="003B5B5D"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r>
    </w:p>
    <w:p w:rsidR="003B5B5D" w:rsidRPr="003B5B5D" w:rsidRDefault="001D0A9C"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r>
        <w:rPr>
          <w:rFonts w:ascii="Times New Roman" w:eastAsia="Courier 10cpi" w:hAnsi="Times New Roman" w:cs="Courier 10cpi"/>
          <w:color w:val="010101"/>
          <w:sz w:val="24"/>
          <w:szCs w:val="24"/>
          <w:lang w:eastAsia="ar-SA"/>
        </w:rPr>
        <w:t>6</w:t>
      </w:r>
      <w:r w:rsidR="00F52D53">
        <w:rPr>
          <w:rFonts w:ascii="Times New Roman" w:eastAsia="Courier 10cpi" w:hAnsi="Times New Roman" w:cs="Courier 10cpi"/>
          <w:color w:val="010101"/>
          <w:sz w:val="24"/>
          <w:szCs w:val="24"/>
          <w:lang w:eastAsia="ar-SA"/>
        </w:rPr>
        <w:t>3</w:t>
      </w:r>
      <w:r w:rsidR="003B5B5D" w:rsidRPr="003B5B5D">
        <w:rPr>
          <w:rFonts w:ascii="Times New Roman" w:eastAsia="Courier 10cpi" w:hAnsi="Times New Roman" w:cs="Courier 10cpi"/>
          <w:color w:val="010101"/>
          <w:sz w:val="24"/>
          <w:szCs w:val="24"/>
          <w:lang w:eastAsia="ar-SA"/>
        </w:rPr>
        <w:tab/>
      </w:r>
      <w:r w:rsidR="0023188F">
        <w:rPr>
          <w:rFonts w:ascii="Times New Roman" w:eastAsia="Courier 10cpi" w:hAnsi="Times New Roman" w:cs="Courier 10cpi"/>
          <w:color w:val="010101"/>
          <w:sz w:val="24"/>
          <w:szCs w:val="24"/>
          <w:lang w:eastAsia="ar-SA"/>
        </w:rPr>
        <w:t>Nouvelles publications</w:t>
      </w:r>
    </w:p>
    <w:p w:rsidR="003B5B5D" w:rsidRPr="003B5B5D" w:rsidRDefault="003B5B5D"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p>
    <w:p w:rsidR="003B5B5D" w:rsidRPr="003B5B5D" w:rsidRDefault="001D0A9C" w:rsidP="003B5B5D">
      <w:pPr>
        <w:spacing w:after="0" w:line="240" w:lineRule="auto"/>
        <w:rPr>
          <w:rFonts w:ascii="Times New Roman" w:eastAsia="Courier 10cpi" w:hAnsi="Times New Roman" w:cs="Courier 10cpi"/>
          <w:i/>
          <w:color w:val="010101"/>
          <w:sz w:val="24"/>
          <w:szCs w:val="24"/>
          <w:lang w:eastAsia="ar-SA"/>
        </w:rPr>
      </w:pPr>
      <w:r>
        <w:rPr>
          <w:rFonts w:ascii="Times New Roman" w:eastAsia="Courier 10cpi" w:hAnsi="Times New Roman" w:cs="Courier 10cpi"/>
          <w:color w:val="010101"/>
          <w:sz w:val="24"/>
          <w:szCs w:val="24"/>
          <w:lang w:eastAsia="ar-SA"/>
        </w:rPr>
        <w:t>66</w:t>
      </w:r>
      <w:r w:rsidR="003B5B5D" w:rsidRPr="003B5B5D">
        <w:rPr>
          <w:rFonts w:ascii="Times New Roman" w:eastAsia="Courier 10cpi" w:hAnsi="Times New Roman" w:cs="Courier 10cpi"/>
          <w:color w:val="010101"/>
          <w:sz w:val="24"/>
          <w:szCs w:val="24"/>
          <w:lang w:eastAsia="ar-SA"/>
        </w:rPr>
        <w:tab/>
      </w:r>
      <w:r w:rsidR="003B5B5D" w:rsidRPr="003B5B5D">
        <w:rPr>
          <w:rFonts w:ascii="Times New Roman" w:eastAsia="Courier 10cpi" w:hAnsi="Times New Roman" w:cs="Courier 10cpi"/>
          <w:color w:val="010101"/>
          <w:sz w:val="24"/>
          <w:szCs w:val="24"/>
          <w:lang w:eastAsia="ar-SA"/>
        </w:rPr>
        <w:tab/>
        <w:t xml:space="preserve">Dates pour votre calendrier </w:t>
      </w:r>
    </w:p>
    <w:p w:rsidR="003B5B5D" w:rsidRPr="003B5B5D" w:rsidRDefault="003B5B5D" w:rsidP="003B5B5D">
      <w:pPr>
        <w:spacing w:after="0" w:line="240" w:lineRule="auto"/>
        <w:rPr>
          <w:rFonts w:ascii="Times New Roman" w:eastAsia="Courier 10cpi" w:hAnsi="Times New Roman" w:cs="Courier 10cpi"/>
          <w:color w:val="010101"/>
          <w:sz w:val="24"/>
          <w:szCs w:val="24"/>
          <w:lang w:eastAsia="ar-SA"/>
        </w:rPr>
      </w:pPr>
    </w:p>
    <w:p w:rsidR="003B5B5D" w:rsidRPr="003B5B5D" w:rsidRDefault="003B5B5D"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p>
    <w:p w:rsidR="003B5B5D" w:rsidRPr="003B5B5D" w:rsidRDefault="003B5B5D"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r w:rsidRPr="003B5B5D">
        <w:rPr>
          <w:rFonts w:ascii="Times New Roman" w:eastAsia="Courier 10cpi" w:hAnsi="Times New Roman" w:cs="Courier 10cpi"/>
          <w:color w:val="010101"/>
          <w:sz w:val="24"/>
          <w:szCs w:val="24"/>
          <w:lang w:eastAsia="ar-SA"/>
        </w:rPr>
        <w:tab/>
      </w:r>
      <w:r w:rsidRPr="003B5B5D">
        <w:rPr>
          <w:rFonts w:ascii="Times New Roman" w:eastAsia="Courier 10cpi" w:hAnsi="Times New Roman" w:cs="Courier 10cpi"/>
          <w:color w:val="010101"/>
          <w:sz w:val="24"/>
          <w:szCs w:val="24"/>
          <w:lang w:eastAsia="ar-SA"/>
        </w:rPr>
        <w:tab/>
        <w:t xml:space="preserve"> </w:t>
      </w:r>
      <w:r w:rsidRPr="003B5B5D">
        <w:rPr>
          <w:rFonts w:ascii="Times New Roman" w:eastAsia="Times New Roman" w:hAnsi="Times New Roman" w:cs="Times New Roman"/>
          <w:b/>
          <w:sz w:val="24"/>
          <w:szCs w:val="24"/>
          <w:lang w:eastAsia="ar-SA" w:bidi="he-IL"/>
        </w:rPr>
        <w:t>Note :</w:t>
      </w:r>
      <w:r w:rsidRPr="003B5B5D">
        <w:rPr>
          <w:rFonts w:ascii="Times New Roman" w:eastAsia="Times New Roman" w:hAnsi="Times New Roman" w:cs="Times New Roman"/>
          <w:sz w:val="24"/>
          <w:szCs w:val="24"/>
          <w:lang w:eastAsia="ar-SA" w:bidi="he-IL"/>
        </w:rPr>
        <w:t xml:space="preserve"> le numéro en français ne reprend pas les publicités, les photos et la page des sponsors : pour les consulter voir la </w:t>
      </w:r>
      <w:r w:rsidRPr="003B5B5D">
        <w:rPr>
          <w:rFonts w:ascii="Times New Roman" w:eastAsia="Times New Roman" w:hAnsi="Times New Roman" w:cs="Times New Roman"/>
          <w:b/>
          <w:sz w:val="24"/>
          <w:szCs w:val="24"/>
          <w:lang w:eastAsia="ar-SA" w:bidi="he-IL"/>
        </w:rPr>
        <w:t>version anglaise.</w:t>
      </w:r>
      <w:r w:rsidRPr="003B5B5D">
        <w:rPr>
          <w:rFonts w:ascii="Times New Roman" w:eastAsia="Times New Roman" w:hAnsi="Times New Roman" w:cs="Times New Roman"/>
          <w:sz w:val="24"/>
          <w:szCs w:val="24"/>
          <w:lang w:eastAsia="ar-SA" w:bidi="he-IL"/>
        </w:rPr>
        <w:t xml:space="preserve"> </w:t>
      </w:r>
    </w:p>
    <w:p w:rsidR="003B5B5D" w:rsidRPr="003B5B5D" w:rsidRDefault="003B5B5D" w:rsidP="003B5B5D">
      <w:pPr>
        <w:suppressAutoHyphens/>
        <w:spacing w:after="0" w:line="100" w:lineRule="atLeast"/>
        <w:ind w:left="1410" w:hanging="1410"/>
        <w:rPr>
          <w:rFonts w:ascii="Times New Roman" w:eastAsia="Times New Roman" w:hAnsi="Times New Roman" w:cs="Times New Roman"/>
          <w:b/>
          <w:i/>
          <w:sz w:val="24"/>
          <w:szCs w:val="24"/>
          <w:lang w:eastAsia="ar-SA" w:bidi="he-IL"/>
        </w:rPr>
      </w:pPr>
    </w:p>
    <w:p w:rsidR="003B5B5D" w:rsidRPr="003B5B5D" w:rsidRDefault="003B5B5D" w:rsidP="003B5B5D">
      <w:pPr>
        <w:suppressAutoHyphens/>
        <w:spacing w:after="0" w:line="100" w:lineRule="atLeast"/>
        <w:rPr>
          <w:rFonts w:ascii="Times New Roman" w:eastAsia="Times New Roman" w:hAnsi="Times New Roman" w:cs="Times New Roman"/>
          <w:b/>
          <w:i/>
          <w:sz w:val="24"/>
          <w:szCs w:val="24"/>
          <w:lang w:eastAsia="ar-SA" w:bidi="he-IL"/>
        </w:rPr>
      </w:pPr>
    </w:p>
    <w:p w:rsidR="003B5B5D" w:rsidRPr="003B5B5D" w:rsidRDefault="003B5B5D" w:rsidP="003B5B5D">
      <w:pPr>
        <w:suppressAutoHyphens/>
        <w:spacing w:after="0" w:line="100" w:lineRule="atLeast"/>
        <w:rPr>
          <w:rFonts w:ascii="Times New Roman" w:eastAsia="Times New Roman" w:hAnsi="Times New Roman" w:cs="Times New Roman"/>
          <w:b/>
          <w:i/>
          <w:sz w:val="24"/>
          <w:szCs w:val="24"/>
          <w:lang w:eastAsia="ar-SA" w:bidi="he-IL"/>
        </w:rPr>
      </w:pPr>
    </w:p>
    <w:p w:rsidR="003B5B5D" w:rsidRPr="003B5B5D" w:rsidRDefault="003B5B5D" w:rsidP="003B5B5D">
      <w:pPr>
        <w:suppressAutoHyphens/>
        <w:spacing w:after="0" w:line="100" w:lineRule="atLeast"/>
        <w:rPr>
          <w:rFonts w:ascii="Times New Roman" w:eastAsia="Times New Roman" w:hAnsi="Times New Roman" w:cs="Times New Roman"/>
          <w:b/>
          <w:i/>
          <w:sz w:val="24"/>
          <w:szCs w:val="24"/>
          <w:lang w:eastAsia="ar-SA" w:bidi="he-IL"/>
        </w:rPr>
      </w:pPr>
      <w:r w:rsidRPr="003B5B5D">
        <w:rPr>
          <w:rFonts w:ascii="Times New Roman" w:eastAsia="Times New Roman" w:hAnsi="Times New Roman" w:cs="Times New Roman"/>
          <w:b/>
          <w:i/>
          <w:sz w:val="24"/>
          <w:szCs w:val="24"/>
          <w:lang w:eastAsia="ar-SA" w:bidi="he-IL"/>
        </w:rPr>
        <w:lastRenderedPageBreak/>
        <w:t xml:space="preserve">Contacts </w:t>
      </w:r>
      <w:r w:rsidRPr="003B5B5D">
        <w:rPr>
          <w:rFonts w:ascii="Times New Roman" w:eastAsia="Times New Roman" w:hAnsi="Times New Roman" w:cs="Times New Roman"/>
          <w:b/>
          <w:sz w:val="24"/>
          <w:szCs w:val="24"/>
          <w:lang w:eastAsia="ar-SA" w:bidi="he-IL"/>
        </w:rPr>
        <w:t>euro</w:t>
      </w:r>
      <w:r w:rsidRPr="003B5B5D">
        <w:rPr>
          <w:rFonts w:ascii="Times New Roman" w:eastAsia="Times New Roman" w:hAnsi="Times New Roman" w:cs="Times New Roman"/>
          <w:b/>
          <w:i/>
          <w:sz w:val="24"/>
          <w:szCs w:val="24"/>
          <w:lang w:eastAsia="ar-SA" w:bidi="he-IL"/>
        </w:rPr>
        <w:t>fenix</w:t>
      </w:r>
    </w:p>
    <w:p w:rsidR="003B5B5D" w:rsidRPr="003B5B5D" w:rsidRDefault="003B5B5D" w:rsidP="003B5B5D">
      <w:pPr>
        <w:suppressAutoHyphens/>
        <w:spacing w:after="0" w:line="100" w:lineRule="atLeast"/>
        <w:ind w:left="1410" w:hanging="1410"/>
        <w:rPr>
          <w:rFonts w:ascii="Times New Roman" w:eastAsia="Courier 10cpi" w:hAnsi="Times New Roman" w:cs="Courier 10cpi"/>
          <w:color w:val="010101"/>
          <w:sz w:val="24"/>
          <w:szCs w:val="24"/>
          <w:lang w:eastAsia="ar-SA"/>
        </w:rPr>
      </w:pPr>
    </w:p>
    <w:tbl>
      <w:tblPr>
        <w:tblW w:w="10100" w:type="dxa"/>
        <w:tblInd w:w="-300" w:type="dxa"/>
        <w:tblLayout w:type="fixed"/>
        <w:tblCellMar>
          <w:left w:w="70" w:type="dxa"/>
          <w:right w:w="70" w:type="dxa"/>
        </w:tblCellMar>
        <w:tblLook w:val="0000" w:firstRow="0" w:lastRow="0" w:firstColumn="0" w:lastColumn="0" w:noHBand="0" w:noVBand="0"/>
      </w:tblPr>
      <w:tblGrid>
        <w:gridCol w:w="3510"/>
        <w:gridCol w:w="2530"/>
        <w:gridCol w:w="2060"/>
        <w:gridCol w:w="2000"/>
      </w:tblGrid>
      <w:tr w:rsidR="003B5B5D" w:rsidRPr="003B5B5D" w:rsidTr="0052658C">
        <w:tc>
          <w:tcPr>
            <w:tcW w:w="3510" w:type="dxa"/>
            <w:tcBorders>
              <w:top w:val="single" w:sz="4" w:space="0" w:color="000000"/>
              <w:left w:val="single" w:sz="4" w:space="0" w:color="000000"/>
              <w:bottom w:val="single" w:sz="4" w:space="0" w:color="000000"/>
            </w:tcBorders>
            <w:shd w:val="clear" w:color="auto" w:fill="auto"/>
          </w:tcPr>
          <w:p w:rsidR="003B5B5D" w:rsidRPr="003B5B5D" w:rsidRDefault="003B5B5D" w:rsidP="003B5B5D">
            <w:pPr>
              <w:keepNext/>
              <w:numPr>
                <w:ilvl w:val="3"/>
                <w:numId w:val="0"/>
              </w:numPr>
              <w:tabs>
                <w:tab w:val="num" w:pos="0"/>
              </w:tabs>
              <w:suppressAutoHyphens/>
              <w:spacing w:after="0" w:line="240" w:lineRule="auto"/>
              <w:ind w:left="864" w:hanging="864"/>
              <w:jc w:val="both"/>
              <w:outlineLvl w:val="3"/>
              <w:rPr>
                <w:rFonts w:ascii="Times New Roman" w:eastAsia="Times New Roman" w:hAnsi="Times New Roman" w:cs="Times New Roman"/>
                <w:b/>
                <w:bCs/>
                <w:sz w:val="20"/>
                <w:szCs w:val="20"/>
                <w:lang w:eastAsia="he-IL" w:bidi="he-IL"/>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t xml:space="preserve">Co-Rédacteurs en chef : </w:t>
            </w:r>
          </w:p>
          <w:p w:rsidR="003B5B5D" w:rsidRPr="003B5B5D" w:rsidRDefault="003B5B5D" w:rsidP="003B5B5D">
            <w:pPr>
              <w:suppressAutoHyphens/>
              <w:spacing w:after="0" w:line="240" w:lineRule="auto"/>
              <w:rPr>
                <w:rFonts w:ascii="Times New Roman" w:eastAsia="Times New Roman" w:hAnsi="Times New Roman" w:cs="Times New Roman"/>
                <w:color w:val="000000"/>
                <w:sz w:val="20"/>
                <w:szCs w:val="20"/>
                <w:lang w:eastAsia="ar-SA"/>
              </w:rPr>
            </w:pPr>
            <w:r w:rsidRPr="003B5B5D">
              <w:rPr>
                <w:rFonts w:ascii="Times New Roman" w:eastAsia="Times New Roman" w:hAnsi="Times New Roman" w:cs="Times New Roman"/>
                <w:color w:val="000000"/>
                <w:sz w:val="20"/>
                <w:szCs w:val="20"/>
                <w:lang w:eastAsia="ar-SA"/>
              </w:rPr>
              <w:t>Frank Heemann, Lithuania</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w:t>
            </w:r>
            <w:hyperlink r:id="rId49" w:history="1">
              <w:r w:rsidRPr="003B5B5D">
                <w:rPr>
                  <w:rFonts w:ascii="Times New Roman" w:eastAsia="Times New Roman" w:hAnsi="Times New Roman" w:cs="Times New Roman"/>
                  <w:color w:val="0000FF"/>
                  <w:sz w:val="20"/>
                  <w:szCs w:val="20"/>
                  <w:u w:val="single"/>
                  <w:lang w:eastAsia="ar-SA"/>
                </w:rPr>
                <w:t>frank.heemann@bnt.eu</w:t>
              </w:r>
            </w:hyperlink>
            <w:r w:rsidRPr="003B5B5D">
              <w:rPr>
                <w:rFonts w:ascii="Times New Roman" w:eastAsia="Times New Roman" w:hAnsi="Times New Roman" w:cs="Times New Roman"/>
                <w:color w:val="0000FF"/>
                <w:sz w:val="20"/>
                <w:szCs w:val="20"/>
                <w:u w:val="single"/>
                <w:lang w:eastAsia="ar-SA"/>
              </w:rPr>
              <w:t>)</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 xml:space="preserve"> Catarina Serra, Portugal</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w:t>
            </w:r>
            <w:hyperlink r:id="rId50" w:history="1">
              <w:r w:rsidRPr="003B5B5D">
                <w:rPr>
                  <w:rFonts w:ascii="Times New Roman" w:eastAsia="Times New Roman" w:hAnsi="Times New Roman" w:cs="Times New Roman"/>
                  <w:color w:val="0000FF"/>
                  <w:sz w:val="20"/>
                  <w:szCs w:val="20"/>
                  <w:u w:val="single"/>
                  <w:lang w:eastAsia="ar-SA"/>
                </w:rPr>
                <w:t>csserra@gmail.com</w:t>
              </w:r>
            </w:hyperlink>
            <w:r w:rsidRPr="003B5B5D">
              <w:rPr>
                <w:rFonts w:ascii="Times New Roman" w:eastAsia="Times New Roman" w:hAnsi="Times New Roman" w:cs="Times New Roman"/>
                <w:color w:val="0000FF"/>
                <w:sz w:val="20"/>
                <w:szCs w:val="20"/>
                <w:u w:val="single"/>
                <w:lang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t>Comité éxécutif de rédaction :</w:t>
            </w:r>
          </w:p>
          <w:p w:rsidR="003B5B5D" w:rsidRPr="003B5B5D" w:rsidRDefault="003B5B5D" w:rsidP="003B5B5D">
            <w:pPr>
              <w:suppressAutoHyphens/>
              <w:spacing w:after="0" w:line="240" w:lineRule="auto"/>
              <w:rPr>
                <w:rFonts w:ascii="Times New Roman" w:eastAsia="Times New Roman" w:hAnsi="Times New Roman" w:cs="Times New Roman"/>
                <w:bCs/>
                <w:sz w:val="20"/>
                <w:szCs w:val="20"/>
                <w:lang w:eastAsia="ar-SA"/>
              </w:rPr>
            </w:pPr>
            <w:r w:rsidRPr="003B5B5D">
              <w:rPr>
                <w:rFonts w:ascii="Times New Roman" w:eastAsia="Times New Roman" w:hAnsi="Times New Roman" w:cs="Times New Roman"/>
                <w:bCs/>
                <w:sz w:val="20"/>
                <w:szCs w:val="20"/>
                <w:lang w:eastAsia="ar-SA"/>
              </w:rPr>
              <w:t xml:space="preserve">Emmanuelle Inacio, </w:t>
            </w:r>
            <w:hyperlink r:id="rId51" w:history="1">
              <w:r w:rsidRPr="003B5B5D">
                <w:rPr>
                  <w:rFonts w:ascii="Times New Roman" w:eastAsia="Times New Roman" w:hAnsi="Times New Roman" w:cs="Times New Roman"/>
                  <w:bCs/>
                  <w:color w:val="0000FF"/>
                  <w:sz w:val="20"/>
                  <w:szCs w:val="20"/>
                  <w:u w:val="single"/>
                  <w:lang w:eastAsia="ar-SA"/>
                </w:rPr>
                <w:t>technical@insol-europe.org</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eastAsia="ar-SA"/>
              </w:rPr>
              <w:t xml:space="preserve">Paul </w:t>
            </w:r>
            <w:r w:rsidRPr="003B5B5D">
              <w:rPr>
                <w:rFonts w:ascii="Times New Roman" w:eastAsia="Times New Roman" w:hAnsi="Times New Roman" w:cs="Times New Roman"/>
                <w:b/>
                <w:sz w:val="20"/>
                <w:szCs w:val="20"/>
                <w:lang w:eastAsia="ar-SA"/>
              </w:rPr>
              <w:t>Newson</w:t>
            </w:r>
            <w:r w:rsidRPr="003B5B5D">
              <w:rPr>
                <w:rFonts w:ascii="Times New Roman" w:eastAsia="Times New Roman" w:hAnsi="Times New Roman" w:cs="Times New Roman"/>
                <w:sz w:val="20"/>
                <w:szCs w:val="20"/>
                <w:lang w:eastAsia="ar-SA"/>
              </w:rPr>
              <w:t xml:space="preserve">, </w:t>
            </w:r>
            <w:hyperlink r:id="rId52" w:history="1">
              <w:r w:rsidRPr="003B5B5D">
                <w:rPr>
                  <w:rFonts w:ascii="Times New Roman" w:eastAsia="Times New Roman" w:hAnsi="Times New Roman" w:cs="Times New Roman"/>
                  <w:color w:val="0000FF"/>
                  <w:sz w:val="20"/>
                  <w:szCs w:val="20"/>
                  <w:u w:val="single"/>
                  <w:lang w:eastAsia="ar-SA"/>
                </w:rPr>
                <w:t>paulnewson@pndesign.co.uk</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 xml:space="preserve">Florica </w:t>
            </w:r>
            <w:r w:rsidRPr="003B5B5D">
              <w:rPr>
                <w:rFonts w:ascii="Times New Roman" w:eastAsia="Times New Roman" w:hAnsi="Times New Roman" w:cs="Times New Roman"/>
                <w:b/>
                <w:sz w:val="20"/>
                <w:szCs w:val="20"/>
                <w:lang w:val="de-DE" w:eastAsia="ar-SA"/>
              </w:rPr>
              <w:t>Sincu</w:t>
            </w:r>
            <w:r w:rsidRPr="003B5B5D">
              <w:rPr>
                <w:rFonts w:ascii="Times New Roman" w:eastAsia="Times New Roman" w:hAnsi="Times New Roman" w:cs="Times New Roman"/>
                <w:sz w:val="20"/>
                <w:szCs w:val="20"/>
                <w:lang w:val="de-DE" w:eastAsia="ar-SA"/>
              </w:rPr>
              <w:t xml:space="preserve">, </w:t>
            </w:r>
          </w:p>
          <w:p w:rsidR="003B5B5D" w:rsidRPr="003B5B5D" w:rsidRDefault="009A1930" w:rsidP="003B5B5D">
            <w:pPr>
              <w:suppressAutoHyphens/>
              <w:spacing w:after="0" w:line="240" w:lineRule="auto"/>
              <w:rPr>
                <w:rFonts w:ascii="Times New Roman" w:eastAsia="Times New Roman" w:hAnsi="Times New Roman" w:cs="Times New Roman"/>
                <w:sz w:val="20"/>
                <w:szCs w:val="20"/>
                <w:lang w:val="de-DE" w:eastAsia="ar-SA"/>
              </w:rPr>
            </w:pPr>
            <w:hyperlink r:id="rId53" w:history="1">
              <w:r w:rsidR="003B5B5D" w:rsidRPr="003B5B5D">
                <w:rPr>
                  <w:rFonts w:ascii="Times New Roman" w:eastAsia="Times New Roman" w:hAnsi="Times New Roman" w:cs="Times New Roman"/>
                  <w:color w:val="0000FF"/>
                  <w:sz w:val="20"/>
                  <w:szCs w:val="20"/>
                  <w:u w:val="single"/>
                  <w:lang w:val="de-DE" w:eastAsia="ar-SA"/>
                </w:rPr>
                <w:t>floricasincu@insol-europe.org</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nl-NL" w:eastAsia="ar-SA"/>
              </w:rPr>
              <w:t xml:space="preserve">Louise </w:t>
            </w:r>
            <w:r w:rsidRPr="003B5B5D">
              <w:rPr>
                <w:rFonts w:ascii="Times New Roman" w:eastAsia="Times New Roman" w:hAnsi="Times New Roman" w:cs="Times New Roman"/>
                <w:b/>
                <w:bCs/>
                <w:sz w:val="20"/>
                <w:szCs w:val="20"/>
                <w:lang w:val="nl-NL" w:eastAsia="ar-SA"/>
              </w:rPr>
              <w:t>Verrill</w:t>
            </w:r>
            <w:r w:rsidRPr="003B5B5D">
              <w:rPr>
                <w:rFonts w:ascii="Times New Roman" w:eastAsia="Times New Roman" w:hAnsi="Times New Roman" w:cs="Times New Roman"/>
                <w:sz w:val="20"/>
                <w:szCs w:val="20"/>
                <w:lang w:val="nl-NL" w:eastAsia="ar-SA"/>
              </w:rPr>
              <w:t xml:space="preserve">, </w:t>
            </w:r>
            <w:hyperlink r:id="rId54" w:history="1">
              <w:r w:rsidRPr="003B5B5D">
                <w:rPr>
                  <w:rFonts w:ascii="Times New Roman" w:eastAsia="Times New Roman" w:hAnsi="Times New Roman" w:cs="Times New Roman"/>
                  <w:color w:val="0000FF"/>
                  <w:sz w:val="20"/>
                  <w:szCs w:val="20"/>
                  <w:u w:val="single"/>
                  <w:lang w:eastAsia="ar-SA"/>
                </w:rPr>
                <w:t>lverrill@brownrudnick.com</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b/>
                <w:sz w:val="20"/>
                <w:szCs w:val="20"/>
                <w:lang w:val="de-DE" w:eastAsia="ar-SA"/>
              </w:rPr>
              <w:t>Comité de rédaction</w:t>
            </w:r>
            <w:r w:rsidRPr="003B5B5D">
              <w:rPr>
                <w:rFonts w:ascii="Times New Roman" w:eastAsia="Times New Roman" w:hAnsi="Times New Roman" w:cs="Times New Roman"/>
                <w:sz w:val="20"/>
                <w:szCs w:val="20"/>
                <w:lang w:val="de-DE" w:eastAsia="ar-SA"/>
              </w:rPr>
              <w:t xml:space="preserve">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 xml:space="preserve">Harald </w:t>
            </w:r>
            <w:r w:rsidRPr="003B5B5D">
              <w:rPr>
                <w:rFonts w:ascii="Times New Roman" w:eastAsia="Times New Roman" w:hAnsi="Times New Roman" w:cs="Times New Roman"/>
                <w:b/>
                <w:bCs/>
                <w:sz w:val="20"/>
                <w:szCs w:val="20"/>
                <w:lang w:val="de-DE" w:eastAsia="ar-SA"/>
              </w:rPr>
              <w:t>Bußhardt</w:t>
            </w:r>
            <w:r w:rsidRPr="003B5B5D">
              <w:rPr>
                <w:rFonts w:ascii="Times New Roman" w:eastAsia="Times New Roman" w:hAnsi="Times New Roman" w:cs="Times New Roman"/>
                <w:sz w:val="20"/>
                <w:szCs w:val="20"/>
                <w:lang w:val="de-DE" w:eastAsia="ar-SA"/>
              </w:rPr>
              <w:t xml:space="preserve">, </w:t>
            </w:r>
            <w:hyperlink r:id="rId55" w:history="1">
              <w:r w:rsidRPr="003B5B5D">
                <w:rPr>
                  <w:rFonts w:ascii="Times New Roman" w:eastAsia="Times New Roman" w:hAnsi="Times New Roman" w:cs="Times New Roman"/>
                  <w:color w:val="0000FF"/>
                  <w:sz w:val="20"/>
                  <w:szCs w:val="20"/>
                  <w:u w:val="single"/>
                  <w:lang w:val="de-DE" w:eastAsia="ar-SA"/>
                </w:rPr>
                <w:t>hbusshardt@schubra.de</w:t>
              </w:r>
            </w:hyperlink>
          </w:p>
          <w:p w:rsidR="003B5B5D" w:rsidRPr="003B5B5D" w:rsidRDefault="003B5B5D" w:rsidP="003B5B5D">
            <w:pPr>
              <w:suppressAutoHyphens/>
              <w:spacing w:after="0" w:line="240" w:lineRule="auto"/>
              <w:ind w:left="6"/>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 xml:space="preserve">Giorgio </w:t>
            </w:r>
            <w:r w:rsidRPr="003B5B5D">
              <w:rPr>
                <w:rFonts w:ascii="Times New Roman" w:eastAsia="Times New Roman" w:hAnsi="Times New Roman" w:cs="Times New Roman"/>
                <w:b/>
                <w:bCs/>
                <w:sz w:val="20"/>
                <w:szCs w:val="20"/>
                <w:lang w:val="de-DE" w:eastAsia="ar-SA"/>
              </w:rPr>
              <w:t>Cherubini</w:t>
            </w:r>
            <w:r w:rsidRPr="003B5B5D">
              <w:rPr>
                <w:rFonts w:ascii="Times New Roman" w:eastAsia="Times New Roman" w:hAnsi="Times New Roman" w:cs="Times New Roman"/>
                <w:sz w:val="20"/>
                <w:szCs w:val="20"/>
                <w:lang w:val="de-DE" w:eastAsia="ar-SA"/>
              </w:rPr>
              <w:t xml:space="preserve">, </w:t>
            </w:r>
            <w:hyperlink r:id="rId56" w:history="1">
              <w:r w:rsidRPr="003B5B5D">
                <w:rPr>
                  <w:rFonts w:ascii="Times New Roman" w:eastAsia="Times New Roman" w:hAnsi="Times New Roman" w:cs="Times New Roman"/>
                  <w:color w:val="0000FF"/>
                  <w:sz w:val="20"/>
                  <w:szCs w:val="20"/>
                  <w:u w:val="single"/>
                  <w:lang w:val="de-DE" w:eastAsia="ar-SA"/>
                </w:rPr>
                <w:t>Gcherubini@explegal.it</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de-DE" w:eastAsia="ar-SA"/>
              </w:rPr>
            </w:pPr>
            <w:r w:rsidRPr="003B5B5D">
              <w:rPr>
                <w:rFonts w:ascii="Times New Roman" w:eastAsia="Times New Roman" w:hAnsi="Times New Roman" w:cs="Times New Roman"/>
                <w:sz w:val="20"/>
                <w:szCs w:val="20"/>
                <w:lang w:val="de-DE" w:eastAsia="ar-SA"/>
              </w:rPr>
              <w:t xml:space="preserve">David </w:t>
            </w:r>
            <w:r w:rsidRPr="003B5B5D">
              <w:rPr>
                <w:rFonts w:ascii="Times New Roman" w:eastAsia="Times New Roman" w:hAnsi="Times New Roman" w:cs="Times New Roman"/>
                <w:b/>
                <w:sz w:val="20"/>
                <w:szCs w:val="20"/>
                <w:lang w:val="de-DE" w:eastAsia="ar-SA"/>
              </w:rPr>
              <w:t>Conaway</w:t>
            </w:r>
            <w:r w:rsidRPr="003B5B5D">
              <w:rPr>
                <w:rFonts w:ascii="Times New Roman" w:eastAsia="Times New Roman" w:hAnsi="Times New Roman" w:cs="Times New Roman"/>
                <w:sz w:val="20"/>
                <w:szCs w:val="20"/>
                <w:lang w:val="de-DE" w:eastAsia="ar-SA"/>
              </w:rPr>
              <w:t xml:space="preserve">, </w:t>
            </w:r>
            <w:hyperlink r:id="rId57" w:history="1">
              <w:r w:rsidRPr="003B5B5D">
                <w:rPr>
                  <w:rFonts w:ascii="Times New Roman" w:eastAsia="Times New Roman" w:hAnsi="Times New Roman" w:cs="Times New Roman"/>
                  <w:color w:val="0000FF"/>
                  <w:sz w:val="20"/>
                  <w:szCs w:val="20"/>
                  <w:u w:val="single"/>
                  <w:lang w:val="de-DE" w:eastAsia="ar-SA"/>
                </w:rPr>
                <w:t>dconaway@slk-law.co</w:t>
              </w:r>
            </w:hyperlink>
            <w:r w:rsidRPr="003B5B5D">
              <w:rPr>
                <w:rFonts w:ascii="Times New Roman" w:eastAsia="Times New Roman" w:hAnsi="Times New Roman" w:cs="Times New Roman"/>
                <w:sz w:val="20"/>
                <w:szCs w:val="20"/>
                <w:lang w:val="de-DE" w:eastAsia="ar-SA"/>
              </w:rPr>
              <w:t>m</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 xml:space="preserve">Pau </w:t>
            </w:r>
            <w:r w:rsidRPr="003B5B5D">
              <w:rPr>
                <w:rFonts w:ascii="Times New Roman" w:eastAsia="Times New Roman" w:hAnsi="Times New Roman" w:cs="Times New Roman"/>
                <w:b/>
                <w:sz w:val="20"/>
                <w:szCs w:val="20"/>
                <w:lang w:eastAsia="ar-SA"/>
              </w:rPr>
              <w:t>Donat</w:t>
            </w:r>
            <w:r w:rsidRPr="003B5B5D">
              <w:rPr>
                <w:rFonts w:ascii="Times New Roman" w:eastAsia="Times New Roman" w:hAnsi="Times New Roman" w:cs="Times New Roman"/>
                <w:sz w:val="20"/>
                <w:szCs w:val="20"/>
                <w:lang w:eastAsia="ar-SA"/>
              </w:rPr>
              <w:t xml:space="preserve">, </w:t>
            </w:r>
            <w:hyperlink r:id="rId58" w:history="1">
              <w:r w:rsidRPr="003B5B5D">
                <w:rPr>
                  <w:rFonts w:ascii="Times New Roman" w:eastAsia="Times New Roman" w:hAnsi="Times New Roman" w:cs="Times New Roman"/>
                  <w:color w:val="0000FF"/>
                  <w:sz w:val="20"/>
                  <w:szCs w:val="20"/>
                  <w:u w:val="single"/>
                  <w:lang w:eastAsia="ar-SA"/>
                </w:rPr>
                <w:t>donat@gabinetebegur.com</w:t>
              </w:r>
            </w:hyperlink>
          </w:p>
          <w:p w:rsidR="003B5B5D" w:rsidRPr="00BD2829" w:rsidRDefault="003B5B5D" w:rsidP="003B5B5D">
            <w:pPr>
              <w:suppressAutoHyphens/>
              <w:spacing w:after="0" w:line="240" w:lineRule="auto"/>
              <w:rPr>
                <w:rFonts w:ascii="Times New Roman" w:eastAsia="Times New Roman" w:hAnsi="Times New Roman" w:cs="Times New Roman"/>
                <w:color w:val="0000FF"/>
                <w:sz w:val="20"/>
                <w:szCs w:val="20"/>
                <w:u w:val="single"/>
                <w:lang w:eastAsia="ar-SA"/>
              </w:rPr>
            </w:pPr>
            <w:r w:rsidRPr="003B5B5D">
              <w:rPr>
                <w:rFonts w:ascii="Times New Roman" w:eastAsia="Times New Roman" w:hAnsi="Times New Roman" w:cs="Times New Roman"/>
                <w:sz w:val="20"/>
                <w:szCs w:val="20"/>
                <w:lang w:eastAsia="ar-SA"/>
              </w:rPr>
              <w:t xml:space="preserve">Edvins </w:t>
            </w:r>
            <w:r w:rsidRPr="003B5B5D">
              <w:rPr>
                <w:rFonts w:ascii="Times New Roman" w:eastAsia="Times New Roman" w:hAnsi="Times New Roman" w:cs="Times New Roman"/>
                <w:b/>
                <w:sz w:val="20"/>
                <w:szCs w:val="20"/>
                <w:lang w:eastAsia="ar-SA"/>
              </w:rPr>
              <w:t>Draba</w:t>
            </w:r>
            <w:r w:rsidRPr="003B5B5D">
              <w:rPr>
                <w:rFonts w:ascii="Times New Roman" w:eastAsia="Times New Roman" w:hAnsi="Times New Roman" w:cs="Times New Roman"/>
                <w:sz w:val="20"/>
                <w:szCs w:val="20"/>
                <w:lang w:eastAsia="ar-SA"/>
              </w:rPr>
              <w:t xml:space="preserve">, </w:t>
            </w:r>
            <w:hyperlink r:id="rId59" w:history="1">
              <w:r w:rsidRPr="003B5B5D">
                <w:rPr>
                  <w:rFonts w:ascii="Times New Roman" w:eastAsia="Times New Roman" w:hAnsi="Times New Roman" w:cs="Times New Roman"/>
                  <w:color w:val="0000FF"/>
                  <w:sz w:val="20"/>
                  <w:szCs w:val="20"/>
                  <w:u w:val="single"/>
                  <w:lang w:eastAsia="ar-SA"/>
                </w:rPr>
                <w:t>edvins.draba@sorainen.com</w:t>
              </w:r>
            </w:hyperlink>
          </w:p>
          <w:p w:rsidR="003B5B5D" w:rsidRPr="003B5B5D" w:rsidRDefault="003B5B5D" w:rsidP="003B5B5D">
            <w:pPr>
              <w:suppressAutoHyphens/>
              <w:spacing w:after="0" w:line="240" w:lineRule="auto"/>
              <w:rPr>
                <w:rFonts w:ascii="Times New Roman" w:eastAsia="Times New Roman" w:hAnsi="Times New Roman" w:cs="Times New Roman"/>
                <w:b/>
                <w:sz w:val="20"/>
                <w:szCs w:val="20"/>
                <w:lang w:val="en-GB" w:eastAsia="he-IL" w:bidi="he-IL"/>
              </w:rPr>
            </w:pPr>
            <w:r w:rsidRPr="003B5B5D">
              <w:rPr>
                <w:rFonts w:ascii="Times New Roman" w:eastAsia="Times New Roman" w:hAnsi="Times New Roman" w:cs="Times New Roman"/>
                <w:sz w:val="20"/>
                <w:szCs w:val="20"/>
                <w:lang w:val="en-GB" w:eastAsia="he-IL" w:bidi="he-IL"/>
              </w:rPr>
              <w:t xml:space="preserve">Martine </w:t>
            </w:r>
            <w:r w:rsidRPr="003B5B5D">
              <w:rPr>
                <w:rFonts w:ascii="Times New Roman" w:eastAsia="Times New Roman" w:hAnsi="Times New Roman" w:cs="Times New Roman"/>
                <w:b/>
                <w:sz w:val="20"/>
                <w:szCs w:val="20"/>
                <w:lang w:val="en-GB" w:eastAsia="he-IL" w:bidi="he-IL"/>
              </w:rPr>
              <w:t xml:space="preserve">Gerber, </w:t>
            </w:r>
          </w:p>
          <w:p w:rsidR="003B5B5D" w:rsidRDefault="009A1930" w:rsidP="003B5B5D">
            <w:pPr>
              <w:suppressAutoHyphens/>
              <w:spacing w:after="0" w:line="240" w:lineRule="auto"/>
              <w:rPr>
                <w:rFonts w:ascii="Times New Roman" w:eastAsia="Times New Roman" w:hAnsi="Times New Roman" w:cs="Times New Roman"/>
                <w:color w:val="0000FF"/>
                <w:sz w:val="20"/>
                <w:szCs w:val="20"/>
                <w:u w:val="single"/>
                <w:lang w:val="en-GB" w:eastAsia="he-IL" w:bidi="he-IL"/>
              </w:rPr>
            </w:pPr>
            <w:hyperlink r:id="rId60" w:history="1">
              <w:r w:rsidR="003B5B5D" w:rsidRPr="003B5B5D">
                <w:rPr>
                  <w:rFonts w:ascii="Times New Roman" w:eastAsia="Times New Roman" w:hAnsi="Times New Roman" w:cs="Times New Roman"/>
                  <w:color w:val="0000FF"/>
                  <w:sz w:val="20"/>
                  <w:szCs w:val="20"/>
                  <w:u w:val="single"/>
                  <w:lang w:val="en-GB" w:eastAsia="he-IL" w:bidi="he-IL"/>
                </w:rPr>
                <w:t>mgerber@opf-partners.com</w:t>
              </w:r>
            </w:hyperlink>
            <w:r w:rsidR="003B5B5D" w:rsidRPr="003B5B5D">
              <w:rPr>
                <w:rFonts w:ascii="Times New Roman" w:eastAsia="Times New Roman" w:hAnsi="Times New Roman" w:cs="Times New Roman"/>
                <w:color w:val="0000FF"/>
                <w:sz w:val="20"/>
                <w:szCs w:val="20"/>
                <w:u w:val="single"/>
                <w:lang w:val="en-GB" w:eastAsia="he-IL" w:bidi="he-IL"/>
              </w:rPr>
              <w:t xml:space="preserve"> </w:t>
            </w:r>
          </w:p>
          <w:p w:rsidR="00BD2829" w:rsidRPr="003B5B5D" w:rsidRDefault="00BD2829" w:rsidP="003B5B5D">
            <w:pPr>
              <w:suppressAutoHyphens/>
              <w:spacing w:after="0" w:line="240" w:lineRule="auto"/>
              <w:rPr>
                <w:rFonts w:ascii="Times New Roman" w:eastAsia="Times New Roman" w:hAnsi="Times New Roman" w:cs="Times New Roman"/>
                <w:color w:val="0000FF"/>
                <w:sz w:val="20"/>
                <w:szCs w:val="20"/>
                <w:u w:val="single"/>
                <w:lang w:val="en-GB" w:eastAsia="he-IL" w:bidi="he-IL"/>
              </w:rPr>
            </w:pPr>
            <w:r w:rsidRPr="003B5B5D">
              <w:rPr>
                <w:rFonts w:ascii="Times New Roman" w:eastAsia="Times New Roman" w:hAnsi="Times New Roman" w:cs="Times New Roman"/>
                <w:sz w:val="20"/>
                <w:szCs w:val="20"/>
                <w:lang w:val="en-GB" w:eastAsia="he-IL" w:bidi="he-IL"/>
              </w:rPr>
              <w:t>Guy</w:t>
            </w:r>
            <w:r w:rsidRPr="003B5B5D">
              <w:rPr>
                <w:rFonts w:ascii="Times New Roman" w:eastAsia="Times New Roman" w:hAnsi="Times New Roman" w:cs="Times New Roman"/>
                <w:b/>
                <w:sz w:val="20"/>
                <w:szCs w:val="20"/>
                <w:lang w:val="en-GB" w:eastAsia="he-IL" w:bidi="he-IL"/>
              </w:rPr>
              <w:t xml:space="preserve"> Lofalk</w:t>
            </w:r>
            <w:r w:rsidRPr="003B5B5D">
              <w:rPr>
                <w:rFonts w:ascii="Times New Roman" w:eastAsia="Times New Roman" w:hAnsi="Times New Roman" w:cs="Times New Roman"/>
                <w:sz w:val="20"/>
                <w:szCs w:val="20"/>
                <w:lang w:val="en-GB" w:eastAsia="he-IL" w:bidi="he-IL"/>
              </w:rPr>
              <w:t xml:space="preserve">, </w:t>
            </w:r>
            <w:hyperlink r:id="rId61" w:history="1">
              <w:r w:rsidRPr="003B5B5D">
                <w:rPr>
                  <w:rFonts w:ascii="Times New Roman" w:eastAsia="Times New Roman" w:hAnsi="Times New Roman" w:cs="Times New Roman"/>
                  <w:color w:val="0000FF"/>
                  <w:sz w:val="20"/>
                  <w:szCs w:val="20"/>
                  <w:u w:val="single"/>
                  <w:lang w:val="en-GB" w:eastAsia="he-IL" w:bidi="he-IL"/>
                </w:rPr>
                <w:t>guy.lofalk@lofalk.se</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 xml:space="preserve">Enda </w:t>
            </w:r>
            <w:r w:rsidRPr="003B5B5D">
              <w:rPr>
                <w:rFonts w:ascii="Times New Roman" w:eastAsia="Times New Roman" w:hAnsi="Times New Roman" w:cs="Times New Roman"/>
                <w:b/>
                <w:sz w:val="20"/>
                <w:szCs w:val="20"/>
                <w:lang w:val="en-US" w:eastAsia="ar-SA"/>
              </w:rPr>
              <w:t>Lowry</w:t>
            </w:r>
            <w:r w:rsidRPr="003B5B5D">
              <w:rPr>
                <w:rFonts w:ascii="Times New Roman" w:eastAsia="Times New Roman" w:hAnsi="Times New Roman" w:cs="Times New Roman"/>
                <w:sz w:val="20"/>
                <w:szCs w:val="20"/>
                <w:lang w:val="en-US" w:eastAsia="ar-SA"/>
              </w:rPr>
              <w:t xml:space="preserve">, </w:t>
            </w:r>
            <w:hyperlink r:id="rId62" w:history="1">
              <w:r w:rsidRPr="003B5B5D">
                <w:rPr>
                  <w:rFonts w:ascii="Times New Roman" w:eastAsia="Times New Roman" w:hAnsi="Times New Roman" w:cs="Times New Roman"/>
                  <w:color w:val="0000FF"/>
                  <w:sz w:val="20"/>
                  <w:szCs w:val="20"/>
                  <w:u w:val="single"/>
                  <w:lang w:val="en-US" w:eastAsia="ar-SA"/>
                </w:rPr>
                <w:t>lowry@mcstayluby@luby.ie</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 xml:space="preserve">Ana-Irina </w:t>
            </w:r>
            <w:r w:rsidRPr="003B5B5D">
              <w:rPr>
                <w:rFonts w:ascii="Times New Roman" w:eastAsia="Times New Roman" w:hAnsi="Times New Roman" w:cs="Times New Roman"/>
                <w:b/>
                <w:bCs/>
                <w:sz w:val="20"/>
                <w:szCs w:val="20"/>
                <w:lang w:val="en-US" w:eastAsia="ar-SA"/>
              </w:rPr>
              <w:t xml:space="preserve">Sarcane, </w:t>
            </w:r>
            <w:hyperlink r:id="rId63" w:history="1">
              <w:r w:rsidRPr="003B5B5D">
                <w:rPr>
                  <w:rFonts w:ascii="Times New Roman" w:eastAsia="Times New Roman" w:hAnsi="Times New Roman" w:cs="Times New Roman"/>
                  <w:color w:val="0000FF"/>
                  <w:sz w:val="20"/>
                  <w:szCs w:val="20"/>
                  <w:u w:val="single"/>
                  <w:lang w:val="en-US" w:eastAsia="ar-SA"/>
                </w:rPr>
                <w:t>irina.sarcane@sarcane.ro</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 xml:space="preserve">Daniel </w:t>
            </w:r>
            <w:r w:rsidRPr="003B5B5D">
              <w:rPr>
                <w:rFonts w:ascii="Times New Roman" w:eastAsia="Times New Roman" w:hAnsi="Times New Roman" w:cs="Times New Roman"/>
                <w:b/>
                <w:sz w:val="20"/>
                <w:szCs w:val="20"/>
                <w:lang w:val="en-US" w:eastAsia="ar-SA"/>
              </w:rPr>
              <w:t>Staehelin,</w:t>
            </w:r>
          </w:p>
          <w:p w:rsidR="003B5B5D" w:rsidRPr="003B5B5D" w:rsidRDefault="009A1930" w:rsidP="003B5B5D">
            <w:pPr>
              <w:suppressAutoHyphens/>
              <w:spacing w:after="0" w:line="240" w:lineRule="auto"/>
              <w:rPr>
                <w:rFonts w:ascii="Times New Roman" w:eastAsia="Times New Roman" w:hAnsi="Times New Roman" w:cs="Times New Roman"/>
                <w:sz w:val="20"/>
                <w:szCs w:val="20"/>
                <w:lang w:val="en-US" w:eastAsia="ar-SA"/>
              </w:rPr>
            </w:pPr>
            <w:hyperlink r:id="rId64" w:history="1">
              <w:r w:rsidR="003B5B5D" w:rsidRPr="003B5B5D">
                <w:rPr>
                  <w:rFonts w:ascii="Times New Roman" w:eastAsia="Times New Roman" w:hAnsi="Times New Roman" w:cs="Times New Roman"/>
                  <w:color w:val="0000FF"/>
                  <w:sz w:val="20"/>
                  <w:szCs w:val="20"/>
                  <w:u w:val="single"/>
                  <w:lang w:val="en-US" w:eastAsia="ar-SA"/>
                </w:rPr>
                <w:t>Daniel.staehelin@kelerhals-carrard.ch</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Annerose</w:t>
            </w:r>
            <w:r w:rsidRPr="003B5B5D">
              <w:rPr>
                <w:rFonts w:ascii="Times New Roman" w:eastAsia="Times New Roman" w:hAnsi="Times New Roman" w:cs="Times New Roman"/>
                <w:b/>
                <w:sz w:val="20"/>
                <w:szCs w:val="20"/>
                <w:lang w:val="en-US" w:eastAsia="ar-SA"/>
              </w:rPr>
              <w:t xml:space="preserve"> Tashiro,</w:t>
            </w:r>
          </w:p>
          <w:p w:rsidR="003B5B5D" w:rsidRPr="003B5B5D" w:rsidRDefault="009A1930" w:rsidP="003B5B5D">
            <w:pPr>
              <w:suppressAutoHyphens/>
              <w:spacing w:after="0" w:line="240" w:lineRule="auto"/>
              <w:rPr>
                <w:rFonts w:ascii="Times New Roman" w:eastAsia="Times New Roman" w:hAnsi="Times New Roman" w:cs="Times New Roman"/>
                <w:sz w:val="20"/>
                <w:szCs w:val="20"/>
                <w:lang w:val="en-US" w:eastAsia="ar-SA"/>
              </w:rPr>
            </w:pPr>
            <w:hyperlink r:id="rId65" w:history="1">
              <w:r w:rsidR="003B5B5D" w:rsidRPr="003B5B5D">
                <w:rPr>
                  <w:rFonts w:ascii="Times New Roman" w:eastAsia="Times New Roman" w:hAnsi="Times New Roman" w:cs="Times New Roman"/>
                  <w:color w:val="0000FF"/>
                  <w:sz w:val="20"/>
                  <w:szCs w:val="20"/>
                  <w:u w:val="single"/>
                  <w:lang w:val="en-US" w:eastAsia="ar-SA"/>
                </w:rPr>
                <w:t>atashiro@schubra.de</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 xml:space="preserve">Caroline </w:t>
            </w:r>
            <w:r w:rsidRPr="003B5B5D">
              <w:rPr>
                <w:rFonts w:ascii="Times New Roman" w:eastAsia="Times New Roman" w:hAnsi="Times New Roman" w:cs="Times New Roman"/>
                <w:b/>
                <w:sz w:val="20"/>
                <w:szCs w:val="20"/>
                <w:lang w:val="en-US" w:eastAsia="ar-SA"/>
              </w:rPr>
              <w:t>Taylor</w:t>
            </w:r>
            <w:r w:rsidRPr="003B5B5D">
              <w:rPr>
                <w:rFonts w:ascii="Times New Roman" w:eastAsia="Times New Roman" w:hAnsi="Times New Roman" w:cs="Times New Roman"/>
                <w:sz w:val="20"/>
                <w:szCs w:val="20"/>
                <w:lang w:val="en-US" w:eastAsia="ar-SA"/>
              </w:rPr>
              <w:t xml:space="preserve">, </w:t>
            </w:r>
            <w:hyperlink r:id="rId66" w:history="1">
              <w:r w:rsidRPr="003B5B5D">
                <w:rPr>
                  <w:rFonts w:ascii="Times New Roman" w:eastAsia="Times New Roman" w:hAnsi="Times New Roman" w:cs="Times New Roman"/>
                  <w:color w:val="0000FF"/>
                  <w:sz w:val="20"/>
                  <w:szCs w:val="20"/>
                  <w:u w:val="single"/>
                  <w:lang w:val="en-US" w:eastAsia="ar-SA"/>
                </w:rPr>
                <w:t>carolinetaylor@insol-europe.org</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GB" w:eastAsia="ar-SA"/>
              </w:rPr>
              <w:t xml:space="preserve">Michael </w:t>
            </w:r>
            <w:r w:rsidRPr="003B5B5D">
              <w:rPr>
                <w:rFonts w:ascii="Times New Roman" w:eastAsia="Times New Roman" w:hAnsi="Times New Roman" w:cs="Times New Roman"/>
                <w:b/>
                <w:sz w:val="20"/>
                <w:szCs w:val="20"/>
                <w:lang w:val="en-GB" w:eastAsia="ar-SA"/>
              </w:rPr>
              <w:t>Tierhoff</w:t>
            </w:r>
            <w:r w:rsidRPr="003B5B5D">
              <w:rPr>
                <w:rFonts w:ascii="Times New Roman" w:eastAsia="Times New Roman" w:hAnsi="Times New Roman" w:cs="Times New Roman"/>
                <w:sz w:val="20"/>
                <w:szCs w:val="20"/>
                <w:lang w:val="en-GB" w:eastAsia="ar-SA"/>
              </w:rPr>
              <w:t xml:space="preserve">, </w:t>
            </w:r>
            <w:hyperlink r:id="rId67" w:history="1">
              <w:r w:rsidRPr="003B5B5D">
                <w:rPr>
                  <w:rFonts w:ascii="Times New Roman" w:eastAsia="Times New Roman" w:hAnsi="Times New Roman" w:cs="Times New Roman"/>
                  <w:color w:val="0000FF"/>
                  <w:sz w:val="20"/>
                  <w:szCs w:val="20"/>
                  <w:u w:val="single"/>
                  <w:lang w:val="en-US" w:eastAsia="ar-SA"/>
                </w:rPr>
                <w:t>michael.thierhoff@tmpartner.de</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nl-NL" w:eastAsia="ar-SA"/>
              </w:rPr>
            </w:pPr>
            <w:r w:rsidRPr="003B5B5D">
              <w:rPr>
                <w:rFonts w:ascii="Times New Roman" w:eastAsia="Times New Roman" w:hAnsi="Times New Roman" w:cs="Times New Roman"/>
                <w:sz w:val="20"/>
                <w:szCs w:val="20"/>
                <w:lang w:val="nl-NL" w:eastAsia="ar-SA"/>
              </w:rPr>
              <w:t xml:space="preserve">Jesper </w:t>
            </w:r>
            <w:r w:rsidRPr="003B5B5D">
              <w:rPr>
                <w:rFonts w:ascii="Times New Roman" w:eastAsia="Times New Roman" w:hAnsi="Times New Roman" w:cs="Times New Roman"/>
                <w:b/>
                <w:bCs/>
                <w:sz w:val="20"/>
                <w:szCs w:val="20"/>
                <w:lang w:val="nl-NL" w:eastAsia="ar-SA"/>
              </w:rPr>
              <w:t xml:space="preserve">Trommer Volf, </w:t>
            </w:r>
            <w:hyperlink r:id="rId68" w:history="1">
              <w:r w:rsidRPr="003B5B5D">
                <w:rPr>
                  <w:rFonts w:ascii="Times New Roman" w:eastAsia="Times New Roman" w:hAnsi="Times New Roman" w:cs="Times New Roman"/>
                  <w:color w:val="0000FF"/>
                  <w:sz w:val="20"/>
                  <w:szCs w:val="20"/>
                  <w:u w:val="single"/>
                  <w:lang w:val="nl-NL" w:eastAsia="ar-SA"/>
                </w:rPr>
                <w:t>jtv@delacour.dk</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nl-NL" w:eastAsia="ar-SA"/>
              </w:rPr>
            </w:pPr>
            <w:r w:rsidRPr="003B5B5D">
              <w:rPr>
                <w:rFonts w:ascii="Times New Roman" w:eastAsia="Times New Roman" w:hAnsi="Times New Roman" w:cs="Times New Roman"/>
                <w:sz w:val="20"/>
                <w:szCs w:val="20"/>
                <w:lang w:val="nl-NL" w:eastAsia="ar-SA"/>
              </w:rPr>
              <w:t xml:space="preserve">Jean-Luc </w:t>
            </w:r>
            <w:r w:rsidRPr="003B5B5D">
              <w:rPr>
                <w:rFonts w:ascii="Times New Roman" w:eastAsia="Times New Roman" w:hAnsi="Times New Roman" w:cs="Times New Roman"/>
                <w:b/>
                <w:bCs/>
                <w:sz w:val="20"/>
                <w:szCs w:val="20"/>
                <w:lang w:val="nl-NL" w:eastAsia="ar-SA"/>
              </w:rPr>
              <w:t>Vallens</w:t>
            </w:r>
            <w:r w:rsidRPr="003B5B5D">
              <w:rPr>
                <w:rFonts w:ascii="Times New Roman" w:eastAsia="Times New Roman" w:hAnsi="Times New Roman" w:cs="Times New Roman"/>
                <w:sz w:val="20"/>
                <w:szCs w:val="20"/>
                <w:lang w:val="nl-NL" w:eastAsia="ar-SA"/>
              </w:rPr>
              <w:t xml:space="preserve">, </w:t>
            </w:r>
            <w:hyperlink r:id="rId69" w:history="1">
              <w:r w:rsidRPr="003B5B5D">
                <w:rPr>
                  <w:rFonts w:ascii="Times New Roman" w:eastAsia="Times New Roman" w:hAnsi="Times New Roman" w:cs="Times New Roman"/>
                  <w:color w:val="0000FF"/>
                  <w:sz w:val="20"/>
                  <w:szCs w:val="20"/>
                  <w:u w:val="single"/>
                  <w:lang w:val="nl-NL" w:eastAsia="ar-SA"/>
                </w:rPr>
                <w:t>vallensjl@ymail.com</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nl-NL" w:eastAsia="ar-SA"/>
              </w:rPr>
            </w:pPr>
            <w:r w:rsidRPr="003B5B5D">
              <w:rPr>
                <w:rFonts w:ascii="Times New Roman" w:eastAsia="Times New Roman" w:hAnsi="Times New Roman" w:cs="Times New Roman"/>
                <w:sz w:val="20"/>
                <w:szCs w:val="20"/>
                <w:lang w:val="nl-NL" w:eastAsia="ar-SA"/>
              </w:rPr>
              <w:t xml:space="preserve">Evert </w:t>
            </w:r>
            <w:r w:rsidRPr="003B5B5D">
              <w:rPr>
                <w:rFonts w:ascii="Times New Roman" w:eastAsia="Times New Roman" w:hAnsi="Times New Roman" w:cs="Times New Roman"/>
                <w:b/>
                <w:sz w:val="20"/>
                <w:szCs w:val="20"/>
                <w:lang w:val="nl-NL" w:eastAsia="ar-SA"/>
              </w:rPr>
              <w:t>Verwey</w:t>
            </w:r>
            <w:r w:rsidRPr="003B5B5D">
              <w:rPr>
                <w:rFonts w:ascii="Times New Roman" w:eastAsia="Times New Roman" w:hAnsi="Times New Roman" w:cs="Times New Roman"/>
                <w:sz w:val="20"/>
                <w:szCs w:val="20"/>
                <w:lang w:val="nl-NL" w:eastAsia="ar-SA"/>
              </w:rPr>
              <w:t xml:space="preserve">, </w:t>
            </w:r>
            <w:hyperlink r:id="rId70" w:history="1">
              <w:r w:rsidRPr="003B5B5D">
                <w:rPr>
                  <w:rFonts w:ascii="Times New Roman" w:eastAsia="Times New Roman" w:hAnsi="Times New Roman" w:cs="Times New Roman"/>
                  <w:color w:val="0000FF"/>
                  <w:sz w:val="20"/>
                  <w:szCs w:val="20"/>
                  <w:u w:val="single"/>
                  <w:lang w:val="nl-NL" w:eastAsia="ar-SA"/>
                </w:rPr>
                <w:t>evert.verwey@cliffordchance.com</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nl-NL" w:eastAsia="ar-SA"/>
              </w:rPr>
            </w:pPr>
            <w:r w:rsidRPr="003B5B5D">
              <w:rPr>
                <w:rFonts w:ascii="Times New Roman" w:eastAsia="Times New Roman" w:hAnsi="Times New Roman" w:cs="Times New Roman"/>
                <w:sz w:val="20"/>
                <w:szCs w:val="20"/>
                <w:lang w:val="nl-NL" w:eastAsia="ar-SA"/>
              </w:rPr>
              <w:t xml:space="preserve">Signe </w:t>
            </w:r>
            <w:r w:rsidRPr="003B5B5D">
              <w:rPr>
                <w:rFonts w:ascii="Times New Roman" w:eastAsia="Times New Roman" w:hAnsi="Times New Roman" w:cs="Times New Roman"/>
                <w:b/>
                <w:sz w:val="20"/>
                <w:szCs w:val="20"/>
                <w:lang w:val="nl-NL" w:eastAsia="ar-SA"/>
              </w:rPr>
              <w:t>Viimsalu,</w:t>
            </w:r>
          </w:p>
          <w:p w:rsidR="003B5B5D" w:rsidRPr="003B5B5D" w:rsidRDefault="009A1930" w:rsidP="003B5B5D">
            <w:pPr>
              <w:suppressAutoHyphens/>
              <w:spacing w:after="0" w:line="240" w:lineRule="auto"/>
              <w:rPr>
                <w:rFonts w:ascii="Times New Roman" w:eastAsia="Times New Roman" w:hAnsi="Times New Roman" w:cs="Times New Roman"/>
                <w:sz w:val="20"/>
                <w:szCs w:val="20"/>
                <w:lang w:val="nl-NL" w:eastAsia="ar-SA"/>
              </w:rPr>
            </w:pPr>
            <w:hyperlink r:id="rId71" w:history="1">
              <w:r w:rsidR="003B5B5D" w:rsidRPr="003B5B5D">
                <w:rPr>
                  <w:rFonts w:ascii="Times New Roman" w:eastAsia="Times New Roman" w:hAnsi="Times New Roman" w:cs="Times New Roman"/>
                  <w:color w:val="0000FF"/>
                  <w:sz w:val="20"/>
                  <w:szCs w:val="20"/>
                  <w:u w:val="single"/>
                  <w:lang w:val="nl-NL" w:eastAsia="ar-SA"/>
                </w:rPr>
                <w:t>Signe.viimsalu@gmail.com</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val="nl-NL" w:eastAsia="ar-SA"/>
              </w:rPr>
            </w:pPr>
          </w:p>
        </w:tc>
        <w:tc>
          <w:tcPr>
            <w:tcW w:w="2530" w:type="dxa"/>
            <w:tcBorders>
              <w:top w:val="single" w:sz="4" w:space="0" w:color="000000"/>
              <w:left w:val="single" w:sz="4" w:space="0" w:color="000000"/>
              <w:bottom w:val="single" w:sz="4" w:space="0" w:color="000000"/>
            </w:tcBorders>
            <w:shd w:val="clear" w:color="auto" w:fill="auto"/>
          </w:tcPr>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t>euro</w:t>
            </w:r>
            <w:r w:rsidRPr="003B5B5D">
              <w:rPr>
                <w:rFonts w:ascii="Times New Roman" w:eastAsia="Times New Roman" w:hAnsi="Times New Roman" w:cs="Times New Roman"/>
                <w:b/>
                <w:bCs/>
                <w:i/>
                <w:iCs/>
                <w:sz w:val="20"/>
                <w:szCs w:val="20"/>
                <w:lang w:eastAsia="ar-SA"/>
              </w:rPr>
              <w:t>fenix</w:t>
            </w:r>
            <w:r w:rsidRPr="003B5B5D">
              <w:rPr>
                <w:rFonts w:ascii="Times New Roman" w:eastAsia="Times New Roman" w:hAnsi="Times New Roman" w:cs="Times New Roman"/>
                <w:b/>
                <w:bCs/>
                <w:sz w:val="20"/>
                <w:szCs w:val="20"/>
                <w:lang w:eastAsia="ar-SA"/>
              </w:rPr>
              <w:t xml:space="preserve"> français</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 xml:space="preserve">Parrainé par </w:t>
            </w:r>
            <w:r w:rsidRPr="003B5B5D">
              <w:rPr>
                <w:rFonts w:ascii="Times New Roman" w:eastAsia="Times New Roman" w:hAnsi="Times New Roman" w:cs="Times New Roman"/>
                <w:b/>
                <w:sz w:val="20"/>
                <w:szCs w:val="20"/>
                <w:lang w:eastAsia="ar-SA"/>
              </w:rPr>
              <w:t>CNAJMJ</w:t>
            </w:r>
            <w:r w:rsidRPr="003B5B5D">
              <w:rPr>
                <w:rFonts w:ascii="Times New Roman" w:eastAsia="Times New Roman" w:hAnsi="Times New Roman" w:cs="Times New Roman"/>
                <w:sz w:val="20"/>
                <w:szCs w:val="20"/>
                <w:lang w:eastAsia="ar-SA"/>
              </w:rPr>
              <w:t xml:space="preserve"> – France</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Editeur/Renseignements/</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 xml:space="preserve">Proposition d’article : </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b/>
                <w:bCs/>
                <w:sz w:val="20"/>
                <w:szCs w:val="20"/>
                <w:lang w:eastAsia="ar-SA"/>
              </w:rPr>
              <w:t>Florica Sincu</w:t>
            </w:r>
          </w:p>
          <w:p w:rsidR="003B5B5D" w:rsidRPr="003B5B5D" w:rsidRDefault="009A1930" w:rsidP="003B5B5D">
            <w:pPr>
              <w:suppressAutoHyphens/>
              <w:spacing w:after="0" w:line="240" w:lineRule="auto"/>
              <w:rPr>
                <w:rFonts w:ascii="Times New Roman" w:eastAsia="Times New Roman" w:hAnsi="Times New Roman" w:cs="Times New Roman"/>
                <w:sz w:val="20"/>
                <w:szCs w:val="20"/>
                <w:lang w:eastAsia="ar-SA"/>
              </w:rPr>
            </w:pPr>
            <w:hyperlink r:id="rId72" w:history="1">
              <w:r w:rsidR="003B5B5D" w:rsidRPr="003B5B5D">
                <w:rPr>
                  <w:rFonts w:ascii="Times New Roman" w:eastAsia="Times New Roman" w:hAnsi="Times New Roman" w:cs="Times New Roman"/>
                  <w:color w:val="0000FF"/>
                  <w:sz w:val="20"/>
                  <w:szCs w:val="20"/>
                  <w:u w:val="single"/>
                  <w:lang w:eastAsia="ar-SA"/>
                </w:rPr>
                <w:t>floricasincu@insol-europe.org</w:t>
              </w:r>
            </w:hyperlink>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Cs/>
                <w:sz w:val="20"/>
                <w:szCs w:val="20"/>
                <w:lang w:eastAsia="ar-SA"/>
              </w:rPr>
              <w:t>Traduction</w:t>
            </w:r>
            <w:r w:rsidRPr="003B5B5D">
              <w:rPr>
                <w:rFonts w:ascii="Times New Roman" w:eastAsia="Times New Roman" w:hAnsi="Times New Roman" w:cs="Times New Roman"/>
                <w:b/>
                <w:bCs/>
                <w:sz w:val="20"/>
                <w:szCs w:val="20"/>
                <w:lang w:eastAsia="ar-SA"/>
              </w:rPr>
              <w:t xml:space="preserve"> : </w:t>
            </w:r>
            <w:r w:rsidRPr="003B5B5D">
              <w:rPr>
                <w:rFonts w:ascii="Times New Roman" w:eastAsia="Times New Roman" w:hAnsi="Times New Roman" w:cs="Times New Roman"/>
                <w:b/>
                <w:sz w:val="20"/>
                <w:szCs w:val="20"/>
                <w:lang w:eastAsia="ar-SA"/>
              </w:rPr>
              <w:t>Gabrielle Allemand</w:t>
            </w:r>
            <w:r w:rsidRPr="003B5B5D">
              <w:rPr>
                <w:rFonts w:ascii="Times New Roman" w:eastAsia="Times New Roman" w:hAnsi="Times New Roman" w:cs="Times New Roman"/>
                <w:sz w:val="20"/>
                <w:szCs w:val="20"/>
                <w:lang w:eastAsia="ar-SA"/>
              </w:rPr>
              <w:t xml:space="preserve"> (</w:t>
            </w:r>
            <w:hyperlink r:id="rId73" w:history="1">
              <w:r w:rsidRPr="003B5B5D">
                <w:rPr>
                  <w:rFonts w:ascii="Times New Roman" w:eastAsia="Times New Roman" w:hAnsi="Times New Roman" w:cs="Times New Roman"/>
                  <w:color w:val="0000FF"/>
                  <w:sz w:val="20"/>
                  <w:szCs w:val="20"/>
                  <w:u w:val="single"/>
                  <w:lang w:eastAsia="ar-SA"/>
                </w:rPr>
                <w:t>gamtrad@free.fr</w:t>
              </w:r>
            </w:hyperlink>
            <w:r w:rsidRPr="003B5B5D">
              <w:rPr>
                <w:rFonts w:ascii="Times New Roman" w:eastAsia="Times New Roman" w:hAnsi="Times New Roman" w:cs="Times New Roman"/>
                <w:sz w:val="20"/>
                <w:szCs w:val="20"/>
                <w:lang w:eastAsia="ar-SA"/>
              </w:rPr>
              <w:t>)</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bCs/>
                <w:sz w:val="20"/>
                <w:szCs w:val="20"/>
                <w:lang w:eastAsia="ar-SA"/>
              </w:rPr>
              <w:t>Publicité et ventes</w:t>
            </w:r>
            <w:r w:rsidRPr="003B5B5D">
              <w:rPr>
                <w:rFonts w:ascii="Times New Roman" w:eastAsia="Times New Roman" w:hAnsi="Times New Roman" w:cs="Times New Roman"/>
                <w:sz w:val="20"/>
                <w:szCs w:val="20"/>
                <w:lang w:eastAsia="ar-SA"/>
              </w:rPr>
              <w:t> :</w:t>
            </w:r>
          </w:p>
          <w:p w:rsidR="003B5B5D" w:rsidRPr="00BD2829"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BD2829">
              <w:rPr>
                <w:rFonts w:ascii="Times New Roman" w:eastAsia="Times New Roman" w:hAnsi="Times New Roman" w:cs="Times New Roman"/>
                <w:b/>
                <w:sz w:val="20"/>
                <w:szCs w:val="20"/>
                <w:lang w:val="en-US" w:eastAsia="ar-SA"/>
              </w:rPr>
              <w:t>Edward Taylor - MRP Print</w:t>
            </w:r>
            <w:r w:rsidRPr="00BD2829">
              <w:rPr>
                <w:rFonts w:ascii="Times New Roman" w:eastAsia="Times New Roman" w:hAnsi="Times New Roman" w:cs="Times New Roman"/>
                <w:sz w:val="20"/>
                <w:szCs w:val="20"/>
                <w:lang w:val="en-US" w:eastAsia="ar-SA"/>
              </w:rPr>
              <w:t xml:space="preserve"> </w:t>
            </w:r>
            <w:hyperlink r:id="rId74" w:history="1">
              <w:r w:rsidRPr="00BD2829">
                <w:rPr>
                  <w:rFonts w:ascii="Times New Roman" w:eastAsia="Times New Roman" w:hAnsi="Times New Roman" w:cs="Times New Roman"/>
                  <w:color w:val="0000FF"/>
                  <w:sz w:val="20"/>
                  <w:szCs w:val="20"/>
                  <w:u w:val="single"/>
                  <w:lang w:val="en-US" w:eastAsia="ar-SA"/>
                </w:rPr>
                <w:t>eurofenix@mrp.uk.com</w:t>
              </w:r>
            </w:hyperlink>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r w:rsidRPr="003B5B5D">
              <w:rPr>
                <w:rFonts w:ascii="Times New Roman" w:eastAsia="Times New Roman" w:hAnsi="Times New Roman" w:cs="Times New Roman"/>
                <w:sz w:val="20"/>
                <w:szCs w:val="20"/>
                <w:lang w:eastAsia="ar-SA"/>
              </w:rPr>
              <w:t>Tél. +44 115 955 1000</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6A5AC6" w:rsidRDefault="006A5AC6" w:rsidP="003B5B5D">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Imprimeur de la version a</w:t>
            </w:r>
            <w:r w:rsidR="003B5B5D" w:rsidRPr="003B5B5D">
              <w:rPr>
                <w:rFonts w:ascii="Times New Roman" w:eastAsia="Times New Roman" w:hAnsi="Times New Roman" w:cs="Times New Roman"/>
                <w:b/>
                <w:bCs/>
                <w:sz w:val="20"/>
                <w:szCs w:val="20"/>
                <w:lang w:eastAsia="ar-SA"/>
              </w:rPr>
              <w:t>nglaise  :</w:t>
            </w:r>
            <w:r w:rsidR="003B5B5D" w:rsidRPr="003B5B5D">
              <w:rPr>
                <w:rFonts w:ascii="Times New Roman" w:eastAsia="Times New Roman" w:hAnsi="Times New Roman" w:cs="Times New Roman"/>
                <w:sz w:val="20"/>
                <w:szCs w:val="20"/>
                <w:lang w:eastAsia="ar-SA"/>
              </w:rPr>
              <w:t xml:space="preserve">  </w:t>
            </w:r>
            <w:r w:rsidR="003B5B5D" w:rsidRPr="003B5B5D">
              <w:rPr>
                <w:rFonts w:ascii="Times New Roman" w:eastAsia="Times New Roman" w:hAnsi="Times New Roman" w:cs="Times New Roman"/>
                <w:b/>
                <w:sz w:val="20"/>
                <w:szCs w:val="20"/>
                <w:lang w:eastAsia="ar-SA"/>
              </w:rPr>
              <w:t>MRP Print</w:t>
            </w:r>
            <w:r w:rsidR="003B5B5D" w:rsidRPr="003B5B5D">
              <w:rPr>
                <w:rFonts w:ascii="Times New Roman" w:eastAsia="Times New Roman" w:hAnsi="Times New Roman" w:cs="Times New Roman"/>
                <w:sz w:val="20"/>
                <w:szCs w:val="20"/>
                <w:lang w:eastAsia="ar-SA"/>
              </w:rPr>
              <w:t xml:space="preserve"> </w:t>
            </w:r>
          </w:p>
          <w:p w:rsidR="006A5AC6" w:rsidRDefault="006A5AC6" w:rsidP="003B5B5D">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www.mrp.uk.com</w:t>
            </w: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sz w:val="20"/>
                <w:szCs w:val="20"/>
                <w:lang w:eastAsia="ar-SA"/>
              </w:rPr>
            </w:pPr>
            <w:r w:rsidRPr="003B5B5D">
              <w:rPr>
                <w:rFonts w:ascii="Times New Roman" w:eastAsia="Times New Roman" w:hAnsi="Times New Roman" w:cs="Times New Roman"/>
                <w:b/>
                <w:sz w:val="20"/>
                <w:szCs w:val="20"/>
                <w:lang w:eastAsia="ar-SA"/>
              </w:rPr>
              <w:t xml:space="preserve">Le </w:t>
            </w:r>
            <w:r w:rsidRPr="003B5B5D">
              <w:rPr>
                <w:rFonts w:ascii="Times New Roman" w:eastAsia="Times New Roman" w:hAnsi="Times New Roman" w:cs="Times New Roman"/>
                <w:b/>
                <w:bCs/>
                <w:sz w:val="20"/>
                <w:szCs w:val="20"/>
                <w:lang w:eastAsia="ar-SA"/>
              </w:rPr>
              <w:t>futur numéro</w:t>
            </w:r>
            <w:r w:rsidRPr="003B5B5D">
              <w:rPr>
                <w:rFonts w:ascii="Times New Roman" w:eastAsia="Times New Roman" w:hAnsi="Times New Roman" w:cs="Times New Roman"/>
                <w:b/>
                <w:sz w:val="20"/>
                <w:szCs w:val="20"/>
                <w:lang w:eastAsia="ar-SA"/>
              </w:rPr>
              <w:t xml:space="preserve"> sera publié en</w:t>
            </w:r>
            <w:r w:rsidR="006A5AC6">
              <w:rPr>
                <w:rFonts w:ascii="Times New Roman" w:eastAsia="Times New Roman" w:hAnsi="Times New Roman" w:cs="Times New Roman"/>
                <w:b/>
                <w:sz w:val="20"/>
                <w:szCs w:val="20"/>
                <w:lang w:eastAsia="ar-SA"/>
              </w:rPr>
              <w:t xml:space="preserve"> Juillet</w:t>
            </w:r>
            <w:r w:rsidRPr="003B5B5D">
              <w:rPr>
                <w:rFonts w:ascii="Times New Roman" w:eastAsia="Times New Roman" w:hAnsi="Times New Roman" w:cs="Times New Roman"/>
                <w:b/>
                <w:sz w:val="20"/>
                <w:szCs w:val="20"/>
                <w:lang w:eastAsia="ar-SA"/>
              </w:rPr>
              <w:t xml:space="preserve"> 2018</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Toute correspondance, y compris toute proposition d’article, doit être adressée à:</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 xml:space="preserve">Paul </w:t>
            </w:r>
            <w:r w:rsidRPr="003B5B5D">
              <w:rPr>
                <w:rFonts w:ascii="Times New Roman" w:eastAsia="Times New Roman" w:hAnsi="Times New Roman" w:cs="Times New Roman"/>
                <w:bCs/>
                <w:sz w:val="20"/>
                <w:szCs w:val="20"/>
                <w:lang w:val="en-US" w:eastAsia="ar-SA"/>
              </w:rPr>
              <w:t>Newson</w:t>
            </w:r>
            <w:r w:rsidRPr="003B5B5D">
              <w:rPr>
                <w:rFonts w:ascii="Times New Roman" w:eastAsia="Times New Roman" w:hAnsi="Times New Roman" w:cs="Times New Roman"/>
                <w:sz w:val="20"/>
                <w:szCs w:val="20"/>
                <w:lang w:val="en-US" w:eastAsia="ar-SA"/>
              </w:rPr>
              <w:t xml:space="preserve"> -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bCs/>
                <w:sz w:val="20"/>
                <w:szCs w:val="20"/>
                <w:lang w:val="en-GB" w:eastAsia="ar-SA"/>
              </w:rPr>
              <w:t>PNDesign</w:t>
            </w:r>
            <w:r w:rsidRPr="003B5B5D">
              <w:rPr>
                <w:rFonts w:ascii="Times New Roman" w:eastAsia="Times New Roman" w:hAnsi="Times New Roman" w:cs="Times New Roman"/>
                <w:sz w:val="20"/>
                <w:szCs w:val="20"/>
                <w:lang w:val="en-GB" w:eastAsia="ar-SA"/>
              </w:rPr>
              <w:t xml:space="preserve">, </w:t>
            </w:r>
          </w:p>
          <w:p w:rsidR="003B5B5D" w:rsidRPr="003B5B5D" w:rsidRDefault="009A1930" w:rsidP="003B5B5D">
            <w:pPr>
              <w:suppressAutoHyphens/>
              <w:spacing w:after="0" w:line="240" w:lineRule="auto"/>
              <w:rPr>
                <w:rFonts w:ascii="Times New Roman" w:eastAsia="Times New Roman" w:hAnsi="Times New Roman" w:cs="Times New Roman"/>
                <w:b/>
                <w:bCs/>
                <w:sz w:val="20"/>
                <w:szCs w:val="20"/>
                <w:lang w:val="en-US" w:eastAsia="ar-SA"/>
              </w:rPr>
            </w:pPr>
            <w:hyperlink r:id="rId75" w:history="1">
              <w:r w:rsidR="003B5B5D" w:rsidRPr="003B5B5D">
                <w:rPr>
                  <w:rFonts w:ascii="Times New Roman" w:eastAsia="Times New Roman" w:hAnsi="Times New Roman" w:cs="Times New Roman"/>
                  <w:color w:val="0000FF"/>
                  <w:sz w:val="20"/>
                  <w:szCs w:val="20"/>
                  <w:u w:val="single"/>
                  <w:lang w:val="en-US" w:eastAsia="ar-SA"/>
                </w:rPr>
                <w:t>pndesign@icloud.com</w:t>
              </w:r>
            </w:hyperlink>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GB" w:eastAsia="ar-SA"/>
              </w:rPr>
            </w:pPr>
          </w:p>
        </w:tc>
        <w:tc>
          <w:tcPr>
            <w:tcW w:w="2060" w:type="dxa"/>
            <w:tcBorders>
              <w:top w:val="single" w:sz="4" w:space="0" w:color="000000"/>
              <w:left w:val="single" w:sz="4" w:space="0" w:color="000000"/>
              <w:bottom w:val="single" w:sz="4" w:space="0" w:color="000000"/>
            </w:tcBorders>
            <w:shd w:val="clear" w:color="auto" w:fill="auto"/>
          </w:tcPr>
          <w:p w:rsidR="003B5B5D" w:rsidRPr="003B5B5D" w:rsidRDefault="003B5B5D" w:rsidP="003B5B5D">
            <w:pPr>
              <w:suppressAutoHyphens/>
              <w:snapToGrid w:val="0"/>
              <w:spacing w:after="0" w:line="240" w:lineRule="auto"/>
              <w:rPr>
                <w:rFonts w:ascii="Times New Roman" w:eastAsia="Times New Roman" w:hAnsi="Times New Roman" w:cs="Times New Roman"/>
                <w:b/>
                <w:b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b/>
                <w:b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r w:rsidRPr="003B5B5D">
              <w:rPr>
                <w:rFonts w:ascii="Times New Roman" w:eastAsia="Times New Roman" w:hAnsi="Times New Roman" w:cs="Times New Roman"/>
                <w:sz w:val="20"/>
                <w:szCs w:val="20"/>
                <w:lang w:val="en-US" w:eastAsia="ar-SA"/>
              </w:rPr>
              <w:t xml:space="preserve">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b/>
                <w:bCs/>
                <w:i/>
                <w:iCs/>
                <w:sz w:val="20"/>
                <w:szCs w:val="20"/>
                <w:lang w:val="en-US"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bCs/>
                <w:i/>
                <w:iCs/>
                <w:sz w:val="20"/>
                <w:szCs w:val="20"/>
                <w:lang w:eastAsia="ar-SA"/>
              </w:rPr>
              <w:t>Copyright</w:t>
            </w:r>
            <w:r w:rsidRPr="003B5B5D">
              <w:rPr>
                <w:rFonts w:ascii="Times New Roman" w:eastAsia="Times New Roman" w:hAnsi="Times New Roman" w:cs="Times New Roman"/>
                <w:i/>
                <w:iCs/>
                <w:sz w:val="20"/>
                <w:szCs w:val="20"/>
                <w:lang w:eastAsia="ar-SA"/>
              </w:rPr>
              <w:t> </w:t>
            </w:r>
            <w:r w:rsidRPr="003B5B5D">
              <w:rPr>
                <w:rFonts w:ascii="Times New Roman" w:eastAsia="Times New Roman" w:hAnsi="Times New Roman" w:cs="Times New Roman"/>
                <w:sz w:val="20"/>
                <w:szCs w:val="20"/>
                <w:lang w:eastAsia="ar-SA"/>
              </w:rPr>
              <w:t xml:space="preserve">: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INSOL Europe 2017</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Aucun extrait de la présente lettre d’information ne pourra être reproduit ou transféré, sous quelque forme et par quelque biais que ce soit, sans l’accord préalable d’INSOL Europe</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sz w:val="20"/>
                <w:szCs w:val="20"/>
                <w:lang w:eastAsia="ar-SA"/>
              </w:rPr>
              <w:t>Images</w:t>
            </w:r>
            <w:r w:rsidRPr="003B5B5D">
              <w:rPr>
                <w:rFonts w:ascii="Times New Roman" w:eastAsia="Times New Roman" w:hAnsi="Times New Roman" w:cs="Times New Roman"/>
                <w:sz w:val="20"/>
                <w:szCs w:val="20"/>
                <w:lang w:eastAsia="ar-SA"/>
              </w:rPr>
              <w:t xml:space="preserve"> :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@Fotolia.com (s’il n’y a pas une autre mention)</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 xml:space="preserve">EUROFENIX et </w:t>
            </w:r>
            <w:r w:rsidRPr="003B5B5D">
              <w:rPr>
                <w:rFonts w:ascii="Times New Roman" w:eastAsia="Times New Roman" w:hAnsi="Times New Roman" w:cs="Times New Roman"/>
                <w:i/>
                <w:sz w:val="20"/>
                <w:szCs w:val="20"/>
                <w:lang w:eastAsia="ar-SA"/>
              </w:rPr>
              <w:t>eurofenix</w:t>
            </w:r>
            <w:r w:rsidRPr="003B5B5D">
              <w:rPr>
                <w:rFonts w:ascii="Times New Roman" w:eastAsia="Times New Roman" w:hAnsi="Times New Roman" w:cs="Times New Roman"/>
                <w:sz w:val="20"/>
                <w:szCs w:val="20"/>
                <w:lang w:eastAsia="ar-SA"/>
              </w:rPr>
              <w:t xml:space="preserve"> sont des marques enregistrées au  nom d’INSOL Europe</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B5B5D" w:rsidRPr="003B5B5D" w:rsidRDefault="003B5B5D" w:rsidP="003B5B5D">
            <w:pPr>
              <w:suppressAutoHyphens/>
              <w:snapToGrid w:val="0"/>
              <w:spacing w:after="0" w:line="240" w:lineRule="auto"/>
              <w:rPr>
                <w:rFonts w:ascii="Times New Roman" w:eastAsia="Times New Roman" w:hAnsi="Times New Roman" w:cs="Times New Roman"/>
                <w:b/>
                <w:bCs/>
                <w:i/>
                <w:i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b/>
                <w:bCs/>
                <w:i/>
                <w:i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i/>
                <w:iCs/>
                <w:sz w:val="20"/>
                <w:szCs w:val="20"/>
                <w:lang w:eastAsia="ar-SA"/>
              </w:rPr>
            </w:pPr>
            <w:r w:rsidRPr="003B5B5D">
              <w:rPr>
                <w:rFonts w:ascii="Times New Roman" w:eastAsia="Times New Roman" w:hAnsi="Times New Roman" w:cs="Times New Roman"/>
                <w:b/>
                <w:bCs/>
                <w:i/>
                <w:iCs/>
                <w:sz w:val="20"/>
                <w:szCs w:val="20"/>
                <w:lang w:eastAsia="ar-SA"/>
              </w:rPr>
              <w:t>Avertissement</w:t>
            </w:r>
            <w:r w:rsidRPr="003B5B5D">
              <w:rPr>
                <w:rFonts w:ascii="Times New Roman" w:eastAsia="Times New Roman" w:hAnsi="Times New Roman" w:cs="Times New Roman"/>
                <w:i/>
                <w:iCs/>
                <w:sz w:val="20"/>
                <w:szCs w:val="20"/>
                <w:lang w:eastAsia="ar-SA"/>
              </w:rPr>
              <w:t xml:space="preserve"> : </w:t>
            </w:r>
          </w:p>
          <w:p w:rsidR="003B5B5D" w:rsidRPr="003B5B5D" w:rsidRDefault="003B5B5D" w:rsidP="003B5B5D">
            <w:pPr>
              <w:suppressAutoHyphens/>
              <w:spacing w:after="0" w:line="240" w:lineRule="auto"/>
              <w:rPr>
                <w:rFonts w:ascii="Times New Roman" w:eastAsia="Times New Roman" w:hAnsi="Times New Roman" w:cs="Times New Roman"/>
                <w:i/>
                <w:iCs/>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sz w:val="20"/>
                <w:szCs w:val="20"/>
                <w:lang w:eastAsia="ar-SA"/>
              </w:rPr>
              <w:t>La présence d’une erreur ou omission dans les articles publiés n’engagera nullement la responsabilité</w:t>
            </w:r>
            <w:r w:rsidRPr="003B5B5D">
              <w:rPr>
                <w:rFonts w:ascii="Times New Roman" w:eastAsia="Times New Roman" w:hAnsi="Times New Roman" w:cs="Times New Roman"/>
                <w:b/>
                <w:sz w:val="20"/>
                <w:szCs w:val="20"/>
                <w:lang w:eastAsia="ar-SA"/>
              </w:rPr>
              <w:t>, à quelque titre que ce soit</w:t>
            </w:r>
            <w:r w:rsidRPr="003B5B5D">
              <w:rPr>
                <w:rFonts w:ascii="Times New Roman" w:eastAsia="Times New Roman" w:hAnsi="Times New Roman" w:cs="Times New Roman"/>
                <w:sz w:val="20"/>
                <w:szCs w:val="20"/>
                <w:lang w:eastAsia="ar-SA"/>
              </w:rPr>
              <w:t xml:space="preserve">, de la rédaction, la production, ou du   comité exécutif d’INSOL Europe. </w:t>
            </w: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p>
          <w:p w:rsidR="003B5B5D" w:rsidRPr="003B5B5D" w:rsidRDefault="003B5B5D" w:rsidP="003B5B5D">
            <w:pPr>
              <w:suppressAutoHyphens/>
              <w:spacing w:after="0" w:line="240" w:lineRule="auto"/>
              <w:rPr>
                <w:rFonts w:ascii="Times New Roman" w:eastAsia="Times New Roman" w:hAnsi="Times New Roman" w:cs="Times New Roman"/>
                <w:sz w:val="20"/>
                <w:szCs w:val="20"/>
                <w:lang w:eastAsia="ar-SA"/>
              </w:rPr>
            </w:pPr>
            <w:r w:rsidRPr="003B5B5D">
              <w:rPr>
                <w:rFonts w:ascii="Times New Roman" w:eastAsia="Times New Roman" w:hAnsi="Times New Roman" w:cs="Times New Roman"/>
                <w:b/>
                <w:bCs/>
                <w:sz w:val="20"/>
                <w:szCs w:val="20"/>
                <w:lang w:eastAsia="ar-SA"/>
              </w:rPr>
              <w:t xml:space="preserve">Les opinions exprimées dans les articles publiés dans la présente revue </w:t>
            </w:r>
            <w:r w:rsidRPr="003B5B5D">
              <w:rPr>
                <w:rFonts w:ascii="Times New Roman" w:eastAsia="Times New Roman" w:hAnsi="Times New Roman" w:cs="Times New Roman"/>
                <w:sz w:val="20"/>
                <w:szCs w:val="20"/>
                <w:lang w:eastAsia="ar-SA"/>
              </w:rPr>
              <w:t>ne sont pas nécessairement partagées par les rédacteurs en chef, la production, ou l’un ou l’autre des représentants d’INSOL Europe, ou bien par  les sociétés et les organisations auxquelles appartiennent les auteurs des articles.</w:t>
            </w:r>
          </w:p>
        </w:tc>
      </w:tr>
    </w:tbl>
    <w:p w:rsidR="003B5B5D" w:rsidRPr="003B5B5D" w:rsidRDefault="003B5B5D" w:rsidP="003B5B5D">
      <w:pPr>
        <w:suppressAutoHyphens/>
        <w:autoSpaceDE w:val="0"/>
        <w:spacing w:after="0" w:line="240" w:lineRule="auto"/>
        <w:jc w:val="both"/>
        <w:rPr>
          <w:rFonts w:ascii="Arial Narrow" w:eastAsia="Times New Roman" w:hAnsi="Arial Narrow" w:cs="Times New Roman"/>
          <w:b/>
          <w:sz w:val="28"/>
          <w:szCs w:val="28"/>
          <w:lang w:eastAsia="ar-SA"/>
        </w:rPr>
      </w:pPr>
    </w:p>
    <w:p w:rsidR="003B5B5D" w:rsidRPr="003B5B5D" w:rsidRDefault="003B5B5D" w:rsidP="003B5B5D">
      <w:pPr>
        <w:suppressAutoHyphens/>
        <w:autoSpaceDE w:val="0"/>
        <w:spacing w:after="0" w:line="240" w:lineRule="auto"/>
        <w:jc w:val="both"/>
        <w:rPr>
          <w:rFonts w:ascii="Arial Narrow" w:eastAsia="Times New Roman" w:hAnsi="Arial Narrow" w:cs="Times New Roman"/>
          <w:b/>
          <w:sz w:val="28"/>
          <w:szCs w:val="28"/>
          <w:lang w:eastAsia="ar-SA"/>
        </w:rPr>
      </w:pPr>
    </w:p>
    <w:p w:rsidR="003B5B5D" w:rsidRPr="003B5B5D" w:rsidRDefault="003B5B5D" w:rsidP="003B5B5D">
      <w:pPr>
        <w:suppressAutoHyphens/>
        <w:autoSpaceDE w:val="0"/>
        <w:spacing w:after="0" w:line="240" w:lineRule="auto"/>
        <w:jc w:val="both"/>
        <w:rPr>
          <w:rFonts w:ascii="Arial Narrow" w:eastAsia="Times New Roman" w:hAnsi="Arial Narrow" w:cs="Times New Roman"/>
          <w:b/>
          <w:sz w:val="28"/>
          <w:szCs w:val="28"/>
          <w:lang w:eastAsia="ar-SA"/>
        </w:rPr>
      </w:pPr>
      <w:r w:rsidRPr="003B5B5D">
        <w:rPr>
          <w:rFonts w:ascii="Arial Narrow" w:eastAsia="Times New Roman" w:hAnsi="Arial Narrow" w:cs="Times New Roman"/>
          <w:b/>
          <w:sz w:val="28"/>
          <w:szCs w:val="28"/>
          <w:lang w:eastAsia="ar-SA"/>
        </w:rPr>
        <w:lastRenderedPageBreak/>
        <w:t>Bienvenue</w:t>
      </w:r>
    </w:p>
    <w:p w:rsidR="003B5B5D" w:rsidRPr="003B5B5D" w:rsidRDefault="003B5B5D" w:rsidP="003B5B5D">
      <w:pPr>
        <w:suppressAutoHyphens/>
        <w:autoSpaceDE w:val="0"/>
        <w:spacing w:after="0" w:line="240" w:lineRule="auto"/>
        <w:jc w:val="both"/>
        <w:rPr>
          <w:rFonts w:ascii="Arial Narrow" w:eastAsia="Times New Roman" w:hAnsi="Arial Narrow" w:cs="Times New Roman"/>
          <w:b/>
          <w:sz w:val="28"/>
          <w:szCs w:val="28"/>
          <w:lang w:eastAsia="ar-SA"/>
        </w:rPr>
      </w:pPr>
    </w:p>
    <w:p w:rsidR="003B5B5D" w:rsidRPr="0052658C" w:rsidRDefault="003B5B5D" w:rsidP="0052658C">
      <w:pPr>
        <w:suppressAutoHyphens/>
        <w:autoSpaceDE w:val="0"/>
        <w:spacing w:after="0" w:line="240" w:lineRule="auto"/>
        <w:jc w:val="both"/>
        <w:rPr>
          <w:rFonts w:ascii="Arial Narrow" w:eastAsia="Times New Roman" w:hAnsi="Arial Narrow" w:cs="Times New Roman"/>
          <w:b/>
          <w:sz w:val="28"/>
          <w:szCs w:val="28"/>
          <w:lang w:eastAsia="ar-SA"/>
        </w:rPr>
      </w:pPr>
      <w:r w:rsidRPr="003B5B5D">
        <w:rPr>
          <w:rFonts w:ascii="Arial Narrow" w:eastAsia="Times New Roman" w:hAnsi="Arial Narrow" w:cs="Times New Roman"/>
          <w:b/>
          <w:sz w:val="28"/>
          <w:szCs w:val="28"/>
          <w:lang w:eastAsia="ar-SA"/>
        </w:rPr>
        <w:t>La lettre des co-rédacteurs-en-chef</w:t>
      </w:r>
    </w:p>
    <w:p w:rsidR="003B5B5D" w:rsidRPr="003B5B5D" w:rsidRDefault="003B5B5D" w:rsidP="003B5B5D">
      <w:pPr>
        <w:suppressAutoHyphens/>
        <w:spacing w:after="0" w:line="240" w:lineRule="auto"/>
        <w:jc w:val="both"/>
        <w:rPr>
          <w:rFonts w:ascii="Times New Roman" w:eastAsia="Times New Roman" w:hAnsi="Times New Roman" w:cs="Times New Roman"/>
          <w:b/>
          <w:sz w:val="24"/>
          <w:szCs w:val="24"/>
          <w:lang w:eastAsia="ar-SA"/>
        </w:rPr>
      </w:pPr>
    </w:p>
    <w:p w:rsidR="003B5B5D" w:rsidRPr="003B5B5D" w:rsidRDefault="003B5B5D" w:rsidP="003B5B5D">
      <w:pPr>
        <w:spacing w:after="160" w:line="259" w:lineRule="auto"/>
        <w:jc w:val="center"/>
        <w:rPr>
          <w:rFonts w:ascii="Times New Roman" w:eastAsia="Calibri" w:hAnsi="Times New Roman" w:cs="Times New Roman"/>
          <w:b/>
          <w:sz w:val="48"/>
          <w:szCs w:val="48"/>
        </w:rPr>
      </w:pPr>
      <w:r w:rsidRPr="003B5B5D">
        <w:rPr>
          <w:rFonts w:ascii="Times New Roman" w:eastAsia="Calibri" w:hAnsi="Times New Roman" w:cs="Times New Roman"/>
          <w:b/>
          <w:sz w:val="48"/>
          <w:szCs w:val="48"/>
        </w:rPr>
        <w:t>2018: des progrès malgré la tourmente</w:t>
      </w:r>
    </w:p>
    <w:p w:rsidR="003B5B5D" w:rsidRPr="003B5B5D" w:rsidRDefault="003B5B5D" w:rsidP="003B5B5D">
      <w:pPr>
        <w:spacing w:after="160"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L’année 2018 ne fait que commencer, mais elle s’annonce passionnante.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Cela n’est dû qu’en partie à la capacité du président Trump à déclencher la tourmente. D’autres développements et conflits non résolus auront indéniablement une influence sur le cadre dans lequel évoluent les entreprises et les praticiens de l’insolvabilité.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L’horloge du Brexit fait entendre son tic-tac implacable ; les négociateurs européens et britanniques vont devoir accélérer le processus de négociation s’ils veulent avoir une chance de respecter le calendrier serré du Brexit. En Italie, les élections législatives ont mis en lumière un réveil des sentiments anti-européens et contestataires, principalement à cause de la crise des migrants. En Syrie, la situation devient de plus en plus complexe depuis que la Turquie s’est mêlée au conflit, et le risque de propagation de la violence reste un facteur préoccupant et déstabilisant aux portes de l’Europe.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Toutefois, d’autres développements offrent des perspectives plus positives. Après des mois d’errances politiques, l’Allemagne s’est enfin dotée d’un gouvernement qui fonctionne. L’économie du pays se porte bien, comme d’habitude, serait-on tenté de dire, tandis que la machine économique française semble enfin avoir été relancée en 2017, comme le confirment les statistiques citées par notre Président dans sa rubrique et par les auteurs des actualités par pays. La stabilité politique et les progrès économiques de ces deux pays importants augurent de bonnes choses pour 2018, tout comme les récentes avancées économiques d’autres pays de la zone euro, notamment de l’Autriche, de l’Espagne, du Portugal, des Pays-Bas et même de l’Italie.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Ce numéro attire votre attention sur l’importance de la cybersécurité et de la protection des données, que les entreprises européennes ne peuvent plus ignorer. L’article consacré à la cybersécurité nous rappelle à point nommé qu’il y a beaucoup de travail à faire (y compris par les PI) pour assurer la conformité au règlement général sur la protection des données (RGPD), qui entrera en vigueur en mai prochain.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Ce numéro contient un autre article qui pourra vous intéresser, en rapport avec le traitement des données : il traite des expériences acquises en Lituanie, en Slovaquie et en Hongrie dans le domaine des systèmes de sélection aléatoire des PI. Dans nos prochains numéros, d’autres articles pourraient se pencher plus en détail sur les opportunités et les risques de la « </w:t>
      </w:r>
      <w:r w:rsidRPr="003B5B5D">
        <w:rPr>
          <w:rFonts w:ascii="Times New Roman" w:eastAsia="Calibri" w:hAnsi="Times New Roman" w:cs="Times New Roman"/>
          <w:i/>
          <w:sz w:val="24"/>
        </w:rPr>
        <w:t>LegalTech</w:t>
      </w:r>
      <w:r w:rsidRPr="003B5B5D">
        <w:rPr>
          <w:rFonts w:ascii="Times New Roman" w:eastAsia="Calibri" w:hAnsi="Times New Roman" w:cs="Times New Roman"/>
          <w:sz w:val="24"/>
        </w:rPr>
        <w:t> »</w:t>
      </w:r>
      <w:r w:rsidRPr="003B5B5D">
        <w:rPr>
          <w:rFonts w:ascii="Times New Roman" w:eastAsia="Calibri" w:hAnsi="Times New Roman" w:cs="Times New Roman"/>
          <w:sz w:val="24"/>
          <w:vertAlign w:val="superscript"/>
        </w:rPr>
        <w:footnoteReference w:id="1"/>
      </w:r>
      <w:r w:rsidRPr="003B5B5D">
        <w:rPr>
          <w:rFonts w:ascii="Times New Roman" w:eastAsia="Calibri" w:hAnsi="Times New Roman" w:cs="Times New Roman"/>
          <w:sz w:val="24"/>
        </w:rPr>
        <w:t xml:space="preserve">, voire de l’intelligence artificielle.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lastRenderedPageBreak/>
        <w:t xml:space="preserve">Personnellement, je suivrai avec grand intérêt la façon dont les nouvelles procédures d’insolvabilité de groupe passeront les épreuves pratiques, qu’elles soient gérées en vertu du REI (refonte) ou des nouvelles lois nationales, telles que le Code allemand de l’insolvabilité. À propos du REI et de la précieuse source que peuvent devenir les décisions prononcées par les tribunaux d’un État membre pour trancher des litiges dans d’autres pays, le Professeur Bork nous présente en détail dans son article notre merveilleux outil qu’est le Registre d’INSOL Europe d’affaires fondées sur le REI, tandis que Myriam Mailly, dans sa rubrique technique, nous présente les affaires qui y ont été publiées depuis l’entrée en vigueur de la refonte du REI.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Les délibérations concernant la proposition de directive sur un cadre de restructuration préventif avanceront sans aucun doute cette année, amenant les législateurs à commencer à étudier si leurs lois nationales sont conformes au projet de directive, si tant est qu’ils n’aient pas déjà commencé de le faire. Toutefois, les cadres nationaux de l’insolvabilité se modernisent malgré cette proposition de directive. C’est la raison pour laquelle j’ai été très intéressé par les actualités présentées dans les articles sur le droit de l’insolvabilité en Belgique, en Finlande, en Italie et en Lettonie. Et bien que son passionnant article n’ait pas de lien direct avec l’évolution de la législation, je me dois de remercier Isabelle Didier de m’avoir enfin permis de comprendre les différents rôles des administrateurs judiciaires en France.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D’autres sujets toujours d’actualité sont abordés, tels que la responsabilité des dirigeants (actualités par pays pour la Turquie), la gestion du risque de crédit (rubrique États-Unis) et les droits des salariés dans le contexte d’une cession de fonds de commerce (article sur la situation en Espagne).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Il ne faut pas non plus oublier qu’INSOL Europe, au nombre de ses activités, est présente au sein du groupe de travail V de la CNUDCI. Florian Bruder nous en rend compte.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En conclusion, ce numéro de printemps, qui accompagnera la conférence de l’EECC à Riga (Lettonie), relate de nombreux événements positifs en Europe et au sein de notre association. Vous êtes invités à vous référer aux informations publiées dans notre revue et vous pouvez faire confiance à INSOL Europe pour organiser des conférences et des manifestations avec la précision d’une horloge suisse.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Enfin, comme le soulignait ma collègue Catarina Serra dans notre dernier éditorial : toutes les idées et recommandations qui nous aideront à améliorer davantage </w:t>
      </w:r>
      <w:r w:rsidRPr="003B5B5D">
        <w:rPr>
          <w:rFonts w:ascii="Times New Roman" w:eastAsia="Calibri" w:hAnsi="Times New Roman" w:cs="Times New Roman"/>
          <w:i/>
          <w:sz w:val="24"/>
        </w:rPr>
        <w:t>eurofenix</w:t>
      </w:r>
      <w:r w:rsidRPr="003B5B5D">
        <w:rPr>
          <w:rFonts w:ascii="Times New Roman" w:eastAsia="Calibri" w:hAnsi="Times New Roman" w:cs="Times New Roman"/>
          <w:sz w:val="24"/>
        </w:rPr>
        <w:t xml:space="preserve"> sont plus que bienvenues !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Bonne lecture !</w:t>
      </w:r>
    </w:p>
    <w:p w:rsidR="003B5B5D" w:rsidRPr="003B5B5D" w:rsidRDefault="003B5B5D" w:rsidP="003B5B5D">
      <w:pPr>
        <w:spacing w:after="160" w:line="259" w:lineRule="auto"/>
        <w:jc w:val="both"/>
        <w:rPr>
          <w:rFonts w:ascii="Times New Roman" w:eastAsia="Calibri" w:hAnsi="Times New Roman" w:cs="Times New Roman"/>
          <w:b/>
          <w:i/>
          <w:sz w:val="24"/>
        </w:rPr>
      </w:pPr>
      <w:r w:rsidRPr="003B5B5D">
        <w:rPr>
          <w:rFonts w:ascii="Times New Roman" w:eastAsia="Calibri" w:hAnsi="Times New Roman" w:cs="Times New Roman"/>
          <w:b/>
          <w:i/>
          <w:sz w:val="24"/>
        </w:rPr>
        <w:t>Frank Heeman</w:t>
      </w:r>
    </w:p>
    <w:p w:rsidR="003B5B5D" w:rsidRPr="003B5B5D" w:rsidRDefault="003B5B5D" w:rsidP="003B5B5D">
      <w:pPr>
        <w:spacing w:after="0" w:line="240" w:lineRule="auto"/>
        <w:rPr>
          <w:rFonts w:ascii="Arial Narrow" w:eastAsia="Times New Roman" w:hAnsi="Arial Narrow" w:cs="Times New Roman"/>
          <w:b/>
          <w:sz w:val="32"/>
          <w:szCs w:val="32"/>
          <w:lang w:eastAsia="ar-SA"/>
        </w:rPr>
      </w:pPr>
    </w:p>
    <w:p w:rsidR="003B5B5D" w:rsidRPr="003B5B5D" w:rsidRDefault="003B5B5D" w:rsidP="003B5B5D">
      <w:pPr>
        <w:spacing w:after="0" w:line="240" w:lineRule="auto"/>
        <w:rPr>
          <w:rFonts w:ascii="Arial Narrow" w:eastAsia="Times New Roman" w:hAnsi="Arial Narrow" w:cs="Times New Roman"/>
          <w:b/>
          <w:sz w:val="32"/>
          <w:szCs w:val="32"/>
          <w:lang w:eastAsia="ar-SA"/>
        </w:rPr>
      </w:pPr>
    </w:p>
    <w:p w:rsidR="003B5B5D" w:rsidRPr="003B5B5D" w:rsidRDefault="003B5B5D" w:rsidP="003B5B5D">
      <w:pPr>
        <w:spacing w:after="0" w:line="240" w:lineRule="auto"/>
        <w:rPr>
          <w:rFonts w:ascii="Arial Narrow" w:eastAsia="Times New Roman" w:hAnsi="Arial Narrow" w:cs="Times New Roman"/>
          <w:b/>
          <w:sz w:val="32"/>
          <w:szCs w:val="32"/>
          <w:lang w:eastAsia="ar-SA"/>
        </w:rPr>
      </w:pPr>
    </w:p>
    <w:p w:rsidR="003B5B5D" w:rsidRPr="003B5B5D" w:rsidRDefault="003B5B5D" w:rsidP="003B5B5D">
      <w:pPr>
        <w:spacing w:after="0" w:line="240" w:lineRule="auto"/>
        <w:rPr>
          <w:rFonts w:ascii="Arial Narrow" w:eastAsia="Times New Roman" w:hAnsi="Arial Narrow" w:cs="Times New Roman"/>
          <w:b/>
          <w:sz w:val="32"/>
          <w:szCs w:val="32"/>
          <w:lang w:eastAsia="ar-SA"/>
        </w:rPr>
      </w:pPr>
    </w:p>
    <w:p w:rsidR="003B5B5D" w:rsidRPr="003B5B5D" w:rsidRDefault="003B5B5D" w:rsidP="003B5B5D">
      <w:pPr>
        <w:spacing w:after="0" w:line="240" w:lineRule="auto"/>
        <w:rPr>
          <w:rFonts w:ascii="Arial Narrow" w:eastAsia="Times New Roman" w:hAnsi="Arial Narrow" w:cs="Times New Roman"/>
          <w:b/>
          <w:sz w:val="32"/>
          <w:szCs w:val="32"/>
          <w:lang w:eastAsia="ar-SA"/>
        </w:rPr>
      </w:pPr>
    </w:p>
    <w:p w:rsidR="003B5B5D" w:rsidRPr="003B5B5D" w:rsidRDefault="003B5B5D" w:rsidP="003B5B5D">
      <w:pPr>
        <w:spacing w:after="0" w:line="240" w:lineRule="auto"/>
        <w:rPr>
          <w:rFonts w:ascii="Times New Roman" w:eastAsia="Times New Roman" w:hAnsi="Times New Roman" w:cs="Times New Roman"/>
          <w:iCs/>
          <w:sz w:val="24"/>
          <w:szCs w:val="24"/>
          <w:lang w:eastAsia="fr-FR"/>
        </w:rPr>
      </w:pPr>
      <w:r w:rsidRPr="003B5B5D">
        <w:rPr>
          <w:rFonts w:ascii="Arial Narrow" w:eastAsia="Times New Roman" w:hAnsi="Arial Narrow" w:cs="Times New Roman"/>
          <w:b/>
          <w:sz w:val="32"/>
          <w:szCs w:val="32"/>
          <w:lang w:eastAsia="ar-SA"/>
        </w:rPr>
        <w:lastRenderedPageBreak/>
        <w:t>La lettre du Président</w:t>
      </w:r>
    </w:p>
    <w:p w:rsidR="003B5B5D" w:rsidRPr="003B5B5D" w:rsidRDefault="003B5B5D" w:rsidP="003B5B5D">
      <w:pPr>
        <w:suppressAutoHyphens/>
        <w:spacing w:after="0" w:line="240" w:lineRule="auto"/>
        <w:rPr>
          <w:rFonts w:ascii="Times New Roman" w:eastAsia="Times New Roman" w:hAnsi="Times New Roman" w:cs="Times New Roman"/>
          <w:sz w:val="24"/>
          <w:szCs w:val="24"/>
          <w:lang w:eastAsia="ar-SA"/>
        </w:rPr>
      </w:pPr>
    </w:p>
    <w:p w:rsidR="003B5B5D" w:rsidRPr="003B5B5D" w:rsidRDefault="003B5B5D" w:rsidP="003B5B5D">
      <w:pPr>
        <w:spacing w:after="160" w:line="259" w:lineRule="auto"/>
        <w:jc w:val="center"/>
        <w:rPr>
          <w:rFonts w:ascii="Times New Roman" w:eastAsia="Calibri" w:hAnsi="Times New Roman" w:cs="Times New Roman"/>
          <w:b/>
          <w:sz w:val="48"/>
          <w:szCs w:val="48"/>
        </w:rPr>
      </w:pPr>
      <w:r w:rsidRPr="003B5B5D">
        <w:rPr>
          <w:rFonts w:ascii="Times New Roman" w:eastAsia="Calibri" w:hAnsi="Times New Roman" w:cs="Times New Roman"/>
          <w:b/>
          <w:sz w:val="48"/>
          <w:szCs w:val="48"/>
        </w:rPr>
        <w:t>Prévisions pour l’année à venir et les suivantes</w:t>
      </w:r>
    </w:p>
    <w:p w:rsidR="003B5B5D" w:rsidRPr="003B5B5D" w:rsidRDefault="003B5B5D" w:rsidP="003B5B5D">
      <w:pPr>
        <w:spacing w:after="0" w:line="259" w:lineRule="auto"/>
        <w:jc w:val="center"/>
        <w:rPr>
          <w:rFonts w:ascii="Arial Narrow" w:eastAsia="Calibri" w:hAnsi="Arial Narrow" w:cs="Times New Roman"/>
          <w:i/>
          <w:sz w:val="24"/>
        </w:rPr>
      </w:pPr>
      <w:r w:rsidRPr="003B5B5D">
        <w:rPr>
          <w:rFonts w:ascii="Arial Narrow" w:eastAsia="Calibri" w:hAnsi="Arial Narrow" w:cs="Times New Roman"/>
          <w:i/>
          <w:sz w:val="24"/>
        </w:rPr>
        <w:t>Radu Lotrean* évoque le contexte dans lequel s’inscrivent ses projets pour INSOL Europe et compare les différentes tendances européennes en matière d’insolvabilité</w:t>
      </w:r>
    </w:p>
    <w:p w:rsidR="003B5B5D" w:rsidRPr="003B5B5D" w:rsidRDefault="003B5B5D" w:rsidP="003B5B5D">
      <w:pPr>
        <w:spacing w:after="0" w:line="259" w:lineRule="auto"/>
        <w:jc w:val="both"/>
        <w:rPr>
          <w:rFonts w:ascii="Times New Roman" w:eastAsia="Calibri" w:hAnsi="Times New Roman" w:cs="Times New Roman"/>
          <w:b/>
          <w:sz w:val="24"/>
        </w:rPr>
      </w:pPr>
    </w:p>
    <w:p w:rsidR="003B5B5D" w:rsidRPr="003B5B5D" w:rsidRDefault="003B5B5D" w:rsidP="000D634D">
      <w:pPr>
        <w:spacing w:line="259" w:lineRule="auto"/>
        <w:jc w:val="both"/>
        <w:rPr>
          <w:rFonts w:ascii="Times New Roman" w:eastAsia="Calibri" w:hAnsi="Times New Roman" w:cs="Times New Roman"/>
          <w:b/>
          <w:sz w:val="24"/>
        </w:rPr>
      </w:pPr>
      <w:r w:rsidRPr="003B5B5D">
        <w:rPr>
          <w:rFonts w:ascii="Times New Roman" w:eastAsia="Calibri" w:hAnsi="Times New Roman" w:cs="Times New Roman"/>
          <w:b/>
          <w:sz w:val="24"/>
        </w:rPr>
        <w:t>Je souhaite partager avec vous quelques idées sur la future stratégie d’INSOL Europe. Toute organisation est un chantier permanent, de sa conception à la fin de son existence.</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On pourrait avancer que la fin d’existence d’une organisation correspond à l’arrêt de sa construction, quelle qu’en soit la raison. Le fait qu’une organisation soit toujours « en travaux » peut sembler inconséquent, mais cela transmet un message de vitalité qui renforce la confiance de ses membres et en attire de nouveaux. Ce qui motive les gens, c’est de voir de l’énergie, de voir que les choses bougent. Je crois en cette organisation et, en tant que président, je souhaite apporter ma pierre à l’édifice pour qu’elle réalise son potentiel. C’est le défi personnel que je me suis fixé pour 2018. On peut le résumer facilement en un mot : croissance.</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Je ne veux pas seulement faire de petites réparations, combler des fissures : je veux me pencher de près sur ses fondations. La main dans la main avec le groupe de travail 2025 d’INSOL Europe, le Comité exécutif, le Conseil et le Secrétariat, nous avons passé l’année dernière à recueillir et compiler des données qui pourraient nous aider à mieux comprendre la place qu’occupe aujourd’hui INSOL Europe. Le questionnaire et les entretiens réalisés par les membres du groupe de travail 2025 d’INSOL Europe ont révélé des faits intéressants sur notre organisation, ce qui nous a amené à penser et repenser notre rôle, la croissance de notre organisation, sa présence et ses groupes cibles. Ce qui m’a le plus intrigué est l’aspect des données relatif à notre présence : nous avons un énorme potentiel d’attraction de membres de grands pays qui sont actuellement sous-représentés, en termes de ratio d’adhérents, tels que la France, l’Italie, l’Espagne et l’Allemagne, ainsi que de pays qui ne sont pas représentés au Conseil, tels que Chypre, la Hongrie, la Belgique, le Portugal, le Luxembourg et la Finlande. Nous devons étudier nos membres, leurs besoins, le contenu que nous leur offrons et la façon dont nous « vendons » notre organisation.</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Je dois dire que ce type de travaux nécessite de trouver un juste équilibre. Bien qu’étant un bastion d’administrateurs de l’insolvabilité, de conseillers et de chercheurs en insolvabilité, nous voulons également cibler d’autres professions liées à l’insolvabilité ou à la restructuration. Sommes-nous pour autant capables d’assumer les risques qui vont de pair avec cette concentration de notre objectif ? À quel point pouvons-nous changer sans qu’INSOL Europe perde son identité ? Il y a indubitablement là matière à réflexion et à discussion. Ces nouveaux objectifs et les étapes qui y conduisent ont déjà été évoqués et adoptés par les présidents de nos groupes de travail et les membres du Conseil. J’espère que ce nouveau plan stratégique à long terme prendra forme après notre réunion du Conseil d’avril, à Sibiu (Roumanie).</w:t>
      </w:r>
    </w:p>
    <w:p w:rsidR="000D634D" w:rsidRDefault="000D634D" w:rsidP="000D634D">
      <w:pPr>
        <w:spacing w:line="259" w:lineRule="auto"/>
        <w:jc w:val="both"/>
        <w:rPr>
          <w:rFonts w:ascii="Times New Roman" w:eastAsia="Calibri" w:hAnsi="Times New Roman" w:cs="Times New Roman"/>
          <w:b/>
          <w:sz w:val="24"/>
        </w:rPr>
      </w:pP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b/>
          <w:sz w:val="24"/>
        </w:rPr>
        <w:lastRenderedPageBreak/>
        <w:t>Allons de l’avant</w:t>
      </w:r>
      <w:r w:rsidRPr="003B5B5D">
        <w:rPr>
          <w:rFonts w:ascii="Times New Roman" w:eastAsia="Calibri" w:hAnsi="Times New Roman" w:cs="Times New Roman"/>
          <w:sz w:val="24"/>
        </w:rPr>
        <w:t xml:space="preserv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Je profite de l’occasion pour mentionner un important projet en cours d’INSOL Europe : la </w:t>
      </w:r>
      <w:r w:rsidRPr="003B5B5D">
        <w:rPr>
          <w:rFonts w:ascii="Times New Roman" w:eastAsia="Calibri" w:hAnsi="Times New Roman" w:cs="Times New Roman"/>
          <w:b/>
          <w:sz w:val="24"/>
        </w:rPr>
        <w:t>formation de haut niveau sur le droit de l’insolvabilité</w:t>
      </w:r>
      <w:r w:rsidRPr="003B5B5D">
        <w:rPr>
          <w:rFonts w:ascii="Times New Roman" w:eastAsia="Calibri" w:hAnsi="Times New Roman" w:cs="Times New Roman"/>
          <w:sz w:val="24"/>
        </w:rPr>
        <w:t>.</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Après la réussite de la formation organisée en Roumanie, nous allons continuer sur notre lancée. Après avoir hésité entre la Pologne, la Slovaquie ou Chypre, nous avons finalement retenu Chypre pour organiser la formation de cette année. Ceci nous permettra de recruter de nouveaux membres chypriotes (actuellement, ils ne sont que quatre) et donnera l’occasion aux professionnels de l’insolvabilité locaux d’analyser en profondeur, au travers du prisme des pratiques de référence internationales, les récentes évolutions de leur législation.</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La réforme de 2016 du cadre législatif de l’insolvabilité était l’une des conditions prévues par le protocole d’accord passé entre le Gouvernement chypriote, le Fonds monétaire international, la Banque centrale européenne et la Commission européenne en 2013, pendant la crise bancaire. Dans une certaine mesure, le nouveau régime de l’insolvabilité s’inspire du modèle qui avait été adopté par l’Irlande. Ainsi, cette formation semble parfaitement indiquée. Chypre compte environ 300 praticiens de l’insolvabilité et de nombreuses procédures d’insolvabilité, ainsi qu’un marché très actif des prêts non productifs. Nous espérons pouvoir débattre ouvertement avec tous les acteurs de l’insolvabilité réunis autour d’une même table : PI, créanciers, juges et représentants de la masse.</w:t>
      </w:r>
    </w:p>
    <w:p w:rsidR="003B5B5D" w:rsidRPr="003B5B5D" w:rsidRDefault="003B5B5D" w:rsidP="000D634D">
      <w:pPr>
        <w:spacing w:line="259" w:lineRule="auto"/>
        <w:jc w:val="both"/>
        <w:rPr>
          <w:rFonts w:ascii="Times New Roman" w:eastAsia="Calibri" w:hAnsi="Times New Roman" w:cs="Times New Roman"/>
          <w:b/>
          <w:sz w:val="24"/>
        </w:rPr>
      </w:pPr>
      <w:r w:rsidRPr="003B5B5D">
        <w:rPr>
          <w:rFonts w:ascii="Times New Roman" w:eastAsia="Calibri" w:hAnsi="Times New Roman" w:cs="Times New Roman"/>
          <w:b/>
          <w:sz w:val="24"/>
        </w:rPr>
        <w:t xml:space="preserve">Tour d’Europe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Je pense que 2018 sera une année très intéressante, non seulement pour notre organisation, mais également pour le marché européen de l’insolvabilité : le nombre d’insolvabilités devrait diminuer en 2018, dans la lignée de la tendance amorcée en 2017. Les exceptions sont le Royaume-Uni, dans le contexte du Brexit, et l’Europe centrale et de l’Est, marquée par la tourmente politique.</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En </w:t>
      </w:r>
      <w:r w:rsidRPr="003B5B5D">
        <w:rPr>
          <w:rFonts w:ascii="Times New Roman" w:eastAsia="Calibri" w:hAnsi="Times New Roman" w:cs="Times New Roman"/>
          <w:b/>
          <w:sz w:val="24"/>
        </w:rPr>
        <w:t>Allemagne</w:t>
      </w:r>
      <w:r w:rsidRPr="003B5B5D">
        <w:rPr>
          <w:rFonts w:ascii="Times New Roman" w:eastAsia="Calibri" w:hAnsi="Times New Roman" w:cs="Times New Roman"/>
          <w:sz w:val="24"/>
        </w:rPr>
        <w:t>, on a assisté a un déclin régulier du nombre d’insolvabilités d’entreprises au cours des dernières années. La majorité des experts chiffrent cette diminution à 4 % pour 2017, par rapport aux quelque 23 100 insolvabilités de 2016, et prévoient une nouvelle diminution de 4 % pour 2018. D’autres, au contraire, tirent le signal d’alarme et pensent que nous verrons de grandes entreprises rencontrer des difficultés et donc que la valeur totale des dettes décotées devrait également augmenter. La législation allemande évolue elle aussi : en avril 2018, les dispositions relatives aux insolvabilités de groupe entreront en vigueur, permettant aux procédures dirigées à l’encontre d’entreprises faisant partie d’un groupe d’être regroupées auprès d’un tribunal de l’insolvabilité unique et d’être administrées par un seul praticien.</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Au </w:t>
      </w:r>
      <w:r w:rsidRPr="003B5B5D">
        <w:rPr>
          <w:rFonts w:ascii="Times New Roman" w:eastAsia="Calibri" w:hAnsi="Times New Roman" w:cs="Times New Roman"/>
          <w:b/>
          <w:sz w:val="24"/>
        </w:rPr>
        <w:t>Royaume-Uni</w:t>
      </w:r>
      <w:r w:rsidRPr="003B5B5D">
        <w:rPr>
          <w:rFonts w:ascii="Times New Roman" w:eastAsia="Calibri" w:hAnsi="Times New Roman" w:cs="Times New Roman"/>
          <w:sz w:val="24"/>
        </w:rPr>
        <w:t>, l’économie paye son tribut au Brexit et les insolvabilités sont à la hausse. L’association des professionnels de l’insolvabilité britannique a récemment réalisé une étude auprès de ses membres, qui sont environ 1 700. La majorité écrasante des experts de l’insolvabilité et de la restructuration qui y ont répondu estimait que la décision du Royaume-Uni de quitter l’UE entraînerait une augmentation des insolvabilité d’entreprises en 2017 et 2018 et que le Brexit avait déjà eu des répercussions négatives sur le financement de nombreuses entreprises.</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lastRenderedPageBreak/>
        <w:t>L’</w:t>
      </w:r>
      <w:r w:rsidRPr="003B5B5D">
        <w:rPr>
          <w:rFonts w:ascii="Times New Roman" w:eastAsia="Calibri" w:hAnsi="Times New Roman" w:cs="Times New Roman"/>
          <w:b/>
          <w:sz w:val="24"/>
        </w:rPr>
        <w:t xml:space="preserve">Espagne </w:t>
      </w:r>
      <w:r w:rsidRPr="003B5B5D">
        <w:rPr>
          <w:rFonts w:ascii="Times New Roman" w:eastAsia="Calibri" w:hAnsi="Times New Roman" w:cs="Times New Roman"/>
          <w:sz w:val="24"/>
        </w:rPr>
        <w:t>connaît sa quatrième année d’expansion et de création d’emplois, ce qui amène les experts à prévoir une diminution de 7 % du nombre d’insolvabilités en 2018</w:t>
      </w:r>
      <w:r w:rsidRPr="003B5B5D">
        <w:rPr>
          <w:rFonts w:ascii="Times New Roman" w:eastAsia="Calibri" w:hAnsi="Times New Roman" w:cs="Times New Roman"/>
          <w:b/>
          <w:sz w:val="24"/>
        </w:rPr>
        <w:t>.</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En </w:t>
      </w:r>
      <w:r w:rsidRPr="003B5B5D">
        <w:rPr>
          <w:rFonts w:ascii="Times New Roman" w:eastAsia="Calibri" w:hAnsi="Times New Roman" w:cs="Times New Roman"/>
          <w:b/>
          <w:sz w:val="24"/>
        </w:rPr>
        <w:t>Italie</w:t>
      </w:r>
      <w:r w:rsidRPr="003B5B5D">
        <w:rPr>
          <w:rFonts w:ascii="Times New Roman" w:eastAsia="Calibri" w:hAnsi="Times New Roman" w:cs="Times New Roman"/>
          <w:sz w:val="24"/>
        </w:rPr>
        <w:t>, où les entreprises se redressent, les experts ont prédit une diminution de 5 % du nombre d’insolvabilités en 2017 et de 4 % en 2018. Leur nombre restera néanmoins élevé, tournant autour des 14 000. En vertu de la loi 155/2017, qui est entrée en vigueur le 14 novembre 2017, le Parlement italien a chargé le Gouvernement d’adopter, dans les douze mois à venir, une réforme organique globale de la procédure d’insolvabilité et des règles applicables aux crises d’entreprise.</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Les économies de </w:t>
      </w:r>
      <w:r w:rsidRPr="003B5B5D">
        <w:rPr>
          <w:rFonts w:ascii="Times New Roman" w:eastAsia="Calibri" w:hAnsi="Times New Roman" w:cs="Times New Roman"/>
          <w:b/>
          <w:sz w:val="24"/>
        </w:rPr>
        <w:t>Grèce</w:t>
      </w:r>
      <w:r w:rsidRPr="003B5B5D">
        <w:rPr>
          <w:rFonts w:ascii="Times New Roman" w:eastAsia="Calibri" w:hAnsi="Times New Roman" w:cs="Times New Roman"/>
          <w:sz w:val="24"/>
        </w:rPr>
        <w:t xml:space="preserve">, du </w:t>
      </w:r>
      <w:r w:rsidRPr="003B5B5D">
        <w:rPr>
          <w:rFonts w:ascii="Times New Roman" w:eastAsia="Calibri" w:hAnsi="Times New Roman" w:cs="Times New Roman"/>
          <w:b/>
          <w:sz w:val="24"/>
        </w:rPr>
        <w:t>Portugal</w:t>
      </w:r>
      <w:r w:rsidRPr="003B5B5D">
        <w:rPr>
          <w:rFonts w:ascii="Times New Roman" w:eastAsia="Calibri" w:hAnsi="Times New Roman" w:cs="Times New Roman"/>
          <w:sz w:val="24"/>
        </w:rPr>
        <w:t xml:space="preserve"> et d’</w:t>
      </w:r>
      <w:r w:rsidRPr="003B5B5D">
        <w:rPr>
          <w:rFonts w:ascii="Times New Roman" w:eastAsia="Calibri" w:hAnsi="Times New Roman" w:cs="Times New Roman"/>
          <w:b/>
          <w:sz w:val="24"/>
        </w:rPr>
        <w:t>Irlande</w:t>
      </w:r>
      <w:r w:rsidRPr="003B5B5D">
        <w:rPr>
          <w:rFonts w:ascii="Times New Roman" w:eastAsia="Calibri" w:hAnsi="Times New Roman" w:cs="Times New Roman"/>
          <w:sz w:val="24"/>
        </w:rPr>
        <w:t xml:space="preserve"> ayant elles aussi connu une croissance, on a pu y observer un déclin régulier des insolvabilités en 2017 ; il est prévu que le nombre d’insolvabilités diminue de 8 % en Grèce, de 6 % au Portugal et de 3 % en Irlande.</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En </w:t>
      </w:r>
      <w:r w:rsidRPr="003B5B5D">
        <w:rPr>
          <w:rFonts w:ascii="Times New Roman" w:eastAsia="Calibri" w:hAnsi="Times New Roman" w:cs="Times New Roman"/>
          <w:b/>
          <w:sz w:val="24"/>
        </w:rPr>
        <w:t>Roumanie</w:t>
      </w:r>
      <w:r w:rsidRPr="003B5B5D">
        <w:rPr>
          <w:rFonts w:ascii="Times New Roman" w:eastAsia="Calibri" w:hAnsi="Times New Roman" w:cs="Times New Roman"/>
          <w:sz w:val="24"/>
        </w:rPr>
        <w:t>, on observe un paradoxe. Bien que les résultats financiers macroéconomiques du pays la placent en tête du palmarès européen en termes de croissance économique, le secteur de l’insolvabilité reste très actif et tumultueux. Ces quatre dernières années, la Roumanie a connu une diminution importante et constante du nombre d’insolvabilités. Il est passé de 20 000 insolvabilités par an en 2014 à 10 000 en 2015, diminuant ensuite de 20 % en 2016, les prévisions annonçant une diminution de 5 % en 2017. Ces pronostics se sont avérés erronés, puisqu’une augmentation de près de 9 % a eu lieu en 2017. L’année 2018 s’accompagne de son lot de mauvaises surprises, qui risquent d’entraîner une augmentation du nombre d’insolvabilités.</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En novembre 2017, le Gouvernement a adopté une nouvelle loi, « révolution fiscale » auto-proclamée. Cette loi est entrée en vigueur le 1</w:t>
      </w:r>
      <w:r w:rsidRPr="003B5B5D">
        <w:rPr>
          <w:rFonts w:ascii="Times New Roman" w:eastAsia="Calibri" w:hAnsi="Times New Roman" w:cs="Times New Roman"/>
          <w:sz w:val="24"/>
          <w:vertAlign w:val="superscript"/>
        </w:rPr>
        <w:t>er</w:t>
      </w:r>
      <w:r w:rsidRPr="003B5B5D">
        <w:rPr>
          <w:rFonts w:ascii="Times New Roman" w:eastAsia="Calibri" w:hAnsi="Times New Roman" w:cs="Times New Roman"/>
          <w:sz w:val="24"/>
        </w:rPr>
        <w:t> janvier 2018. Elle modifie les cotisations de sécurité sociale et l’impôt sur le revenu ; elle augmente le salaire minimum et menace les entreprises qui reposent essentiellement sur de la main-d’œuvre bon marché. Nous ne sommes qu’en mars, mais le Gouvernement a déjà promulgué un nouveau texte pour corriger certains des effets de cette révolution fiscale.</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Considérations nationales mises à part, je suis persuadé que l’année 2018 lancera des défis inattendus aux professionnels de l’insolvabilité, de la restructuration et du redressement, et INSOL Europe continuera de les soutenir dans leurs efforts.</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b/>
          <w:sz w:val="24"/>
        </w:rPr>
        <w:t>Invitation à Riga</w:t>
      </w:r>
      <w:r w:rsidRPr="003B5B5D">
        <w:rPr>
          <w:rFonts w:ascii="Times New Roman" w:eastAsia="Calibri" w:hAnsi="Times New Roman" w:cs="Times New Roman"/>
          <w:sz w:val="24"/>
        </w:rPr>
        <w:t xml:space="preserve"> </w:t>
      </w:r>
    </w:p>
    <w:p w:rsidR="003B5B5D" w:rsidRPr="003B5B5D" w:rsidRDefault="003B5B5D" w:rsidP="000D634D">
      <w:pPr>
        <w:spacing w:line="259" w:lineRule="auto"/>
        <w:jc w:val="both"/>
        <w:rPr>
          <w:rFonts w:ascii="Times New Roman" w:eastAsia="Calibri" w:hAnsi="Times New Roman" w:cs="Times New Roman"/>
          <w:sz w:val="24"/>
        </w:rPr>
      </w:pPr>
      <w:r w:rsidRPr="003B5B5D">
        <w:rPr>
          <w:rFonts w:ascii="Times New Roman" w:eastAsia="Calibri" w:hAnsi="Times New Roman" w:cs="Times New Roman"/>
          <w:sz w:val="24"/>
        </w:rPr>
        <w:t xml:space="preserve">Je conclurai cet article en vous invitant à la </w:t>
      </w:r>
      <w:r w:rsidRPr="003B5B5D">
        <w:rPr>
          <w:rFonts w:ascii="Times New Roman" w:eastAsia="Calibri" w:hAnsi="Times New Roman" w:cs="Times New Roman"/>
          <w:b/>
          <w:sz w:val="24"/>
        </w:rPr>
        <w:t>Conférence du</w:t>
      </w:r>
      <w:r w:rsidRPr="003B5B5D">
        <w:rPr>
          <w:rFonts w:ascii="Times New Roman" w:eastAsia="Calibri" w:hAnsi="Times New Roman" w:cs="Times New Roman"/>
          <w:sz w:val="24"/>
        </w:rPr>
        <w:t xml:space="preserve"> </w:t>
      </w:r>
      <w:r w:rsidRPr="003B5B5D">
        <w:rPr>
          <w:rFonts w:ascii="Times New Roman" w:eastAsia="Calibri" w:hAnsi="Times New Roman" w:cs="Times New Roman"/>
          <w:b/>
          <w:sz w:val="24"/>
        </w:rPr>
        <w:t>Comité des Pays de l’Europe orientale</w:t>
      </w:r>
      <w:r w:rsidRPr="003B5B5D">
        <w:rPr>
          <w:rFonts w:ascii="Times New Roman" w:eastAsia="Calibri" w:hAnsi="Times New Roman" w:cs="Times New Roman"/>
          <w:sz w:val="24"/>
        </w:rPr>
        <w:t>, qui se tiendra cette année à Riga. Cette conférence se focalisera essentiellement sur les nouvelles approches de l’insolvabilité en Europe, sur la façon dont les lois locales et européennes ont évolué et sur les projets de la Commission européenne tendant à l’harmonisation des lois sur l’insolvabilité dans les États membres. Nous avons l’intention de nous concentrer sur l’aspect pratique et, à cet effet, d’y présenter des études de cas de restructuration très intéressantes. Cerise sur le gâteau, nous avons invité deux intervenants principaux de haut vol : le Premier Ministre et le ministre de la Justice de Lettonie. Ne ratez pas cet événement !</w:t>
      </w:r>
    </w:p>
    <w:p w:rsidR="003B5B5D" w:rsidRPr="003B5B5D" w:rsidRDefault="003B5B5D" w:rsidP="000D634D">
      <w:pPr>
        <w:spacing w:line="259" w:lineRule="auto"/>
        <w:ind w:left="4248" w:firstLine="708"/>
        <w:jc w:val="both"/>
        <w:rPr>
          <w:rFonts w:ascii="Arial Narrow" w:eastAsia="Calibri" w:hAnsi="Arial Narrow" w:cs="Times New Roman"/>
          <w:i/>
          <w:sz w:val="20"/>
        </w:rPr>
      </w:pPr>
      <w:r w:rsidRPr="003B5B5D">
        <w:rPr>
          <w:rFonts w:ascii="Arial Narrow" w:eastAsia="Calibri" w:hAnsi="Arial Narrow" w:cs="Times New Roman"/>
          <w:i/>
          <w:sz w:val="20"/>
        </w:rPr>
        <w:t>*Radu Lotrean est le Président d’INSOL Europe</w:t>
      </w:r>
    </w:p>
    <w:p w:rsidR="004623E2" w:rsidRPr="003B5B5D" w:rsidRDefault="004623E2" w:rsidP="003B5B5D">
      <w:pPr>
        <w:suppressAutoHyphens/>
        <w:spacing w:after="0" w:line="240" w:lineRule="auto"/>
        <w:jc w:val="center"/>
        <w:rPr>
          <w:rFonts w:ascii="Times New Roman" w:eastAsia="Times New Roman" w:hAnsi="Times New Roman" w:cs="Times New Roman"/>
          <w:sz w:val="24"/>
          <w:szCs w:val="24"/>
          <w:lang w:eastAsia="ar-SA"/>
        </w:rPr>
      </w:pPr>
    </w:p>
    <w:p w:rsidR="003B5B5D" w:rsidRPr="0052658C" w:rsidRDefault="003B5B5D" w:rsidP="0052658C">
      <w:pPr>
        <w:suppressAutoHyphens/>
        <w:spacing w:after="0" w:line="240" w:lineRule="auto"/>
        <w:rPr>
          <w:rFonts w:ascii="Times New Roman" w:eastAsia="Times New Roman" w:hAnsi="Times New Roman" w:cs="Times New Roman"/>
          <w:sz w:val="24"/>
          <w:szCs w:val="24"/>
          <w:lang w:eastAsia="ar-SA"/>
        </w:rPr>
      </w:pPr>
      <w:r w:rsidRPr="003B5B5D">
        <w:rPr>
          <w:rFonts w:ascii="Arial Narrow" w:eastAsia="Times New Roman" w:hAnsi="Arial Narrow" w:cs="Times New Roman"/>
          <w:b/>
          <w:sz w:val="28"/>
          <w:szCs w:val="28"/>
          <w:lang w:eastAsia="fr-FR"/>
        </w:rPr>
        <w:t>Actualités et événements</w:t>
      </w:r>
    </w:p>
    <w:p w:rsidR="003B5B5D" w:rsidRPr="003B5B5D" w:rsidRDefault="003B5B5D" w:rsidP="003B5B5D">
      <w:pPr>
        <w:spacing w:after="0" w:line="240" w:lineRule="auto"/>
        <w:jc w:val="center"/>
        <w:rPr>
          <w:rFonts w:ascii="Times New Roman" w:eastAsia="Times New Roman" w:hAnsi="Times New Roman" w:cs="Times New Roman"/>
          <w:b/>
          <w:sz w:val="48"/>
          <w:szCs w:val="48"/>
          <w:lang w:eastAsia="fr-FR"/>
        </w:rPr>
      </w:pPr>
      <w:r w:rsidRPr="003B5B5D">
        <w:rPr>
          <w:rFonts w:ascii="Times New Roman" w:eastAsia="Times New Roman" w:hAnsi="Times New Roman" w:cs="Times New Roman"/>
          <w:b/>
          <w:sz w:val="48"/>
          <w:szCs w:val="48"/>
          <w:lang w:eastAsia="fr-FR"/>
        </w:rPr>
        <w:t>Actualités</w:t>
      </w:r>
    </w:p>
    <w:p w:rsidR="003B5B5D" w:rsidRPr="003B5B5D" w:rsidRDefault="003B5B5D" w:rsidP="003B5B5D">
      <w:pPr>
        <w:spacing w:after="0" w:line="240" w:lineRule="auto"/>
        <w:rPr>
          <w:rFonts w:ascii="Arial Narrow" w:eastAsia="Times New Roman" w:hAnsi="Arial Narrow" w:cs="Times New Roman"/>
          <w:i/>
          <w:sz w:val="24"/>
          <w:szCs w:val="24"/>
          <w:lang w:eastAsia="fr-FR"/>
        </w:rPr>
      </w:pPr>
    </w:p>
    <w:p w:rsidR="003B5B5D" w:rsidRPr="003B5B5D" w:rsidRDefault="003B5B5D" w:rsidP="003B5B5D">
      <w:pPr>
        <w:suppressAutoHyphens/>
        <w:spacing w:after="0" w:line="240" w:lineRule="auto"/>
        <w:jc w:val="both"/>
        <w:rPr>
          <w:rFonts w:ascii="Times New Roman" w:eastAsia="Times New Roman" w:hAnsi="Times New Roman" w:cs="Times New Roman"/>
          <w:b/>
          <w:i/>
          <w:sz w:val="24"/>
          <w:szCs w:val="24"/>
          <w:lang w:eastAsia="ar-SA"/>
        </w:rPr>
      </w:pPr>
      <w:r w:rsidRPr="003B5B5D">
        <w:rPr>
          <w:rFonts w:ascii="Times New Roman" w:eastAsia="Times New Roman" w:hAnsi="Times New Roman" w:cs="Times New Roman"/>
          <w:b/>
          <w:i/>
          <w:sz w:val="24"/>
          <w:szCs w:val="24"/>
          <w:lang w:eastAsia="ar-SA"/>
        </w:rPr>
        <w:t>Nous accueillons volontiers les propositions d’articles et d’actualités. Pour savoir</w:t>
      </w:r>
      <w:r w:rsidRPr="003B5B5D">
        <w:rPr>
          <w:rFonts w:ascii="Times New Roman" w:eastAsia="Times New Roman" w:hAnsi="Times New Roman" w:cs="Times New Roman"/>
          <w:i/>
          <w:sz w:val="24"/>
          <w:szCs w:val="24"/>
          <w:lang w:eastAsia="ar-SA"/>
        </w:rPr>
        <w:t xml:space="preserve"> </w:t>
      </w:r>
      <w:r w:rsidRPr="003B5B5D">
        <w:rPr>
          <w:rFonts w:ascii="Times New Roman" w:eastAsia="Times New Roman" w:hAnsi="Times New Roman" w:cs="Times New Roman"/>
          <w:b/>
          <w:i/>
          <w:sz w:val="24"/>
          <w:szCs w:val="24"/>
          <w:lang w:eastAsia="ar-SA"/>
        </w:rPr>
        <w:t xml:space="preserve">plus sur les modalités de rédaction et sur le calendrier de remise des articles pour l’année prochaine, veuillez contacter Paul Newson, directeur de publication, </w:t>
      </w:r>
    </w:p>
    <w:p w:rsidR="003B5B5D" w:rsidRPr="003B5B5D" w:rsidRDefault="003B5B5D" w:rsidP="003B5B5D">
      <w:pPr>
        <w:suppressAutoHyphens/>
        <w:spacing w:after="0" w:line="240" w:lineRule="auto"/>
        <w:ind w:left="2124" w:firstLine="708"/>
        <w:jc w:val="both"/>
        <w:rPr>
          <w:rFonts w:ascii="Times New Roman" w:eastAsia="Times New Roman" w:hAnsi="Times New Roman" w:cs="Times New Roman"/>
          <w:i/>
          <w:sz w:val="24"/>
          <w:szCs w:val="24"/>
          <w:lang w:eastAsia="ar-SA"/>
        </w:rPr>
      </w:pPr>
      <w:r w:rsidRPr="003B5B5D">
        <w:rPr>
          <w:rFonts w:ascii="Times New Roman" w:eastAsia="Times New Roman" w:hAnsi="Times New Roman" w:cs="Times New Roman"/>
          <w:b/>
          <w:i/>
          <w:sz w:val="24"/>
          <w:szCs w:val="24"/>
          <w:lang w:eastAsia="ar-SA"/>
        </w:rPr>
        <w:t>à l’adresse paulnewson@insol-europe.org</w:t>
      </w:r>
    </w:p>
    <w:p w:rsidR="003B5B5D" w:rsidRPr="003B5B5D" w:rsidRDefault="003B5B5D" w:rsidP="003B5B5D">
      <w:pPr>
        <w:suppressAutoHyphens/>
        <w:spacing w:after="0" w:line="240" w:lineRule="auto"/>
        <w:rPr>
          <w:rFonts w:ascii="Times New Roman" w:eastAsia="Times New Roman" w:hAnsi="Times New Roman" w:cs="Times New Roman"/>
          <w:b/>
          <w:sz w:val="32"/>
          <w:szCs w:val="32"/>
          <w:lang w:eastAsia="ar-SA"/>
        </w:rPr>
      </w:pPr>
    </w:p>
    <w:p w:rsidR="003B5B5D" w:rsidRPr="003B5B5D" w:rsidRDefault="003B5B5D" w:rsidP="003B5B5D">
      <w:pPr>
        <w:spacing w:after="160" w:line="259"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Congrès annuel Athènes 2018 : les inscriptions sont ouvertes !</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Il suffit de prononcer le mot « Athènes » pour penser immédiatement à la plus ancienne et la plus importante civilisation d’Europe, qui date de plus de trois millénaires. Imaginez que vous gravissez la colline de la Pnyx ou que vous déambulez dans l’ancienne Agora, ces places où le peuple se réunissait pour discuter d’importantes questions publiques : c’est là que la démocratie est née.</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Ce lieu est donc parfaitement approprié pour une manifestation professionnelle aussi importante que le 37</w:t>
      </w:r>
      <w:r w:rsidRPr="003B5B5D">
        <w:rPr>
          <w:rFonts w:ascii="Times New Roman" w:eastAsia="Calibri" w:hAnsi="Times New Roman" w:cs="Times New Roman"/>
          <w:sz w:val="24"/>
          <w:szCs w:val="24"/>
          <w:vertAlign w:val="superscript"/>
        </w:rPr>
        <w:t>e</w:t>
      </w:r>
      <w:r w:rsidRPr="003B5B5D">
        <w:rPr>
          <w:rFonts w:ascii="Times New Roman" w:eastAsia="Calibri" w:hAnsi="Times New Roman" w:cs="Times New Roman"/>
          <w:sz w:val="24"/>
          <w:szCs w:val="24"/>
        </w:rPr>
        <w:t xml:space="preserve"> Congrès d’INSOL Europe. « </w:t>
      </w:r>
      <w:r w:rsidRPr="003B5B5D">
        <w:rPr>
          <w:rFonts w:ascii="Times New Roman" w:eastAsia="Calibri" w:hAnsi="Times New Roman" w:cs="Times New Roman"/>
          <w:b/>
          <w:sz w:val="24"/>
          <w:szCs w:val="24"/>
        </w:rPr>
        <w:t>Briser les chaînes</w:t>
      </w:r>
      <w:r w:rsidRPr="003B5B5D">
        <w:rPr>
          <w:rFonts w:ascii="Times New Roman" w:eastAsia="Calibri" w:hAnsi="Times New Roman" w:cs="Times New Roman"/>
          <w:sz w:val="24"/>
          <w:szCs w:val="24"/>
        </w:rPr>
        <w:t> » : le thème de notre Congrès va comme un gant à la Grèce. La résilience, le calme et la force de la nation grecque l’ont aidée à surmonter la crise économique.</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Athènes sera le lieu idéal pour réfléchir, établir de nouvelles connexions, réseauter et rencontrer d’autres professionnels partageant les mêmes idées. Après le Congrès, quoi de mieux que d’échanger avec de nouveaux amis, à la manière des Grecs anciens, au son de musiques traditionnelles, tout en dégustant un verre de vin sous le ciel bleu ! Nous sommes impatients de vous y voir !</w:t>
      </w:r>
    </w:p>
    <w:p w:rsidR="003B5B5D" w:rsidRDefault="003B5B5D" w:rsidP="003B5B5D">
      <w:pPr>
        <w:spacing w:after="160" w:line="259" w:lineRule="auto"/>
        <w:jc w:val="both"/>
        <w:rPr>
          <w:rFonts w:ascii="Times New Roman" w:eastAsia="Calibri" w:hAnsi="Times New Roman" w:cs="Times New Roman"/>
          <w:i/>
          <w:sz w:val="24"/>
          <w:szCs w:val="24"/>
        </w:rPr>
      </w:pPr>
      <w:r w:rsidRPr="003B5B5D">
        <w:rPr>
          <w:rFonts w:ascii="Times New Roman" w:eastAsia="Calibri" w:hAnsi="Times New Roman" w:cs="Times New Roman"/>
          <w:i/>
          <w:sz w:val="24"/>
          <w:szCs w:val="24"/>
        </w:rPr>
        <w:t xml:space="preserve">Pour de plus amples renseignements ou pour réserver votre place, rendez-vous sur notre site à l’adresse </w:t>
      </w:r>
      <w:hyperlink r:id="rId76" w:history="1">
        <w:r w:rsidR="0052658C" w:rsidRPr="00313101">
          <w:rPr>
            <w:rStyle w:val="Lienhypertexte"/>
            <w:rFonts w:ascii="Times New Roman" w:eastAsia="Calibri" w:hAnsi="Times New Roman" w:cs="Times New Roman"/>
            <w:i/>
            <w:sz w:val="24"/>
            <w:szCs w:val="24"/>
          </w:rPr>
          <w:t>www.insol-europe.org/events</w:t>
        </w:r>
      </w:hyperlink>
    </w:p>
    <w:p w:rsidR="0052658C" w:rsidRPr="003B5B5D" w:rsidRDefault="0052658C" w:rsidP="003B5B5D">
      <w:pPr>
        <w:spacing w:after="16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_______________________________________________________________________________</w:t>
      </w:r>
    </w:p>
    <w:p w:rsidR="003B5B5D" w:rsidRPr="003B5B5D" w:rsidRDefault="003B5B5D" w:rsidP="003B5B5D">
      <w:pPr>
        <w:spacing w:after="160" w:line="259"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 xml:space="preserve">À la recherche de la sagesse athénienne : </w:t>
      </w:r>
    </w:p>
    <w:p w:rsidR="003B5B5D" w:rsidRPr="003B5B5D" w:rsidRDefault="003B5B5D" w:rsidP="003B5B5D">
      <w:pPr>
        <w:spacing w:after="160" w:line="259"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le Forum universitaire</w:t>
      </w:r>
    </w:p>
    <w:p w:rsidR="003B5B5D" w:rsidRPr="003B5B5D" w:rsidRDefault="003B5B5D" w:rsidP="003B5B5D">
      <w:pPr>
        <w:spacing w:after="160" w:line="259" w:lineRule="auto"/>
        <w:jc w:val="both"/>
        <w:rPr>
          <w:rFonts w:ascii="Times New Roman" w:eastAsia="Calibri" w:hAnsi="Times New Roman" w:cs="Times New Roman"/>
          <w:b/>
          <w:sz w:val="24"/>
          <w:szCs w:val="24"/>
        </w:rPr>
      </w:pPr>
      <w:r w:rsidRPr="003B5B5D">
        <w:rPr>
          <w:rFonts w:ascii="Times New Roman" w:eastAsia="Calibri" w:hAnsi="Times New Roman" w:cs="Times New Roman"/>
          <w:b/>
          <w:sz w:val="24"/>
          <w:szCs w:val="24"/>
        </w:rPr>
        <w:t>Berceau de la démocratie et du droit, ville d’Athéna, déesse de la sagesse, dont le symbole est la chouette : Athènes est l’une des plus vieilles villes du monde et elle peut s’enorgueillir de posséder certaines des ruines anciennes les plus représentatives de la civilisation hellénique.</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Cet automne, la conférence du Forum universitaire se rend en Grèce pour deux jours (3-4 octobre 2018), dans le golfe Saronique, en mer Égée. C’est là que s’est déroulée la célèbre bataille de Salamis, l’un des événements déterminants de l’Antiquité.</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lastRenderedPageBreak/>
        <w:t>Cette année, notre symposium a pour thème « </w:t>
      </w:r>
      <w:r w:rsidRPr="003B5B5D">
        <w:rPr>
          <w:rFonts w:ascii="Times New Roman" w:eastAsia="Calibri" w:hAnsi="Times New Roman" w:cs="Times New Roman"/>
          <w:b/>
          <w:sz w:val="24"/>
          <w:szCs w:val="24"/>
        </w:rPr>
        <w:t>Autonomie des parties et protection des tiers en droit de l’insolvabilité </w:t>
      </w:r>
      <w:r w:rsidRPr="003B5B5D">
        <w:rPr>
          <w:rFonts w:ascii="Times New Roman" w:eastAsia="Calibri" w:hAnsi="Times New Roman" w:cs="Times New Roman"/>
          <w:sz w:val="24"/>
          <w:szCs w:val="24"/>
        </w:rPr>
        <w:t>». L’idée est de retracer les liens entre le droit des contrats, le droit de la propriété, le droit des sociétés, mais aussi le droit international privé et le droit de l’insolvabilité. Ces domaines très proches, qui influencent le discours en matière d’insolvabilité et de restructuration, permettent de comprendre la façon dont l’insolvabilité interagit avec d’autres thèmes juridiques. Notre rencontre à Athènes a pour but de nous donner l’occasion de remettre en question les approches existantes, de stimuler les débats et de nous interroger en profondeur sur diverses questions qui touchent à ces domaines.</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À l’heure où nous écrivons ces lignes, nous recevons déjà des réponses à notre appel à contributions de janvier, que nous avons transmises à notre conseil d’administration. Le programme est en cours de préparation et la liste complète des intervenants sera publiée dans le prochain numéro d’</w:t>
      </w:r>
      <w:r w:rsidRPr="003B5B5D">
        <w:rPr>
          <w:rFonts w:ascii="Times New Roman" w:eastAsia="Calibri" w:hAnsi="Times New Roman" w:cs="Times New Roman"/>
          <w:i/>
          <w:sz w:val="24"/>
          <w:szCs w:val="24"/>
        </w:rPr>
        <w:t>eurofenix</w:t>
      </w:r>
      <w:r w:rsidRPr="003B5B5D">
        <w:rPr>
          <w:rFonts w:ascii="Times New Roman" w:eastAsia="Calibri" w:hAnsi="Times New Roman" w:cs="Times New Roman"/>
          <w:sz w:val="24"/>
          <w:szCs w:val="24"/>
        </w:rPr>
        <w:t>. Cependant, les propositions pour Athènes ont décidément un parfum de droit comparatif. En outre, plusieurs d’entre elles émanent de membres du Réseau des jeunes chercheurs en droit de l’insolvabilité, à qui une séance spéciale est consacrée dans le cadre du programme de notre conférence.</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Cette conférence s’annonce comme une occasion de remettre en question les idées reçues et les préjugés, d’apprendre de nouvelles choses, de nouer des amitiés et des relations de travail, et bien entendu de profiter de l’hospitalité grecque et des magnifiques paysages et monuments chargés d’histoire. Rejoignez-nous à Athènes pour un voyage dans le temps, aux sources de la civilisation !</w:t>
      </w:r>
    </w:p>
    <w:p w:rsidR="003B5B5D" w:rsidRPr="003B5B5D" w:rsidRDefault="003B5B5D" w:rsidP="003B5B5D">
      <w:pPr>
        <w:spacing w:after="160" w:line="259" w:lineRule="auto"/>
        <w:jc w:val="both"/>
        <w:rPr>
          <w:rFonts w:ascii="Arial Narrow" w:eastAsia="Calibri" w:hAnsi="Arial Narrow" w:cs="Times New Roman"/>
          <w:i/>
          <w:sz w:val="24"/>
          <w:szCs w:val="24"/>
        </w:rPr>
      </w:pPr>
      <w:r w:rsidRPr="003B5B5D">
        <w:rPr>
          <w:rFonts w:ascii="Arial Narrow" w:eastAsia="Calibri" w:hAnsi="Arial Narrow" w:cs="Times New Roman"/>
          <w:i/>
          <w:sz w:val="24"/>
          <w:szCs w:val="24"/>
        </w:rPr>
        <w:t>Jennifer Gant et Paul Omar</w:t>
      </w:r>
    </w:p>
    <w:p w:rsidR="003B5B5D" w:rsidRPr="003B5B5D" w:rsidRDefault="003B5B5D" w:rsidP="003B5B5D">
      <w:pPr>
        <w:pBdr>
          <w:bottom w:val="single" w:sz="6" w:space="1" w:color="auto"/>
        </w:pBdr>
        <w:spacing w:after="160" w:line="259" w:lineRule="auto"/>
        <w:jc w:val="both"/>
        <w:rPr>
          <w:rFonts w:ascii="Times New Roman" w:eastAsia="Calibri" w:hAnsi="Times New Roman" w:cs="Times New Roman"/>
          <w:sz w:val="24"/>
          <w:szCs w:val="24"/>
        </w:rPr>
      </w:pPr>
    </w:p>
    <w:p w:rsidR="003B5B5D" w:rsidRPr="003B5B5D" w:rsidRDefault="003B5B5D" w:rsidP="0052658C">
      <w:pPr>
        <w:spacing w:after="160" w:line="259" w:lineRule="auto"/>
        <w:jc w:val="center"/>
        <w:rPr>
          <w:rFonts w:ascii="Arial Narrow" w:eastAsia="Calibri" w:hAnsi="Arial Narrow" w:cs="Times New Roman"/>
          <w:b/>
          <w:i/>
          <w:sz w:val="36"/>
          <w:szCs w:val="36"/>
        </w:rPr>
      </w:pPr>
      <w:r w:rsidRPr="003B5B5D">
        <w:rPr>
          <w:rFonts w:ascii="Times New Roman" w:eastAsia="Calibri" w:hAnsi="Times New Roman" w:cs="Times New Roman"/>
          <w:b/>
          <w:sz w:val="36"/>
          <w:szCs w:val="36"/>
        </w:rPr>
        <w:t>INSOL Europe participe à la 52</w:t>
      </w:r>
      <w:r w:rsidRPr="003B5B5D">
        <w:rPr>
          <w:rFonts w:ascii="Times New Roman" w:eastAsia="Calibri" w:hAnsi="Times New Roman" w:cs="Times New Roman"/>
          <w:b/>
          <w:sz w:val="36"/>
          <w:szCs w:val="36"/>
          <w:vertAlign w:val="superscript"/>
        </w:rPr>
        <w:t>e</w:t>
      </w:r>
      <w:r w:rsidRPr="003B5B5D">
        <w:rPr>
          <w:rFonts w:ascii="Times New Roman" w:eastAsia="Calibri" w:hAnsi="Times New Roman" w:cs="Times New Roman"/>
          <w:b/>
          <w:sz w:val="36"/>
          <w:szCs w:val="36"/>
        </w:rPr>
        <w:t xml:space="preserve"> session du Groupe de travail V de la CNUDCI (droit de l’insolvabilité)</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INSOL Europe a participé à la 52</w:t>
      </w:r>
      <w:r w:rsidRPr="003B5B5D">
        <w:rPr>
          <w:rFonts w:ascii="Times New Roman" w:eastAsia="Calibri" w:hAnsi="Times New Roman" w:cs="Times New Roman"/>
          <w:sz w:val="24"/>
          <w:szCs w:val="24"/>
          <w:vertAlign w:val="superscript"/>
        </w:rPr>
        <w:t>e</w:t>
      </w:r>
      <w:r w:rsidRPr="003B5B5D">
        <w:rPr>
          <w:rFonts w:ascii="Times New Roman" w:eastAsia="Calibri" w:hAnsi="Times New Roman" w:cs="Times New Roman"/>
          <w:sz w:val="24"/>
          <w:szCs w:val="24"/>
        </w:rPr>
        <w:t xml:space="preserve"> session du Groupe de travail V (droit de l’insolvabilité) qui s’est tenue à Vienne du 18 au 22 décembre 2017, en sa qualité d’organisation non gouvernementale internationale invitée (« ONG ») disposant du statut d’observateur. Parmi les autres observateurs citons la Banque mondiale, la Banque européenne d’investissement, la Fédération bancaire de l’Union européenne, l’American Bar Association, l’International Bar Association, INSOL International, l’International Insolvency Institute et l’Institut européen du droit.</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La délégation d’INSOL Europe, qui était dirigée par son Président, Radu Lotrean, comprenait également Steffen Koch, Frank Tschentscher et Florian Bruder. La délégation a participé à de nombreux débats avec les délégations du Groupe de travail lors de cette 52</w:t>
      </w:r>
      <w:r w:rsidRPr="003B5B5D">
        <w:rPr>
          <w:rFonts w:ascii="Times New Roman" w:eastAsia="Calibri" w:hAnsi="Times New Roman" w:cs="Times New Roman"/>
          <w:sz w:val="24"/>
          <w:szCs w:val="24"/>
          <w:vertAlign w:val="superscript"/>
        </w:rPr>
        <w:t>e</w:t>
      </w:r>
      <w:r w:rsidRPr="003B5B5D">
        <w:rPr>
          <w:rFonts w:ascii="Times New Roman" w:eastAsia="Calibri" w:hAnsi="Times New Roman" w:cs="Times New Roman"/>
          <w:sz w:val="24"/>
          <w:szCs w:val="24"/>
        </w:rPr>
        <w:t xml:space="preserve"> session afin de donner l’avis d’INSOL Europe sur les questions abordées, puisque nous estimons que notre organisation dispose d’une expertise nationale et internationale avérée dans le domaine de l’insolvabilité.</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Au cours de cette 52</w:t>
      </w:r>
      <w:r w:rsidRPr="003B5B5D">
        <w:rPr>
          <w:rFonts w:ascii="Times New Roman" w:eastAsia="Calibri" w:hAnsi="Times New Roman" w:cs="Times New Roman"/>
          <w:sz w:val="24"/>
          <w:szCs w:val="24"/>
          <w:vertAlign w:val="superscript"/>
        </w:rPr>
        <w:t>e</w:t>
      </w:r>
      <w:r w:rsidRPr="003B5B5D">
        <w:rPr>
          <w:rFonts w:ascii="Times New Roman" w:eastAsia="Calibri" w:hAnsi="Times New Roman" w:cs="Times New Roman"/>
          <w:sz w:val="24"/>
          <w:szCs w:val="24"/>
        </w:rPr>
        <w:t xml:space="preserve"> session, le Groupe de travail V de la CNUDCI s’est principalement concentré sur les thèmes suivants, s’appuyant sur les documents de travail correspondants, à savoir : </w:t>
      </w:r>
    </w:p>
    <w:p w:rsidR="003B5B5D" w:rsidRPr="003B5B5D" w:rsidRDefault="003B5B5D" w:rsidP="000D634D">
      <w:pPr>
        <w:numPr>
          <w:ilvl w:val="0"/>
          <w:numId w:val="38"/>
        </w:numPr>
        <w:suppressAutoHyphens/>
        <w:spacing w:line="259" w:lineRule="auto"/>
        <w:contextualSpacing/>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lastRenderedPageBreak/>
        <w:t xml:space="preserve">Reconnaissance et exécution des jugements liés à l’insolvabilité : projet de loi type et projet de guide pour l’incorporation de la loi type – </w:t>
      </w:r>
      <w:r w:rsidRPr="003B5B5D">
        <w:rPr>
          <w:rFonts w:ascii="Times New Roman" w:eastAsia="Calibri" w:hAnsi="Times New Roman" w:cs="Times New Roman"/>
          <w:i/>
          <w:sz w:val="24"/>
          <w:szCs w:val="24"/>
        </w:rPr>
        <w:t xml:space="preserve">A/AC.9/WG.V/WP.150 et WP.151 </w:t>
      </w:r>
    </w:p>
    <w:p w:rsidR="003B5B5D" w:rsidRPr="003B5B5D" w:rsidRDefault="003B5B5D" w:rsidP="000D634D">
      <w:pPr>
        <w:numPr>
          <w:ilvl w:val="0"/>
          <w:numId w:val="38"/>
        </w:numPr>
        <w:suppressAutoHyphens/>
        <w:spacing w:line="259" w:lineRule="auto"/>
        <w:contextualSpacing/>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Faciliter les procédures d’insolvabilité internationale visant des groupes d’entreprises multinationaux : projet révisé de dispositions législatives, et obligations des administrateurs de groupes d’entreprises dans la période précédant l’insolvabilité </w:t>
      </w:r>
      <w:r w:rsidRPr="003B5B5D">
        <w:rPr>
          <w:rFonts w:ascii="Times New Roman" w:eastAsia="Calibri" w:hAnsi="Times New Roman" w:cs="Times New Roman"/>
          <w:i/>
          <w:sz w:val="24"/>
          <w:szCs w:val="24"/>
        </w:rPr>
        <w:t>– A/CN.9/WG.V/WP.152 et WP.153</w:t>
      </w:r>
    </w:p>
    <w:p w:rsidR="003B5B5D" w:rsidRPr="003B5B5D" w:rsidRDefault="003B5B5D" w:rsidP="000D634D">
      <w:pPr>
        <w:numPr>
          <w:ilvl w:val="0"/>
          <w:numId w:val="38"/>
        </w:numPr>
        <w:suppressAutoHyphens/>
        <w:spacing w:line="259" w:lineRule="auto"/>
        <w:contextualSpacing/>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Proposition de travaux futurs présentée par les États-Unis d’Amérique concernant l’élaboration de dispositions législatives types sur la localisation et le recouvrement civils des avoirs </w:t>
      </w:r>
      <w:r w:rsidRPr="003B5B5D">
        <w:rPr>
          <w:rFonts w:ascii="Times New Roman" w:eastAsia="Calibri" w:hAnsi="Times New Roman" w:cs="Times New Roman"/>
          <w:i/>
          <w:sz w:val="24"/>
          <w:szCs w:val="24"/>
        </w:rPr>
        <w:t xml:space="preserve">– A/CN.9/WG.V/WP.154 </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Les documents ci-dessus et d’autres documents de travail (à savoir les commentaires et notes préparés par le Secrétariat) sont disponibles sur le site de la CNUDCI à l’adresse</w:t>
      </w:r>
      <w:r w:rsidRPr="003B5B5D">
        <w:rPr>
          <w:rFonts w:ascii="Calibri" w:eastAsia="Calibri" w:hAnsi="Calibri" w:cs="Times New Roman"/>
        </w:rPr>
        <w:t xml:space="preserve"> </w:t>
      </w:r>
      <w:r w:rsidRPr="003B5B5D">
        <w:rPr>
          <w:rFonts w:ascii="Times New Roman" w:eastAsia="Calibri" w:hAnsi="Times New Roman" w:cs="Times New Roman"/>
          <w:sz w:val="24"/>
          <w:szCs w:val="24"/>
        </w:rPr>
        <w:t>www.uncitral.org/uncitral/en/commission/working_groups/5Insolvency.html.</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Nous prévoyons de présenter plus en détail les travaux portant sur le projet de loi type sur la reconnaissance et l’exécution des jugements liés à l’insolvabilité dans un autre article.</w:t>
      </w:r>
    </w:p>
    <w:p w:rsidR="003B5B5D" w:rsidRPr="003B5B5D" w:rsidRDefault="003B5B5D" w:rsidP="000D634D">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Nous espérons continuer nos travaux lors de la 53</w:t>
      </w:r>
      <w:r w:rsidRPr="003B5B5D">
        <w:rPr>
          <w:rFonts w:ascii="Times New Roman" w:eastAsia="Calibri" w:hAnsi="Times New Roman" w:cs="Times New Roman"/>
          <w:sz w:val="24"/>
          <w:szCs w:val="24"/>
          <w:vertAlign w:val="superscript"/>
        </w:rPr>
        <w:t>e</w:t>
      </w:r>
      <w:r w:rsidRPr="003B5B5D">
        <w:rPr>
          <w:rFonts w:ascii="Times New Roman" w:eastAsia="Calibri" w:hAnsi="Times New Roman" w:cs="Times New Roman"/>
          <w:sz w:val="24"/>
          <w:szCs w:val="24"/>
        </w:rPr>
        <w:t xml:space="preserve"> session, qui devrait se tenir à New York du 7 au 11 mai 2018, et en particulier participer à la finalisation du texte révisé du projet de loi type sur la reconnaissance et l’exécution des jugements liés à l’insolvabilité et faire progresser aussi rapidement que possible les travaux sur les insolvabilités internationales de groupes d’entreprises.</w:t>
      </w:r>
    </w:p>
    <w:p w:rsidR="003B5B5D" w:rsidRPr="003B5B5D" w:rsidRDefault="003B5B5D" w:rsidP="003B5B5D">
      <w:pPr>
        <w:spacing w:after="160" w:line="259" w:lineRule="auto"/>
        <w:jc w:val="both"/>
        <w:rPr>
          <w:rFonts w:ascii="Times New Roman" w:eastAsia="Calibri" w:hAnsi="Times New Roman" w:cs="Times New Roman"/>
          <w:i/>
          <w:sz w:val="24"/>
          <w:szCs w:val="24"/>
        </w:rPr>
      </w:pPr>
      <w:r w:rsidRPr="003B5B5D">
        <w:rPr>
          <w:rFonts w:ascii="Times New Roman" w:eastAsia="Calibri" w:hAnsi="Times New Roman" w:cs="Times New Roman"/>
          <w:i/>
          <w:sz w:val="24"/>
          <w:szCs w:val="24"/>
        </w:rPr>
        <w:t>Un rapport complet de Florian Bruder (DLA Piper, Munich) est disponible sur le site d’INSOL Europe, à l’adresse www.insol-europe.org/news/uncitral-working-group-v-52nd-session</w:t>
      </w:r>
    </w:p>
    <w:p w:rsidR="003B5B5D" w:rsidRPr="003B5B5D" w:rsidRDefault="003B5B5D" w:rsidP="003B5B5D">
      <w:pPr>
        <w:pBdr>
          <w:bottom w:val="single" w:sz="6" w:space="1" w:color="auto"/>
        </w:pBdr>
        <w:spacing w:after="160" w:line="259" w:lineRule="auto"/>
        <w:jc w:val="both"/>
        <w:rPr>
          <w:rFonts w:ascii="Times New Roman" w:eastAsia="Calibri" w:hAnsi="Times New Roman" w:cs="Times New Roman"/>
          <w:sz w:val="24"/>
          <w:szCs w:val="24"/>
        </w:rPr>
      </w:pPr>
    </w:p>
    <w:p w:rsidR="003B5B5D" w:rsidRPr="003B5B5D" w:rsidRDefault="003B5B5D" w:rsidP="003B5B5D">
      <w:pPr>
        <w:spacing w:after="160" w:line="259" w:lineRule="auto"/>
        <w:jc w:val="both"/>
        <w:rPr>
          <w:rFonts w:ascii="Times New Roman" w:eastAsia="Calibri" w:hAnsi="Times New Roman" w:cs="Times New Roman"/>
          <w:sz w:val="24"/>
          <w:szCs w:val="24"/>
        </w:rPr>
      </w:pPr>
    </w:p>
    <w:p w:rsidR="0052658C" w:rsidRDefault="003B5B5D" w:rsidP="0052658C">
      <w:pPr>
        <w:spacing w:after="0" w:line="240"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 xml:space="preserve">Conférence inaugurale du Réseau de Leyde de recherches sur la responsabilité et les entreprises, </w:t>
      </w:r>
    </w:p>
    <w:p w:rsidR="003B5B5D" w:rsidRPr="003B5B5D" w:rsidRDefault="003B5B5D" w:rsidP="0052658C">
      <w:pPr>
        <w:spacing w:after="0" w:line="240"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consacrée au thème « Résilience des entreprises »</w:t>
      </w:r>
    </w:p>
    <w:p w:rsidR="0052658C" w:rsidRDefault="0052658C" w:rsidP="003B5B5D">
      <w:pPr>
        <w:spacing w:after="160" w:line="259" w:lineRule="auto"/>
        <w:jc w:val="both"/>
        <w:rPr>
          <w:rFonts w:ascii="Times New Roman" w:eastAsia="Calibri" w:hAnsi="Times New Roman" w:cs="Times New Roman"/>
          <w:b/>
          <w:sz w:val="24"/>
          <w:szCs w:val="24"/>
        </w:rPr>
      </w:pPr>
    </w:p>
    <w:p w:rsidR="003B5B5D" w:rsidRPr="003B5B5D" w:rsidRDefault="003B5B5D" w:rsidP="003B5B5D">
      <w:pPr>
        <w:spacing w:after="160" w:line="259" w:lineRule="auto"/>
        <w:jc w:val="both"/>
        <w:rPr>
          <w:rFonts w:ascii="Times New Roman" w:eastAsia="Calibri" w:hAnsi="Times New Roman" w:cs="Times New Roman"/>
          <w:b/>
          <w:sz w:val="24"/>
          <w:szCs w:val="24"/>
        </w:rPr>
      </w:pPr>
      <w:r w:rsidRPr="003B5B5D">
        <w:rPr>
          <w:rFonts w:ascii="Times New Roman" w:eastAsia="Calibri" w:hAnsi="Times New Roman" w:cs="Times New Roman"/>
          <w:b/>
          <w:sz w:val="24"/>
          <w:szCs w:val="24"/>
        </w:rPr>
        <w:t>La conférence inaugurale et première conférence internationale du Réseau de recherche sur la responsabilité et les entreprises (Business &amp; Liability Research Network – BLRN) s’est déroulée à l’université de Leyde les 25 et 26 janvier 2018. Le professeur Reinout D. Vriesendorp nous rend compte de cette manifestation.</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Le BLRN est un réseau conjoint de chercheurs et d’experts des départements de droit des sociétés et d’administration des entreprises de l’université de Leyde. Il est dirigé par les professeurs Iris Wuisman, Reinout Vriesendorp, Jan Adriaanse et Jean-Pierre van der Rest. Plus d’une centaine d’universitaires et de praticiens, nationaux et internationaux, se sont réunis pendant ces deux journées pour débattre des aspects fondamentaux de la résilience des entreprises, notamment de la création de valeur à long terme, des répercussions de la technologie et de la responsabilité des dirigeants.</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lastRenderedPageBreak/>
        <w:t>Les questions abordées le deuxième jour, en particulier, présentaient un lien étroit avec l’insolvabilité. Notamment, le discours d’ouverture de Michał Barłowski (Wardyński &amp; Partners, Pologne) portait essentiellement sur la responsabilité dans la zone grise. Selon lui, il n’existe pas encore de définition claire et uniforme de cette zone grise, bien qu’il existe un consensus quant au moment où elle commence et quant au fait qu’il sera peut-être nécessaire de légiférer au niveau européen concernant les situations qui précèdent l’insolvabilité. Toutefois, les réformes ne sont pas encore urgentes. Sur le même thème, le professeur Reinout Vriesendorp (université de Leyde ; De Brauw Blackstone Westbroek, Amsterdam) a parlé de la difficulté de prendre des décisions en cas de difficultés financières. Préconisant la confiance comme ligne de conduite à suivre lors de l’examen du comportement des dirigeants, il était de l’avis que leur responsabilité ne devrait pas être engagée sauf s’il peut être prouvé qu’il y a eu fraude ou abus de biens sociaux. Ces présentations ont été suivies d’un débat et de deux ateliers parallèles sur les thèmes suivants « Implications comportementales des défaillances et responsabilité des dirigeants » et « Analyse des causes dans les situations d’insolvabilité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La conférence du BLRN sur la « Résilience des entreprises » a apporté de nouvelles perspectives, notamment sur la façon dont les biais comportementaux doivent être pris en compte dans l’évaluation de la responsabilité des dirigeants, l’importance de la création de valeur à long terme en tant que norme juridique exécutoire permettant de soutenir les sociétés viables et les répercussions de la technologie sur les entreprises commerciales et les cabinets d’avocats. La multidisciplinarité des divers intervenants et les ateliers interactifs ouvriront sans conteste la voie à de futurs projets de recherche et conférences dans le domaine des entreprises et de la responsabilité.</w:t>
      </w:r>
    </w:p>
    <w:p w:rsidR="003B5B5D" w:rsidRPr="003B5B5D" w:rsidRDefault="003B5B5D" w:rsidP="003B5B5D">
      <w:pPr>
        <w:spacing w:after="160"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Pour en savoir plus sur les thèmes et résultats de la conférence, consultez le site de l’université de Leyde à l’adresse </w:t>
      </w:r>
      <w:r w:rsidRPr="003B5B5D">
        <w:rPr>
          <w:rFonts w:ascii="Times New Roman" w:eastAsia="Calibri" w:hAnsi="Times New Roman" w:cs="Times New Roman"/>
          <w:i/>
          <w:sz w:val="24"/>
          <w:szCs w:val="24"/>
        </w:rPr>
        <w:t>www.universiteitleiden.nl/blrn</w:t>
      </w:r>
      <w:r w:rsidRPr="003B5B5D">
        <w:rPr>
          <w:rFonts w:ascii="Times New Roman" w:eastAsia="Calibri" w:hAnsi="Times New Roman" w:cs="Times New Roman"/>
          <w:sz w:val="24"/>
          <w:szCs w:val="24"/>
        </w:rPr>
        <w:t>.</w:t>
      </w:r>
    </w:p>
    <w:p w:rsidR="003B5B5D" w:rsidRPr="003B5B5D" w:rsidRDefault="003B5B5D" w:rsidP="003B5B5D">
      <w:pPr>
        <w:pBdr>
          <w:bottom w:val="single" w:sz="6" w:space="1" w:color="auto"/>
        </w:pBdr>
        <w:spacing w:after="160" w:line="259" w:lineRule="auto"/>
        <w:jc w:val="both"/>
        <w:rPr>
          <w:rFonts w:ascii="Times New Roman" w:eastAsia="Calibri" w:hAnsi="Times New Roman" w:cs="Times New Roman"/>
          <w:sz w:val="24"/>
          <w:szCs w:val="24"/>
        </w:rPr>
      </w:pPr>
    </w:p>
    <w:p w:rsidR="003B5B5D" w:rsidRPr="003B5B5D" w:rsidRDefault="003B5B5D" w:rsidP="003B5B5D">
      <w:pPr>
        <w:spacing w:after="160" w:line="259" w:lineRule="auto"/>
        <w:jc w:val="both"/>
        <w:rPr>
          <w:rFonts w:ascii="Times New Roman" w:eastAsia="Calibri" w:hAnsi="Times New Roman" w:cs="Times New Roman"/>
          <w:sz w:val="24"/>
          <w:szCs w:val="24"/>
        </w:rPr>
      </w:pPr>
    </w:p>
    <w:p w:rsidR="003B5B5D" w:rsidRPr="003B5B5D" w:rsidRDefault="003B5B5D" w:rsidP="003B5B5D">
      <w:pPr>
        <w:spacing w:after="160" w:line="259"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 xml:space="preserve">Conférence internationale R3 / INSOL Europe 2018 </w:t>
      </w:r>
    </w:p>
    <w:p w:rsidR="003B5B5D" w:rsidRPr="003B5B5D" w:rsidRDefault="003B5B5D" w:rsidP="003B5B5D">
      <w:pPr>
        <w:spacing w:after="160" w:line="259"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sur la restructuration</w:t>
      </w:r>
    </w:p>
    <w:p w:rsidR="003B5B5D" w:rsidRPr="0052658C" w:rsidRDefault="003B5B5D" w:rsidP="0052658C">
      <w:pPr>
        <w:spacing w:after="160" w:line="259" w:lineRule="auto"/>
        <w:jc w:val="center"/>
        <w:rPr>
          <w:rFonts w:ascii="Arial Narrow" w:eastAsia="Calibri" w:hAnsi="Arial Narrow" w:cs="Times New Roman"/>
          <w:i/>
          <w:sz w:val="24"/>
          <w:szCs w:val="24"/>
        </w:rPr>
      </w:pPr>
      <w:r w:rsidRPr="0052658C">
        <w:rPr>
          <w:rFonts w:ascii="Arial Narrow" w:eastAsia="Calibri" w:hAnsi="Arial Narrow" w:cs="Times New Roman"/>
          <w:b/>
          <w:i/>
          <w:sz w:val="24"/>
          <w:szCs w:val="24"/>
        </w:rPr>
        <w:t>Londres, 7 juin 2018</w:t>
      </w:r>
      <w:r w:rsidR="0052658C">
        <w:rPr>
          <w:rFonts w:ascii="Arial Narrow" w:eastAsia="Calibri" w:hAnsi="Arial Narrow" w:cs="Times New Roman"/>
          <w:i/>
          <w:sz w:val="24"/>
          <w:szCs w:val="24"/>
        </w:rPr>
        <w:t> : l</w:t>
      </w:r>
      <w:r w:rsidRPr="003B5B5D">
        <w:rPr>
          <w:rFonts w:ascii="Arial Narrow" w:eastAsia="Calibri" w:hAnsi="Arial Narrow" w:cs="Times New Roman"/>
          <w:i/>
          <w:sz w:val="24"/>
          <w:szCs w:val="24"/>
        </w:rPr>
        <w:t>e programme complet et des informations détaillées seront publiés prochainement</w:t>
      </w:r>
    </w:p>
    <w:p w:rsidR="003B5B5D" w:rsidRPr="003B5B5D" w:rsidRDefault="003B5B5D" w:rsidP="003B5B5D">
      <w:pPr>
        <w:spacing w:after="160" w:line="259" w:lineRule="auto"/>
        <w:jc w:val="both"/>
        <w:rPr>
          <w:rFonts w:ascii="Times New Roman" w:eastAsia="Calibri" w:hAnsi="Times New Roman" w:cs="Times New Roman"/>
          <w:b/>
          <w:sz w:val="24"/>
          <w:szCs w:val="24"/>
        </w:rPr>
      </w:pPr>
      <w:r w:rsidRPr="003B5B5D">
        <w:rPr>
          <w:rFonts w:ascii="Times New Roman" w:eastAsia="Calibri" w:hAnsi="Times New Roman" w:cs="Times New Roman"/>
          <w:b/>
          <w:sz w:val="24"/>
          <w:szCs w:val="24"/>
        </w:rPr>
        <w:t>Alors que la directive de la Commission européenne sur la restructuration et la seconde chance se profile à l’horizon et que les négociations du Brexit concernant l’avenir du cadre de restructuration et d’insolvabilité transfrontalières RU-UE sont sur le point de se conclure, 2018 s’annonce comme une année charnière pour l’insolvabilité et la restructuration en Europe.</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Afin de discuter des derniers développements et des répercussions potentielles de l’évolution du paysage européen de l’insolvabilité et de la restructuration, R3 (association britannique des </w:t>
      </w:r>
      <w:r w:rsidRPr="003B5B5D">
        <w:rPr>
          <w:rFonts w:ascii="Times New Roman" w:eastAsia="Calibri" w:hAnsi="Times New Roman" w:cs="Times New Roman"/>
          <w:sz w:val="24"/>
          <w:szCs w:val="24"/>
        </w:rPr>
        <w:lastRenderedPageBreak/>
        <w:t>professionnels de la restructuration et de l’insolvabilité) et INSOL Europe tiendront leur 15</w:t>
      </w:r>
      <w:r w:rsidRPr="003B5B5D">
        <w:rPr>
          <w:rFonts w:ascii="Times New Roman" w:eastAsia="Calibri" w:hAnsi="Times New Roman" w:cs="Times New Roman"/>
          <w:sz w:val="24"/>
          <w:szCs w:val="24"/>
          <w:vertAlign w:val="superscript"/>
        </w:rPr>
        <w:t>e</w:t>
      </w:r>
      <w:r w:rsidRPr="003B5B5D">
        <w:rPr>
          <w:rFonts w:ascii="Times New Roman" w:eastAsia="Calibri" w:hAnsi="Times New Roman" w:cs="Times New Roman"/>
          <w:sz w:val="24"/>
          <w:szCs w:val="24"/>
        </w:rPr>
        <w:t xml:space="preserve"> conférence internationale annuelle sur la restructuration le 7 juin prochain à Londres.</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Visant à tenir les délégués informés de l’état de la situation et des changements à venir, la conférence proposera des séances pratiques, des débats et des discussions dirigés par des experts de l’insolvabilité et de la restructuration venus de toute l’Europe.</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La conférence sera également l’occasion d’entendre R3 évoquer les travaux entrepris pour veiller à ce que les questions d’insolvabilité et de restructuration ne soient pas négligées par le Gouvernement britannique lorsqu’il négociera les conditions de sa sortie de l’Union européenne. Le Gouvernement a déjà entendu les professionnels britanniques et a affirmé qu’il souhaitait « reproduire » les accords qui existent à l’échelle de l’UE en matière de reconnaissance réciproque de l’insolvabilité et de la restructuration dans le cadre de tout accord conclu dans le contexte du Brexit.</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Cette conférence arrive alors que le Gouvernement continue de délibérer de la façon dont il mettra en œuvre la directive européenne sur la restructuration et la seconde chance. Des projets visant à réformer l’insolvabilité des entreprises au Royaume-Uni et correspondant en grande partie aux propositions de l’UE avaient été mis en avant en mai 2016, mais sont depuis restés à l’arrêt.</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Radu Lotrean, Président d’INSOL Europe, nous tiendra informés des projets en cours et des plans à venir.</w:t>
      </w:r>
    </w:p>
    <w:p w:rsidR="003B5B5D" w:rsidRPr="003B5B5D" w:rsidRDefault="003B5B5D" w:rsidP="003B5B5D">
      <w:pPr>
        <w:spacing w:after="160" w:line="259" w:lineRule="auto"/>
        <w:jc w:val="both"/>
        <w:rPr>
          <w:rFonts w:ascii="Times New Roman" w:eastAsia="Calibri" w:hAnsi="Times New Roman" w:cs="Times New Roman"/>
          <w:b/>
          <w:i/>
          <w:sz w:val="24"/>
          <w:szCs w:val="24"/>
        </w:rPr>
      </w:pPr>
      <w:r w:rsidRPr="003B5B5D">
        <w:rPr>
          <w:rFonts w:ascii="Times New Roman" w:eastAsia="Calibri" w:hAnsi="Times New Roman" w:cs="Times New Roman"/>
          <w:b/>
          <w:i/>
          <w:sz w:val="24"/>
          <w:szCs w:val="24"/>
        </w:rPr>
        <w:t>Économisez 15 % en réservant à l’avance ! Prix à partir de 290 GBP HT pour toute réservation payée avant le 7 mai 2018. Pour en savoir plus, rendez-vous sur le site www.r3.org.uk ou envoyez un message à l’adresse courses@r3.org.uk.</w:t>
      </w:r>
    </w:p>
    <w:p w:rsidR="003B5B5D" w:rsidRPr="003B5B5D" w:rsidRDefault="003B5B5D" w:rsidP="003B5B5D">
      <w:pPr>
        <w:pBdr>
          <w:bottom w:val="single" w:sz="6" w:space="1" w:color="auto"/>
        </w:pBdr>
        <w:spacing w:after="160" w:line="259" w:lineRule="auto"/>
        <w:jc w:val="both"/>
        <w:rPr>
          <w:rFonts w:ascii="Times New Roman" w:eastAsia="Calibri" w:hAnsi="Times New Roman" w:cs="Times New Roman"/>
          <w:sz w:val="24"/>
          <w:szCs w:val="24"/>
        </w:rPr>
      </w:pPr>
    </w:p>
    <w:p w:rsidR="003B5B5D" w:rsidRPr="003B5B5D" w:rsidRDefault="003B5B5D" w:rsidP="003B5B5D">
      <w:pPr>
        <w:spacing w:after="160" w:line="259" w:lineRule="auto"/>
        <w:jc w:val="center"/>
        <w:rPr>
          <w:rFonts w:ascii="Times New Roman" w:eastAsia="Calibri" w:hAnsi="Times New Roman" w:cs="Times New Roman"/>
          <w:b/>
          <w:sz w:val="36"/>
          <w:szCs w:val="36"/>
        </w:rPr>
      </w:pPr>
      <w:r w:rsidRPr="003B5B5D">
        <w:rPr>
          <w:rFonts w:ascii="Times New Roman" w:eastAsia="Calibri" w:hAnsi="Times New Roman" w:cs="Times New Roman"/>
          <w:b/>
          <w:sz w:val="36"/>
          <w:szCs w:val="36"/>
        </w:rPr>
        <w:t>Séminaire d’une journée conjoint INSOL International / INSOL Europe / FILA à Helsinki (Finlande)</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Les inscriptions sont ouvertes pour le séminaire d’une journée qui se tiendra le 13 juin 2018 à Helsinki (Finlande), en association avec l’Association finlandaise de droit de l’insolvabilité (FILA) et INSOL Europe. Nous prévoyons que ce séminaire sera passionnant et bien fréquenté, grâce à son programme technique stimulant qui propose notamment des séances consacrées aux thèmes suivants : </w:t>
      </w:r>
    </w:p>
    <w:p w:rsidR="003B5B5D" w:rsidRPr="003B5B5D" w:rsidRDefault="003B5B5D" w:rsidP="00C42590">
      <w:pPr>
        <w:numPr>
          <w:ilvl w:val="0"/>
          <w:numId w:val="39"/>
        </w:numPr>
        <w:suppressAutoHyphens/>
        <w:spacing w:line="259" w:lineRule="auto"/>
        <w:contextualSpacing/>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Principes de base de l’harmonisation en vertu du projet de directive européenne et de la recommandation nordique-baltique ;</w:t>
      </w:r>
    </w:p>
    <w:p w:rsidR="003B5B5D" w:rsidRPr="003B5B5D" w:rsidRDefault="003B5B5D" w:rsidP="00C42590">
      <w:pPr>
        <w:numPr>
          <w:ilvl w:val="0"/>
          <w:numId w:val="39"/>
        </w:numPr>
        <w:suppressAutoHyphens/>
        <w:spacing w:line="259" w:lineRule="auto"/>
        <w:contextualSpacing/>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Étude de cas portant sur les instruments disponibles dans le cadre d’une restructuration ; </w:t>
      </w:r>
    </w:p>
    <w:p w:rsidR="003B5B5D" w:rsidRPr="003B5B5D" w:rsidRDefault="003B5B5D" w:rsidP="00C42590">
      <w:pPr>
        <w:numPr>
          <w:ilvl w:val="0"/>
          <w:numId w:val="39"/>
        </w:numPr>
        <w:suppressAutoHyphens/>
        <w:spacing w:line="259" w:lineRule="auto"/>
        <w:contextualSpacing/>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Groupes d’entreprises multinationales et questions de restructuration et d’insolvabilité transfrontalières ;</w:t>
      </w:r>
    </w:p>
    <w:p w:rsidR="003B5B5D" w:rsidRPr="003B5B5D" w:rsidRDefault="003B5B5D" w:rsidP="00C42590">
      <w:pPr>
        <w:numPr>
          <w:ilvl w:val="0"/>
          <w:numId w:val="39"/>
        </w:numPr>
        <w:suppressAutoHyphens/>
        <w:spacing w:line="259" w:lineRule="auto"/>
        <w:contextualSpacing/>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Sujets d’actualité en matière d’insolvabilité et de restructuration dans la région.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lastRenderedPageBreak/>
        <w:t xml:space="preserve">Le séminaire culminera par un dîner, ce qui vous offrira d’amples possibilités pour revoir vos amis et vous en faire de nouveaux. Question hébergement, un tarif de groupe est disponible au Hilton Helsinki Strand. Pour en savoir plus, rendez-vous sur le site d’INSOL International à l’adresse : </w:t>
      </w:r>
      <w:r w:rsidRPr="003B5B5D">
        <w:rPr>
          <w:rFonts w:ascii="Times New Roman" w:eastAsia="Calibri" w:hAnsi="Times New Roman" w:cs="Times New Roman"/>
          <w:i/>
          <w:sz w:val="24"/>
          <w:szCs w:val="24"/>
        </w:rPr>
        <w:t>www.insol.org/page/846/insol-international--insol-europe--fila-helsinki-one-day-joint-seminar-</w:t>
      </w:r>
    </w:p>
    <w:p w:rsidR="00C42590" w:rsidRDefault="00C42590" w:rsidP="0052658C">
      <w:pPr>
        <w:suppressAutoHyphens/>
        <w:spacing w:after="0" w:line="240" w:lineRule="auto"/>
        <w:rPr>
          <w:rFonts w:ascii="Arial Narrow" w:eastAsia="Times New Roman" w:hAnsi="Arial Narrow" w:cs="Times New Roman"/>
          <w:b/>
          <w:sz w:val="32"/>
          <w:szCs w:val="32"/>
          <w:lang w:eastAsia="ar-SA"/>
        </w:rPr>
      </w:pPr>
    </w:p>
    <w:p w:rsidR="00C42590" w:rsidRPr="00C42590" w:rsidRDefault="00C42590" w:rsidP="00C4259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x</w:t>
      </w:r>
      <w:r w:rsidRPr="00C42590">
        <w:rPr>
          <w:rFonts w:ascii="Times New Roman" w:eastAsia="Times New Roman" w:hAnsi="Times New Roman" w:cs="Times New Roman"/>
          <w:sz w:val="24"/>
          <w:szCs w:val="24"/>
          <w:lang w:eastAsia="ar-SA"/>
        </w:rPr>
        <w:t xml:space="preserve">  x  x</w:t>
      </w:r>
    </w:p>
    <w:p w:rsidR="00C42590" w:rsidRDefault="00C42590" w:rsidP="00C42590">
      <w:pPr>
        <w:suppressAutoHyphens/>
        <w:spacing w:after="0" w:line="240" w:lineRule="auto"/>
        <w:jc w:val="center"/>
        <w:rPr>
          <w:rFonts w:ascii="Arial Narrow" w:eastAsia="Times New Roman" w:hAnsi="Arial Narrow" w:cs="Times New Roman"/>
          <w:b/>
          <w:sz w:val="32"/>
          <w:szCs w:val="32"/>
          <w:lang w:eastAsia="ar-SA"/>
        </w:rPr>
      </w:pPr>
      <w:r w:rsidRPr="00C42590">
        <w:rPr>
          <w:rFonts w:ascii="Times New Roman" w:eastAsia="Times New Roman" w:hAnsi="Times New Roman" w:cs="Times New Roman"/>
          <w:sz w:val="24"/>
          <w:szCs w:val="24"/>
          <w:lang w:eastAsia="ar-SA"/>
        </w:rPr>
        <w:t>x</w:t>
      </w:r>
    </w:p>
    <w:p w:rsidR="00C42590" w:rsidRDefault="00C42590" w:rsidP="0052658C">
      <w:pPr>
        <w:suppressAutoHyphens/>
        <w:spacing w:after="0" w:line="240" w:lineRule="auto"/>
        <w:rPr>
          <w:rFonts w:ascii="Arial Narrow" w:eastAsia="Times New Roman" w:hAnsi="Arial Narrow" w:cs="Times New Roman"/>
          <w:b/>
          <w:sz w:val="32"/>
          <w:szCs w:val="32"/>
          <w:lang w:eastAsia="ar-SA"/>
        </w:rPr>
      </w:pPr>
    </w:p>
    <w:p w:rsidR="003B5B5D" w:rsidRPr="001E5D43" w:rsidRDefault="003B5B5D" w:rsidP="0052658C">
      <w:pPr>
        <w:suppressAutoHyphens/>
        <w:spacing w:after="0" w:line="240" w:lineRule="auto"/>
        <w:rPr>
          <w:rFonts w:ascii="Times New Roman" w:eastAsia="Times New Roman" w:hAnsi="Times New Roman" w:cs="Times New Roman"/>
          <w:sz w:val="32"/>
          <w:szCs w:val="32"/>
          <w:lang w:eastAsia="ar-SA"/>
        </w:rPr>
      </w:pPr>
      <w:r w:rsidRPr="001E5D43">
        <w:rPr>
          <w:rFonts w:ascii="Arial Narrow" w:eastAsia="Times New Roman" w:hAnsi="Arial Narrow" w:cs="Times New Roman"/>
          <w:b/>
          <w:sz w:val="32"/>
          <w:szCs w:val="32"/>
          <w:lang w:eastAsia="ar-SA"/>
        </w:rPr>
        <w:t>Rubrique technique</w:t>
      </w:r>
    </w:p>
    <w:p w:rsidR="003B5B5D" w:rsidRPr="003B5B5D" w:rsidRDefault="003B5B5D" w:rsidP="003B5B5D">
      <w:pPr>
        <w:suppressAutoHyphens/>
        <w:spacing w:after="0" w:line="240" w:lineRule="auto"/>
        <w:jc w:val="center"/>
        <w:rPr>
          <w:rFonts w:ascii="Times New Roman" w:eastAsia="Times New Roman" w:hAnsi="Times New Roman" w:cs="Times New Roman"/>
          <w:b/>
          <w:sz w:val="24"/>
          <w:szCs w:val="24"/>
          <w:lang w:eastAsia="ar-SA"/>
        </w:rPr>
      </w:pPr>
    </w:p>
    <w:p w:rsidR="003B5B5D" w:rsidRPr="003B5B5D" w:rsidRDefault="003B5B5D" w:rsidP="001E5D43">
      <w:pPr>
        <w:spacing w:after="0" w:line="240" w:lineRule="auto"/>
        <w:jc w:val="center"/>
        <w:rPr>
          <w:rFonts w:ascii="Times New Roman" w:eastAsia="Calibri" w:hAnsi="Times New Roman" w:cs="Times New Roman"/>
          <w:b/>
          <w:sz w:val="48"/>
          <w:szCs w:val="48"/>
        </w:rPr>
      </w:pPr>
      <w:r w:rsidRPr="003B5B5D">
        <w:rPr>
          <w:rFonts w:ascii="Times New Roman" w:eastAsia="Calibri" w:hAnsi="Times New Roman" w:cs="Times New Roman"/>
          <w:b/>
          <w:sz w:val="48"/>
          <w:szCs w:val="48"/>
        </w:rPr>
        <w:t>Actifs numériques, insolvabilité et restructuration</w:t>
      </w:r>
    </w:p>
    <w:p w:rsidR="003B5B5D" w:rsidRPr="0052658C" w:rsidRDefault="003B5B5D" w:rsidP="001E5D43">
      <w:pPr>
        <w:spacing w:after="0" w:line="240" w:lineRule="auto"/>
        <w:jc w:val="center"/>
        <w:rPr>
          <w:rFonts w:ascii="Arial Narrow" w:eastAsia="Calibri" w:hAnsi="Arial Narrow" w:cs="Times New Roman"/>
          <w:i/>
          <w:sz w:val="24"/>
          <w:szCs w:val="24"/>
        </w:rPr>
      </w:pPr>
      <w:r w:rsidRPr="003B5B5D">
        <w:rPr>
          <w:rFonts w:ascii="Arial Narrow" w:eastAsia="Calibri" w:hAnsi="Arial Narrow" w:cs="Times New Roman"/>
          <w:i/>
          <w:sz w:val="24"/>
          <w:szCs w:val="24"/>
        </w:rPr>
        <w:t>Emmanuelle Inacio* étudie de plus près l’impact de la protection et du recouvrement d’actifs numériques sur la pratique en matière d’insolvabilité et de restructuration</w:t>
      </w:r>
    </w:p>
    <w:p w:rsidR="001E5D43" w:rsidRDefault="001E5D43" w:rsidP="003B5B5D">
      <w:pPr>
        <w:spacing w:after="160" w:line="259" w:lineRule="auto"/>
        <w:jc w:val="both"/>
        <w:rPr>
          <w:rFonts w:ascii="Times New Roman" w:eastAsia="Calibri" w:hAnsi="Times New Roman" w:cs="Times New Roman"/>
          <w:b/>
          <w:sz w:val="24"/>
          <w:szCs w:val="24"/>
        </w:rPr>
      </w:pPr>
    </w:p>
    <w:p w:rsidR="003B5B5D" w:rsidRPr="003B5B5D" w:rsidRDefault="003B5B5D" w:rsidP="003B5B5D">
      <w:pPr>
        <w:spacing w:after="160" w:line="259" w:lineRule="auto"/>
        <w:jc w:val="both"/>
        <w:rPr>
          <w:rFonts w:ascii="Times New Roman" w:eastAsia="Calibri" w:hAnsi="Times New Roman" w:cs="Times New Roman"/>
          <w:b/>
          <w:sz w:val="24"/>
          <w:szCs w:val="24"/>
        </w:rPr>
      </w:pPr>
      <w:r w:rsidRPr="003B5B5D">
        <w:rPr>
          <w:rFonts w:ascii="Times New Roman" w:eastAsia="Calibri" w:hAnsi="Times New Roman" w:cs="Times New Roman"/>
          <w:b/>
          <w:sz w:val="24"/>
          <w:szCs w:val="24"/>
        </w:rPr>
        <w:t>Cryptomonnaies, tokens et ICO</w:t>
      </w:r>
    </w:p>
    <w:p w:rsid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Les cryptomonnaies telles que Bitcoin, Ethereum ou Ripple, utilisent la </w:t>
      </w:r>
      <w:r w:rsidRPr="003B5B5D">
        <w:rPr>
          <w:rFonts w:ascii="Times New Roman" w:eastAsia="Calibri" w:hAnsi="Times New Roman" w:cs="Times New Roman"/>
          <w:b/>
          <w:sz w:val="24"/>
          <w:szCs w:val="24"/>
        </w:rPr>
        <w:t>blockchain</w:t>
      </w:r>
      <w:r w:rsidRPr="003B5B5D">
        <w:rPr>
          <w:rFonts w:ascii="Times New Roman" w:eastAsia="Calibri" w:hAnsi="Times New Roman" w:cs="Times New Roman"/>
          <w:sz w:val="24"/>
          <w:szCs w:val="24"/>
        </w:rPr>
        <w:t xml:space="preserve"> </w:t>
      </w:r>
      <w:r w:rsidR="0052658C">
        <w:rPr>
          <w:rFonts w:ascii="Times New Roman" w:eastAsia="Calibri" w:hAnsi="Times New Roman" w:cs="Times New Roman"/>
          <w:sz w:val="24"/>
          <w:szCs w:val="24"/>
        </w:rPr>
        <w:t xml:space="preserve">(voir encadré ci-dessous) </w:t>
      </w:r>
      <w:r w:rsidRPr="003B5B5D">
        <w:rPr>
          <w:rFonts w:ascii="Times New Roman" w:eastAsia="Calibri" w:hAnsi="Times New Roman" w:cs="Times New Roman"/>
          <w:sz w:val="24"/>
          <w:szCs w:val="24"/>
        </w:rPr>
        <w:t>pour transformer la valeur économique. Bitcoin est une technologie qui a été proposée pour la première fois en 2008 dans un livre blanc rédigé par Satoshi Nakamoto. Le terme Bitcoin désigne à la fois une monnaie privée (dont le bitcoin est l’unité de compte) et le réseau d’ordinateurs qui la gère. Toutefois, ce ne sont pas les gouvernements qui émettent le bitcoin, mais un réseau décentralisé d’ordinateurs</w:t>
      </w:r>
      <w:r w:rsidRPr="003B5B5D">
        <w:rPr>
          <w:rFonts w:ascii="Times New Roman" w:eastAsia="Calibri" w:hAnsi="Times New Roman" w:cs="Times New Roman"/>
          <w:sz w:val="24"/>
          <w:szCs w:val="24"/>
          <w:vertAlign w:val="superscript"/>
        </w:rPr>
        <w:footnoteReference w:id="2"/>
      </w:r>
      <w:r w:rsidRPr="003B5B5D">
        <w:rPr>
          <w:rFonts w:ascii="Times New Roman" w:eastAsia="Calibri" w:hAnsi="Times New Roman" w:cs="Times New Roman"/>
          <w:sz w:val="24"/>
          <w:szCs w:val="24"/>
        </w:rPr>
        <w:t>. Actuellement, il existe plus de neuf cents cryptomonnaies et le marché des cryptomonnaies atteindra une valeur totale de 1 billion de dollars cette année</w:t>
      </w:r>
      <w:r w:rsidRPr="003B5B5D">
        <w:rPr>
          <w:rFonts w:ascii="Times New Roman" w:eastAsia="Calibri" w:hAnsi="Times New Roman" w:cs="Times New Roman"/>
          <w:sz w:val="24"/>
          <w:szCs w:val="24"/>
          <w:vertAlign w:val="superscript"/>
        </w:rPr>
        <w:footnoteReference w:id="3"/>
      </w:r>
      <w:r w:rsidRPr="003B5B5D">
        <w:rPr>
          <w:rFonts w:ascii="Times New Roman" w:eastAsia="Calibri" w:hAnsi="Times New Roman" w:cs="Times New Roman"/>
          <w:sz w:val="24"/>
          <w:szCs w:val="24"/>
        </w:rPr>
        <w:t>.</w:t>
      </w:r>
    </w:p>
    <w:p w:rsidR="00007A92" w:rsidRPr="001E5D43" w:rsidRDefault="00007A92" w:rsidP="00007A92">
      <w:pPr>
        <w:pBdr>
          <w:top w:val="single" w:sz="4" w:space="1" w:color="auto"/>
          <w:left w:val="single" w:sz="4" w:space="4" w:color="auto"/>
          <w:bottom w:val="single" w:sz="4" w:space="1" w:color="auto"/>
          <w:right w:val="single" w:sz="4" w:space="4" w:color="auto"/>
        </w:pBdr>
        <w:spacing w:after="160" w:line="259" w:lineRule="auto"/>
        <w:jc w:val="center"/>
        <w:rPr>
          <w:rFonts w:ascii="Times New Roman" w:eastAsia="Calibri" w:hAnsi="Times New Roman" w:cs="Times New Roman"/>
          <w:b/>
          <w:sz w:val="20"/>
          <w:szCs w:val="20"/>
        </w:rPr>
      </w:pPr>
      <w:r w:rsidRPr="001E5D43">
        <w:rPr>
          <w:rFonts w:ascii="Times New Roman" w:eastAsia="Calibri" w:hAnsi="Times New Roman" w:cs="Times New Roman"/>
          <w:b/>
          <w:sz w:val="20"/>
          <w:szCs w:val="20"/>
        </w:rPr>
        <w:t>La technologie « blockchain »</w:t>
      </w:r>
    </w:p>
    <w:p w:rsidR="00007A92" w:rsidRPr="001E5D43" w:rsidRDefault="00007A92" w:rsidP="00007A92">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Calibri" w:hAnsi="Times New Roman" w:cs="Times New Roman"/>
          <w:b/>
          <w:i/>
          <w:sz w:val="20"/>
          <w:szCs w:val="20"/>
        </w:rPr>
      </w:pPr>
      <w:r w:rsidRPr="001E5D43">
        <w:rPr>
          <w:rFonts w:ascii="Times New Roman" w:eastAsia="Calibri" w:hAnsi="Times New Roman" w:cs="Times New Roman"/>
          <w:b/>
          <w:i/>
          <w:sz w:val="20"/>
          <w:szCs w:val="20"/>
        </w:rPr>
        <w:t>Pour citer l’ancien responsable de la division IOT d’IBM, Paul Brody, la blockchain est « la colle qui va entraîner une révolution de la productivité dans le monde entier, comme Henry Ford l’a fait avec l’automobile. »</w:t>
      </w:r>
    </w:p>
    <w:p w:rsidR="001E5D43" w:rsidRDefault="00007A92" w:rsidP="00007A92">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Calibri" w:hAnsi="Times New Roman" w:cs="Times New Roman"/>
          <w:sz w:val="20"/>
          <w:szCs w:val="20"/>
        </w:rPr>
      </w:pPr>
      <w:r w:rsidRPr="001E5D43">
        <w:rPr>
          <w:rFonts w:ascii="Times New Roman" w:eastAsia="Calibri" w:hAnsi="Times New Roman" w:cs="Times New Roman"/>
          <w:sz w:val="20"/>
          <w:szCs w:val="20"/>
        </w:rPr>
        <w:t>La « </w:t>
      </w:r>
      <w:r w:rsidRPr="001E5D43">
        <w:rPr>
          <w:rFonts w:ascii="Times New Roman" w:eastAsia="Calibri" w:hAnsi="Times New Roman" w:cs="Times New Roman"/>
          <w:i/>
          <w:sz w:val="20"/>
          <w:szCs w:val="20"/>
        </w:rPr>
        <w:t>blockchain</w:t>
      </w:r>
      <w:r w:rsidRPr="001E5D43">
        <w:rPr>
          <w:rFonts w:ascii="Times New Roman" w:eastAsia="Calibri" w:hAnsi="Times New Roman" w:cs="Times New Roman"/>
          <w:sz w:val="20"/>
          <w:szCs w:val="20"/>
        </w:rPr>
        <w:t> » est une base de données distribuée, composé de données numériques cryptées, enregistrées sous forme de blocs, qui, une fois connectée via le réseau distribué d’ordinateurs stockant les blocs, co</w:t>
      </w:r>
      <w:r w:rsidR="001E5D43">
        <w:rPr>
          <w:rFonts w:ascii="Times New Roman" w:eastAsia="Calibri" w:hAnsi="Times New Roman" w:cs="Times New Roman"/>
          <w:sz w:val="20"/>
          <w:szCs w:val="20"/>
        </w:rPr>
        <w:t>nstitue la « chaîne de blocs ».</w:t>
      </w:r>
    </w:p>
    <w:p w:rsidR="00007A92" w:rsidRPr="001E5D43" w:rsidRDefault="00007A92" w:rsidP="00007A92">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Calibri" w:hAnsi="Times New Roman" w:cs="Times New Roman"/>
          <w:sz w:val="20"/>
          <w:szCs w:val="20"/>
        </w:rPr>
      </w:pPr>
      <w:r w:rsidRPr="001E5D43">
        <w:rPr>
          <w:rFonts w:ascii="Times New Roman" w:eastAsia="Calibri" w:hAnsi="Times New Roman" w:cs="Times New Roman"/>
          <w:sz w:val="20"/>
          <w:szCs w:val="20"/>
        </w:rPr>
        <w:t>Chaque ordinateur contient tout ou partie de la blockchain. Il applique son algorithme de calcul pour vérifier les blocs et permettre leur ajout à la chaîne. Étant donné que chaque occurrence de données est conservée en plusieurs endroits au même moment, et qu’un bloc peut être vérifié et ajouté à la chaîne par un nombre indéfini d’ordinateurs, la chaîne peut résister au piratage.</w:t>
      </w:r>
    </w:p>
    <w:p w:rsidR="00007A92" w:rsidRPr="001E5D43" w:rsidRDefault="00007A92" w:rsidP="00007A92">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Calibri" w:hAnsi="Times New Roman" w:cs="Times New Roman"/>
          <w:sz w:val="20"/>
          <w:szCs w:val="20"/>
        </w:rPr>
      </w:pPr>
      <w:r w:rsidRPr="001E5D43">
        <w:rPr>
          <w:rFonts w:ascii="Times New Roman" w:eastAsia="Calibri" w:hAnsi="Times New Roman" w:cs="Times New Roman"/>
          <w:sz w:val="20"/>
          <w:szCs w:val="20"/>
        </w:rPr>
        <w:t>Les données ajoutées à la chaîne sont « hachées » par un procédé cryptographique, ce qui signifie que seul un résumé des données est créé, et non un fichier complet. C’est ce hachage de données  qui est stocké simultanément dans un bloc sur plusieurs ordinateurs et qui est transféré sous forme cryptée via la blockchain, et non les données sous-</w:t>
      </w:r>
      <w:r w:rsidRPr="001E5D43">
        <w:rPr>
          <w:rFonts w:ascii="Times New Roman" w:eastAsia="Calibri" w:hAnsi="Times New Roman" w:cs="Times New Roman"/>
          <w:sz w:val="20"/>
          <w:szCs w:val="20"/>
        </w:rPr>
        <w:lastRenderedPageBreak/>
        <w:t>jacentes réelles elles-mêmes. Sous cette forme abrégée, les données hachées ne peuvent pas être décryptée pour reproduire en intégralité le document ou les données de la transaction correspondante. Toutefois, à l’intérieur de la chaîne, le hachage peut vérifier une copie du document ou de la transaction existant hors de la blockchain</w:t>
      </w:r>
      <w:r w:rsidRPr="001E5D43">
        <w:rPr>
          <w:rFonts w:ascii="Times New Roman" w:eastAsia="Calibri" w:hAnsi="Times New Roman" w:cs="Times New Roman"/>
          <w:sz w:val="20"/>
          <w:szCs w:val="20"/>
          <w:vertAlign w:val="superscript"/>
        </w:rPr>
        <w:footnoteReference w:id="4"/>
      </w:r>
      <w:r w:rsidRPr="001E5D43">
        <w:rPr>
          <w:rFonts w:ascii="Times New Roman" w:eastAsia="Calibri" w:hAnsi="Times New Roman" w:cs="Times New Roman"/>
          <w:sz w:val="20"/>
          <w:szCs w:val="20"/>
        </w:rPr>
        <w:t>. Par conséquent, la blockchain ne repose pas sur la confiance accordée à des intermédiaires puissants tels que des gouvernements et des banques, mais sur un système de preuve.</w:t>
      </w:r>
    </w:p>
    <w:p w:rsidR="00007A92" w:rsidRPr="001E5D43" w:rsidRDefault="00007A92" w:rsidP="00F12C62">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Calibri" w:hAnsi="Times New Roman" w:cs="Times New Roman"/>
          <w:sz w:val="20"/>
          <w:szCs w:val="20"/>
        </w:rPr>
      </w:pPr>
      <w:r w:rsidRPr="001E5D43">
        <w:rPr>
          <w:rFonts w:ascii="Times New Roman" w:eastAsia="Calibri" w:hAnsi="Times New Roman" w:cs="Times New Roman"/>
          <w:sz w:val="20"/>
          <w:szCs w:val="20"/>
        </w:rPr>
        <w:t>Pour résumer, la blockchain est un registre numérique incorruptible de transactions économiques qui peut être programmé pour enregistrer non seulement des opérations financières mais également quasiment tout élément de valeur. Melanie Swan, fondatrice de l’Institute for Blockchain Studies, nous explique : « Il faut voir la blockchain comme une autre catégorie de chose, comme l’Internet : c’est une technologie de l’information complète, comportant divers niveaux techniques et plusieurs catégories d’applications pour toute forme de registre, d’inventaire et d’échange d’actifs, notamment pour tout domaine de la finance, de l’économie et de l’argent, tant en rapport avec les biens durables que les biens incorporels</w:t>
      </w:r>
      <w:r w:rsidRPr="001E5D43">
        <w:rPr>
          <w:rFonts w:ascii="Times New Roman" w:eastAsia="Calibri" w:hAnsi="Times New Roman" w:cs="Times New Roman"/>
          <w:sz w:val="20"/>
          <w:szCs w:val="20"/>
          <w:vertAlign w:val="superscript"/>
        </w:rPr>
        <w:footnoteReference w:id="5"/>
      </w:r>
      <w:r w:rsidRPr="001E5D43">
        <w:rPr>
          <w:rFonts w:ascii="Times New Roman" w:eastAsia="Calibri" w:hAnsi="Times New Roman" w:cs="Times New Roman"/>
          <w:sz w:val="20"/>
          <w:szCs w:val="20"/>
        </w:rPr>
        <w:t>.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La blockchain</w:t>
      </w:r>
      <w:r w:rsidR="0052658C">
        <w:rPr>
          <w:rFonts w:ascii="Times New Roman" w:eastAsia="Calibri" w:hAnsi="Times New Roman" w:cs="Times New Roman"/>
          <w:sz w:val="24"/>
          <w:szCs w:val="24"/>
        </w:rPr>
        <w:t xml:space="preserve"> </w:t>
      </w:r>
      <w:r w:rsidRPr="003B5B5D">
        <w:rPr>
          <w:rFonts w:ascii="Times New Roman" w:eastAsia="Calibri" w:hAnsi="Times New Roman" w:cs="Times New Roman"/>
          <w:sz w:val="24"/>
          <w:szCs w:val="24"/>
        </w:rPr>
        <w:t>n’est pas réservée aux cryptomonnaies ; elle peut aussi stocker, transférer et enregistrer des « tokens » de valeurs. Le token (ou jeton) est un actif numérique personnalisé par son auteur, émis et échangeable via la blockchain, et qui possède toutes les caractéristiques d’une cryptomonnaie.</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Récemment, les promoteurs se sont mis à vendre des unités de compte virtuelles ou tokens sous la forme d’</w:t>
      </w:r>
      <w:r w:rsidRPr="003B5B5D">
        <w:rPr>
          <w:rFonts w:ascii="Times New Roman" w:eastAsia="Calibri" w:hAnsi="Times New Roman" w:cs="Times New Roman"/>
          <w:b/>
          <w:i/>
          <w:sz w:val="24"/>
          <w:szCs w:val="24"/>
        </w:rPr>
        <w:t>Initial Coin Offerings</w:t>
      </w:r>
      <w:r w:rsidRPr="003B5B5D">
        <w:rPr>
          <w:rFonts w:ascii="Times New Roman" w:eastAsia="Calibri" w:hAnsi="Times New Roman" w:cs="Times New Roman"/>
          <w:sz w:val="24"/>
          <w:szCs w:val="24"/>
        </w:rPr>
        <w:t xml:space="preserve"> (« ICO »), qui sont une nouvelle forme de levée de fonds qui s’apparente au financement participatif. Les acheteurs peuvent utiliser des monnaies fiduciaires (par ex. le dollar des États-Unis) ou des monnaies virtuelles pour acheter ces unités de compte virtuelles ou tokens. Les promoteurs peuvent annoncer aux acheteurs que le capital levé grâce aux ventes sera utilisé pour financer une plateforme numérique, un logiciel ou d’autres projets et que les tokens ou unités de compte virtuelles pourront servir à accéder à la plateforme, utiliser le logiciel ou participer à un autre titre au projet. Certains promoteurs et vendeurs initiaux peuvent amener les acheteurs à attendre un retour sur investissement ou à participer aux bénéfices du projet. Après leur émission, les tokens ou unités de compte virtuelles peuvent être revendus à d’autres sur un marché secondaire, des bourses de cryptomonnaies ou d’autres plateformes</w:t>
      </w:r>
      <w:r w:rsidRPr="003B5B5D">
        <w:rPr>
          <w:rFonts w:ascii="Times New Roman" w:eastAsia="Calibri" w:hAnsi="Times New Roman" w:cs="Times New Roman"/>
          <w:sz w:val="24"/>
          <w:szCs w:val="24"/>
          <w:vertAlign w:val="superscript"/>
        </w:rPr>
        <w:footnoteReference w:id="6"/>
      </w:r>
      <w:r w:rsidRPr="003B5B5D">
        <w:rPr>
          <w:rFonts w:ascii="Times New Roman" w:eastAsia="Calibri" w:hAnsi="Times New Roman" w:cs="Times New Roman"/>
          <w:sz w:val="24"/>
          <w:szCs w:val="24"/>
        </w:rPr>
        <w:t>.</w:t>
      </w:r>
    </w:p>
    <w:p w:rsidR="003B5B5D" w:rsidRPr="003B5B5D" w:rsidRDefault="003B5B5D" w:rsidP="003B5B5D">
      <w:pPr>
        <w:spacing w:after="160" w:line="259" w:lineRule="auto"/>
        <w:jc w:val="both"/>
        <w:rPr>
          <w:rFonts w:ascii="Times New Roman" w:eastAsia="Calibri" w:hAnsi="Times New Roman" w:cs="Times New Roman"/>
          <w:sz w:val="24"/>
          <w:szCs w:val="24"/>
        </w:rPr>
      </w:pPr>
      <w:r w:rsidRPr="003B5B5D">
        <w:rPr>
          <w:rFonts w:ascii="Times New Roman" w:eastAsia="Calibri" w:hAnsi="Times New Roman" w:cs="Times New Roman"/>
          <w:b/>
          <w:sz w:val="24"/>
          <w:szCs w:val="24"/>
        </w:rPr>
        <w:t>Statut juridique</w:t>
      </w:r>
      <w:r w:rsidRPr="003B5B5D">
        <w:rPr>
          <w:rFonts w:ascii="Times New Roman" w:eastAsia="Calibri" w:hAnsi="Times New Roman" w:cs="Times New Roman"/>
          <w:sz w:val="24"/>
          <w:szCs w:val="24"/>
        </w:rPr>
        <w:t xml:space="preserve">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La première question qui se pose est celle du statut juridique des crypt</w:t>
      </w:r>
      <w:r w:rsidR="001E5D43">
        <w:rPr>
          <w:rFonts w:ascii="Times New Roman" w:eastAsia="Calibri" w:hAnsi="Times New Roman" w:cs="Times New Roman"/>
          <w:sz w:val="24"/>
          <w:szCs w:val="24"/>
        </w:rPr>
        <w:t>omonnaies.</w:t>
      </w:r>
      <w:r w:rsidRPr="003B5B5D">
        <w:rPr>
          <w:rFonts w:ascii="Times New Roman" w:eastAsia="Calibri" w:hAnsi="Times New Roman" w:cs="Times New Roman"/>
          <w:sz w:val="24"/>
          <w:szCs w:val="24"/>
        </w:rPr>
        <w:t>En France, l’article L. 111-1 du Code monétaire et financier dispose que la monnaie de la France est l’euro. Par conséquent, les cryptomonnaies ne sont pas considérées comme des monnaies en France.</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De la même manière, aux États-Unis, le tribunal fédéral de la faillite du district nord de Californie, dans l’affaire </w:t>
      </w:r>
      <w:r w:rsidRPr="003B5B5D">
        <w:rPr>
          <w:rFonts w:ascii="Times New Roman" w:eastAsia="Calibri" w:hAnsi="Times New Roman" w:cs="Times New Roman"/>
          <w:i/>
          <w:sz w:val="24"/>
          <w:szCs w:val="24"/>
        </w:rPr>
        <w:t>Hashfast c/ Mark Lowe</w:t>
      </w:r>
      <w:r w:rsidRPr="003B5B5D">
        <w:rPr>
          <w:rFonts w:ascii="Times New Roman" w:eastAsia="Calibri" w:hAnsi="Times New Roman" w:cs="Times New Roman"/>
          <w:sz w:val="24"/>
          <w:szCs w:val="24"/>
        </w:rPr>
        <w:t>, a jugé le 22 janvier 2016 que « le bitcoin est un bien, et non une monnaie</w:t>
      </w:r>
      <w:r w:rsidRPr="003B5B5D">
        <w:rPr>
          <w:rFonts w:ascii="Times New Roman" w:eastAsia="Calibri" w:hAnsi="Times New Roman" w:cs="Times New Roman"/>
          <w:sz w:val="24"/>
          <w:szCs w:val="24"/>
          <w:vertAlign w:val="superscript"/>
        </w:rPr>
        <w:footnoteReference w:id="7"/>
      </w:r>
      <w:r w:rsidRPr="003B5B5D">
        <w:rPr>
          <w:rFonts w:ascii="Times New Roman" w:eastAsia="Calibri" w:hAnsi="Times New Roman" w:cs="Times New Roman"/>
          <w:sz w:val="24"/>
          <w:szCs w:val="24"/>
        </w:rPr>
        <w:t>.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Qu’en est-il du token et de sa valeur ? Est-ce une monnaie ? Un bien mobilier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lastRenderedPageBreak/>
        <w:t>De nombreuses valeurs peuvent être transposées sur un token : un titre de propriété, des droits d’auteur, une méthode de paiement, des miles, des avoirs, etc., ce qui rend toute qualification juridique impossible. La nature hybride de nombreux tokens défie les catégories claires des structures habituelles du droit. En France, par défaut, le statut juridique d’un token pourrait être celui de bien mobilier.</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Une autre question qui se pose est celle du statut juridique des ICO. En France, aucun cadre législatif clair n’existe encore. L’Autorité des marchés financiers a lancé une consultation publique sur la question de la réglementation des ICO, qui s’est terminée le 22 décembre 2017</w:t>
      </w:r>
      <w:r w:rsidRPr="003B5B5D">
        <w:rPr>
          <w:rFonts w:ascii="Times New Roman" w:eastAsia="Calibri" w:hAnsi="Times New Roman" w:cs="Times New Roman"/>
          <w:sz w:val="24"/>
          <w:szCs w:val="24"/>
          <w:vertAlign w:val="superscript"/>
        </w:rPr>
        <w:footnoteReference w:id="8"/>
      </w:r>
      <w:r w:rsidRPr="003B5B5D">
        <w:rPr>
          <w:rFonts w:ascii="Times New Roman" w:eastAsia="Calibri" w:hAnsi="Times New Roman" w:cs="Times New Roman"/>
          <w:sz w:val="24"/>
          <w:szCs w:val="24"/>
        </w:rPr>
        <w:t>.</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Aux États-Unis, en fonction des circonstances factuelles de chaque ICO, les tokens ou unités de compte virtuelles proposés ou vendus peuvent être des titres. Dans ce cas, la proposition ou la vente de ces tokens ou unités de compte virtuelles dans le cadre d’une ICO sont soumises à la législation fédérale.</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En Chine et en Corée du Sud, il a été décidé d’interdire l’organisation d’ICO</w:t>
      </w:r>
      <w:r w:rsidRPr="003B5B5D">
        <w:rPr>
          <w:rFonts w:ascii="Times New Roman" w:eastAsia="Calibri" w:hAnsi="Times New Roman" w:cs="Times New Roman"/>
          <w:sz w:val="24"/>
          <w:szCs w:val="24"/>
          <w:vertAlign w:val="superscript"/>
        </w:rPr>
        <w:footnoteReference w:id="9"/>
      </w:r>
      <w:r w:rsidRPr="003B5B5D">
        <w:rPr>
          <w:rFonts w:ascii="Times New Roman" w:eastAsia="Calibri" w:hAnsi="Times New Roman" w:cs="Times New Roman"/>
          <w:sz w:val="24"/>
          <w:szCs w:val="24"/>
        </w:rPr>
        <w:t>.</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b/>
          <w:sz w:val="24"/>
          <w:szCs w:val="24"/>
        </w:rPr>
        <w:t xml:space="preserve">Actifs numériques et insolvabilité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Ainsi, si une société est frappée d’insolvabilité, et qu’elle possède des actifs numériques, se pose la question de savoir si un créancier peut déclarer sa créance en bitcoins, par exemple.</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D’après l’article L. 622-25 du Code de commerce, « la déclaration porte le montant de la créance due au jour du jugement d’ouverture avec indication des sommes à échoir et de la date de leurs échéances. […] Lorsqu’il s’agit de créances en monnaie étrangère, la conversion en euros a lieu selon le cours du change à la date du jugement d’ouverture. »</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Comme nous l’avons vu ci-dessus, le bitcoin n’est pas une monnaie au sens de l’article L. 111-1 du Code monétaire et financier ; il ne peut pas être considéré comme une monnaie étrangère puisqu’il n’appartient à aucun pays. Par conséquent, le juge commissaire ne reconnaîtrait pas une créance déclarée en bitcoins.</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Aux États-Unis, dans l’affaire </w:t>
      </w:r>
      <w:r w:rsidRPr="003B5B5D">
        <w:rPr>
          <w:rFonts w:ascii="Times New Roman" w:eastAsia="Calibri" w:hAnsi="Times New Roman" w:cs="Times New Roman"/>
          <w:i/>
          <w:sz w:val="24"/>
          <w:szCs w:val="24"/>
        </w:rPr>
        <w:t xml:space="preserve">Hashfast c/ Mark Lowe </w:t>
      </w:r>
      <w:r w:rsidRPr="003B5B5D">
        <w:rPr>
          <w:rFonts w:ascii="Times New Roman" w:eastAsia="Calibri" w:hAnsi="Times New Roman" w:cs="Times New Roman"/>
          <w:sz w:val="24"/>
          <w:szCs w:val="24"/>
        </w:rPr>
        <w:t xml:space="preserve">susmentionnée, le tribunal fédéral de la faillite du district nord de Californie a jugé que le bitcoin devrait entrer dans la catégorie des « biens mobiliers incorporels ». Par conséquent, l’administrateur a été autorisé à recouvrer ces biens au profit de la masse, ou la valeur des biens, à hauteur de 1,3 million de dollars. De fait, le juge a finalement accepté la définition, citée par l’administrateur, donnée par la </w:t>
      </w:r>
      <w:r w:rsidRPr="003B5B5D">
        <w:rPr>
          <w:rFonts w:ascii="Times New Roman" w:eastAsia="Calibri" w:hAnsi="Times New Roman" w:cs="Times New Roman"/>
          <w:i/>
          <w:sz w:val="24"/>
          <w:szCs w:val="24"/>
        </w:rPr>
        <w:t xml:space="preserve">Commodity Futures Trading Commission </w:t>
      </w:r>
      <w:r w:rsidRPr="003B5B5D">
        <w:rPr>
          <w:rFonts w:ascii="Times New Roman" w:eastAsia="Calibri" w:hAnsi="Times New Roman" w:cs="Times New Roman"/>
          <w:sz w:val="24"/>
          <w:szCs w:val="24"/>
        </w:rPr>
        <w:t>(CFTC) et l’</w:t>
      </w:r>
      <w:r w:rsidRPr="003B5B5D">
        <w:rPr>
          <w:rFonts w:ascii="Times New Roman" w:eastAsia="Calibri" w:hAnsi="Times New Roman" w:cs="Times New Roman"/>
          <w:i/>
          <w:sz w:val="24"/>
          <w:szCs w:val="24"/>
        </w:rPr>
        <w:t xml:space="preserve">Internal Revenue Service </w:t>
      </w:r>
      <w:r w:rsidRPr="003B5B5D">
        <w:rPr>
          <w:rFonts w:ascii="Times New Roman" w:eastAsia="Calibri" w:hAnsi="Times New Roman" w:cs="Times New Roman"/>
          <w:sz w:val="24"/>
          <w:szCs w:val="24"/>
        </w:rPr>
        <w:t>(IRS), selon laquelle le bitcoin est considéré comme un bien ou un produit.</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Ainsi, si le bitcoin n’est pas une monnaie mais un bien, il peut faire l’objet d’une action en recouvrement d’actifs numériques</w:t>
      </w:r>
      <w:r w:rsidRPr="003B5B5D">
        <w:rPr>
          <w:rFonts w:ascii="Times New Roman" w:eastAsia="Calibri" w:hAnsi="Times New Roman" w:cs="Times New Roman"/>
          <w:sz w:val="24"/>
          <w:szCs w:val="24"/>
          <w:vertAlign w:val="superscript"/>
        </w:rPr>
        <w:footnoteReference w:id="10"/>
      </w:r>
      <w:r w:rsidRPr="003B5B5D">
        <w:rPr>
          <w:rFonts w:ascii="Times New Roman" w:eastAsia="Calibri" w:hAnsi="Times New Roman" w:cs="Times New Roman"/>
          <w:sz w:val="24"/>
          <w:szCs w:val="24"/>
        </w:rPr>
        <w:t xml:space="preserve">. Étant donné que le bitcoin est fongible, il n’a pas de valeur </w:t>
      </w:r>
      <w:r w:rsidRPr="003B5B5D">
        <w:rPr>
          <w:rFonts w:ascii="Times New Roman" w:eastAsia="Calibri" w:hAnsi="Times New Roman" w:cs="Times New Roman"/>
          <w:sz w:val="24"/>
          <w:szCs w:val="24"/>
        </w:rPr>
        <w:lastRenderedPageBreak/>
        <w:t>stable, ce qui entraînera des problèmes importants. Le bitcoin défie également les règles du droit international privé</w:t>
      </w:r>
      <w:r w:rsidRPr="003B5B5D">
        <w:rPr>
          <w:rFonts w:ascii="Times New Roman" w:eastAsia="Calibri" w:hAnsi="Times New Roman" w:cs="Times New Roman"/>
          <w:sz w:val="24"/>
          <w:szCs w:val="24"/>
          <w:vertAlign w:val="superscript"/>
        </w:rPr>
        <w:footnoteReference w:id="11"/>
      </w:r>
      <w:r w:rsidRPr="003B5B5D">
        <w:rPr>
          <w:rFonts w:ascii="Times New Roman" w:eastAsia="Calibri" w:hAnsi="Times New Roman" w:cs="Times New Roman"/>
          <w:sz w:val="24"/>
          <w:szCs w:val="24"/>
        </w:rPr>
        <w:t>.</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Toutefois, le tribunal de commerce de Moscou a jugé, en mars 2018, que les lois de la Fédération de Russie ne reconnaissaient pas la cryptomonnaie comme étant un bien</w:t>
      </w:r>
      <w:r w:rsidRPr="003B5B5D">
        <w:rPr>
          <w:rFonts w:ascii="Times New Roman" w:eastAsia="Calibri" w:hAnsi="Times New Roman" w:cs="Times New Roman"/>
          <w:sz w:val="24"/>
          <w:szCs w:val="24"/>
          <w:vertAlign w:val="superscript"/>
        </w:rPr>
        <w:footnoteReference w:id="12"/>
      </w:r>
      <w:r w:rsidRPr="003B5B5D">
        <w:rPr>
          <w:rFonts w:ascii="Times New Roman" w:eastAsia="Calibri" w:hAnsi="Times New Roman" w:cs="Times New Roman"/>
          <w:sz w:val="24"/>
          <w:szCs w:val="24"/>
        </w:rPr>
        <w:t>. De fait, la législation russe ne prévoit pas de définition des cryptomonnaies et n’impose aucune règle quant à leur circulation. Il n’y a aucune façon de dire si ce sont des biens, des informations ou des « succédanés », indique le tribunal, ajoutant qu’il est impossible de réglementer les relations impliquant des cryptomonnaies. Il a été aussi noté que l’utilisation d’une cryptomonnaie présentait un danger potentiel, notamment un risque de poursuites pour blanchiment d’argent ou financement du terrorisme. Par conséquent, le tribunal a refusé d’inclure les cryptomonnaies découvertes sur les comptes du débiteur insolvable dans la masse, bien que le praticien de l’insolvabilité ait avancé que si le tribunal refusait de les inclure, cela permettrait à certains débiteurs de dissimuler leurs biens sous forme de bitcoins</w:t>
      </w:r>
      <w:r w:rsidRPr="003B5B5D">
        <w:rPr>
          <w:rFonts w:ascii="Times New Roman" w:eastAsia="Calibri" w:hAnsi="Times New Roman" w:cs="Times New Roman"/>
          <w:sz w:val="24"/>
          <w:szCs w:val="24"/>
          <w:vertAlign w:val="superscript"/>
        </w:rPr>
        <w:footnoteReference w:id="13"/>
      </w:r>
      <w:r w:rsidRPr="003B5B5D">
        <w:rPr>
          <w:rFonts w:ascii="Times New Roman" w:eastAsia="Calibri" w:hAnsi="Times New Roman" w:cs="Times New Roman"/>
          <w:sz w:val="24"/>
          <w:szCs w:val="24"/>
        </w:rPr>
        <w:t>.</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Par conséquent, les actifs numériques créent des problèmes encore plus complexes pour les professionnels de l’insolvabilité, et il est difficile de prévoir l’issue des scénarios d’insolvabilité.</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En réponse à de récentes activités illégales facilitées par l’utilisation du bitcoin, les États commencent à proposer de réglementer les cryptomonnaies. En outre, ce n’est pas par hasard que les Gouverneurs des banques centrales et les ministres des Finances de France et d’Allemagne ont écrit au ministère des Finances d’Argentine pour demander d’inscrire la réglementation des cryptomonnaies à l’ordre du jour du G20</w:t>
      </w:r>
      <w:r w:rsidRPr="003B5B5D">
        <w:rPr>
          <w:rFonts w:ascii="Times New Roman" w:eastAsia="Calibri" w:hAnsi="Times New Roman" w:cs="Times New Roman"/>
          <w:sz w:val="24"/>
          <w:szCs w:val="24"/>
          <w:vertAlign w:val="superscript"/>
        </w:rPr>
        <w:footnoteReference w:id="14"/>
      </w:r>
      <w:r w:rsidRPr="003B5B5D">
        <w:rPr>
          <w:rFonts w:ascii="Times New Roman" w:eastAsia="Calibri" w:hAnsi="Times New Roman" w:cs="Times New Roman"/>
          <w:sz w:val="24"/>
          <w:szCs w:val="24"/>
        </w:rPr>
        <w:t>. Si 2017 était l’année des ICO, il semblerait que 2018 soit destinée à être l’année de la réglementation.</w:t>
      </w:r>
    </w:p>
    <w:p w:rsidR="003B5B5D" w:rsidRPr="003B5B5D" w:rsidRDefault="003B5B5D" w:rsidP="00C42590">
      <w:pPr>
        <w:spacing w:line="259" w:lineRule="auto"/>
        <w:jc w:val="both"/>
        <w:rPr>
          <w:rFonts w:ascii="Times New Roman" w:eastAsia="Calibri" w:hAnsi="Times New Roman" w:cs="Times New Roman"/>
          <w:sz w:val="24"/>
          <w:szCs w:val="24"/>
        </w:rPr>
      </w:pPr>
      <w:r w:rsidRPr="003B5B5D">
        <w:rPr>
          <w:rFonts w:ascii="Times New Roman" w:eastAsia="Calibri" w:hAnsi="Times New Roman" w:cs="Times New Roman"/>
          <w:sz w:val="24"/>
          <w:szCs w:val="24"/>
        </w:rPr>
        <w:t xml:space="preserve">Les questions difficiles de l’impact de la protection et du recouvrement d’actifs numériques sur la pratique en matière d’insolvabilité et de restructuration seront débattues lors du Congrès annuel d’INSOL Europe, qui se tiendra du 4 au 7 octobre 2018 à Athènes, et dont le thème principal est « Briser les chaînes ». Nous sommes impatients de vous y voir ! </w:t>
      </w:r>
    </w:p>
    <w:p w:rsidR="003B5B5D" w:rsidRPr="003B5B5D" w:rsidRDefault="003B5B5D" w:rsidP="003B5B5D">
      <w:pPr>
        <w:suppressAutoHyphens/>
        <w:spacing w:after="0" w:line="240" w:lineRule="auto"/>
        <w:jc w:val="both"/>
        <w:rPr>
          <w:rFonts w:ascii="Arial Narrow" w:eastAsia="Times New Roman" w:hAnsi="Arial Narrow" w:cs="Times New Roman"/>
          <w:sz w:val="20"/>
          <w:szCs w:val="20"/>
          <w:lang w:eastAsia="ar-SA"/>
        </w:rPr>
      </w:pPr>
      <w:r w:rsidRPr="003B5B5D">
        <w:rPr>
          <w:rFonts w:ascii="Arial Narrow" w:eastAsia="Times New Roman" w:hAnsi="Arial Narrow" w:cs="Times New Roman"/>
          <w:sz w:val="20"/>
          <w:szCs w:val="20"/>
          <w:lang w:eastAsia="ar-SA"/>
        </w:rPr>
        <w:t xml:space="preserve">                                                                                                      *Emmanuelle Inacio, responsable technique d’INSOL Europe</w:t>
      </w:r>
    </w:p>
    <w:p w:rsidR="003B5B5D" w:rsidRPr="003B5B5D" w:rsidRDefault="003B5B5D" w:rsidP="003B5B5D">
      <w:pPr>
        <w:suppressAutoHyphens/>
        <w:spacing w:after="0" w:line="240" w:lineRule="auto"/>
        <w:rPr>
          <w:rFonts w:ascii="Times New Roman" w:eastAsia="Times New Roman" w:hAnsi="Times New Roman" w:cs="Times New Roman"/>
          <w:sz w:val="24"/>
          <w:szCs w:val="24"/>
          <w:lang w:eastAsia="ar-SA"/>
        </w:rPr>
      </w:pPr>
    </w:p>
    <w:p w:rsidR="003B5B5D" w:rsidRPr="003B5B5D" w:rsidRDefault="003B5B5D" w:rsidP="003B5B5D">
      <w:pPr>
        <w:suppressAutoHyphens/>
        <w:spacing w:after="0" w:line="240" w:lineRule="auto"/>
        <w:jc w:val="center"/>
        <w:rPr>
          <w:rFonts w:ascii="Times New Roman" w:eastAsia="Times New Roman" w:hAnsi="Times New Roman" w:cs="Times New Roman"/>
          <w:sz w:val="24"/>
          <w:szCs w:val="24"/>
          <w:lang w:eastAsia="ar-SA"/>
        </w:rPr>
      </w:pPr>
      <w:r w:rsidRPr="003B5B5D">
        <w:rPr>
          <w:rFonts w:ascii="Times New Roman" w:eastAsia="Times New Roman" w:hAnsi="Times New Roman" w:cs="Times New Roman"/>
          <w:sz w:val="24"/>
          <w:szCs w:val="24"/>
          <w:lang w:eastAsia="ar-SA"/>
        </w:rPr>
        <w:t>x  x  x</w:t>
      </w:r>
    </w:p>
    <w:p w:rsidR="003B5B5D" w:rsidRPr="003B5B5D" w:rsidRDefault="003B5B5D" w:rsidP="003B5B5D">
      <w:pPr>
        <w:suppressAutoHyphens/>
        <w:spacing w:after="0" w:line="240" w:lineRule="auto"/>
        <w:jc w:val="center"/>
        <w:rPr>
          <w:rFonts w:ascii="Arial Narrow" w:eastAsia="Times New Roman" w:hAnsi="Arial Narrow" w:cs="Times New Roman"/>
          <w:b/>
          <w:sz w:val="28"/>
          <w:szCs w:val="28"/>
          <w:lang w:eastAsia="ar-SA"/>
        </w:rPr>
      </w:pPr>
      <w:r w:rsidRPr="003B5B5D">
        <w:rPr>
          <w:rFonts w:ascii="Times New Roman" w:eastAsia="Times New Roman" w:hAnsi="Times New Roman" w:cs="Times New Roman"/>
          <w:sz w:val="24"/>
          <w:szCs w:val="24"/>
          <w:lang w:eastAsia="ar-SA"/>
        </w:rPr>
        <w:t>x</w:t>
      </w:r>
    </w:p>
    <w:p w:rsidR="003B5B5D" w:rsidRPr="003B5B5D" w:rsidRDefault="003B5B5D" w:rsidP="003B5B5D">
      <w:pPr>
        <w:suppressAutoHyphens/>
        <w:spacing w:after="0" w:line="240" w:lineRule="auto"/>
        <w:jc w:val="center"/>
        <w:rPr>
          <w:rFonts w:ascii="Times New Roman" w:eastAsia="Times New Roman" w:hAnsi="Times New Roman" w:cs="Times New Roman"/>
          <w:sz w:val="24"/>
          <w:szCs w:val="24"/>
          <w:lang w:eastAsia="ar-SA"/>
        </w:rPr>
      </w:pPr>
    </w:p>
    <w:p w:rsidR="00C42590" w:rsidRDefault="00C42590" w:rsidP="006C79CB">
      <w:pPr>
        <w:jc w:val="both"/>
        <w:rPr>
          <w:rFonts w:ascii="Arial Narrow" w:hAnsi="Arial Narrow" w:cs="Times New Roman"/>
          <w:b/>
          <w:sz w:val="32"/>
          <w:szCs w:val="32"/>
        </w:rPr>
      </w:pPr>
    </w:p>
    <w:p w:rsidR="00C42590" w:rsidRDefault="00C42590" w:rsidP="006C79CB">
      <w:pPr>
        <w:jc w:val="both"/>
        <w:rPr>
          <w:rFonts w:ascii="Arial Narrow" w:hAnsi="Arial Narrow" w:cs="Times New Roman"/>
          <w:b/>
          <w:sz w:val="32"/>
          <w:szCs w:val="32"/>
        </w:rPr>
      </w:pPr>
    </w:p>
    <w:p w:rsidR="00C16376" w:rsidRPr="001E5D43" w:rsidRDefault="00C16376" w:rsidP="006C79CB">
      <w:pPr>
        <w:jc w:val="both"/>
        <w:rPr>
          <w:rFonts w:ascii="Arial Narrow" w:hAnsi="Arial Narrow" w:cs="Times New Roman"/>
          <w:b/>
          <w:sz w:val="32"/>
          <w:szCs w:val="32"/>
        </w:rPr>
      </w:pPr>
      <w:r w:rsidRPr="001E5D43">
        <w:rPr>
          <w:rFonts w:ascii="Arial Narrow" w:hAnsi="Arial Narrow" w:cs="Times New Roman"/>
          <w:b/>
          <w:sz w:val="32"/>
          <w:szCs w:val="32"/>
        </w:rPr>
        <w:lastRenderedPageBreak/>
        <w:t>France</w:t>
      </w:r>
    </w:p>
    <w:p w:rsidR="003E0617" w:rsidRPr="001E5D43" w:rsidRDefault="003E0617" w:rsidP="001E5D43">
      <w:pPr>
        <w:spacing w:after="0" w:line="240" w:lineRule="auto"/>
        <w:jc w:val="center"/>
        <w:rPr>
          <w:b/>
          <w:sz w:val="44"/>
          <w:szCs w:val="44"/>
        </w:rPr>
      </w:pPr>
      <w:bookmarkStart w:id="0" w:name="_Hlk506457256"/>
      <w:r w:rsidRPr="00BF1013">
        <w:rPr>
          <w:rFonts w:ascii="Times New Roman" w:hAnsi="Times New Roman" w:cs="Times New Roman"/>
          <w:b/>
          <w:sz w:val="44"/>
          <w:szCs w:val="44"/>
        </w:rPr>
        <w:t xml:space="preserve">Le statut de l’Administrateur Judiciaire </w:t>
      </w:r>
    </w:p>
    <w:p w:rsidR="003E0617" w:rsidRPr="00BF1013" w:rsidRDefault="003E0617" w:rsidP="003E0617">
      <w:pPr>
        <w:spacing w:after="0" w:line="240" w:lineRule="auto"/>
        <w:jc w:val="center"/>
        <w:rPr>
          <w:rFonts w:ascii="Arial Narrow" w:hAnsi="Arial Narrow"/>
          <w:i/>
        </w:rPr>
      </w:pPr>
      <w:r w:rsidRPr="00BF1013">
        <w:rPr>
          <w:rFonts w:ascii="Arial Narrow" w:hAnsi="Arial Narrow"/>
          <w:i/>
        </w:rPr>
        <w:t>Isabelle Didier explique les rôles et les responsabilités d’un administrateur judiciaire</w:t>
      </w:r>
    </w:p>
    <w:p w:rsidR="003E0617" w:rsidRDefault="003E0617" w:rsidP="003E0617">
      <w:pPr>
        <w:spacing w:after="0" w:line="240" w:lineRule="auto"/>
      </w:pPr>
    </w:p>
    <w:p w:rsidR="003E0617" w:rsidRPr="003E0617" w:rsidRDefault="003E0617" w:rsidP="00C42590">
      <w:pPr>
        <w:spacing w:line="240" w:lineRule="auto"/>
        <w:rPr>
          <w:rFonts w:ascii="Times New Roman" w:hAnsi="Times New Roman" w:cs="Times New Roman"/>
          <w:b/>
          <w:sz w:val="24"/>
          <w:szCs w:val="24"/>
        </w:rPr>
      </w:pPr>
      <w:r w:rsidRPr="003E0617">
        <w:rPr>
          <w:rFonts w:ascii="Times New Roman" w:hAnsi="Times New Roman" w:cs="Times New Roman"/>
          <w:b/>
          <w:sz w:val="24"/>
          <w:szCs w:val="24"/>
        </w:rPr>
        <w:t xml:space="preserve">Il n’est pas aisé </w:t>
      </w:r>
      <w:r w:rsidR="00E43386">
        <w:rPr>
          <w:rFonts w:ascii="Times New Roman" w:hAnsi="Times New Roman" w:cs="Times New Roman"/>
          <w:b/>
          <w:sz w:val="24"/>
          <w:szCs w:val="24"/>
        </w:rPr>
        <w:t xml:space="preserve">en France </w:t>
      </w:r>
      <w:r w:rsidRPr="003E0617">
        <w:rPr>
          <w:rFonts w:ascii="Times New Roman" w:hAnsi="Times New Roman" w:cs="Times New Roman"/>
          <w:b/>
          <w:sz w:val="24"/>
          <w:szCs w:val="24"/>
        </w:rPr>
        <w:t xml:space="preserve">pour l’usager de se repérer parmi les différents rôles et mandats qu’exerce l’administrateur judiciaire. On comprend qu’il en soit encore plus </w:t>
      </w:r>
      <w:r w:rsidR="00E43386">
        <w:rPr>
          <w:rFonts w:ascii="Times New Roman" w:hAnsi="Times New Roman" w:cs="Times New Roman"/>
          <w:b/>
          <w:sz w:val="24"/>
          <w:szCs w:val="24"/>
        </w:rPr>
        <w:t xml:space="preserve">complexe </w:t>
      </w:r>
      <w:r w:rsidRPr="003E0617">
        <w:rPr>
          <w:rFonts w:ascii="Times New Roman" w:hAnsi="Times New Roman" w:cs="Times New Roman"/>
          <w:b/>
          <w:sz w:val="24"/>
          <w:szCs w:val="24"/>
        </w:rPr>
        <w:t>pour un juriste étranger qui ne connaît pas le système français.</w:t>
      </w:r>
      <w:r w:rsidRPr="003E0617">
        <w:rPr>
          <w:rFonts w:ascii="Times New Roman" w:hAnsi="Times New Roman" w:cs="Times New Roman"/>
          <w:b/>
          <w:sz w:val="24"/>
          <w:szCs w:val="24"/>
        </w:rPr>
        <w:br/>
      </w:r>
    </w:p>
    <w:p w:rsidR="003E0617" w:rsidRPr="003E0617" w:rsidRDefault="003E0617" w:rsidP="00C42590">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Tout d’abord, j’essayerai, profitant de cette occasion, d’expliquer une fois pour toutes et en termes ‘laïques’, les rôles que jouent</w:t>
      </w:r>
      <w:r w:rsidR="00E43386">
        <w:rPr>
          <w:rFonts w:ascii="Times New Roman" w:hAnsi="Times New Roman" w:cs="Times New Roman"/>
          <w:sz w:val="24"/>
          <w:szCs w:val="24"/>
        </w:rPr>
        <w:t>, en France,</w:t>
      </w:r>
      <w:r w:rsidRPr="003E0617">
        <w:rPr>
          <w:rFonts w:ascii="Times New Roman" w:hAnsi="Times New Roman" w:cs="Times New Roman"/>
          <w:sz w:val="24"/>
          <w:szCs w:val="24"/>
        </w:rPr>
        <w:t xml:space="preserve"> </w:t>
      </w:r>
      <w:r w:rsidR="00E43386">
        <w:rPr>
          <w:rFonts w:ascii="Times New Roman" w:hAnsi="Times New Roman" w:cs="Times New Roman"/>
          <w:sz w:val="24"/>
          <w:szCs w:val="24"/>
        </w:rPr>
        <w:t xml:space="preserve">les </w:t>
      </w:r>
      <w:r w:rsidRPr="003E0617">
        <w:rPr>
          <w:rFonts w:ascii="Times New Roman" w:hAnsi="Times New Roman" w:cs="Times New Roman"/>
          <w:sz w:val="24"/>
          <w:szCs w:val="24"/>
        </w:rPr>
        <w:t xml:space="preserve">deux professions distinctes qui opèrent </w:t>
      </w:r>
      <w:r w:rsidR="00E43386">
        <w:rPr>
          <w:rFonts w:ascii="Times New Roman" w:hAnsi="Times New Roman" w:cs="Times New Roman"/>
          <w:sz w:val="24"/>
          <w:szCs w:val="24"/>
        </w:rPr>
        <w:t xml:space="preserve">dans le domaine de l’insolvabilité </w:t>
      </w:r>
      <w:r w:rsidRPr="003E0617">
        <w:rPr>
          <w:rFonts w:ascii="Times New Roman" w:hAnsi="Times New Roman" w:cs="Times New Roman"/>
          <w:sz w:val="24"/>
          <w:szCs w:val="24"/>
        </w:rPr>
        <w:t>sous l’autorité judiciaire.</w:t>
      </w:r>
    </w:p>
    <w:p w:rsidR="001251E8" w:rsidRDefault="00E43386" w:rsidP="00C425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Ces </w:t>
      </w:r>
      <w:r w:rsidR="003E0617" w:rsidRPr="003E0617">
        <w:rPr>
          <w:rFonts w:ascii="Times New Roman" w:hAnsi="Times New Roman" w:cs="Times New Roman"/>
          <w:sz w:val="24"/>
          <w:szCs w:val="24"/>
        </w:rPr>
        <w:t xml:space="preserve">praticiens d’insolvabilité </w:t>
      </w:r>
      <w:r>
        <w:rPr>
          <w:rFonts w:ascii="Times New Roman" w:hAnsi="Times New Roman" w:cs="Times New Roman"/>
          <w:sz w:val="24"/>
          <w:szCs w:val="24"/>
        </w:rPr>
        <w:t xml:space="preserve">que j’évoque </w:t>
      </w:r>
      <w:r w:rsidR="003E0617" w:rsidRPr="003E0617">
        <w:rPr>
          <w:rFonts w:ascii="Times New Roman" w:hAnsi="Times New Roman" w:cs="Times New Roman"/>
          <w:sz w:val="24"/>
          <w:szCs w:val="24"/>
        </w:rPr>
        <w:t xml:space="preserve">sont les administrateurs judiciaires et les mandataires judiciaires. Ces deux professions séparées ont été créés </w:t>
      </w:r>
      <w:r>
        <w:rPr>
          <w:rFonts w:ascii="Times New Roman" w:hAnsi="Times New Roman" w:cs="Times New Roman"/>
          <w:sz w:val="24"/>
          <w:szCs w:val="24"/>
        </w:rPr>
        <w:t>en 1985 afin d’éviter tout</w:t>
      </w:r>
      <w:r w:rsidR="003E0617" w:rsidRPr="003E0617">
        <w:rPr>
          <w:rFonts w:ascii="Times New Roman" w:hAnsi="Times New Roman" w:cs="Times New Roman"/>
          <w:sz w:val="24"/>
          <w:szCs w:val="24"/>
        </w:rPr>
        <w:t xml:space="preserve"> </w:t>
      </w:r>
      <w:r>
        <w:rPr>
          <w:rFonts w:ascii="Times New Roman" w:hAnsi="Times New Roman" w:cs="Times New Roman"/>
          <w:sz w:val="24"/>
          <w:szCs w:val="24"/>
        </w:rPr>
        <w:t xml:space="preserve">risque </w:t>
      </w:r>
      <w:r w:rsidR="003E0617" w:rsidRPr="003E0617">
        <w:rPr>
          <w:rFonts w:ascii="Times New Roman" w:hAnsi="Times New Roman" w:cs="Times New Roman"/>
          <w:sz w:val="24"/>
          <w:szCs w:val="24"/>
        </w:rPr>
        <w:t>de conflit d’intérêts dans le cadre de procédures collectives</w:t>
      </w:r>
      <w:r>
        <w:rPr>
          <w:rFonts w:ascii="Times New Roman" w:hAnsi="Times New Roman" w:cs="Times New Roman"/>
          <w:sz w:val="24"/>
          <w:szCs w:val="24"/>
        </w:rPr>
        <w:t>. En procédures de redressement ou de sauvegarde </w:t>
      </w:r>
      <w:r w:rsidR="003E0617" w:rsidRPr="003E0617">
        <w:rPr>
          <w:rFonts w:ascii="Times New Roman" w:hAnsi="Times New Roman" w:cs="Times New Roman"/>
          <w:sz w:val="24"/>
          <w:szCs w:val="24"/>
        </w:rPr>
        <w:t xml:space="preserve"> les administrateurs</w:t>
      </w:r>
      <w:r>
        <w:rPr>
          <w:rFonts w:ascii="Times New Roman" w:hAnsi="Times New Roman" w:cs="Times New Roman"/>
          <w:sz w:val="24"/>
          <w:szCs w:val="24"/>
        </w:rPr>
        <w:t xml:space="preserve"> assistent le</w:t>
      </w:r>
      <w:r w:rsidR="003E0617" w:rsidRPr="003E0617">
        <w:rPr>
          <w:rFonts w:ascii="Times New Roman" w:hAnsi="Times New Roman" w:cs="Times New Roman"/>
          <w:sz w:val="24"/>
          <w:szCs w:val="24"/>
        </w:rPr>
        <w:t xml:space="preserve"> débiteur</w:t>
      </w:r>
      <w:r>
        <w:rPr>
          <w:rFonts w:ascii="Times New Roman" w:hAnsi="Times New Roman" w:cs="Times New Roman"/>
          <w:sz w:val="24"/>
          <w:szCs w:val="24"/>
        </w:rPr>
        <w:t>, personne physique ou</w:t>
      </w:r>
      <w:r w:rsidR="003E0617" w:rsidRPr="003E0617">
        <w:rPr>
          <w:rFonts w:ascii="Times New Roman" w:hAnsi="Times New Roman" w:cs="Times New Roman"/>
          <w:sz w:val="24"/>
          <w:szCs w:val="24"/>
        </w:rPr>
        <w:t xml:space="preserve"> entreprise en difficulté, les mandataires judiciaires défendent les intér</w:t>
      </w:r>
      <w:r w:rsidR="00C42590">
        <w:rPr>
          <w:rFonts w:ascii="Times New Roman" w:hAnsi="Times New Roman" w:cs="Times New Roman"/>
          <w:sz w:val="24"/>
          <w:szCs w:val="24"/>
        </w:rPr>
        <w:t>êts des créanciers et employés.</w:t>
      </w:r>
    </w:p>
    <w:p w:rsidR="00640BDB" w:rsidRDefault="00640BDB" w:rsidP="00C4259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Ces </w:t>
      </w:r>
      <w:r w:rsidR="003E0617" w:rsidRPr="003E0617">
        <w:rPr>
          <w:rFonts w:ascii="Times New Roman" w:hAnsi="Times New Roman" w:cs="Times New Roman"/>
          <w:sz w:val="24"/>
          <w:szCs w:val="24"/>
        </w:rPr>
        <w:t xml:space="preserve">professionnels sont </w:t>
      </w:r>
      <w:r>
        <w:rPr>
          <w:rFonts w:ascii="Times New Roman" w:hAnsi="Times New Roman" w:cs="Times New Roman"/>
          <w:sz w:val="24"/>
          <w:szCs w:val="24"/>
        </w:rPr>
        <w:t xml:space="preserve">tout deux </w:t>
      </w:r>
      <w:r w:rsidR="003E0617" w:rsidRPr="003E0617">
        <w:rPr>
          <w:rFonts w:ascii="Times New Roman" w:hAnsi="Times New Roman" w:cs="Times New Roman"/>
          <w:sz w:val="24"/>
          <w:szCs w:val="24"/>
        </w:rPr>
        <w:t>désignés par le</w:t>
      </w:r>
      <w:r>
        <w:rPr>
          <w:rFonts w:ascii="Times New Roman" w:hAnsi="Times New Roman" w:cs="Times New Roman"/>
          <w:sz w:val="24"/>
          <w:szCs w:val="24"/>
        </w:rPr>
        <w:t>s tribunaux civils ou</w:t>
      </w:r>
      <w:r w:rsidR="003E0617" w:rsidRPr="003E0617">
        <w:rPr>
          <w:rFonts w:ascii="Times New Roman" w:hAnsi="Times New Roman" w:cs="Times New Roman"/>
          <w:sz w:val="24"/>
          <w:szCs w:val="24"/>
        </w:rPr>
        <w:t xml:space="preserve"> </w:t>
      </w:r>
      <w:r>
        <w:rPr>
          <w:rFonts w:ascii="Times New Roman" w:hAnsi="Times New Roman" w:cs="Times New Roman"/>
          <w:sz w:val="24"/>
          <w:szCs w:val="24"/>
        </w:rPr>
        <w:t>de c</w:t>
      </w:r>
      <w:r w:rsidR="003E0617">
        <w:rPr>
          <w:rFonts w:ascii="Times New Roman" w:hAnsi="Times New Roman" w:cs="Times New Roman"/>
          <w:sz w:val="24"/>
          <w:szCs w:val="24"/>
        </w:rPr>
        <w:t xml:space="preserve">ommerce. </w:t>
      </w:r>
      <w:r>
        <w:rPr>
          <w:rFonts w:ascii="Times New Roman" w:hAnsi="Times New Roman" w:cs="Times New Roman"/>
          <w:sz w:val="24"/>
          <w:szCs w:val="24"/>
        </w:rPr>
        <w:t xml:space="preserve">Alors </w:t>
      </w:r>
      <w:r w:rsidR="003E0617" w:rsidRPr="003E0617">
        <w:rPr>
          <w:rFonts w:ascii="Times New Roman" w:hAnsi="Times New Roman" w:cs="Times New Roman"/>
          <w:sz w:val="24"/>
          <w:szCs w:val="24"/>
        </w:rPr>
        <w:t xml:space="preserve">que le mandataire judiciaire intervient exclusivement dans les procédures collectives, </w:t>
      </w:r>
      <w:r w:rsidR="003E0617" w:rsidRPr="003E0617">
        <w:rPr>
          <w:rFonts w:ascii="Times New Roman" w:hAnsi="Times New Roman" w:cs="Times New Roman"/>
          <w:b/>
          <w:sz w:val="24"/>
          <w:szCs w:val="24"/>
        </w:rPr>
        <w:t xml:space="preserve">les administrateurs judiciaires se sont vu confier des mandats plus larges que le rôle classique défini plus haut. </w:t>
      </w:r>
    </w:p>
    <w:p w:rsidR="00640BDB" w:rsidRDefault="00640BDB" w:rsidP="00C42590">
      <w:pPr>
        <w:spacing w:line="240" w:lineRule="auto"/>
        <w:jc w:val="both"/>
        <w:rPr>
          <w:rFonts w:ascii="Times New Roman" w:hAnsi="Times New Roman" w:cs="Times New Roman"/>
          <w:sz w:val="24"/>
          <w:szCs w:val="24"/>
        </w:rPr>
      </w:pPr>
      <w:r w:rsidRPr="00640BDB">
        <w:rPr>
          <w:rFonts w:ascii="Times New Roman" w:hAnsi="Times New Roman" w:cs="Times New Roman"/>
          <w:sz w:val="24"/>
          <w:szCs w:val="24"/>
        </w:rPr>
        <w:t>Ainsi, par</w:t>
      </w:r>
      <w:r w:rsidR="003E0617" w:rsidRPr="003E0617">
        <w:rPr>
          <w:rFonts w:ascii="Times New Roman" w:hAnsi="Times New Roman" w:cs="Times New Roman"/>
          <w:sz w:val="24"/>
          <w:szCs w:val="24"/>
        </w:rPr>
        <w:t>fois, l’administrateur judiciaire est appelé à remplacer des organes de gestion d’une entreprise (ou d’un patrimoine) confrontée à un conflit interne qui risque de conduire, si la société n’est pas administrée correctement, à un péril imminent qui peut mettre en danger la situation financière de l’entreprise.</w:t>
      </w:r>
      <w:r>
        <w:rPr>
          <w:rFonts w:ascii="Times New Roman" w:hAnsi="Times New Roman" w:cs="Times New Roman"/>
          <w:sz w:val="24"/>
          <w:szCs w:val="24"/>
        </w:rPr>
        <w:t xml:space="preserve"> L</w:t>
      </w:r>
      <w:r w:rsidR="003E0617" w:rsidRPr="003E0617">
        <w:rPr>
          <w:rFonts w:ascii="Times New Roman" w:hAnsi="Times New Roman" w:cs="Times New Roman"/>
          <w:sz w:val="24"/>
          <w:szCs w:val="24"/>
        </w:rPr>
        <w:t xml:space="preserve">’administrateur judiciaire </w:t>
      </w:r>
      <w:r>
        <w:rPr>
          <w:rFonts w:ascii="Times New Roman" w:hAnsi="Times New Roman" w:cs="Times New Roman"/>
          <w:sz w:val="24"/>
          <w:szCs w:val="24"/>
        </w:rPr>
        <w:t xml:space="preserve">intervient alors comme </w:t>
      </w:r>
      <w:r w:rsidR="003E0617" w:rsidRPr="003E0617">
        <w:rPr>
          <w:rFonts w:ascii="Times New Roman" w:hAnsi="Times New Roman" w:cs="Times New Roman"/>
          <w:b/>
          <w:sz w:val="24"/>
          <w:szCs w:val="24"/>
        </w:rPr>
        <w:t>administrateur provisoire</w:t>
      </w:r>
      <w:r>
        <w:rPr>
          <w:rFonts w:ascii="Times New Roman" w:hAnsi="Times New Roman" w:cs="Times New Roman"/>
          <w:b/>
          <w:sz w:val="24"/>
          <w:szCs w:val="24"/>
        </w:rPr>
        <w:t xml:space="preserve"> </w:t>
      </w:r>
      <w:r w:rsidRPr="00640BDB">
        <w:rPr>
          <w:rFonts w:ascii="Times New Roman" w:hAnsi="Times New Roman" w:cs="Times New Roman"/>
          <w:sz w:val="24"/>
          <w:szCs w:val="24"/>
        </w:rPr>
        <w:t>et</w:t>
      </w:r>
      <w:r w:rsidR="003E0617" w:rsidRPr="003E0617">
        <w:rPr>
          <w:rFonts w:ascii="Times New Roman" w:hAnsi="Times New Roman" w:cs="Times New Roman"/>
          <w:sz w:val="24"/>
          <w:szCs w:val="24"/>
        </w:rPr>
        <w:t xml:space="preserve"> prend en main une entreprise </w:t>
      </w:r>
      <w:r>
        <w:rPr>
          <w:rFonts w:ascii="Times New Roman" w:hAnsi="Times New Roman" w:cs="Times New Roman"/>
          <w:sz w:val="24"/>
          <w:szCs w:val="24"/>
        </w:rPr>
        <w:t>qui n’est pas nécessairement en difficultés financières.</w:t>
      </w:r>
    </w:p>
    <w:p w:rsidR="00C42590" w:rsidRDefault="00640BDB" w:rsidP="00C42590">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 xml:space="preserve"> </w:t>
      </w:r>
      <w:r w:rsidR="003E0617" w:rsidRPr="003E0617">
        <w:rPr>
          <w:rFonts w:ascii="Times New Roman" w:hAnsi="Times New Roman" w:cs="Times New Roman"/>
          <w:sz w:val="24"/>
          <w:szCs w:val="24"/>
        </w:rPr>
        <w:t>Ces professionnels du droit et de l'économie, désignés par le Tribunal (de commerce ou civil</w:t>
      </w:r>
      <w:r>
        <w:rPr>
          <w:rFonts w:ascii="Times New Roman" w:hAnsi="Times New Roman" w:cs="Times New Roman"/>
          <w:sz w:val="24"/>
          <w:szCs w:val="24"/>
        </w:rPr>
        <w:t>s</w:t>
      </w:r>
      <w:r w:rsidR="003E0617" w:rsidRPr="003E0617">
        <w:rPr>
          <w:rFonts w:ascii="Times New Roman" w:hAnsi="Times New Roman" w:cs="Times New Roman"/>
          <w:sz w:val="24"/>
          <w:szCs w:val="24"/>
        </w:rPr>
        <w:t>) sont chargés du trai</w:t>
      </w:r>
      <w:r>
        <w:rPr>
          <w:rFonts w:ascii="Times New Roman" w:hAnsi="Times New Roman" w:cs="Times New Roman"/>
          <w:sz w:val="24"/>
          <w:szCs w:val="24"/>
        </w:rPr>
        <w:t>tement des difficultés de tout type de structures, qu’il s’agisse</w:t>
      </w:r>
      <w:r w:rsidR="003E0617" w:rsidRPr="003E0617">
        <w:rPr>
          <w:rFonts w:ascii="Times New Roman" w:hAnsi="Times New Roman" w:cs="Times New Roman"/>
          <w:sz w:val="24"/>
          <w:szCs w:val="24"/>
        </w:rPr>
        <w:t xml:space="preserve"> </w:t>
      </w:r>
      <w:r>
        <w:rPr>
          <w:rFonts w:ascii="Times New Roman" w:hAnsi="Times New Roman" w:cs="Times New Roman"/>
          <w:sz w:val="24"/>
          <w:szCs w:val="24"/>
        </w:rPr>
        <w:t>d’entreprises, de patrimoines ou de personnes physiques.</w:t>
      </w:r>
      <w:r w:rsidR="003E0617" w:rsidRPr="003E0617">
        <w:rPr>
          <w:rFonts w:ascii="Times New Roman" w:hAnsi="Times New Roman" w:cs="Times New Roman"/>
          <w:sz w:val="24"/>
          <w:szCs w:val="24"/>
        </w:rPr>
        <w:t xml:space="preserve"> </w:t>
      </w:r>
      <w:r w:rsidR="003E0617" w:rsidRPr="003E0617">
        <w:rPr>
          <w:rFonts w:ascii="Times New Roman" w:hAnsi="Times New Roman" w:cs="Times New Roman"/>
          <w:b/>
          <w:sz w:val="24"/>
          <w:szCs w:val="24"/>
        </w:rPr>
        <w:t>L’administrateur judiciaire</w:t>
      </w:r>
      <w:r w:rsidR="003E0617" w:rsidRPr="003E0617">
        <w:rPr>
          <w:rFonts w:ascii="Times New Roman" w:hAnsi="Times New Roman" w:cs="Times New Roman"/>
          <w:sz w:val="24"/>
          <w:szCs w:val="24"/>
        </w:rPr>
        <w:t xml:space="preserve"> est donc un professionnel qui appartient à une profession règlementée, dont le titre est protégé, alors que </w:t>
      </w:r>
      <w:r w:rsidR="003E0617" w:rsidRPr="003E0617">
        <w:rPr>
          <w:rFonts w:ascii="Times New Roman" w:hAnsi="Times New Roman" w:cs="Times New Roman"/>
          <w:b/>
          <w:sz w:val="24"/>
          <w:szCs w:val="24"/>
        </w:rPr>
        <w:t>l’administrateur provisoire est une des missions que peut accomplir l’administrateur judiciaire</w:t>
      </w:r>
      <w:r w:rsidR="003E0617" w:rsidRPr="003E0617">
        <w:rPr>
          <w:rFonts w:ascii="Times New Roman" w:hAnsi="Times New Roman" w:cs="Times New Roman"/>
          <w:sz w:val="24"/>
          <w:szCs w:val="24"/>
        </w:rPr>
        <w:t>. La présentation ci-dessous articule entre-elles les notions de : mandataires de justice, administrateur judiciair</w:t>
      </w:r>
      <w:r w:rsidR="00C42590">
        <w:rPr>
          <w:rFonts w:ascii="Times New Roman" w:hAnsi="Times New Roman" w:cs="Times New Roman"/>
          <w:sz w:val="24"/>
          <w:szCs w:val="24"/>
        </w:rPr>
        <w:t>e et administrateur provisoire.</w:t>
      </w:r>
    </w:p>
    <w:p w:rsidR="005D78E1" w:rsidRDefault="005D78E1" w:rsidP="00C42590">
      <w:pPr>
        <w:spacing w:line="240" w:lineRule="auto"/>
        <w:jc w:val="both"/>
        <w:rPr>
          <w:rFonts w:ascii="Times New Roman" w:hAnsi="Times New Roman" w:cs="Times New Roman"/>
          <w:sz w:val="24"/>
          <w:szCs w:val="24"/>
        </w:rPr>
      </w:pPr>
    </w:p>
    <w:p w:rsidR="005D78E1" w:rsidRDefault="005D78E1" w:rsidP="00C42590">
      <w:pPr>
        <w:spacing w:line="240" w:lineRule="auto"/>
        <w:jc w:val="both"/>
        <w:rPr>
          <w:rFonts w:ascii="Times New Roman" w:hAnsi="Times New Roman" w:cs="Times New Roman"/>
          <w:sz w:val="24"/>
          <w:szCs w:val="24"/>
        </w:rPr>
      </w:pPr>
      <w:bookmarkStart w:id="1" w:name="_GoBack"/>
      <w:bookmarkEnd w:id="1"/>
    </w:p>
    <w:p w:rsidR="005D78E1" w:rsidRDefault="005D78E1" w:rsidP="00C42590">
      <w:pPr>
        <w:spacing w:line="240" w:lineRule="auto"/>
        <w:jc w:val="both"/>
        <w:rPr>
          <w:rFonts w:ascii="Times New Roman" w:hAnsi="Times New Roman" w:cs="Times New Roman"/>
          <w:sz w:val="24"/>
          <w:szCs w:val="24"/>
        </w:rPr>
      </w:pPr>
    </w:p>
    <w:p w:rsidR="005D78E1" w:rsidRDefault="005D78E1" w:rsidP="00C42590">
      <w:pPr>
        <w:spacing w:line="240" w:lineRule="auto"/>
        <w:jc w:val="both"/>
        <w:rPr>
          <w:rFonts w:ascii="Times New Roman" w:hAnsi="Times New Roman" w:cs="Times New Roman"/>
          <w:sz w:val="24"/>
          <w:szCs w:val="24"/>
        </w:rPr>
      </w:pPr>
    </w:p>
    <w:p w:rsidR="005D78E1" w:rsidRPr="00C42590" w:rsidRDefault="005D78E1" w:rsidP="00C42590">
      <w:pPr>
        <w:spacing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27"/>
        <w:gridCol w:w="4578"/>
        <w:gridCol w:w="2258"/>
      </w:tblGrid>
      <w:tr w:rsidR="003E0617" w:rsidRPr="003E0617" w:rsidTr="0023188F">
        <w:trPr>
          <w:trHeight w:val="340"/>
        </w:trPr>
        <w:tc>
          <w:tcPr>
            <w:tcW w:w="0" w:type="auto"/>
            <w:gridSpan w:val="3"/>
          </w:tcPr>
          <w:p w:rsidR="003E0617" w:rsidRPr="003E0617" w:rsidRDefault="003E0617" w:rsidP="0023188F">
            <w:pPr>
              <w:jc w:val="center"/>
              <w:rPr>
                <w:rFonts w:ascii="Times New Roman" w:hAnsi="Times New Roman" w:cs="Times New Roman"/>
                <w:sz w:val="20"/>
                <w:szCs w:val="20"/>
              </w:rPr>
            </w:pPr>
            <w:r w:rsidRPr="003E0617">
              <w:rPr>
                <w:rFonts w:ascii="Times New Roman" w:hAnsi="Times New Roman" w:cs="Times New Roman"/>
                <w:b/>
                <w:sz w:val="20"/>
                <w:szCs w:val="20"/>
              </w:rPr>
              <w:lastRenderedPageBreak/>
              <w:t>Catégorie </w:t>
            </w:r>
            <w:r w:rsidRPr="003E0617">
              <w:rPr>
                <w:rFonts w:ascii="Times New Roman" w:hAnsi="Times New Roman" w:cs="Times New Roman"/>
                <w:sz w:val="20"/>
                <w:szCs w:val="20"/>
              </w:rPr>
              <w:t>: Mandataires de Justice</w:t>
            </w:r>
          </w:p>
        </w:tc>
      </w:tr>
      <w:tr w:rsidR="003E0617" w:rsidRPr="003E0617" w:rsidTr="0023188F">
        <w:trPr>
          <w:trHeight w:val="680"/>
        </w:trPr>
        <w:tc>
          <w:tcPr>
            <w:tcW w:w="0" w:type="auto"/>
            <w:gridSpan w:val="3"/>
            <w:hideMark/>
          </w:tcPr>
          <w:p w:rsidR="003E0617" w:rsidRPr="003E0617" w:rsidRDefault="003E0617" w:rsidP="0023188F">
            <w:pPr>
              <w:jc w:val="center"/>
              <w:rPr>
                <w:rFonts w:ascii="Times New Roman" w:hAnsi="Times New Roman" w:cs="Times New Roman"/>
                <w:sz w:val="20"/>
                <w:szCs w:val="20"/>
              </w:rPr>
            </w:pPr>
            <w:r w:rsidRPr="003E0617">
              <w:rPr>
                <w:rFonts w:ascii="Times New Roman" w:hAnsi="Times New Roman" w:cs="Times New Roman"/>
                <w:b/>
                <w:sz w:val="20"/>
                <w:szCs w:val="20"/>
              </w:rPr>
              <w:t>Profession</w:t>
            </w:r>
            <w:r w:rsidRPr="003E0617">
              <w:rPr>
                <w:rFonts w:ascii="Times New Roman" w:hAnsi="Times New Roman" w:cs="Times New Roman"/>
                <w:sz w:val="20"/>
                <w:szCs w:val="20"/>
              </w:rPr>
              <w:t xml:space="preserve"> : </w:t>
            </w:r>
            <w:r w:rsidRPr="003E0617">
              <w:rPr>
                <w:rFonts w:ascii="Times New Roman" w:hAnsi="Times New Roman" w:cs="Times New Roman"/>
                <w:sz w:val="20"/>
                <w:szCs w:val="20"/>
                <w:u w:val="single"/>
              </w:rPr>
              <w:t>Insolvency Practitioner</w:t>
            </w:r>
            <w:r w:rsidRPr="003E0617">
              <w:rPr>
                <w:rFonts w:ascii="Times New Roman" w:hAnsi="Times New Roman" w:cs="Times New Roman"/>
                <w:sz w:val="20"/>
                <w:szCs w:val="20"/>
              </w:rPr>
              <w:t> </w:t>
            </w:r>
          </w:p>
        </w:tc>
      </w:tr>
      <w:tr w:rsidR="003E0617" w:rsidRPr="003E0617" w:rsidTr="0023188F">
        <w:trPr>
          <w:trHeight w:val="680"/>
        </w:trPr>
        <w:tc>
          <w:tcPr>
            <w:tcW w:w="0" w:type="auto"/>
            <w:gridSpan w:val="2"/>
          </w:tcPr>
          <w:p w:rsidR="003E0617" w:rsidRPr="003E0617" w:rsidRDefault="003E0617" w:rsidP="0023188F">
            <w:pPr>
              <w:jc w:val="center"/>
              <w:rPr>
                <w:rFonts w:ascii="Times New Roman" w:hAnsi="Times New Roman" w:cs="Times New Roman"/>
                <w:sz w:val="20"/>
                <w:szCs w:val="20"/>
              </w:rPr>
            </w:pPr>
            <w:r w:rsidRPr="003E0617">
              <w:rPr>
                <w:rFonts w:ascii="Times New Roman" w:hAnsi="Times New Roman" w:cs="Times New Roman"/>
                <w:sz w:val="20"/>
                <w:szCs w:val="20"/>
                <w:u w:val="single"/>
              </w:rPr>
              <w:t>Administrateur Judiciaire</w:t>
            </w:r>
            <w:r w:rsidRPr="003E0617">
              <w:rPr>
                <w:rFonts w:ascii="Times New Roman" w:hAnsi="Times New Roman" w:cs="Times New Roman"/>
                <w:sz w:val="20"/>
                <w:szCs w:val="20"/>
              </w:rPr>
              <w:t xml:space="preserve"> (AJ)</w:t>
            </w:r>
          </w:p>
          <w:p w:rsidR="003E0617" w:rsidRPr="003E0617" w:rsidRDefault="003E0617" w:rsidP="00AD2382">
            <w:pPr>
              <w:rPr>
                <w:rFonts w:ascii="Times New Roman" w:hAnsi="Times New Roman" w:cs="Times New Roman"/>
                <w:sz w:val="20"/>
                <w:szCs w:val="20"/>
              </w:rPr>
            </w:pPr>
            <w:r w:rsidRPr="003E0617">
              <w:rPr>
                <w:rFonts w:ascii="Times New Roman" w:hAnsi="Times New Roman" w:cs="Times New Roman"/>
                <w:sz w:val="20"/>
                <w:szCs w:val="20"/>
              </w:rPr>
              <w:t xml:space="preserve">Profession chargée d’assister ou remplacer les organes de gestion d’une entreprise </w:t>
            </w:r>
            <w:r w:rsidR="00AD2382">
              <w:rPr>
                <w:rFonts w:ascii="Times New Roman" w:hAnsi="Times New Roman" w:cs="Times New Roman"/>
                <w:sz w:val="20"/>
                <w:szCs w:val="20"/>
              </w:rPr>
              <w:t>afin de préserver les intérêts sociaux et de favoriser le redressement de l’entreprise.</w:t>
            </w:r>
          </w:p>
        </w:tc>
        <w:tc>
          <w:tcPr>
            <w:tcW w:w="0" w:type="auto"/>
          </w:tcPr>
          <w:p w:rsidR="001251E8" w:rsidRDefault="003E0617" w:rsidP="001251E8">
            <w:pPr>
              <w:jc w:val="center"/>
              <w:rPr>
                <w:rFonts w:ascii="Times New Roman" w:hAnsi="Times New Roman" w:cs="Times New Roman"/>
                <w:sz w:val="20"/>
                <w:szCs w:val="20"/>
              </w:rPr>
            </w:pPr>
            <w:r w:rsidRPr="003E0617">
              <w:rPr>
                <w:rFonts w:ascii="Times New Roman" w:hAnsi="Times New Roman" w:cs="Times New Roman"/>
                <w:sz w:val="20"/>
                <w:szCs w:val="20"/>
                <w:u w:val="single"/>
              </w:rPr>
              <w:t>Mandataire judiciaire</w:t>
            </w:r>
            <w:r w:rsidRPr="003E0617">
              <w:rPr>
                <w:rFonts w:ascii="Times New Roman" w:hAnsi="Times New Roman" w:cs="Times New Roman"/>
                <w:sz w:val="20"/>
                <w:szCs w:val="20"/>
              </w:rPr>
              <w:t xml:space="preserve"> </w:t>
            </w:r>
          </w:p>
          <w:p w:rsidR="003E0617" w:rsidRPr="003E0617" w:rsidRDefault="003E0617" w:rsidP="001251E8">
            <w:pPr>
              <w:jc w:val="center"/>
              <w:rPr>
                <w:rFonts w:ascii="Times New Roman" w:hAnsi="Times New Roman" w:cs="Times New Roman"/>
                <w:sz w:val="20"/>
                <w:szCs w:val="20"/>
              </w:rPr>
            </w:pPr>
            <w:r w:rsidRPr="003E0617">
              <w:rPr>
                <w:rFonts w:ascii="Times New Roman" w:hAnsi="Times New Roman" w:cs="Times New Roman"/>
                <w:sz w:val="20"/>
                <w:szCs w:val="20"/>
              </w:rPr>
              <w:t xml:space="preserve">Représente les intérêts des créanciers et salariés et assure la fonction de liquidateur.  </w:t>
            </w:r>
          </w:p>
        </w:tc>
      </w:tr>
      <w:tr w:rsidR="003E0617" w:rsidRPr="003E0617" w:rsidTr="0023188F">
        <w:trPr>
          <w:trHeight w:val="680"/>
        </w:trPr>
        <w:tc>
          <w:tcPr>
            <w:tcW w:w="0" w:type="auto"/>
            <w:gridSpan w:val="2"/>
            <w:hideMark/>
          </w:tcPr>
          <w:p w:rsidR="003E0617" w:rsidRPr="003E0617" w:rsidRDefault="003E0617" w:rsidP="0023188F">
            <w:pPr>
              <w:jc w:val="center"/>
              <w:rPr>
                <w:rFonts w:ascii="Times New Roman" w:hAnsi="Times New Roman" w:cs="Times New Roman"/>
                <w:b/>
                <w:sz w:val="20"/>
                <w:szCs w:val="20"/>
              </w:rPr>
            </w:pPr>
            <w:r w:rsidRPr="003E0617">
              <w:rPr>
                <w:rFonts w:ascii="Times New Roman" w:hAnsi="Times New Roman" w:cs="Times New Roman"/>
                <w:b/>
                <w:sz w:val="20"/>
                <w:szCs w:val="20"/>
              </w:rPr>
              <w:t>Missions</w:t>
            </w:r>
          </w:p>
        </w:tc>
        <w:tc>
          <w:tcPr>
            <w:tcW w:w="0" w:type="auto"/>
            <w:hideMark/>
          </w:tcPr>
          <w:p w:rsidR="003E0617" w:rsidRPr="003E0617" w:rsidRDefault="003E0617" w:rsidP="0023188F">
            <w:pPr>
              <w:jc w:val="center"/>
              <w:rPr>
                <w:rFonts w:ascii="Times New Roman" w:hAnsi="Times New Roman" w:cs="Times New Roman"/>
                <w:b/>
                <w:sz w:val="20"/>
                <w:szCs w:val="20"/>
              </w:rPr>
            </w:pPr>
            <w:r w:rsidRPr="003E0617">
              <w:rPr>
                <w:rFonts w:ascii="Times New Roman" w:hAnsi="Times New Roman" w:cs="Times New Roman"/>
                <w:b/>
                <w:sz w:val="20"/>
                <w:szCs w:val="20"/>
              </w:rPr>
              <w:t xml:space="preserve"> Missions</w:t>
            </w:r>
          </w:p>
        </w:tc>
      </w:tr>
      <w:tr w:rsidR="003E0617" w:rsidRPr="003E0617" w:rsidTr="0023188F">
        <w:trPr>
          <w:trHeight w:val="1920"/>
        </w:trPr>
        <w:tc>
          <w:tcPr>
            <w:tcW w:w="0" w:type="auto"/>
          </w:tcPr>
          <w:p w:rsidR="003E0617" w:rsidRPr="003E0617" w:rsidRDefault="003E0617" w:rsidP="0023188F">
            <w:pPr>
              <w:rPr>
                <w:rFonts w:ascii="Times New Roman" w:hAnsi="Times New Roman" w:cs="Times New Roman"/>
                <w:sz w:val="20"/>
                <w:szCs w:val="20"/>
              </w:rPr>
            </w:pPr>
            <w:r w:rsidRPr="003E0617">
              <w:rPr>
                <w:rFonts w:ascii="Times New Roman" w:hAnsi="Times New Roman" w:cs="Times New Roman"/>
                <w:sz w:val="20"/>
                <w:szCs w:val="20"/>
                <w:u w:val="single"/>
              </w:rPr>
              <w:t>AJ en procédure collective :</w:t>
            </w:r>
            <w:r w:rsidRPr="003E0617">
              <w:rPr>
                <w:rFonts w:ascii="Times New Roman" w:hAnsi="Times New Roman" w:cs="Times New Roman"/>
                <w:sz w:val="20"/>
                <w:szCs w:val="20"/>
              </w:rPr>
              <w:t xml:space="preserve"> </w:t>
            </w:r>
          </w:p>
          <w:p w:rsidR="003E0617" w:rsidRPr="003E0617" w:rsidRDefault="003E0617" w:rsidP="0023188F">
            <w:pPr>
              <w:rPr>
                <w:rFonts w:ascii="Times New Roman" w:hAnsi="Times New Roman" w:cs="Times New Roman"/>
                <w:sz w:val="20"/>
                <w:szCs w:val="20"/>
              </w:rPr>
            </w:pPr>
            <w:r w:rsidRPr="003E0617">
              <w:rPr>
                <w:rFonts w:ascii="Times New Roman" w:hAnsi="Times New Roman" w:cs="Times New Roman"/>
                <w:sz w:val="20"/>
                <w:szCs w:val="20"/>
              </w:rPr>
              <w:t xml:space="preserve"> La loi française leur accorde un monopole sur traitement de ces mandats qui supposent de caractériser </w:t>
            </w:r>
            <w:r w:rsidR="00AD2382">
              <w:rPr>
                <w:rFonts w:ascii="Times New Roman" w:hAnsi="Times New Roman" w:cs="Times New Roman"/>
                <w:sz w:val="20"/>
                <w:szCs w:val="20"/>
              </w:rPr>
              <w:t xml:space="preserve">l’imminence ou l’existence d’un </w:t>
            </w:r>
            <w:r w:rsidRPr="003E0617">
              <w:rPr>
                <w:rFonts w:ascii="Times New Roman" w:hAnsi="Times New Roman" w:cs="Times New Roman"/>
                <w:sz w:val="20"/>
                <w:szCs w:val="20"/>
              </w:rPr>
              <w:t>état de c</w:t>
            </w:r>
            <w:r w:rsidRPr="003E0617">
              <w:rPr>
                <w:rFonts w:ascii="Times New Roman" w:hAnsi="Times New Roman" w:cs="Times New Roman"/>
                <w:b/>
                <w:sz w:val="20"/>
                <w:szCs w:val="20"/>
              </w:rPr>
              <w:t>essation des paiements.</w:t>
            </w:r>
            <w:r w:rsidRPr="003E0617">
              <w:rPr>
                <w:rFonts w:ascii="Times New Roman" w:hAnsi="Times New Roman" w:cs="Times New Roman"/>
                <w:sz w:val="20"/>
                <w:szCs w:val="20"/>
              </w:rPr>
              <w:t xml:space="preserve"> </w:t>
            </w:r>
            <w:r w:rsidR="00AD2382">
              <w:rPr>
                <w:rFonts w:ascii="Times New Roman" w:hAnsi="Times New Roman" w:cs="Times New Roman"/>
                <w:sz w:val="20"/>
                <w:szCs w:val="20"/>
              </w:rPr>
              <w:t>(sauvegarde ou redressement judiciaire).</w:t>
            </w:r>
          </w:p>
          <w:p w:rsidR="003E0617" w:rsidRPr="003E0617" w:rsidRDefault="003E0617" w:rsidP="0023188F">
            <w:pPr>
              <w:rPr>
                <w:rFonts w:ascii="Times New Roman" w:hAnsi="Times New Roman" w:cs="Times New Roman"/>
                <w:sz w:val="20"/>
                <w:szCs w:val="20"/>
              </w:rPr>
            </w:pPr>
            <w:r w:rsidRPr="003E0617">
              <w:rPr>
                <w:rFonts w:ascii="Times New Roman" w:hAnsi="Times New Roman" w:cs="Times New Roman"/>
                <w:sz w:val="20"/>
                <w:szCs w:val="20"/>
              </w:rPr>
              <w:t>Ils assurent l’assistance du dirigeant pendant la période de restructuration et présentent les propositions d’apurement du passif ou mettent en œuvre la cession de l’entreprise « as a going concern »</w:t>
            </w:r>
          </w:p>
        </w:tc>
        <w:tc>
          <w:tcPr>
            <w:tcW w:w="0" w:type="auto"/>
          </w:tcPr>
          <w:p w:rsidR="003E0617" w:rsidRPr="003E0617" w:rsidRDefault="003E0617" w:rsidP="0023188F">
            <w:pPr>
              <w:rPr>
                <w:rFonts w:ascii="Times New Roman" w:hAnsi="Times New Roman" w:cs="Times New Roman"/>
                <w:sz w:val="20"/>
                <w:szCs w:val="20"/>
              </w:rPr>
            </w:pPr>
            <w:r w:rsidRPr="003E0617">
              <w:rPr>
                <w:rFonts w:ascii="Times New Roman" w:hAnsi="Times New Roman" w:cs="Times New Roman"/>
                <w:sz w:val="20"/>
                <w:szCs w:val="20"/>
                <w:u w:val="single"/>
              </w:rPr>
              <w:t>L’Administration provisoire civile ou commerciale</w:t>
            </w:r>
            <w:r w:rsidRPr="003E0617">
              <w:rPr>
                <w:rFonts w:ascii="Times New Roman" w:hAnsi="Times New Roman" w:cs="Times New Roman"/>
                <w:sz w:val="20"/>
                <w:szCs w:val="20"/>
              </w:rPr>
              <w:t xml:space="preserve"> est un mode de gestion sécurisé d’une entreprise auquel recourt le tribunal </w:t>
            </w:r>
            <w:r w:rsidRPr="003E0617">
              <w:rPr>
                <w:rFonts w:ascii="Times New Roman" w:hAnsi="Times New Roman" w:cs="Times New Roman"/>
                <w:b/>
                <w:sz w:val="20"/>
                <w:szCs w:val="20"/>
              </w:rPr>
              <w:t>en cas d’atteinte à un fonctionnement normal et présence d’un péril imminent</w:t>
            </w:r>
            <w:r w:rsidRPr="003E0617">
              <w:rPr>
                <w:rFonts w:ascii="Times New Roman" w:hAnsi="Times New Roman" w:cs="Times New Roman"/>
                <w:sz w:val="20"/>
                <w:szCs w:val="20"/>
              </w:rPr>
              <w:t xml:space="preserve"> sur une société, un patrimoine</w:t>
            </w:r>
            <w:r w:rsidR="00AD2382">
              <w:rPr>
                <w:rFonts w:ascii="Times New Roman" w:hAnsi="Times New Roman" w:cs="Times New Roman"/>
                <w:sz w:val="20"/>
                <w:szCs w:val="20"/>
              </w:rPr>
              <w:t>.</w:t>
            </w:r>
            <w:r w:rsidRPr="003E0617">
              <w:rPr>
                <w:rFonts w:ascii="Times New Roman" w:hAnsi="Times New Roman" w:cs="Times New Roman"/>
                <w:sz w:val="20"/>
                <w:szCs w:val="20"/>
              </w:rPr>
              <w:t xml:space="preserve"> L’étendue du mandat confié est déterminée par le juge. Il s’agit de mesures strictement conservatoires que le juge peut, en fonction des circonstances, étendre à des mesures de disposition pour préserver un actif par exemple. Elle porte sur l'ensemble des fonctions d'administration courante et emporte dessaisissement des organes sociaux.</w:t>
            </w:r>
          </w:p>
          <w:p w:rsidR="003E0617" w:rsidRPr="003E0617" w:rsidRDefault="003E0617" w:rsidP="0023188F">
            <w:pPr>
              <w:rPr>
                <w:rFonts w:ascii="Times New Roman" w:hAnsi="Times New Roman" w:cs="Times New Roman"/>
                <w:sz w:val="20"/>
                <w:szCs w:val="20"/>
              </w:rPr>
            </w:pPr>
            <w:r w:rsidRPr="003E0617">
              <w:rPr>
                <w:rFonts w:ascii="Times New Roman" w:hAnsi="Times New Roman" w:cs="Times New Roman"/>
                <w:sz w:val="20"/>
                <w:szCs w:val="20"/>
              </w:rPr>
              <w:t>La société n’est pas en cessation des paiements mais la perte de ses organes décisionnels ou un litige persistant en leur sein fait craindre un péril imminent.</w:t>
            </w:r>
          </w:p>
        </w:tc>
        <w:tc>
          <w:tcPr>
            <w:tcW w:w="0" w:type="auto"/>
            <w:hideMark/>
          </w:tcPr>
          <w:p w:rsidR="003E0617" w:rsidRPr="003E0617" w:rsidRDefault="003E0617" w:rsidP="0023188F">
            <w:pPr>
              <w:rPr>
                <w:rFonts w:ascii="Times New Roman" w:hAnsi="Times New Roman" w:cs="Times New Roman"/>
                <w:sz w:val="20"/>
                <w:szCs w:val="20"/>
              </w:rPr>
            </w:pPr>
            <w:r w:rsidRPr="003E0617">
              <w:rPr>
                <w:rFonts w:ascii="Times New Roman" w:hAnsi="Times New Roman" w:cs="Times New Roman"/>
                <w:sz w:val="20"/>
                <w:szCs w:val="20"/>
              </w:rPr>
              <w:t>Le mandataire judiciaire intervient quasi exclusivement dans les procédures collectives en tant qu</w:t>
            </w:r>
            <w:r w:rsidR="00CC4377">
              <w:rPr>
                <w:rFonts w:ascii="Times New Roman" w:hAnsi="Times New Roman" w:cs="Times New Roman"/>
                <w:sz w:val="20"/>
                <w:szCs w:val="20"/>
              </w:rPr>
              <w:t>e représentant des créanciers.</w:t>
            </w:r>
            <w:r w:rsidR="00CC4377">
              <w:rPr>
                <w:rFonts w:ascii="Times New Roman" w:hAnsi="Times New Roman" w:cs="Times New Roman"/>
                <w:sz w:val="20"/>
                <w:szCs w:val="20"/>
              </w:rPr>
              <w:br/>
              <w:t>I</w:t>
            </w:r>
            <w:r w:rsidRPr="003E0617">
              <w:rPr>
                <w:rFonts w:ascii="Times New Roman" w:hAnsi="Times New Roman" w:cs="Times New Roman"/>
                <w:sz w:val="20"/>
                <w:szCs w:val="20"/>
              </w:rPr>
              <w:t>l fait inte</w:t>
            </w:r>
            <w:r w:rsidR="00CC4377">
              <w:rPr>
                <w:rFonts w:ascii="Times New Roman" w:hAnsi="Times New Roman" w:cs="Times New Roman"/>
                <w:sz w:val="20"/>
                <w:szCs w:val="20"/>
              </w:rPr>
              <w:t>rvenir la garantie des salaires et</w:t>
            </w:r>
            <w:r w:rsidRPr="003E0617">
              <w:rPr>
                <w:rFonts w:ascii="Times New Roman" w:hAnsi="Times New Roman" w:cs="Times New Roman"/>
                <w:sz w:val="20"/>
                <w:szCs w:val="20"/>
              </w:rPr>
              <w:t xml:space="preserve"> exerce les actions en sanctions contre les dirigeants</w:t>
            </w:r>
            <w:r w:rsidR="00CC4377">
              <w:rPr>
                <w:rFonts w:ascii="Times New Roman" w:hAnsi="Times New Roman" w:cs="Times New Roman"/>
                <w:sz w:val="20"/>
                <w:szCs w:val="20"/>
              </w:rPr>
              <w:t>.</w:t>
            </w:r>
          </w:p>
          <w:p w:rsidR="003E0617" w:rsidRPr="003E0617" w:rsidRDefault="00CC4377" w:rsidP="0023188F">
            <w:pPr>
              <w:rPr>
                <w:rFonts w:ascii="Times New Roman" w:hAnsi="Times New Roman" w:cs="Times New Roman"/>
                <w:sz w:val="20"/>
                <w:szCs w:val="20"/>
              </w:rPr>
            </w:pPr>
            <w:r>
              <w:rPr>
                <w:rFonts w:ascii="Times New Roman" w:hAnsi="Times New Roman" w:cs="Times New Roman"/>
                <w:sz w:val="20"/>
                <w:szCs w:val="20"/>
              </w:rPr>
              <w:t>E</w:t>
            </w:r>
            <w:r w:rsidR="003E0617" w:rsidRPr="003E0617">
              <w:rPr>
                <w:rFonts w:ascii="Times New Roman" w:hAnsi="Times New Roman" w:cs="Times New Roman"/>
                <w:sz w:val="20"/>
                <w:szCs w:val="20"/>
              </w:rPr>
              <w:t>n liquidation judiciaire, il procède à la réalisation des actifs</w:t>
            </w:r>
            <w:r>
              <w:rPr>
                <w:rFonts w:ascii="Times New Roman" w:hAnsi="Times New Roman" w:cs="Times New Roman"/>
                <w:sz w:val="20"/>
                <w:szCs w:val="20"/>
              </w:rPr>
              <w:t>.</w:t>
            </w:r>
          </w:p>
        </w:tc>
      </w:tr>
    </w:tbl>
    <w:p w:rsidR="003E0617" w:rsidRPr="003E0617" w:rsidRDefault="003E0617" w:rsidP="003E0617">
      <w:pPr>
        <w:rPr>
          <w:rFonts w:ascii="Times New Roman" w:hAnsi="Times New Roman" w:cs="Times New Roman"/>
          <w:sz w:val="24"/>
          <w:szCs w:val="24"/>
        </w:rPr>
      </w:pPr>
    </w:p>
    <w:p w:rsidR="001251E8" w:rsidRDefault="003E0617" w:rsidP="00C42590">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L’administrateur judiciaire et l’administrateur provisoire sont donc la même personne physique ou morale. Le premier terme désigne la profession ainsi que la mission dédiée aux entreprises en difficultés, alors que le second terme désigne l’administrateur judiciaire lorsqu’il exerce une mission d’administration provisoire.</w:t>
      </w:r>
    </w:p>
    <w:p w:rsidR="001251E8" w:rsidRDefault="003E0617" w:rsidP="00C42590">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Le principe retenu en droit français est que les administrateurs judiciaires en plus de leur monopole sur les procédures collectives exercent un monopole sur les missions d’administration provisoire en vertu de l’article L811-1 du code de commerce « </w:t>
      </w:r>
      <w:r w:rsidRPr="003E0617">
        <w:rPr>
          <w:rFonts w:ascii="Times New Roman" w:hAnsi="Times New Roman" w:cs="Times New Roman"/>
          <w:b/>
          <w:sz w:val="24"/>
          <w:szCs w:val="24"/>
        </w:rPr>
        <w:t>Les administrateurs judiciaires sont les mandataires, personnes physiques ou morales, chargés par décision de justice d'administrer les biens d'autrui</w:t>
      </w:r>
      <w:r w:rsidRPr="003E0617">
        <w:rPr>
          <w:rFonts w:ascii="Times New Roman" w:hAnsi="Times New Roman" w:cs="Times New Roman"/>
          <w:sz w:val="24"/>
          <w:szCs w:val="24"/>
        </w:rPr>
        <w:t xml:space="preserve"> </w:t>
      </w:r>
      <w:r w:rsidRPr="003E0617">
        <w:rPr>
          <w:rFonts w:ascii="Times New Roman" w:hAnsi="Times New Roman" w:cs="Times New Roman"/>
          <w:b/>
          <w:sz w:val="24"/>
          <w:szCs w:val="24"/>
        </w:rPr>
        <w:t>ou</w:t>
      </w:r>
      <w:r w:rsidRPr="003E0617">
        <w:rPr>
          <w:rFonts w:ascii="Times New Roman" w:hAnsi="Times New Roman" w:cs="Times New Roman"/>
          <w:sz w:val="24"/>
          <w:szCs w:val="24"/>
        </w:rPr>
        <w:t xml:space="preserve"> </w:t>
      </w:r>
      <w:r w:rsidRPr="003E0617">
        <w:rPr>
          <w:rFonts w:ascii="Times New Roman" w:hAnsi="Times New Roman" w:cs="Times New Roman"/>
          <w:b/>
          <w:sz w:val="24"/>
          <w:szCs w:val="24"/>
        </w:rPr>
        <w:t>d'exercer des fonctions d'assistance ou de surveillance dans la gestion</w:t>
      </w:r>
      <w:r w:rsidRPr="003E0617">
        <w:rPr>
          <w:rFonts w:ascii="Times New Roman" w:hAnsi="Times New Roman" w:cs="Times New Roman"/>
          <w:sz w:val="24"/>
          <w:szCs w:val="24"/>
        </w:rPr>
        <w:t xml:space="preserve"> </w:t>
      </w:r>
      <w:r w:rsidRPr="003E0617">
        <w:rPr>
          <w:rFonts w:ascii="Times New Roman" w:hAnsi="Times New Roman" w:cs="Times New Roman"/>
          <w:b/>
          <w:sz w:val="24"/>
          <w:szCs w:val="24"/>
        </w:rPr>
        <w:t>de ces biens</w:t>
      </w:r>
      <w:r w:rsidR="00C42590">
        <w:rPr>
          <w:rFonts w:ascii="Times New Roman" w:hAnsi="Times New Roman" w:cs="Times New Roman"/>
          <w:sz w:val="24"/>
          <w:szCs w:val="24"/>
        </w:rPr>
        <w:t xml:space="preserve"> »</w:t>
      </w:r>
    </w:p>
    <w:p w:rsidR="001251E8" w:rsidRPr="00C42590" w:rsidRDefault="003E0617" w:rsidP="00C42590">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Administration judiciaire et administration provisoire, qu’elles</w:t>
      </w:r>
      <w:r w:rsidR="001251E8">
        <w:rPr>
          <w:rFonts w:ascii="Times New Roman" w:hAnsi="Times New Roman" w:cs="Times New Roman"/>
          <w:sz w:val="24"/>
          <w:szCs w:val="24"/>
        </w:rPr>
        <w:t xml:space="preserve"> soi</w:t>
      </w:r>
      <w:r w:rsidRPr="003E0617">
        <w:rPr>
          <w:rFonts w:ascii="Times New Roman" w:hAnsi="Times New Roman" w:cs="Times New Roman"/>
          <w:sz w:val="24"/>
          <w:szCs w:val="24"/>
        </w:rPr>
        <w:t>ent de nature civile ou commerciale, sont deux mesures de prévention et de traitement des difficultés qui se complètent et ne sont donc pas identiques.</w:t>
      </w:r>
      <w:r w:rsidR="00C42590">
        <w:rPr>
          <w:rFonts w:ascii="Times New Roman" w:hAnsi="Times New Roman" w:cs="Times New Roman"/>
          <w:sz w:val="24"/>
          <w:szCs w:val="24"/>
        </w:rPr>
        <w:t xml:space="preserve">  </w:t>
      </w:r>
    </w:p>
    <w:p w:rsidR="00C42590" w:rsidRDefault="00CC4377" w:rsidP="005D78E1">
      <w:pPr>
        <w:pStyle w:val="Sansinterligne"/>
        <w:spacing w:after="200"/>
        <w:jc w:val="both"/>
      </w:pPr>
      <w:r>
        <w:lastRenderedPageBreak/>
        <w:t xml:space="preserve">Un </w:t>
      </w:r>
      <w:r w:rsidR="003E0617" w:rsidRPr="003E0617">
        <w:t>critère de la distinction entre ces deux mesures</w:t>
      </w:r>
      <w:r>
        <w:t>,</w:t>
      </w:r>
      <w:r w:rsidR="003E0617" w:rsidRPr="003E0617">
        <w:t xml:space="preserve"> exercées</w:t>
      </w:r>
      <w:r>
        <w:t xml:space="preserve">toutes deux, par </w:t>
      </w:r>
      <w:r w:rsidR="003E0617" w:rsidRPr="003E0617">
        <w:t xml:space="preserve"> l’administrateur judiciaire est l’état la cessa</w:t>
      </w:r>
      <w:r>
        <w:t>tion des paiements. L</w:t>
      </w:r>
      <w:r w:rsidR="003E0617" w:rsidRPr="003E0617">
        <w:t>e droit français connaît l’administration judiciaire des entreprises en difficultés d’une part et l’administration provisoire</w:t>
      </w:r>
      <w:r>
        <w:t xml:space="preserve"> d’entités</w:t>
      </w:r>
      <w:r w:rsidR="003E0617" w:rsidRPr="003E0617">
        <w:t xml:space="preserve"> </w:t>
      </w:r>
      <w:r w:rsidR="003E0617" w:rsidRPr="003E0617">
        <w:rPr>
          <w:b/>
        </w:rPr>
        <w:t>in-bonis</w:t>
      </w:r>
      <w:r>
        <w:rPr>
          <w:b/>
        </w:rPr>
        <w:t> :</w:t>
      </w:r>
      <w:r w:rsidR="003E0617" w:rsidRPr="003E0617">
        <w:t xml:space="preserve"> </w:t>
      </w:r>
      <w:r>
        <w:t xml:space="preserve">sont concernés des </w:t>
      </w:r>
      <w:r w:rsidR="003E0617" w:rsidRPr="003E0617">
        <w:t xml:space="preserve">patrimoines, </w:t>
      </w:r>
      <w:r>
        <w:t xml:space="preserve">des </w:t>
      </w:r>
      <w:r w:rsidR="003E0617" w:rsidRPr="003E0617">
        <w:t xml:space="preserve">copropriétés, </w:t>
      </w:r>
      <w:r>
        <w:t xml:space="preserve">des </w:t>
      </w:r>
      <w:r w:rsidR="003E0617" w:rsidRPr="003E0617">
        <w:t>société</w:t>
      </w:r>
      <w:r>
        <w:t>s</w:t>
      </w:r>
      <w:r w:rsidR="003E0617" w:rsidRPr="003E0617">
        <w:t xml:space="preserve"> civiles et commerciales, associations … Ces deux </w:t>
      </w:r>
      <w:r>
        <w:t>missions se succèdent et se superposent</w:t>
      </w:r>
      <w:r w:rsidR="003E0617" w:rsidRPr="003E0617">
        <w:t xml:space="preserve">. </w:t>
      </w:r>
      <w:r w:rsidR="002901FA">
        <w:t>En effet, l’administrateur provisoire qui représente les organes de gestion de la société est amené à collaborer avec l’ad</w:t>
      </w:r>
      <w:r w:rsidR="003E0617" w:rsidRPr="003E0617">
        <w:t>ministrateur</w:t>
      </w:r>
      <w:r w:rsidR="002901FA">
        <w:t xml:space="preserve"> judiciaire.</w:t>
      </w:r>
    </w:p>
    <w:p w:rsidR="00C42590" w:rsidRPr="001251E8" w:rsidRDefault="00C42590" w:rsidP="001251E8">
      <w:pPr>
        <w:pStyle w:val="Sansinterligne"/>
        <w:jc w:val="both"/>
      </w:pPr>
    </w:p>
    <w:tbl>
      <w:tblPr>
        <w:tblStyle w:val="Grilledutableau"/>
        <w:tblW w:w="0" w:type="auto"/>
        <w:tblLook w:val="04A0" w:firstRow="1" w:lastRow="0" w:firstColumn="1" w:lastColumn="0" w:noHBand="0" w:noVBand="1"/>
      </w:tblPr>
      <w:tblGrid>
        <w:gridCol w:w="3823"/>
        <w:gridCol w:w="5239"/>
      </w:tblGrid>
      <w:tr w:rsidR="003E0617" w:rsidRPr="003E0617" w:rsidTr="0023188F">
        <w:tc>
          <w:tcPr>
            <w:tcW w:w="9062" w:type="dxa"/>
            <w:gridSpan w:val="2"/>
            <w:tcBorders>
              <w:top w:val="single" w:sz="4" w:space="0" w:color="auto"/>
              <w:left w:val="single" w:sz="4" w:space="0" w:color="auto"/>
              <w:bottom w:val="single" w:sz="4" w:space="0" w:color="auto"/>
              <w:right w:val="single" w:sz="4" w:space="0" w:color="auto"/>
            </w:tcBorders>
          </w:tcPr>
          <w:p w:rsidR="003E0617" w:rsidRPr="003E0617" w:rsidRDefault="003E0617" w:rsidP="0023188F">
            <w:pPr>
              <w:pStyle w:val="Sansinterligne"/>
              <w:rPr>
                <w:sz w:val="20"/>
                <w:szCs w:val="20"/>
              </w:rPr>
            </w:pPr>
          </w:p>
          <w:p w:rsidR="003E0617" w:rsidRPr="003E0617" w:rsidRDefault="003E0617" w:rsidP="0023188F">
            <w:pPr>
              <w:pStyle w:val="Sansinterligne"/>
              <w:jc w:val="center"/>
              <w:rPr>
                <w:sz w:val="20"/>
                <w:szCs w:val="20"/>
              </w:rPr>
            </w:pPr>
            <w:r w:rsidRPr="003E0617">
              <w:rPr>
                <w:sz w:val="20"/>
                <w:szCs w:val="20"/>
              </w:rPr>
              <w:t xml:space="preserve">Les cas de désignation d’un administrateur Judiciaire en procédures collectives </w:t>
            </w:r>
          </w:p>
          <w:p w:rsidR="003E0617" w:rsidRPr="003E0617" w:rsidRDefault="003E0617" w:rsidP="0023188F">
            <w:pPr>
              <w:pStyle w:val="Sansinterligne"/>
              <w:jc w:val="center"/>
              <w:rPr>
                <w:rFonts w:eastAsiaTheme="minorHAnsi"/>
                <w:b/>
                <w:sz w:val="20"/>
                <w:szCs w:val="20"/>
                <w:lang w:eastAsia="en-US"/>
              </w:rPr>
            </w:pPr>
            <w:r w:rsidRPr="003E0617">
              <w:rPr>
                <w:b/>
                <w:sz w:val="20"/>
                <w:szCs w:val="20"/>
              </w:rPr>
              <w:t xml:space="preserve">Procédures Collectives : Missions </w:t>
            </w:r>
            <w:r w:rsidR="002901FA">
              <w:rPr>
                <w:b/>
                <w:sz w:val="20"/>
                <w:szCs w:val="20"/>
              </w:rPr>
              <w:t xml:space="preserve">exclusivement </w:t>
            </w:r>
            <w:r w:rsidRPr="003E0617">
              <w:rPr>
                <w:b/>
                <w:sz w:val="20"/>
                <w:szCs w:val="20"/>
              </w:rPr>
              <w:t>confiées aux administrateurs judiciaires</w:t>
            </w:r>
          </w:p>
          <w:p w:rsidR="003E0617" w:rsidRPr="003E0617" w:rsidRDefault="003E0617" w:rsidP="0023188F">
            <w:pPr>
              <w:pStyle w:val="Sansinterligne"/>
              <w:jc w:val="center"/>
              <w:rPr>
                <w:b/>
                <w:sz w:val="20"/>
                <w:szCs w:val="20"/>
              </w:rPr>
            </w:pPr>
          </w:p>
        </w:tc>
      </w:tr>
      <w:tr w:rsidR="003E0617" w:rsidRPr="003E0617" w:rsidTr="0023188F">
        <w:tc>
          <w:tcPr>
            <w:tcW w:w="3823" w:type="dxa"/>
            <w:tcBorders>
              <w:top w:val="single" w:sz="4" w:space="0" w:color="auto"/>
              <w:left w:val="single" w:sz="4" w:space="0" w:color="auto"/>
              <w:bottom w:val="single" w:sz="4" w:space="0" w:color="auto"/>
              <w:right w:val="single" w:sz="4" w:space="0" w:color="auto"/>
            </w:tcBorders>
            <w:hideMark/>
          </w:tcPr>
          <w:p w:rsidR="003E0617" w:rsidRPr="003E0617" w:rsidRDefault="003E0617" w:rsidP="0023188F">
            <w:pPr>
              <w:pStyle w:val="Sansinterligne"/>
              <w:jc w:val="center"/>
              <w:rPr>
                <w:sz w:val="20"/>
                <w:szCs w:val="20"/>
              </w:rPr>
            </w:pPr>
            <w:r w:rsidRPr="003E0617">
              <w:rPr>
                <w:sz w:val="20"/>
                <w:szCs w:val="20"/>
              </w:rPr>
              <w:t>Nature du mandat</w:t>
            </w:r>
          </w:p>
        </w:tc>
        <w:tc>
          <w:tcPr>
            <w:tcW w:w="5239" w:type="dxa"/>
            <w:tcBorders>
              <w:top w:val="single" w:sz="4" w:space="0" w:color="auto"/>
              <w:left w:val="single" w:sz="4" w:space="0" w:color="auto"/>
              <w:bottom w:val="single" w:sz="4" w:space="0" w:color="auto"/>
              <w:right w:val="single" w:sz="4" w:space="0" w:color="auto"/>
            </w:tcBorders>
            <w:hideMark/>
          </w:tcPr>
          <w:p w:rsidR="003E0617" w:rsidRPr="003E0617" w:rsidRDefault="003E0617" w:rsidP="0023188F">
            <w:pPr>
              <w:pStyle w:val="Sansinterligne"/>
              <w:jc w:val="center"/>
              <w:rPr>
                <w:sz w:val="20"/>
                <w:szCs w:val="20"/>
              </w:rPr>
            </w:pPr>
            <w:r w:rsidRPr="003E0617">
              <w:rPr>
                <w:sz w:val="20"/>
                <w:szCs w:val="20"/>
              </w:rPr>
              <w:t>Cause habituelle de désignation</w:t>
            </w:r>
          </w:p>
          <w:p w:rsidR="003E0617" w:rsidRPr="003E0617" w:rsidRDefault="003E0617" w:rsidP="0023188F">
            <w:pPr>
              <w:pStyle w:val="Sansinterligne"/>
              <w:jc w:val="center"/>
              <w:rPr>
                <w:sz w:val="20"/>
                <w:szCs w:val="20"/>
              </w:rPr>
            </w:pPr>
          </w:p>
        </w:tc>
      </w:tr>
      <w:tr w:rsidR="003E0617" w:rsidRPr="003E0617" w:rsidTr="0023188F">
        <w:tc>
          <w:tcPr>
            <w:tcW w:w="3823" w:type="dxa"/>
            <w:tcBorders>
              <w:top w:val="single" w:sz="4" w:space="0" w:color="auto"/>
              <w:left w:val="single" w:sz="4" w:space="0" w:color="auto"/>
              <w:bottom w:val="single" w:sz="4" w:space="0" w:color="auto"/>
              <w:right w:val="single" w:sz="4" w:space="0" w:color="auto"/>
            </w:tcBorders>
          </w:tcPr>
          <w:p w:rsidR="003E0617" w:rsidRPr="003E0617" w:rsidRDefault="003E0617" w:rsidP="0023188F">
            <w:pPr>
              <w:pStyle w:val="Sansinterligne"/>
              <w:rPr>
                <w:b/>
                <w:color w:val="auto"/>
                <w:sz w:val="20"/>
                <w:szCs w:val="20"/>
              </w:rPr>
            </w:pPr>
            <w:r w:rsidRPr="003E0617">
              <w:rPr>
                <w:b/>
                <w:color w:val="auto"/>
                <w:sz w:val="20"/>
                <w:szCs w:val="20"/>
              </w:rPr>
              <w:t>Sauvegarde</w:t>
            </w:r>
          </w:p>
          <w:p w:rsidR="003E0617" w:rsidRPr="003E0617" w:rsidRDefault="003E0617" w:rsidP="0023188F">
            <w:pPr>
              <w:pStyle w:val="Sansinterligne"/>
              <w:jc w:val="center"/>
              <w:rPr>
                <w:b/>
                <w:color w:val="auto"/>
                <w:sz w:val="20"/>
                <w:szCs w:val="20"/>
              </w:rPr>
            </w:pPr>
          </w:p>
          <w:p w:rsidR="003E0617" w:rsidRPr="003E0617" w:rsidRDefault="003E0617" w:rsidP="0023188F">
            <w:pPr>
              <w:pStyle w:val="Sansinterligne"/>
              <w:jc w:val="center"/>
              <w:rPr>
                <w:b/>
                <w:sz w:val="20"/>
                <w:szCs w:val="20"/>
              </w:rPr>
            </w:pPr>
          </w:p>
          <w:p w:rsidR="003E0617" w:rsidRPr="003E0617" w:rsidRDefault="003E0617" w:rsidP="0023188F">
            <w:pPr>
              <w:pStyle w:val="Sansinterligne"/>
              <w:jc w:val="center"/>
              <w:rPr>
                <w:b/>
                <w:sz w:val="20"/>
                <w:szCs w:val="20"/>
              </w:rPr>
            </w:pPr>
          </w:p>
          <w:p w:rsidR="003E0617" w:rsidRPr="003E0617" w:rsidRDefault="003E0617" w:rsidP="0023188F">
            <w:pPr>
              <w:pStyle w:val="Sansinterligne"/>
              <w:rPr>
                <w:b/>
                <w:color w:val="auto"/>
                <w:sz w:val="20"/>
                <w:szCs w:val="20"/>
              </w:rPr>
            </w:pPr>
            <w:r w:rsidRPr="003E0617">
              <w:rPr>
                <w:b/>
                <w:color w:val="auto"/>
                <w:sz w:val="20"/>
                <w:szCs w:val="20"/>
              </w:rPr>
              <w:t>Sauvegarde accélérée</w:t>
            </w:r>
          </w:p>
          <w:p w:rsidR="003E0617" w:rsidRPr="003E0617" w:rsidRDefault="003E0617" w:rsidP="0023188F">
            <w:pPr>
              <w:pStyle w:val="Sansinterligne"/>
              <w:rPr>
                <w:b/>
                <w:color w:val="auto"/>
                <w:sz w:val="20"/>
                <w:szCs w:val="20"/>
              </w:rPr>
            </w:pPr>
          </w:p>
          <w:p w:rsidR="003E0617" w:rsidRPr="003E0617" w:rsidRDefault="003E0617" w:rsidP="0023188F">
            <w:pPr>
              <w:pStyle w:val="Sansinterligne"/>
              <w:rPr>
                <w:b/>
                <w:color w:val="auto"/>
                <w:sz w:val="20"/>
                <w:szCs w:val="20"/>
              </w:rPr>
            </w:pPr>
          </w:p>
          <w:p w:rsidR="003E0617" w:rsidRPr="003E0617" w:rsidRDefault="003E0617" w:rsidP="0023188F">
            <w:pPr>
              <w:pStyle w:val="Sansinterligne"/>
              <w:rPr>
                <w:b/>
                <w:color w:val="auto"/>
                <w:sz w:val="20"/>
                <w:szCs w:val="20"/>
              </w:rPr>
            </w:pPr>
          </w:p>
        </w:tc>
        <w:tc>
          <w:tcPr>
            <w:tcW w:w="5239" w:type="dxa"/>
            <w:tcBorders>
              <w:top w:val="single" w:sz="4" w:space="0" w:color="auto"/>
              <w:left w:val="single" w:sz="4" w:space="0" w:color="auto"/>
              <w:bottom w:val="single" w:sz="4" w:space="0" w:color="auto"/>
              <w:right w:val="single" w:sz="4" w:space="0" w:color="auto"/>
            </w:tcBorders>
          </w:tcPr>
          <w:p w:rsidR="003E0617" w:rsidRPr="003E0617" w:rsidRDefault="003E0617" w:rsidP="0023188F">
            <w:pPr>
              <w:pStyle w:val="Sansinterligne"/>
              <w:rPr>
                <w:sz w:val="20"/>
                <w:szCs w:val="20"/>
              </w:rPr>
            </w:pPr>
            <w:r w:rsidRPr="003E0617">
              <w:rPr>
                <w:sz w:val="20"/>
                <w:szCs w:val="20"/>
              </w:rPr>
              <w:t>Impose l’absence de cessation des paiements et existence de difficultés qu'il n'est pas en mesure de surmonter</w:t>
            </w: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r w:rsidRPr="003E0617">
              <w:rPr>
                <w:sz w:val="20"/>
                <w:szCs w:val="20"/>
              </w:rPr>
              <w:t xml:space="preserve">Lors de </w:t>
            </w:r>
            <w:r w:rsidR="002901FA">
              <w:rPr>
                <w:sz w:val="20"/>
                <w:szCs w:val="20"/>
              </w:rPr>
              <w:t xml:space="preserve">la phase préalable de conciliation, </w:t>
            </w:r>
            <w:r w:rsidRPr="003E0617">
              <w:rPr>
                <w:sz w:val="20"/>
                <w:szCs w:val="20"/>
              </w:rPr>
              <w:t>justifier avoir élaboré un projet de plan tendant à assurer la pérennité de l'entreprise.</w:t>
            </w: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r w:rsidRPr="003E0617">
              <w:rPr>
                <w:sz w:val="20"/>
                <w:szCs w:val="20"/>
              </w:rPr>
              <w:t xml:space="preserve">  </w:t>
            </w:r>
          </w:p>
        </w:tc>
      </w:tr>
      <w:tr w:rsidR="003E0617" w:rsidRPr="003E0617" w:rsidTr="0023188F">
        <w:tc>
          <w:tcPr>
            <w:tcW w:w="3823" w:type="dxa"/>
            <w:tcBorders>
              <w:top w:val="single" w:sz="4" w:space="0" w:color="auto"/>
              <w:left w:val="single" w:sz="4" w:space="0" w:color="auto"/>
              <w:bottom w:val="single" w:sz="4" w:space="0" w:color="auto"/>
              <w:right w:val="single" w:sz="4" w:space="0" w:color="auto"/>
            </w:tcBorders>
          </w:tcPr>
          <w:p w:rsidR="003E0617" w:rsidRPr="003E0617" w:rsidRDefault="003E0617" w:rsidP="0023188F">
            <w:pPr>
              <w:pStyle w:val="Sansinterligne"/>
              <w:rPr>
                <w:b/>
                <w:color w:val="auto"/>
                <w:sz w:val="20"/>
                <w:szCs w:val="20"/>
              </w:rPr>
            </w:pPr>
            <w:r w:rsidRPr="003E0617">
              <w:rPr>
                <w:b/>
                <w:color w:val="auto"/>
                <w:sz w:val="20"/>
                <w:szCs w:val="20"/>
              </w:rPr>
              <w:t>Redressement Judiciaire</w:t>
            </w:r>
          </w:p>
          <w:p w:rsidR="003E0617" w:rsidRPr="003E0617" w:rsidRDefault="003E0617" w:rsidP="0023188F">
            <w:pPr>
              <w:pStyle w:val="Sansinterligne"/>
              <w:jc w:val="center"/>
              <w:rPr>
                <w:b/>
                <w:color w:val="auto"/>
                <w:sz w:val="20"/>
                <w:szCs w:val="20"/>
              </w:rPr>
            </w:pPr>
          </w:p>
          <w:p w:rsidR="003E0617" w:rsidRPr="003E0617" w:rsidRDefault="003E0617" w:rsidP="0023188F">
            <w:pPr>
              <w:pStyle w:val="Sansinterligne"/>
              <w:rPr>
                <w:color w:val="auto"/>
                <w:sz w:val="20"/>
                <w:szCs w:val="20"/>
              </w:rPr>
            </w:pPr>
            <w:r w:rsidRPr="003E0617">
              <w:rPr>
                <w:color w:val="auto"/>
                <w:sz w:val="20"/>
                <w:szCs w:val="20"/>
              </w:rPr>
              <w:t>Solutions :</w:t>
            </w:r>
          </w:p>
          <w:p w:rsidR="003E0617" w:rsidRPr="003E0617" w:rsidRDefault="003E0617" w:rsidP="003E0617">
            <w:pPr>
              <w:pStyle w:val="Sansinterligne"/>
              <w:numPr>
                <w:ilvl w:val="0"/>
                <w:numId w:val="47"/>
              </w:num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3E0617">
              <w:rPr>
                <w:color w:val="auto"/>
                <w:sz w:val="20"/>
                <w:szCs w:val="20"/>
              </w:rPr>
              <w:t xml:space="preserve">Plan de redressement par voie de continuation </w:t>
            </w:r>
          </w:p>
          <w:p w:rsidR="003E0617" w:rsidRPr="002901FA" w:rsidRDefault="003E0617" w:rsidP="0023188F">
            <w:pPr>
              <w:pStyle w:val="Sansinterligne"/>
              <w:numPr>
                <w:ilvl w:val="0"/>
                <w:numId w:val="47"/>
              </w:num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3E0617">
              <w:rPr>
                <w:color w:val="auto"/>
                <w:sz w:val="20"/>
                <w:szCs w:val="20"/>
              </w:rPr>
              <w:t>Plan de redressement par voie de cession de fonds ou de parts sociales</w:t>
            </w:r>
            <w:r w:rsidR="002901FA">
              <w:rPr>
                <w:color w:val="auto"/>
                <w:sz w:val="20"/>
                <w:szCs w:val="20"/>
              </w:rPr>
              <w:t>,</w:t>
            </w:r>
            <w:r w:rsidRPr="003E0617">
              <w:rPr>
                <w:color w:val="auto"/>
                <w:sz w:val="20"/>
                <w:szCs w:val="20"/>
              </w:rPr>
              <w:t xml:space="preserve"> </w:t>
            </w:r>
            <w:r w:rsidR="002901FA">
              <w:rPr>
                <w:color w:val="auto"/>
                <w:sz w:val="20"/>
                <w:szCs w:val="20"/>
              </w:rPr>
              <w:t xml:space="preserve"> </w:t>
            </w:r>
            <w:r w:rsidR="002901FA" w:rsidRPr="002901FA">
              <w:rPr>
                <w:b/>
                <w:sz w:val="20"/>
                <w:szCs w:val="20"/>
              </w:rPr>
              <w:t>possible v</w:t>
            </w:r>
            <w:r w:rsidRPr="002901FA">
              <w:rPr>
                <w:b/>
                <w:sz w:val="20"/>
                <w:szCs w:val="20"/>
              </w:rPr>
              <w:t>ia le Prepack cession</w:t>
            </w:r>
          </w:p>
          <w:p w:rsidR="003E0617" w:rsidRPr="003E0617" w:rsidRDefault="003E0617" w:rsidP="0023188F">
            <w:pPr>
              <w:pStyle w:val="Sansinterligne"/>
              <w:rPr>
                <w:b/>
                <w:color w:val="auto"/>
                <w:sz w:val="20"/>
                <w:szCs w:val="20"/>
              </w:rPr>
            </w:pPr>
          </w:p>
        </w:tc>
        <w:tc>
          <w:tcPr>
            <w:tcW w:w="5239" w:type="dxa"/>
            <w:tcBorders>
              <w:top w:val="single" w:sz="4" w:space="0" w:color="auto"/>
              <w:left w:val="single" w:sz="4" w:space="0" w:color="auto"/>
              <w:bottom w:val="single" w:sz="4" w:space="0" w:color="auto"/>
              <w:right w:val="single" w:sz="4" w:space="0" w:color="auto"/>
            </w:tcBorders>
          </w:tcPr>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r w:rsidRPr="003E0617">
              <w:rPr>
                <w:sz w:val="20"/>
                <w:szCs w:val="20"/>
              </w:rPr>
              <w:t>Impossibilité de faire face au passif exigible avec son actif disponible, suppose cessation des paiements</w:t>
            </w: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p>
          <w:p w:rsidR="003E0617" w:rsidRPr="003E0617" w:rsidRDefault="003E0617" w:rsidP="0023188F">
            <w:pPr>
              <w:pStyle w:val="Sansinterligne"/>
              <w:rPr>
                <w:sz w:val="20"/>
                <w:szCs w:val="20"/>
              </w:rPr>
            </w:pPr>
          </w:p>
        </w:tc>
      </w:tr>
    </w:tbl>
    <w:p w:rsidR="003E0617" w:rsidRPr="003E0617" w:rsidRDefault="003E0617" w:rsidP="003E0617">
      <w:pPr>
        <w:rPr>
          <w:rFonts w:ascii="Times New Roman" w:eastAsiaTheme="majorEastAsia" w:hAnsi="Times New Roman" w:cs="Times New Roman"/>
          <w:color w:val="272727" w:themeColor="text1" w:themeTint="D8"/>
          <w:sz w:val="24"/>
          <w:szCs w:val="24"/>
        </w:rPr>
      </w:pPr>
    </w:p>
    <w:p w:rsidR="001251E8" w:rsidRPr="0077507B" w:rsidRDefault="003E0617" w:rsidP="0077507B">
      <w:pPr>
        <w:spacing w:line="240" w:lineRule="auto"/>
        <w:rPr>
          <w:rFonts w:ascii="Times New Roman" w:eastAsiaTheme="majorEastAsia" w:hAnsi="Times New Roman" w:cs="Times New Roman"/>
          <w:color w:val="272727" w:themeColor="text1" w:themeTint="D8"/>
          <w:sz w:val="24"/>
          <w:szCs w:val="24"/>
        </w:rPr>
      </w:pPr>
      <w:r w:rsidRPr="003E0617">
        <w:rPr>
          <w:rFonts w:ascii="Times New Roman" w:eastAsiaTheme="majorEastAsia" w:hAnsi="Times New Roman" w:cs="Times New Roman"/>
          <w:color w:val="272727" w:themeColor="text1" w:themeTint="D8"/>
          <w:sz w:val="24"/>
          <w:szCs w:val="24"/>
        </w:rPr>
        <w:t>Le tableau ci-dessus montre les situations dans lesquelles l’administrateur judiciaire prend un rôle dans les procédures collectives, pendant que le suivant montre sa désignation en tant que administrateur provisoire dans certaines circonstances.</w:t>
      </w:r>
    </w:p>
    <w:p w:rsidR="005D78E1" w:rsidRDefault="003E0617" w:rsidP="005D78E1">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 xml:space="preserve">Lorsqu’un juge est sollicité pour prononcer une mesure d’administration provisoire, les demandeurs doivent démontrer, la plupart du temps lors d’une procédure d’urgence, un fonctionnement anormal susceptible de mettre en péril le bien. Cette circonstance justifie l’intrusion de la justice dans les affaires d’un groupement ou d’un patrimoine </w:t>
      </w:r>
      <w:r w:rsidRPr="00EE3652">
        <w:rPr>
          <w:rFonts w:ascii="Times New Roman" w:hAnsi="Times New Roman" w:cs="Times New Roman"/>
          <w:i/>
          <w:sz w:val="24"/>
          <w:szCs w:val="24"/>
        </w:rPr>
        <w:t>in-bonis</w:t>
      </w:r>
      <w:r w:rsidRPr="003E0617">
        <w:rPr>
          <w:rFonts w:ascii="Times New Roman" w:hAnsi="Times New Roman" w:cs="Times New Roman"/>
          <w:sz w:val="24"/>
          <w:szCs w:val="24"/>
        </w:rPr>
        <w:t>. Cette exigence est d’autant plus prégnant</w:t>
      </w:r>
      <w:r w:rsidR="00EE3652">
        <w:rPr>
          <w:rFonts w:ascii="Times New Roman" w:hAnsi="Times New Roman" w:cs="Times New Roman"/>
          <w:sz w:val="24"/>
          <w:szCs w:val="24"/>
        </w:rPr>
        <w:t>e, s’agissant d’une association ou d’une société.</w:t>
      </w:r>
      <w:r w:rsidRPr="003E0617">
        <w:rPr>
          <w:rFonts w:ascii="Times New Roman" w:hAnsi="Times New Roman" w:cs="Times New Roman"/>
          <w:sz w:val="24"/>
          <w:szCs w:val="24"/>
        </w:rPr>
        <w:t xml:space="preserve"> En effet</w:t>
      </w:r>
      <w:r w:rsidR="00EE3652">
        <w:rPr>
          <w:rFonts w:ascii="Times New Roman" w:hAnsi="Times New Roman" w:cs="Times New Roman"/>
          <w:sz w:val="24"/>
          <w:szCs w:val="24"/>
        </w:rPr>
        <w:t>,</w:t>
      </w:r>
      <w:r w:rsidRPr="003E0617">
        <w:rPr>
          <w:rFonts w:ascii="Times New Roman" w:hAnsi="Times New Roman" w:cs="Times New Roman"/>
          <w:sz w:val="24"/>
          <w:szCs w:val="24"/>
        </w:rPr>
        <w:t xml:space="preserve"> l’immixtion portant directement atteinte à l’exer</w:t>
      </w:r>
      <w:r w:rsidR="00EE3652">
        <w:rPr>
          <w:rFonts w:ascii="Times New Roman" w:hAnsi="Times New Roman" w:cs="Times New Roman"/>
          <w:sz w:val="24"/>
          <w:szCs w:val="24"/>
        </w:rPr>
        <w:t>cice d’un droit garanti par la C</w:t>
      </w:r>
      <w:r w:rsidRPr="003E0617">
        <w:rPr>
          <w:rFonts w:ascii="Times New Roman" w:hAnsi="Times New Roman" w:cs="Times New Roman"/>
          <w:sz w:val="24"/>
          <w:szCs w:val="24"/>
        </w:rPr>
        <w:t>onstitution, la preuve du péril ou du trouble doit être rapportée. C’est en raison de cette immixtion de la justice que la juridiction suprême exige que l’administration provisoire soit marquée du t</w:t>
      </w:r>
      <w:r w:rsidR="00EE3652">
        <w:rPr>
          <w:rFonts w:ascii="Times New Roman" w:hAnsi="Times New Roman" w:cs="Times New Roman"/>
          <w:sz w:val="24"/>
          <w:szCs w:val="24"/>
        </w:rPr>
        <w:t>riple caractère : exceptionnel, provisoire et conservatoire.</w:t>
      </w:r>
      <w:r w:rsidRPr="003E0617">
        <w:rPr>
          <w:rFonts w:ascii="Times New Roman" w:hAnsi="Times New Roman" w:cs="Times New Roman"/>
          <w:sz w:val="24"/>
          <w:szCs w:val="24"/>
        </w:rPr>
        <w:t xml:space="preserve">  </w:t>
      </w:r>
      <w:r w:rsidR="00EE3652">
        <w:rPr>
          <w:rFonts w:ascii="Times New Roman" w:hAnsi="Times New Roman" w:cs="Times New Roman"/>
          <w:sz w:val="24"/>
          <w:szCs w:val="24"/>
        </w:rPr>
        <w:t xml:space="preserve">Le </w:t>
      </w:r>
      <w:r w:rsidRPr="003E0617">
        <w:rPr>
          <w:rFonts w:ascii="Times New Roman" w:hAnsi="Times New Roman" w:cs="Times New Roman"/>
          <w:sz w:val="24"/>
          <w:szCs w:val="24"/>
        </w:rPr>
        <w:t>dessaisissement des organes de gestion</w:t>
      </w:r>
      <w:r w:rsidR="00EE3652">
        <w:rPr>
          <w:rFonts w:ascii="Times New Roman" w:hAnsi="Times New Roman" w:cs="Times New Roman"/>
          <w:sz w:val="24"/>
          <w:szCs w:val="24"/>
        </w:rPr>
        <w:t xml:space="preserve"> est la première conséquence</w:t>
      </w:r>
      <w:r w:rsidRPr="003E0617">
        <w:rPr>
          <w:rFonts w:ascii="Times New Roman" w:hAnsi="Times New Roman" w:cs="Times New Roman"/>
          <w:sz w:val="24"/>
          <w:szCs w:val="24"/>
        </w:rPr>
        <w:t xml:space="preserve"> de la mise</w:t>
      </w:r>
      <w:r w:rsidR="00EE3652">
        <w:rPr>
          <w:rFonts w:ascii="Times New Roman" w:hAnsi="Times New Roman" w:cs="Times New Roman"/>
          <w:sz w:val="24"/>
          <w:szCs w:val="24"/>
        </w:rPr>
        <w:t xml:space="preserve"> sous Administration Provisoire d’une sociéte alors que l’administration judiciaire abou</w:t>
      </w:r>
      <w:r w:rsidR="005D78E1">
        <w:rPr>
          <w:rFonts w:ascii="Times New Roman" w:hAnsi="Times New Roman" w:cs="Times New Roman"/>
          <w:sz w:val="24"/>
          <w:szCs w:val="24"/>
        </w:rPr>
        <w:t>tit rarement à une telle mesure.</w:t>
      </w:r>
    </w:p>
    <w:p w:rsidR="005D78E1" w:rsidRPr="003E0617" w:rsidRDefault="005D78E1" w:rsidP="003E0617">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647"/>
        <w:gridCol w:w="6072"/>
      </w:tblGrid>
      <w:tr w:rsidR="003E0617" w:rsidRPr="00C03DD6" w:rsidTr="0023188F">
        <w:tc>
          <w:tcPr>
            <w:tcW w:w="9062" w:type="dxa"/>
            <w:gridSpan w:val="2"/>
            <w:tcBorders>
              <w:top w:val="single" w:sz="4" w:space="0" w:color="auto"/>
              <w:left w:val="single" w:sz="4" w:space="0" w:color="auto"/>
              <w:bottom w:val="single" w:sz="4" w:space="0" w:color="auto"/>
              <w:right w:val="single" w:sz="4" w:space="0" w:color="auto"/>
            </w:tcBorders>
          </w:tcPr>
          <w:p w:rsidR="003E0617" w:rsidRDefault="003E0617" w:rsidP="0023188F">
            <w:pPr>
              <w:jc w:val="center"/>
            </w:pPr>
            <w:r w:rsidRPr="00C03DD6">
              <w:t>Les cas emblématiques de désignation de l’administrateur judiciaire provisoire en administration provisoire </w:t>
            </w:r>
          </w:p>
          <w:p w:rsidR="00EE3652" w:rsidRPr="00C03DD6" w:rsidRDefault="00EE3652" w:rsidP="00EE3652"/>
        </w:tc>
      </w:tr>
      <w:tr w:rsidR="003E0617" w:rsidRPr="00C03DD6" w:rsidTr="0023188F">
        <w:tc>
          <w:tcPr>
            <w:tcW w:w="3020" w:type="dxa"/>
            <w:tcBorders>
              <w:top w:val="single" w:sz="4" w:space="0" w:color="auto"/>
              <w:left w:val="single" w:sz="4" w:space="0" w:color="auto"/>
              <w:bottom w:val="single" w:sz="4" w:space="0" w:color="auto"/>
              <w:right w:val="single" w:sz="4" w:space="0" w:color="auto"/>
            </w:tcBorders>
          </w:tcPr>
          <w:p w:rsidR="003E0617" w:rsidRPr="00C03DD6" w:rsidRDefault="003E0617" w:rsidP="00EE3652">
            <w:pPr>
              <w:jc w:val="center"/>
            </w:pPr>
            <w:r w:rsidRPr="00C03DD6">
              <w:t>Circonstan</w:t>
            </w:r>
            <w:r w:rsidR="00EE3652">
              <w:t>ces déclenchant le recours à l’a</w:t>
            </w:r>
            <w:r w:rsidRPr="00C03DD6">
              <w:t>dm</w:t>
            </w:r>
            <w:r w:rsidR="00EE3652">
              <w:t>inistrateur p</w:t>
            </w:r>
            <w:r w:rsidRPr="00C03DD6">
              <w:t xml:space="preserve">rovisoire </w:t>
            </w:r>
          </w:p>
        </w:tc>
        <w:tc>
          <w:tcPr>
            <w:tcW w:w="6042" w:type="dxa"/>
            <w:tcBorders>
              <w:top w:val="single" w:sz="4" w:space="0" w:color="auto"/>
              <w:left w:val="single" w:sz="4" w:space="0" w:color="auto"/>
              <w:bottom w:val="single" w:sz="4" w:space="0" w:color="auto"/>
              <w:right w:val="single" w:sz="4" w:space="0" w:color="auto"/>
            </w:tcBorders>
            <w:hideMark/>
          </w:tcPr>
          <w:p w:rsidR="003E0617" w:rsidRPr="00C03DD6" w:rsidRDefault="003E0617" w:rsidP="0023188F">
            <w:pPr>
              <w:jc w:val="center"/>
            </w:pPr>
            <w:r w:rsidRPr="00C03DD6">
              <w:t xml:space="preserve">Les différentes figures du fonctionnement anormal susceptible de provoquer un péril imminent </w:t>
            </w:r>
          </w:p>
          <w:p w:rsidR="003E0617" w:rsidRPr="00C03DD6" w:rsidRDefault="003E0617" w:rsidP="0023188F">
            <w:pPr>
              <w:jc w:val="center"/>
            </w:pPr>
          </w:p>
        </w:tc>
      </w:tr>
      <w:tr w:rsidR="006E05A9" w:rsidRPr="00C03DD6" w:rsidTr="0023188F">
        <w:tc>
          <w:tcPr>
            <w:tcW w:w="9062" w:type="dxa"/>
            <w:gridSpan w:val="2"/>
            <w:tcBorders>
              <w:top w:val="single" w:sz="4" w:space="0" w:color="auto"/>
              <w:left w:val="single" w:sz="4" w:space="0" w:color="auto"/>
              <w:bottom w:val="single" w:sz="4" w:space="0" w:color="auto"/>
              <w:right w:val="single" w:sz="4" w:space="0" w:color="auto"/>
            </w:tcBorders>
          </w:tcPr>
          <w:tbl>
            <w:tblPr>
              <w:tblStyle w:val="Grilledutableau"/>
              <w:tblW w:w="9493" w:type="dxa"/>
              <w:tblLook w:val="04A0" w:firstRow="1" w:lastRow="0" w:firstColumn="1" w:lastColumn="0" w:noHBand="0" w:noVBand="1"/>
            </w:tblPr>
            <w:tblGrid>
              <w:gridCol w:w="3255"/>
              <w:gridCol w:w="6238"/>
            </w:tblGrid>
            <w:tr w:rsidR="006E05A9" w:rsidRPr="00C03DD6" w:rsidTr="00955A29">
              <w:trPr>
                <w:trHeight w:val="562"/>
              </w:trPr>
              <w:tc>
                <w:tcPr>
                  <w:tcW w:w="9493" w:type="dxa"/>
                  <w:gridSpan w:val="2"/>
                  <w:tcBorders>
                    <w:top w:val="single" w:sz="4" w:space="0" w:color="auto"/>
                    <w:left w:val="single" w:sz="4" w:space="0" w:color="auto"/>
                    <w:bottom w:val="single" w:sz="4" w:space="0" w:color="auto"/>
                    <w:right w:val="single" w:sz="4" w:space="0" w:color="auto"/>
                  </w:tcBorders>
                </w:tcPr>
                <w:p w:rsidR="006E05A9" w:rsidRPr="00C03DD6" w:rsidRDefault="006E05A9" w:rsidP="00935EE0">
                  <w:pPr>
                    <w:jc w:val="center"/>
                    <w:rPr>
                      <w:b/>
                    </w:rPr>
                  </w:pPr>
                  <w:r w:rsidRPr="00C03DD6">
                    <w:rPr>
                      <w:b/>
                    </w:rPr>
                    <w:t>Administration provisoire des sociétés civiles et commerciales</w:t>
                  </w:r>
                </w:p>
              </w:tc>
            </w:tr>
            <w:tr w:rsidR="006E05A9" w:rsidRPr="00C03DD6" w:rsidTr="00955A29">
              <w:tc>
                <w:tcPr>
                  <w:tcW w:w="3255" w:type="dxa"/>
                  <w:tcBorders>
                    <w:top w:val="single" w:sz="4" w:space="0" w:color="auto"/>
                    <w:left w:val="single" w:sz="4" w:space="0" w:color="auto"/>
                    <w:bottom w:val="single" w:sz="4" w:space="0" w:color="auto"/>
                    <w:right w:val="single" w:sz="4" w:space="0" w:color="auto"/>
                  </w:tcBorders>
                </w:tcPr>
                <w:p w:rsidR="006E05A9" w:rsidRPr="00C03DD6" w:rsidRDefault="006E05A9" w:rsidP="00935EE0">
                  <w:r w:rsidRPr="00C03DD6">
                    <w:t>AP dispose du pouvoir de Gestion de l’entreprise avec les pouvoirs du dirigeant</w:t>
                  </w:r>
                </w:p>
                <w:p w:rsidR="006E05A9" w:rsidRPr="00C03DD6" w:rsidRDefault="006E05A9" w:rsidP="00935EE0"/>
                <w:p w:rsidR="006E05A9" w:rsidRPr="00C03DD6" w:rsidRDefault="006E05A9" w:rsidP="00935EE0">
                  <w:r w:rsidRPr="00C03DD6">
                    <w:sym w:font="Times New Roman" w:char="F0FC"/>
                  </w:r>
                  <w:r w:rsidRPr="00C03DD6">
                    <w:t xml:space="preserve">Avec autorisation spéciale possibilité de cession d’actif non indispensable ou en risque </w:t>
                  </w:r>
                </w:p>
                <w:p w:rsidR="006E05A9" w:rsidRPr="00C03DD6" w:rsidRDefault="006E05A9" w:rsidP="00935EE0">
                  <w:r w:rsidRPr="00C03DD6">
                    <w:sym w:font="Times New Roman" w:char="F0FC"/>
                  </w:r>
                  <w:r w:rsidRPr="00C03DD6">
                    <w:t>Négociation en vue de résolution des litiges</w:t>
                  </w:r>
                </w:p>
                <w:p w:rsidR="006E05A9" w:rsidRPr="00C03DD6" w:rsidRDefault="006E05A9" w:rsidP="00935EE0">
                  <w:r w:rsidRPr="00C03DD6">
                    <w:sym w:font="Times New Roman" w:char="F0FC"/>
                  </w:r>
                  <w:r w:rsidRPr="00C03DD6">
                    <w:t>Convocation et tenue AG pour désignation nouveau dirigeant.</w:t>
                  </w:r>
                </w:p>
              </w:tc>
              <w:tc>
                <w:tcPr>
                  <w:tcW w:w="6238" w:type="dxa"/>
                  <w:tcBorders>
                    <w:top w:val="single" w:sz="4" w:space="0" w:color="auto"/>
                    <w:left w:val="single" w:sz="4" w:space="0" w:color="auto"/>
                    <w:bottom w:val="single" w:sz="4" w:space="0" w:color="auto"/>
                    <w:right w:val="single" w:sz="4" w:space="0" w:color="auto"/>
                  </w:tcBorders>
                  <w:hideMark/>
                </w:tcPr>
                <w:p w:rsidR="006E05A9" w:rsidRPr="00C03DD6" w:rsidRDefault="006E05A9" w:rsidP="00935EE0">
                  <w:r w:rsidRPr="00C03DD6">
                    <w:t>Circonstances exceptionnelles :</w:t>
                  </w:r>
                </w:p>
                <w:p w:rsidR="006E05A9" w:rsidRPr="00C03DD6" w:rsidRDefault="006E05A9" w:rsidP="00935EE0">
                  <w:r w:rsidRPr="00C03DD6">
                    <w:t>Carence de l’organe de gestion avec impossibilité de désigner régulièrement les nouveaux : révocation, démission, décès, disparition, poursuites pénales, empêchement dû à force majeure, déchéance du droit de gérer</w:t>
                  </w:r>
                </w:p>
                <w:p w:rsidR="006E05A9" w:rsidRPr="00C03DD6" w:rsidRDefault="006E05A9" w:rsidP="00935EE0">
                  <w:r w:rsidRPr="00C03DD6">
                    <w:t>Nombre des administrateurs devenu inférieur au minimum légal</w:t>
                  </w:r>
                </w:p>
                <w:p w:rsidR="006E05A9" w:rsidRPr="00C03DD6" w:rsidRDefault="006E05A9" w:rsidP="00935EE0">
                  <w:r w:rsidRPr="00C03DD6">
                    <w:t>Composition du conseil non-conforme</w:t>
                  </w:r>
                </w:p>
                <w:p w:rsidR="006E05A9" w:rsidRPr="00C03DD6" w:rsidRDefault="006E05A9" w:rsidP="00935EE0">
                  <w:r w:rsidRPr="00C03DD6">
                    <w:t>Conflit entre les organes de la société rendant impossible leur fonctionnement régulier : mésentente, conflit associé /organe de gestion, péril imminent pour la personne morale</w:t>
                  </w:r>
                </w:p>
              </w:tc>
            </w:tr>
          </w:tbl>
          <w:p w:rsidR="006E05A9" w:rsidRPr="00C03DD6" w:rsidRDefault="006E05A9" w:rsidP="0023188F">
            <w:pPr>
              <w:jc w:val="center"/>
              <w:rPr>
                <w:b/>
              </w:rPr>
            </w:pPr>
          </w:p>
        </w:tc>
      </w:tr>
      <w:tr w:rsidR="003E0617" w:rsidRPr="00C03DD6" w:rsidTr="0023188F">
        <w:tc>
          <w:tcPr>
            <w:tcW w:w="9062" w:type="dxa"/>
            <w:gridSpan w:val="2"/>
            <w:tcBorders>
              <w:top w:val="single" w:sz="4" w:space="0" w:color="auto"/>
              <w:left w:val="single" w:sz="4" w:space="0" w:color="auto"/>
              <w:bottom w:val="single" w:sz="4" w:space="0" w:color="auto"/>
              <w:right w:val="single" w:sz="4" w:space="0" w:color="auto"/>
            </w:tcBorders>
          </w:tcPr>
          <w:p w:rsidR="003E0617" w:rsidRPr="00C03DD6" w:rsidRDefault="003E0617" w:rsidP="0023188F">
            <w:pPr>
              <w:jc w:val="center"/>
              <w:rPr>
                <w:b/>
              </w:rPr>
            </w:pPr>
            <w:r w:rsidRPr="00C03DD6">
              <w:rPr>
                <w:b/>
              </w:rPr>
              <w:t xml:space="preserve">Administration provisoire d’une succession </w:t>
            </w:r>
          </w:p>
          <w:p w:rsidR="003E0617" w:rsidRPr="00C03DD6" w:rsidRDefault="003E0617" w:rsidP="0023188F">
            <w:pPr>
              <w:jc w:val="center"/>
              <w:rPr>
                <w:b/>
              </w:rPr>
            </w:pPr>
          </w:p>
        </w:tc>
      </w:tr>
      <w:tr w:rsidR="003E0617" w:rsidRPr="00C03DD6" w:rsidTr="0023188F">
        <w:tc>
          <w:tcPr>
            <w:tcW w:w="3020" w:type="dxa"/>
            <w:tcBorders>
              <w:top w:val="single" w:sz="4" w:space="0" w:color="auto"/>
              <w:left w:val="single" w:sz="4" w:space="0" w:color="auto"/>
              <w:bottom w:val="single" w:sz="4" w:space="0" w:color="auto"/>
              <w:right w:val="single" w:sz="4" w:space="0" w:color="auto"/>
            </w:tcBorders>
          </w:tcPr>
          <w:p w:rsidR="003E0617" w:rsidRPr="00C03DD6" w:rsidRDefault="003E0617" w:rsidP="0023188F"/>
          <w:p w:rsidR="003E0617" w:rsidRPr="00C03DD6" w:rsidRDefault="003E0617" w:rsidP="0023188F">
            <w:r w:rsidRPr="00C03DD6">
              <w:t>En qu</w:t>
            </w:r>
            <w:r w:rsidR="006E05A9">
              <w:t>alité de mandataire successoral</w:t>
            </w:r>
            <w:r w:rsidRPr="00C03DD6">
              <w:t xml:space="preserve"> désigné en justice à l’effet d’administrer provisoirement la succession  </w:t>
            </w:r>
          </w:p>
          <w:p w:rsidR="003E0617" w:rsidRPr="00C03DD6" w:rsidRDefault="003E0617" w:rsidP="0023188F"/>
          <w:p w:rsidR="003E0617" w:rsidRPr="00C03DD6" w:rsidRDefault="003E0617" w:rsidP="0023188F"/>
        </w:tc>
        <w:tc>
          <w:tcPr>
            <w:tcW w:w="6042" w:type="dxa"/>
            <w:tcBorders>
              <w:top w:val="single" w:sz="4" w:space="0" w:color="auto"/>
              <w:left w:val="single" w:sz="4" w:space="0" w:color="auto"/>
              <w:bottom w:val="single" w:sz="4" w:space="0" w:color="auto"/>
              <w:right w:val="single" w:sz="4" w:space="0" w:color="auto"/>
            </w:tcBorders>
          </w:tcPr>
          <w:p w:rsidR="003E0617" w:rsidRPr="00C03DD6" w:rsidRDefault="003E0617" w:rsidP="0023188F"/>
          <w:p w:rsidR="003E0617" w:rsidRPr="00C03DD6" w:rsidRDefault="003E0617" w:rsidP="0023188F">
            <w:r w:rsidRPr="00C03DD6">
              <w:t xml:space="preserve">En raison de l’inertie, de la carence ou de la faute d’un ou de plusieurs héritiers dans cette administration, de leur mésentente, d’une opposition d’intérêts entre eux ou de la complexité de la situation successorale. </w:t>
            </w:r>
          </w:p>
          <w:p w:rsidR="003E0617" w:rsidRPr="00C03DD6" w:rsidRDefault="003E0617" w:rsidP="0023188F">
            <w:r w:rsidRPr="00C03DD6">
              <w:t>Dans le cadre particulier de l’indivision, lorsqu’un indivisaire est hors d’état de manifester sa volonté ou en cas de blocage du processus de décision</w:t>
            </w:r>
          </w:p>
          <w:p w:rsidR="003E0617" w:rsidRPr="00C03DD6" w:rsidRDefault="003E0617" w:rsidP="0023188F"/>
          <w:p w:rsidR="003E0617" w:rsidRPr="00C03DD6" w:rsidRDefault="003E0617" w:rsidP="0023188F"/>
        </w:tc>
      </w:tr>
      <w:tr w:rsidR="003E0617" w:rsidRPr="00C03DD6" w:rsidTr="0023188F">
        <w:tc>
          <w:tcPr>
            <w:tcW w:w="9062" w:type="dxa"/>
            <w:gridSpan w:val="2"/>
            <w:tcBorders>
              <w:top w:val="single" w:sz="4" w:space="0" w:color="auto"/>
              <w:left w:val="single" w:sz="4" w:space="0" w:color="auto"/>
              <w:bottom w:val="single" w:sz="4" w:space="0" w:color="auto"/>
              <w:right w:val="single" w:sz="4" w:space="0" w:color="auto"/>
            </w:tcBorders>
          </w:tcPr>
          <w:p w:rsidR="003E0617" w:rsidRPr="00C03DD6" w:rsidRDefault="003E0617" w:rsidP="0023188F">
            <w:pPr>
              <w:jc w:val="center"/>
              <w:rPr>
                <w:b/>
              </w:rPr>
            </w:pPr>
          </w:p>
          <w:p w:rsidR="003E0617" w:rsidRPr="00C03DD6" w:rsidRDefault="003E0617" w:rsidP="0023188F">
            <w:pPr>
              <w:jc w:val="center"/>
              <w:rPr>
                <w:b/>
              </w:rPr>
            </w:pPr>
            <w:r w:rsidRPr="00C03DD6">
              <w:rPr>
                <w:b/>
              </w:rPr>
              <w:t xml:space="preserve">Administration provisoire d’un groupement </w:t>
            </w:r>
            <w:r w:rsidRPr="00C03DD6">
              <w:rPr>
                <w:b/>
                <w:i/>
              </w:rPr>
              <w:t>in-bonis</w:t>
            </w:r>
            <w:r w:rsidRPr="00C03DD6">
              <w:rPr>
                <w:b/>
              </w:rPr>
              <w:t xml:space="preserve"> (Copropriété) </w:t>
            </w:r>
          </w:p>
        </w:tc>
      </w:tr>
      <w:tr w:rsidR="003E0617" w:rsidRPr="00C03DD6" w:rsidTr="0023188F">
        <w:tc>
          <w:tcPr>
            <w:tcW w:w="3020" w:type="dxa"/>
            <w:tcBorders>
              <w:top w:val="single" w:sz="4" w:space="0" w:color="auto"/>
              <w:left w:val="single" w:sz="4" w:space="0" w:color="auto"/>
              <w:bottom w:val="single" w:sz="4" w:space="0" w:color="auto"/>
              <w:right w:val="single" w:sz="4" w:space="0" w:color="auto"/>
            </w:tcBorders>
          </w:tcPr>
          <w:p w:rsidR="003E0617" w:rsidRPr="00C03DD6" w:rsidRDefault="003E0617" w:rsidP="0023188F">
            <w:pPr>
              <w:jc w:val="center"/>
            </w:pPr>
          </w:p>
          <w:p w:rsidR="003E0617" w:rsidRPr="00C03DD6" w:rsidRDefault="003E0617" w:rsidP="0023188F">
            <w:pPr>
              <w:jc w:val="center"/>
            </w:pPr>
            <w:r w:rsidRPr="00C03DD6">
              <w:t>AP de copropriété en difficulté</w:t>
            </w:r>
          </w:p>
        </w:tc>
        <w:tc>
          <w:tcPr>
            <w:tcW w:w="6042" w:type="dxa"/>
            <w:tcBorders>
              <w:top w:val="single" w:sz="4" w:space="0" w:color="auto"/>
              <w:left w:val="single" w:sz="4" w:space="0" w:color="auto"/>
              <w:bottom w:val="single" w:sz="4" w:space="0" w:color="auto"/>
              <w:right w:val="single" w:sz="4" w:space="0" w:color="auto"/>
            </w:tcBorders>
          </w:tcPr>
          <w:p w:rsidR="003E0617" w:rsidRPr="00C03DD6" w:rsidRDefault="003E0617" w:rsidP="0023188F"/>
          <w:p w:rsidR="003E0617" w:rsidRPr="00C03DD6" w:rsidRDefault="00456860" w:rsidP="0023188F">
            <w:r>
              <w:t>Suppose un é</w:t>
            </w:r>
            <w:r w:rsidR="003E0617" w:rsidRPr="00C03DD6">
              <w:t xml:space="preserve">quilibre financier compromis ou </w:t>
            </w:r>
            <w:r>
              <w:t xml:space="preserve">un risque sur la </w:t>
            </w:r>
            <w:r w:rsidR="003E0617" w:rsidRPr="00C03DD6">
              <w:t xml:space="preserve">conservation de l’immeuble </w:t>
            </w:r>
          </w:p>
          <w:p w:rsidR="003E0617" w:rsidRPr="00C03DD6" w:rsidRDefault="003E0617" w:rsidP="0023188F"/>
        </w:tc>
      </w:tr>
      <w:tr w:rsidR="003E0617" w:rsidRPr="00C03DD6" w:rsidTr="0023188F">
        <w:tc>
          <w:tcPr>
            <w:tcW w:w="3020" w:type="dxa"/>
            <w:tcBorders>
              <w:top w:val="single" w:sz="4" w:space="0" w:color="auto"/>
              <w:left w:val="single" w:sz="4" w:space="0" w:color="auto"/>
              <w:bottom w:val="single" w:sz="4" w:space="0" w:color="auto"/>
              <w:right w:val="single" w:sz="4" w:space="0" w:color="auto"/>
            </w:tcBorders>
          </w:tcPr>
          <w:p w:rsidR="003E0617" w:rsidRPr="00C03DD6" w:rsidRDefault="00456860" w:rsidP="00456860">
            <w:r>
              <w:t xml:space="preserve">Mission </w:t>
            </w:r>
            <w:r w:rsidR="003E0617" w:rsidRPr="00C03DD6">
              <w:t>de convoquer l'assemblé</w:t>
            </w:r>
            <w:r>
              <w:t xml:space="preserve">e des copropriétaires </w:t>
            </w:r>
          </w:p>
        </w:tc>
        <w:tc>
          <w:tcPr>
            <w:tcW w:w="6042" w:type="dxa"/>
            <w:tcBorders>
              <w:top w:val="single" w:sz="4" w:space="0" w:color="auto"/>
              <w:left w:val="single" w:sz="4" w:space="0" w:color="auto"/>
              <w:bottom w:val="single" w:sz="4" w:space="0" w:color="auto"/>
              <w:right w:val="single" w:sz="4" w:space="0" w:color="auto"/>
            </w:tcBorders>
            <w:hideMark/>
          </w:tcPr>
          <w:p w:rsidR="003E0617" w:rsidRPr="00C03DD6" w:rsidRDefault="003E0617" w:rsidP="0023188F">
            <w:r w:rsidRPr="00C03DD6">
              <w:t xml:space="preserve">En cas </w:t>
            </w:r>
            <w:r w:rsidR="00456860">
              <w:t xml:space="preserve">de syndicat </w:t>
            </w:r>
            <w:r w:rsidRPr="00C03DD6">
              <w:t xml:space="preserve">dépourvu de syndic </w:t>
            </w:r>
          </w:p>
          <w:p w:rsidR="003E0617" w:rsidRPr="00C03DD6" w:rsidRDefault="003E0617" w:rsidP="0023188F">
            <w:r w:rsidRPr="00C03DD6">
              <w:t xml:space="preserve">Ou </w:t>
            </w:r>
          </w:p>
          <w:p w:rsidR="003E0617" w:rsidRPr="00C03DD6" w:rsidRDefault="003E0617" w:rsidP="0023188F">
            <w:r w:rsidRPr="00C03DD6">
              <w:t>de carence du syndic et à défaut de stipulation du règlement de copropriété</w:t>
            </w:r>
          </w:p>
        </w:tc>
      </w:tr>
      <w:tr w:rsidR="003E0617" w:rsidRPr="00C03DD6" w:rsidTr="0023188F">
        <w:tc>
          <w:tcPr>
            <w:tcW w:w="3020" w:type="dxa"/>
            <w:tcBorders>
              <w:top w:val="single" w:sz="4" w:space="0" w:color="auto"/>
              <w:left w:val="single" w:sz="4" w:space="0" w:color="auto"/>
              <w:bottom w:val="single" w:sz="4" w:space="0" w:color="auto"/>
              <w:right w:val="single" w:sz="4" w:space="0" w:color="auto"/>
            </w:tcBorders>
            <w:hideMark/>
          </w:tcPr>
          <w:p w:rsidR="003E0617" w:rsidRPr="00C03DD6" w:rsidRDefault="003E0617" w:rsidP="0023188F">
            <w:r w:rsidRPr="00C03DD6">
              <w:t xml:space="preserve">Chargé de prendre toutes les mesures utiles au rétablissement du fonctionnement normal de copropriétés d’un ensemble immobilier.  </w:t>
            </w:r>
          </w:p>
          <w:p w:rsidR="003E0617" w:rsidRPr="00C03DD6" w:rsidRDefault="003E0617" w:rsidP="0023188F"/>
        </w:tc>
        <w:tc>
          <w:tcPr>
            <w:tcW w:w="6042" w:type="dxa"/>
            <w:tcBorders>
              <w:top w:val="single" w:sz="4" w:space="0" w:color="auto"/>
              <w:left w:val="single" w:sz="4" w:space="0" w:color="auto"/>
              <w:bottom w:val="single" w:sz="4" w:space="0" w:color="auto"/>
              <w:right w:val="single" w:sz="4" w:space="0" w:color="auto"/>
            </w:tcBorders>
          </w:tcPr>
          <w:p w:rsidR="003E0617" w:rsidRPr="00C03DD6" w:rsidRDefault="003E0617" w:rsidP="0023188F">
            <w:r w:rsidRPr="00C03DD6">
              <w:t>Si l'équilibre financier du syndicat des copropriétaires est gravement compromis ou si le syndicat est dans l'impossibilité de pourvoir à la conservation de l'immeuble</w:t>
            </w:r>
          </w:p>
          <w:p w:rsidR="003E0617" w:rsidRPr="00C03DD6" w:rsidRDefault="003E0617" w:rsidP="0023188F"/>
        </w:tc>
      </w:tr>
      <w:tr w:rsidR="003E0617" w:rsidRPr="00C03DD6" w:rsidTr="0023188F">
        <w:tc>
          <w:tcPr>
            <w:tcW w:w="3020" w:type="dxa"/>
            <w:tcBorders>
              <w:top w:val="single" w:sz="4" w:space="0" w:color="auto"/>
              <w:left w:val="single" w:sz="4" w:space="0" w:color="auto"/>
              <w:bottom w:val="single" w:sz="4" w:space="0" w:color="auto"/>
              <w:right w:val="single" w:sz="4" w:space="0" w:color="auto"/>
            </w:tcBorders>
          </w:tcPr>
          <w:p w:rsidR="003E0617" w:rsidRPr="00C03DD6" w:rsidRDefault="003E0617" w:rsidP="0023188F"/>
          <w:p w:rsidR="003E0617" w:rsidRPr="00C03DD6" w:rsidRDefault="003E0617" w:rsidP="0023188F"/>
          <w:p w:rsidR="003E0617" w:rsidRPr="00C03DD6" w:rsidRDefault="003E0617" w:rsidP="0023188F"/>
        </w:tc>
        <w:tc>
          <w:tcPr>
            <w:tcW w:w="6042" w:type="dxa"/>
            <w:tcBorders>
              <w:top w:val="single" w:sz="4" w:space="0" w:color="auto"/>
              <w:left w:val="single" w:sz="4" w:space="0" w:color="auto"/>
              <w:bottom w:val="single" w:sz="4" w:space="0" w:color="auto"/>
              <w:right w:val="single" w:sz="4" w:space="0" w:color="auto"/>
            </w:tcBorders>
            <w:hideMark/>
          </w:tcPr>
          <w:p w:rsidR="003E0617" w:rsidRPr="00C03DD6" w:rsidRDefault="003E0617" w:rsidP="0023188F">
            <w:r w:rsidRPr="00C03DD6">
              <w:t>Faute de réunion de l'assemblée générale ou en cas de rejet des mesures du plan de sauvegarde et si les difficultés du groupe d'immeubles bâtis ou de l'ensemble immobilier compromettent la conservation de l'immeuble</w:t>
            </w:r>
          </w:p>
        </w:tc>
      </w:tr>
    </w:tbl>
    <w:p w:rsidR="0077507B" w:rsidRDefault="0077507B" w:rsidP="003E0617">
      <w:pPr>
        <w:rPr>
          <w:rFonts w:ascii="Times New Roman" w:hAnsi="Times New Roman" w:cs="Times New Roman"/>
          <w:b/>
          <w:sz w:val="24"/>
          <w:szCs w:val="24"/>
        </w:rPr>
      </w:pPr>
    </w:p>
    <w:p w:rsidR="005D78E1" w:rsidRDefault="005D78E1" w:rsidP="0077507B">
      <w:pPr>
        <w:spacing w:line="240" w:lineRule="auto"/>
        <w:rPr>
          <w:rFonts w:ascii="Times New Roman" w:hAnsi="Times New Roman" w:cs="Times New Roman"/>
          <w:b/>
          <w:sz w:val="24"/>
          <w:szCs w:val="24"/>
        </w:rPr>
      </w:pPr>
    </w:p>
    <w:p w:rsidR="005D78E1" w:rsidRDefault="005D78E1" w:rsidP="0077507B">
      <w:pPr>
        <w:spacing w:line="240" w:lineRule="auto"/>
        <w:rPr>
          <w:rFonts w:ascii="Times New Roman" w:hAnsi="Times New Roman" w:cs="Times New Roman"/>
          <w:b/>
          <w:sz w:val="24"/>
          <w:szCs w:val="24"/>
        </w:rPr>
      </w:pPr>
    </w:p>
    <w:p w:rsidR="003E0617" w:rsidRPr="003E0617" w:rsidRDefault="003E0617" w:rsidP="0077507B">
      <w:pPr>
        <w:spacing w:line="240" w:lineRule="auto"/>
        <w:rPr>
          <w:rFonts w:ascii="Times New Roman" w:hAnsi="Times New Roman" w:cs="Times New Roman"/>
          <w:sz w:val="24"/>
          <w:szCs w:val="24"/>
        </w:rPr>
      </w:pPr>
      <w:r w:rsidRPr="003E0617">
        <w:rPr>
          <w:rFonts w:ascii="Times New Roman" w:hAnsi="Times New Roman" w:cs="Times New Roman"/>
          <w:b/>
          <w:sz w:val="24"/>
          <w:szCs w:val="24"/>
        </w:rPr>
        <w:lastRenderedPageBreak/>
        <w:t xml:space="preserve">La succession de l’administration provisoire et judiciaire avec maintien du même administrateur dans les deux missions  </w:t>
      </w:r>
    </w:p>
    <w:p w:rsidR="003E0617" w:rsidRPr="003E0617" w:rsidRDefault="003E0617" w:rsidP="0077507B">
      <w:pPr>
        <w:spacing w:line="240" w:lineRule="auto"/>
        <w:jc w:val="both"/>
        <w:rPr>
          <w:rFonts w:ascii="Times New Roman" w:hAnsi="Times New Roman" w:cs="Times New Roman"/>
          <w:color w:val="000000"/>
          <w:sz w:val="24"/>
          <w:szCs w:val="24"/>
        </w:rPr>
      </w:pPr>
      <w:r w:rsidRPr="003E0617">
        <w:rPr>
          <w:rFonts w:ascii="Times New Roman" w:hAnsi="Times New Roman" w:cs="Times New Roman"/>
          <w:sz w:val="24"/>
          <w:szCs w:val="24"/>
        </w:rPr>
        <w:t xml:space="preserve">Un administrateur provisoire ne saurait être confondu avec l'administrateur judiciaire désigné par le tribunal. D’ailleurs en cas d'ouverture d'une procédure collective, il est difficile de savoir si un administrateur judicaire provisoire pour un patrimoine peut être désigné administrateur judiciaire pour ce même patrimoine.  </w:t>
      </w:r>
    </w:p>
    <w:p w:rsidR="00D71EAC" w:rsidRDefault="003E0617" w:rsidP="0077507B">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Dans le silence des textes, les juridictions françaises ne se sont jamais vraiment prononcées, réglant cela au cas par cas avec</w:t>
      </w:r>
      <w:r w:rsidR="00D71EAC">
        <w:rPr>
          <w:rFonts w:ascii="Times New Roman" w:hAnsi="Times New Roman" w:cs="Times New Roman"/>
          <w:sz w:val="24"/>
          <w:szCs w:val="24"/>
        </w:rPr>
        <w:t xml:space="preserve">, selon les juridictions, </w:t>
      </w:r>
      <w:r w:rsidRPr="003E0617">
        <w:rPr>
          <w:rFonts w:ascii="Times New Roman" w:hAnsi="Times New Roman" w:cs="Times New Roman"/>
          <w:sz w:val="24"/>
          <w:szCs w:val="24"/>
        </w:rPr>
        <w:t xml:space="preserve"> des décisions </w:t>
      </w:r>
      <w:r w:rsidR="00D71EAC">
        <w:rPr>
          <w:rFonts w:ascii="Times New Roman" w:hAnsi="Times New Roman" w:cs="Times New Roman"/>
          <w:sz w:val="24"/>
          <w:szCs w:val="24"/>
        </w:rPr>
        <w:t>diamétralement opposées.</w:t>
      </w:r>
    </w:p>
    <w:p w:rsidR="003E0617" w:rsidRPr="003E0617" w:rsidRDefault="00D71EAC" w:rsidP="007750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Néanmoins le </w:t>
      </w:r>
      <w:r w:rsidR="003E0617" w:rsidRPr="003E0617">
        <w:rPr>
          <w:rFonts w:ascii="Times New Roman" w:hAnsi="Times New Roman" w:cs="Times New Roman"/>
          <w:sz w:val="24"/>
          <w:szCs w:val="24"/>
        </w:rPr>
        <w:t xml:space="preserve">refus </w:t>
      </w:r>
      <w:r>
        <w:rPr>
          <w:rFonts w:ascii="Times New Roman" w:hAnsi="Times New Roman" w:cs="Times New Roman"/>
          <w:sz w:val="24"/>
          <w:szCs w:val="24"/>
        </w:rPr>
        <w:t>de désigner l’administrateur provisoire comme administrateur judiciaire est généralement motivé par le besoin de représentation de la personne morale qu’assume l’administrateur provisoire. L’administrateur judiciaire n’est que très rarement désigné pour substituer le représentant légal de la personne morale.</w:t>
      </w:r>
    </w:p>
    <w:p w:rsidR="003E0617" w:rsidRPr="003E0617" w:rsidRDefault="003E0617" w:rsidP="0077507B">
      <w:pPr>
        <w:spacing w:line="240" w:lineRule="auto"/>
        <w:jc w:val="both"/>
        <w:rPr>
          <w:rFonts w:ascii="Times New Roman" w:hAnsi="Times New Roman" w:cs="Times New Roman"/>
          <w:b/>
          <w:sz w:val="24"/>
          <w:szCs w:val="24"/>
        </w:rPr>
      </w:pPr>
      <w:r w:rsidRPr="003E0617">
        <w:rPr>
          <w:rFonts w:ascii="Times New Roman" w:hAnsi="Times New Roman" w:cs="Times New Roman"/>
          <w:b/>
          <w:sz w:val="24"/>
          <w:szCs w:val="24"/>
        </w:rPr>
        <w:t>Conclusion</w:t>
      </w:r>
    </w:p>
    <w:p w:rsidR="003E0617" w:rsidRPr="003E0617" w:rsidRDefault="00D71EAC" w:rsidP="007750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 semble que </w:t>
      </w:r>
      <w:r w:rsidR="003E0617" w:rsidRPr="003E0617">
        <w:rPr>
          <w:rFonts w:ascii="Times New Roman" w:hAnsi="Times New Roman" w:cs="Times New Roman"/>
          <w:sz w:val="24"/>
          <w:szCs w:val="24"/>
        </w:rPr>
        <w:t xml:space="preserve">le champ d’application de l’administration provisoire </w:t>
      </w:r>
      <w:r>
        <w:rPr>
          <w:rFonts w:ascii="Times New Roman" w:hAnsi="Times New Roman" w:cs="Times New Roman"/>
          <w:sz w:val="24"/>
          <w:szCs w:val="24"/>
        </w:rPr>
        <w:t xml:space="preserve">soit </w:t>
      </w:r>
      <w:r w:rsidR="003E0617" w:rsidRPr="003E0617">
        <w:rPr>
          <w:rFonts w:ascii="Times New Roman" w:hAnsi="Times New Roman" w:cs="Times New Roman"/>
          <w:sz w:val="24"/>
          <w:szCs w:val="24"/>
        </w:rPr>
        <w:t>encore</w:t>
      </w:r>
      <w:r>
        <w:rPr>
          <w:rFonts w:ascii="Times New Roman" w:hAnsi="Times New Roman" w:cs="Times New Roman"/>
          <w:sz w:val="24"/>
          <w:szCs w:val="24"/>
        </w:rPr>
        <w:t xml:space="preserve"> à définir.</w:t>
      </w:r>
      <w:r w:rsidR="00B240FB">
        <w:rPr>
          <w:rFonts w:ascii="Times New Roman" w:hAnsi="Times New Roman" w:cs="Times New Roman"/>
          <w:sz w:val="24"/>
          <w:szCs w:val="24"/>
        </w:rPr>
        <w:t xml:space="preserve"> Il peut </w:t>
      </w:r>
      <w:r w:rsidR="003E0617" w:rsidRPr="003E0617">
        <w:rPr>
          <w:rFonts w:ascii="Times New Roman" w:hAnsi="Times New Roman" w:cs="Times New Roman"/>
          <w:sz w:val="24"/>
          <w:szCs w:val="24"/>
        </w:rPr>
        <w:t xml:space="preserve"> </w:t>
      </w:r>
      <w:r w:rsidR="00B240FB">
        <w:rPr>
          <w:rFonts w:ascii="Times New Roman" w:hAnsi="Times New Roman" w:cs="Times New Roman"/>
          <w:sz w:val="24"/>
          <w:szCs w:val="24"/>
        </w:rPr>
        <w:t>s’étendre à de multiples</w:t>
      </w:r>
      <w:r w:rsidR="003E0617" w:rsidRPr="003E0617">
        <w:rPr>
          <w:rFonts w:ascii="Times New Roman" w:hAnsi="Times New Roman" w:cs="Times New Roman"/>
          <w:sz w:val="24"/>
          <w:szCs w:val="24"/>
        </w:rPr>
        <w:t xml:space="preserve"> hypothèses,</w:t>
      </w:r>
      <w:r w:rsidR="00B240FB">
        <w:rPr>
          <w:rFonts w:ascii="Times New Roman" w:hAnsi="Times New Roman" w:cs="Times New Roman"/>
          <w:sz w:val="24"/>
          <w:szCs w:val="24"/>
        </w:rPr>
        <w:t xml:space="preserve"> dont toutes</w:t>
      </w:r>
      <w:r w:rsidR="003E0617" w:rsidRPr="003E0617">
        <w:rPr>
          <w:rFonts w:ascii="Times New Roman" w:hAnsi="Times New Roman" w:cs="Times New Roman"/>
          <w:sz w:val="24"/>
          <w:szCs w:val="24"/>
        </w:rPr>
        <w:t xml:space="preserve"> n</w:t>
      </w:r>
      <w:r w:rsidR="00B240FB">
        <w:rPr>
          <w:rFonts w:ascii="Times New Roman" w:hAnsi="Times New Roman" w:cs="Times New Roman"/>
          <w:sz w:val="24"/>
          <w:szCs w:val="24"/>
        </w:rPr>
        <w:t>’</w:t>
      </w:r>
      <w:r w:rsidR="003E0617" w:rsidRPr="003E0617">
        <w:rPr>
          <w:rFonts w:ascii="Times New Roman" w:hAnsi="Times New Roman" w:cs="Times New Roman"/>
          <w:sz w:val="24"/>
          <w:szCs w:val="24"/>
        </w:rPr>
        <w:t>on</w:t>
      </w:r>
      <w:r w:rsidR="00B240FB">
        <w:rPr>
          <w:rFonts w:ascii="Times New Roman" w:hAnsi="Times New Roman" w:cs="Times New Roman"/>
          <w:sz w:val="24"/>
          <w:szCs w:val="24"/>
        </w:rPr>
        <w:t>t pas été identifiées par les parties susceptibles d’en bénéfier et par leurs conseils.</w:t>
      </w:r>
      <w:r w:rsidR="003E0617" w:rsidRPr="003E0617">
        <w:rPr>
          <w:rFonts w:ascii="Times New Roman" w:hAnsi="Times New Roman" w:cs="Times New Roman"/>
          <w:sz w:val="24"/>
          <w:szCs w:val="24"/>
        </w:rPr>
        <w:t xml:space="preserve"> </w:t>
      </w:r>
    </w:p>
    <w:p w:rsidR="007F24D0" w:rsidRDefault="003E0617" w:rsidP="0077507B">
      <w:pPr>
        <w:spacing w:line="240" w:lineRule="auto"/>
        <w:jc w:val="both"/>
        <w:rPr>
          <w:rFonts w:ascii="Times New Roman" w:hAnsi="Times New Roman" w:cs="Times New Roman"/>
          <w:sz w:val="24"/>
          <w:szCs w:val="24"/>
        </w:rPr>
      </w:pPr>
      <w:r w:rsidRPr="003E0617">
        <w:rPr>
          <w:rFonts w:ascii="Times New Roman" w:hAnsi="Times New Roman" w:cs="Times New Roman"/>
          <w:sz w:val="24"/>
          <w:szCs w:val="24"/>
        </w:rPr>
        <w:t xml:space="preserve">Ainsi le dirigeant </w:t>
      </w:r>
      <w:r w:rsidR="00B240FB">
        <w:rPr>
          <w:rFonts w:ascii="Times New Roman" w:hAnsi="Times New Roman" w:cs="Times New Roman"/>
          <w:sz w:val="24"/>
          <w:szCs w:val="24"/>
        </w:rPr>
        <w:t xml:space="preserve">d’un groupe italien détenant </w:t>
      </w:r>
      <w:r w:rsidRPr="003E0617">
        <w:rPr>
          <w:rFonts w:ascii="Times New Roman" w:hAnsi="Times New Roman" w:cs="Times New Roman"/>
          <w:sz w:val="24"/>
          <w:szCs w:val="24"/>
        </w:rPr>
        <w:t>une filiale française d’une société</w:t>
      </w:r>
      <w:r w:rsidR="00B240FB">
        <w:rPr>
          <w:rFonts w:ascii="Times New Roman" w:hAnsi="Times New Roman" w:cs="Times New Roman"/>
          <w:sz w:val="24"/>
          <w:szCs w:val="24"/>
        </w:rPr>
        <w:t>, les</w:t>
      </w:r>
      <w:r w:rsidRPr="003E0617">
        <w:rPr>
          <w:rFonts w:ascii="Times New Roman" w:hAnsi="Times New Roman" w:cs="Times New Roman"/>
          <w:sz w:val="24"/>
          <w:szCs w:val="24"/>
        </w:rPr>
        <w:t xml:space="preserve"> deux</w:t>
      </w:r>
      <w:r w:rsidR="00B240FB">
        <w:rPr>
          <w:rFonts w:ascii="Times New Roman" w:hAnsi="Times New Roman" w:cs="Times New Roman"/>
          <w:sz w:val="24"/>
          <w:szCs w:val="24"/>
        </w:rPr>
        <w:t xml:space="preserve"> sociétés faisant l’objet d’une procédure</w:t>
      </w:r>
      <w:r w:rsidRPr="003E0617">
        <w:rPr>
          <w:rFonts w:ascii="Times New Roman" w:hAnsi="Times New Roman" w:cs="Times New Roman"/>
          <w:sz w:val="24"/>
          <w:szCs w:val="24"/>
        </w:rPr>
        <w:t xml:space="preserve"> collectives, s’est </w:t>
      </w:r>
      <w:r w:rsidR="00B240FB">
        <w:rPr>
          <w:rFonts w:ascii="Times New Roman" w:hAnsi="Times New Roman" w:cs="Times New Roman"/>
          <w:sz w:val="24"/>
          <w:szCs w:val="24"/>
        </w:rPr>
        <w:t>vu reprocher les décisions prises, notamment des remontées de dividendes, car ces actes de gestion ont été suposés d’être faits pour privilégier</w:t>
      </w:r>
      <w:r w:rsidR="007F24D0">
        <w:rPr>
          <w:rFonts w:ascii="Times New Roman" w:hAnsi="Times New Roman" w:cs="Times New Roman"/>
          <w:sz w:val="24"/>
          <w:szCs w:val="24"/>
        </w:rPr>
        <w:t xml:space="preserve"> la restructuration de la société italiennes au détriment de la filiale française.</w:t>
      </w:r>
    </w:p>
    <w:p w:rsidR="007F24D0" w:rsidRDefault="007F24D0" w:rsidP="007750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 peut en déduire que la situation aurait été différente </w:t>
      </w:r>
      <w:r w:rsidR="003E0617" w:rsidRPr="003E0617">
        <w:rPr>
          <w:rFonts w:ascii="Times New Roman" w:hAnsi="Times New Roman" w:cs="Times New Roman"/>
          <w:sz w:val="24"/>
          <w:szCs w:val="24"/>
        </w:rPr>
        <w:t xml:space="preserve">si un administrateur provisoire avait </w:t>
      </w:r>
      <w:r>
        <w:rPr>
          <w:rFonts w:ascii="Times New Roman" w:hAnsi="Times New Roman" w:cs="Times New Roman"/>
          <w:sz w:val="24"/>
          <w:szCs w:val="24"/>
        </w:rPr>
        <w:t>été désigné. L</w:t>
      </w:r>
      <w:r w:rsidR="003E0617" w:rsidRPr="003E0617">
        <w:rPr>
          <w:rFonts w:ascii="Times New Roman" w:hAnsi="Times New Roman" w:cs="Times New Roman"/>
          <w:sz w:val="24"/>
          <w:szCs w:val="24"/>
        </w:rPr>
        <w:t>e dirigeant</w:t>
      </w:r>
      <w:r>
        <w:rPr>
          <w:rFonts w:ascii="Times New Roman" w:hAnsi="Times New Roman" w:cs="Times New Roman"/>
          <w:sz w:val="24"/>
          <w:szCs w:val="24"/>
        </w:rPr>
        <w:t xml:space="preserve"> aurait été dessaisi et l’administrateur</w:t>
      </w:r>
      <w:r w:rsidR="003E0617" w:rsidRPr="003E0617">
        <w:rPr>
          <w:rFonts w:ascii="Times New Roman" w:hAnsi="Times New Roman" w:cs="Times New Roman"/>
          <w:sz w:val="24"/>
          <w:szCs w:val="24"/>
        </w:rPr>
        <w:t xml:space="preserve"> provisoire</w:t>
      </w:r>
      <w:r>
        <w:rPr>
          <w:rFonts w:ascii="Times New Roman" w:hAnsi="Times New Roman" w:cs="Times New Roman"/>
          <w:sz w:val="24"/>
          <w:szCs w:val="24"/>
        </w:rPr>
        <w:t xml:space="preserve"> aurait été amené à prendre ces décisions et à les assumer ultérieurement.</w:t>
      </w:r>
    </w:p>
    <w:p w:rsidR="003E0617" w:rsidRPr="003E0617" w:rsidRDefault="007F24D0" w:rsidP="0077507B">
      <w:pPr>
        <w:spacing w:line="240" w:lineRule="auto"/>
        <w:jc w:val="both"/>
        <w:rPr>
          <w:rFonts w:ascii="Times New Roman" w:hAnsi="Times New Roman" w:cs="Times New Roman"/>
          <w:sz w:val="24"/>
          <w:szCs w:val="24"/>
        </w:rPr>
      </w:pPr>
      <w:r>
        <w:rPr>
          <w:rFonts w:ascii="Times New Roman" w:hAnsi="Times New Roman" w:cs="Times New Roman"/>
          <w:sz w:val="24"/>
          <w:szCs w:val="24"/>
        </w:rPr>
        <w:t>Notons que l’administrateur provisoire doit obtenir l’autorisation</w:t>
      </w:r>
      <w:r w:rsidR="003E0617" w:rsidRPr="003E0617">
        <w:rPr>
          <w:rFonts w:ascii="Times New Roman" w:hAnsi="Times New Roman" w:cs="Times New Roman"/>
          <w:sz w:val="24"/>
          <w:szCs w:val="24"/>
        </w:rPr>
        <w:t xml:space="preserve"> préalable du </w:t>
      </w:r>
      <w:r>
        <w:rPr>
          <w:rFonts w:ascii="Times New Roman" w:hAnsi="Times New Roman" w:cs="Times New Roman"/>
          <w:sz w:val="24"/>
          <w:szCs w:val="24"/>
        </w:rPr>
        <w:t>président du tribunal qui l’a désigné pour tous les acted de disposition, contrairement à d’autres systèmes européens où l’administrateur agit sous sa propre responsabilité.</w:t>
      </w:r>
      <w:r w:rsidR="003E0617" w:rsidRPr="003E0617">
        <w:rPr>
          <w:rFonts w:ascii="Times New Roman" w:hAnsi="Times New Roman" w:cs="Times New Roman"/>
          <w:sz w:val="24"/>
          <w:szCs w:val="24"/>
        </w:rPr>
        <w:t xml:space="preserve"> </w:t>
      </w:r>
    </w:p>
    <w:p w:rsidR="003E0617" w:rsidRDefault="00EB197C" w:rsidP="00EB19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  x  x</w:t>
      </w:r>
    </w:p>
    <w:p w:rsidR="00EB197C" w:rsidRPr="003E0617" w:rsidRDefault="00EB197C" w:rsidP="00EB19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bookmarkEnd w:id="0"/>
    <w:p w:rsidR="00EB197C" w:rsidRDefault="00EB197C" w:rsidP="006C79CB">
      <w:pPr>
        <w:jc w:val="both"/>
        <w:rPr>
          <w:rFonts w:ascii="Arial Narrow" w:hAnsi="Arial Narrow" w:cs="Times New Roman"/>
          <w:b/>
          <w:sz w:val="28"/>
          <w:szCs w:val="28"/>
        </w:rPr>
      </w:pPr>
    </w:p>
    <w:p w:rsidR="0077507B" w:rsidRDefault="0077507B" w:rsidP="006C79CB">
      <w:pPr>
        <w:jc w:val="both"/>
        <w:rPr>
          <w:rFonts w:ascii="Arial Narrow" w:hAnsi="Arial Narrow" w:cs="Times New Roman"/>
          <w:b/>
          <w:sz w:val="28"/>
          <w:szCs w:val="28"/>
        </w:rPr>
      </w:pPr>
    </w:p>
    <w:p w:rsidR="0077507B" w:rsidRDefault="0077507B" w:rsidP="006C79CB">
      <w:pPr>
        <w:jc w:val="both"/>
        <w:rPr>
          <w:rFonts w:ascii="Arial Narrow" w:hAnsi="Arial Narrow" w:cs="Times New Roman"/>
          <w:b/>
          <w:sz w:val="28"/>
          <w:szCs w:val="28"/>
        </w:rPr>
      </w:pPr>
    </w:p>
    <w:p w:rsidR="0077507B" w:rsidRDefault="0077507B" w:rsidP="006C79CB">
      <w:pPr>
        <w:jc w:val="both"/>
        <w:rPr>
          <w:rFonts w:ascii="Arial Narrow" w:hAnsi="Arial Narrow" w:cs="Times New Roman"/>
          <w:b/>
          <w:sz w:val="28"/>
          <w:szCs w:val="28"/>
        </w:rPr>
      </w:pPr>
    </w:p>
    <w:p w:rsidR="0077507B" w:rsidRDefault="0077507B" w:rsidP="006C79CB">
      <w:pPr>
        <w:jc w:val="both"/>
        <w:rPr>
          <w:rFonts w:ascii="Arial Narrow" w:hAnsi="Arial Narrow" w:cs="Times New Roman"/>
          <w:b/>
          <w:sz w:val="28"/>
          <w:szCs w:val="28"/>
        </w:rPr>
      </w:pPr>
    </w:p>
    <w:p w:rsidR="005D78E1" w:rsidRDefault="005D78E1" w:rsidP="006C79CB">
      <w:pPr>
        <w:jc w:val="both"/>
        <w:rPr>
          <w:rFonts w:ascii="Arial Narrow" w:hAnsi="Arial Narrow" w:cs="Times New Roman"/>
          <w:b/>
          <w:sz w:val="28"/>
          <w:szCs w:val="28"/>
        </w:rPr>
      </w:pPr>
    </w:p>
    <w:p w:rsidR="006C79CB" w:rsidRPr="00C7111E" w:rsidRDefault="006C79CB" w:rsidP="006C79CB">
      <w:pPr>
        <w:jc w:val="both"/>
        <w:rPr>
          <w:rFonts w:ascii="Arial Narrow" w:hAnsi="Arial Narrow" w:cs="Times New Roman"/>
          <w:b/>
          <w:sz w:val="28"/>
          <w:szCs w:val="28"/>
        </w:rPr>
      </w:pPr>
      <w:r w:rsidRPr="00C7111E">
        <w:rPr>
          <w:rFonts w:ascii="Arial Narrow" w:hAnsi="Arial Narrow" w:cs="Times New Roman"/>
          <w:b/>
          <w:sz w:val="28"/>
          <w:szCs w:val="28"/>
        </w:rPr>
        <w:lastRenderedPageBreak/>
        <w:t>Designation des PI</w:t>
      </w:r>
    </w:p>
    <w:p w:rsidR="006C79CB" w:rsidRPr="00C7111E" w:rsidRDefault="006C79CB" w:rsidP="006C79CB">
      <w:pPr>
        <w:jc w:val="center"/>
        <w:rPr>
          <w:rFonts w:ascii="Times New Roman" w:hAnsi="Times New Roman" w:cs="Times New Roman"/>
          <w:b/>
          <w:sz w:val="48"/>
          <w:szCs w:val="48"/>
        </w:rPr>
      </w:pPr>
      <w:r w:rsidRPr="00C7111E">
        <w:rPr>
          <w:rFonts w:ascii="Times New Roman" w:hAnsi="Times New Roman" w:cs="Times New Roman"/>
          <w:b/>
          <w:sz w:val="48"/>
          <w:szCs w:val="48"/>
        </w:rPr>
        <w:t xml:space="preserve">Désignation des PI par tirage au sort : </w:t>
      </w:r>
    </w:p>
    <w:p w:rsidR="006C79CB" w:rsidRPr="00C7111E" w:rsidRDefault="006C79CB" w:rsidP="006C79CB">
      <w:pPr>
        <w:jc w:val="center"/>
        <w:rPr>
          <w:rFonts w:ascii="Times New Roman" w:hAnsi="Times New Roman" w:cs="Times New Roman"/>
          <w:b/>
          <w:sz w:val="28"/>
          <w:szCs w:val="28"/>
        </w:rPr>
      </w:pPr>
      <w:r w:rsidRPr="006616DA">
        <w:rPr>
          <w:rFonts w:ascii="Times New Roman" w:hAnsi="Times New Roman" w:cs="Times New Roman"/>
          <w:b/>
          <w:sz w:val="28"/>
          <w:szCs w:val="28"/>
        </w:rPr>
        <w:t>Expériences acquises en Lituanie, en Slovaquie et en Hongrie dans le domaine des systèmes de sélection aléatoire des PI.</w:t>
      </w:r>
    </w:p>
    <w:p w:rsidR="006C79CB" w:rsidRPr="00C7111E" w:rsidRDefault="006C79CB" w:rsidP="006C79CB">
      <w:pPr>
        <w:jc w:val="center"/>
        <w:rPr>
          <w:rFonts w:ascii="Arial Narrow" w:hAnsi="Arial Narrow" w:cs="Times New Roman"/>
          <w:i/>
          <w:sz w:val="24"/>
          <w:szCs w:val="24"/>
        </w:rPr>
      </w:pPr>
      <w:r w:rsidRPr="006616DA">
        <w:rPr>
          <w:rFonts w:ascii="Arial Narrow" w:hAnsi="Arial Narrow" w:cs="Times New Roman"/>
          <w:i/>
          <w:sz w:val="24"/>
          <w:szCs w:val="24"/>
        </w:rPr>
        <w:t>Comparaison du nouveau système lituanien aux systèmes slovaque et hongrois</w:t>
      </w:r>
    </w:p>
    <w:p w:rsidR="006C79CB" w:rsidRPr="00C7111E" w:rsidRDefault="006C79CB" w:rsidP="006C79CB">
      <w:pPr>
        <w:jc w:val="both"/>
        <w:rPr>
          <w:rFonts w:ascii="Times New Roman" w:hAnsi="Times New Roman" w:cs="Times New Roman"/>
          <w:b/>
          <w:sz w:val="24"/>
          <w:szCs w:val="24"/>
        </w:rPr>
      </w:pPr>
      <w:r w:rsidRPr="006616DA">
        <w:rPr>
          <w:rFonts w:ascii="Times New Roman" w:hAnsi="Times New Roman" w:cs="Times New Roman"/>
          <w:b/>
          <w:sz w:val="24"/>
          <w:szCs w:val="24"/>
        </w:rPr>
        <w:t xml:space="preserve">Il y a trois ans, la Lituanie a mis en place un nouveau système de désignation des praticiens de l’insolvabilité (« PI ») </w:t>
      </w:r>
      <w:r>
        <w:rPr>
          <w:rFonts w:ascii="Times New Roman" w:hAnsi="Times New Roman" w:cs="Times New Roman"/>
          <w:b/>
          <w:sz w:val="24"/>
          <w:szCs w:val="24"/>
        </w:rPr>
        <w:t>pour</w:t>
      </w:r>
      <w:r w:rsidRPr="006616DA">
        <w:rPr>
          <w:rFonts w:ascii="Times New Roman" w:hAnsi="Times New Roman" w:cs="Times New Roman"/>
          <w:b/>
          <w:sz w:val="24"/>
          <w:szCs w:val="24"/>
        </w:rPr>
        <w:t xml:space="preserve"> certaines procédures d’insolvabilité.</w:t>
      </w:r>
      <w:r w:rsidRPr="00C7111E">
        <w:rPr>
          <w:rFonts w:ascii="Times New Roman" w:hAnsi="Times New Roman" w:cs="Times New Roman"/>
          <w:b/>
          <w:sz w:val="24"/>
          <w:szCs w:val="24"/>
        </w:rPr>
        <w:t xml:space="preserve"> </w:t>
      </w:r>
      <w:r>
        <w:rPr>
          <w:rFonts w:ascii="Times New Roman" w:hAnsi="Times New Roman" w:cs="Times New Roman"/>
          <w:b/>
          <w:sz w:val="24"/>
          <w:szCs w:val="24"/>
        </w:rPr>
        <w:t>S</w:t>
      </w:r>
      <w:r w:rsidRPr="006616DA">
        <w:rPr>
          <w:rFonts w:ascii="Times New Roman" w:hAnsi="Times New Roman" w:cs="Times New Roman"/>
          <w:b/>
          <w:sz w:val="24"/>
          <w:szCs w:val="24"/>
        </w:rPr>
        <w:t>es principaux éléments avaient déjà été décrits dans un article précédent</w:t>
      </w:r>
      <w:r>
        <w:rPr>
          <w:rFonts w:ascii="Times New Roman" w:hAnsi="Times New Roman" w:cs="Times New Roman"/>
          <w:b/>
          <w:sz w:val="24"/>
          <w:szCs w:val="24"/>
        </w:rPr>
        <w:t xml:space="preserve"> d’</w:t>
      </w:r>
      <w:r>
        <w:rPr>
          <w:rFonts w:ascii="Times New Roman" w:hAnsi="Times New Roman" w:cs="Times New Roman"/>
          <w:b/>
          <w:i/>
          <w:sz w:val="24"/>
          <w:szCs w:val="24"/>
        </w:rPr>
        <w:t>eurofenix</w:t>
      </w:r>
      <w:r w:rsidRPr="006616DA">
        <w:rPr>
          <w:rStyle w:val="Appelnotedebasdep"/>
        </w:rPr>
        <w:footnoteReference w:id="15"/>
      </w:r>
      <w:r w:rsidRPr="006616DA">
        <w:rPr>
          <w:rFonts w:ascii="Times New Roman" w:hAnsi="Times New Roman" w:cs="Times New Roman"/>
          <w:b/>
          <w:sz w:val="24"/>
          <w:szCs w:val="24"/>
        </w:rPr>
        <w:t>.</w:t>
      </w:r>
    </w:p>
    <w:p w:rsidR="006C79CB" w:rsidRPr="00C7111E" w:rsidRDefault="006C79CB" w:rsidP="006C79CB">
      <w:pPr>
        <w:jc w:val="both"/>
        <w:rPr>
          <w:rFonts w:ascii="Times New Roman" w:hAnsi="Times New Roman" w:cs="Times New Roman"/>
          <w:sz w:val="24"/>
          <w:szCs w:val="24"/>
        </w:rPr>
      </w:pPr>
      <w:r w:rsidRPr="006616DA">
        <w:rPr>
          <w:rFonts w:ascii="Times New Roman" w:hAnsi="Times New Roman" w:cs="Times New Roman"/>
          <w:sz w:val="24"/>
          <w:szCs w:val="24"/>
        </w:rPr>
        <w:t>Cet article</w:t>
      </w:r>
      <w:r>
        <w:rPr>
          <w:rFonts w:ascii="Times New Roman" w:hAnsi="Times New Roman" w:cs="Times New Roman"/>
          <w:sz w:val="24"/>
          <w:szCs w:val="24"/>
        </w:rPr>
        <w:t>-ci</w:t>
      </w:r>
      <w:r w:rsidRPr="006616DA">
        <w:rPr>
          <w:rFonts w:ascii="Times New Roman" w:hAnsi="Times New Roman" w:cs="Times New Roman"/>
          <w:sz w:val="24"/>
          <w:szCs w:val="24"/>
        </w:rPr>
        <w:t xml:space="preserve"> a pour but de dresser un premier bilan et de comparer ce système aux systèmes de sélection aléatoire similaires qui qui existent en Slovaquie et en Hongrie.</w:t>
      </w:r>
    </w:p>
    <w:p w:rsidR="006C79CB" w:rsidRPr="00C7111E" w:rsidRDefault="006C79CB" w:rsidP="006C79CB">
      <w:pPr>
        <w:jc w:val="both"/>
        <w:rPr>
          <w:rFonts w:ascii="Times New Roman" w:hAnsi="Times New Roman" w:cs="Times New Roman"/>
          <w:sz w:val="24"/>
          <w:szCs w:val="24"/>
        </w:rPr>
      </w:pPr>
      <w:r w:rsidRPr="006616DA">
        <w:rPr>
          <w:rFonts w:ascii="Times New Roman" w:hAnsi="Times New Roman" w:cs="Times New Roman"/>
          <w:b/>
          <w:sz w:val="24"/>
          <w:szCs w:val="24"/>
        </w:rPr>
        <w:t>Cadres juridiques</w:t>
      </w:r>
      <w:r w:rsidRPr="00C7111E">
        <w:rPr>
          <w:rFonts w:ascii="Times New Roman" w:hAnsi="Times New Roman" w:cs="Times New Roman"/>
          <w:sz w:val="24"/>
          <w:szCs w:val="24"/>
        </w:rPr>
        <w:t xml:space="preserve"> </w:t>
      </w:r>
    </w:p>
    <w:p w:rsidR="0077507B" w:rsidRDefault="006C79CB" w:rsidP="0077507B">
      <w:pPr>
        <w:spacing w:after="0"/>
        <w:jc w:val="both"/>
        <w:rPr>
          <w:rFonts w:ascii="Times New Roman" w:hAnsi="Times New Roman" w:cs="Times New Roman"/>
          <w:sz w:val="24"/>
          <w:szCs w:val="24"/>
        </w:rPr>
      </w:pPr>
      <w:r w:rsidRPr="006616DA">
        <w:rPr>
          <w:rFonts w:ascii="Times New Roman" w:hAnsi="Times New Roman" w:cs="Times New Roman"/>
          <w:b/>
          <w:i/>
          <w:sz w:val="24"/>
          <w:szCs w:val="24"/>
        </w:rPr>
        <w:t>Types de procédures d’insolvabilité existantes</w:t>
      </w:r>
      <w:r w:rsidR="0077507B">
        <w:rPr>
          <w:rFonts w:ascii="Times New Roman" w:hAnsi="Times New Roman" w:cs="Times New Roman"/>
          <w:sz w:val="24"/>
          <w:szCs w:val="24"/>
        </w:rPr>
        <w:t xml:space="preserve"> </w:t>
      </w:r>
    </w:p>
    <w:p w:rsidR="00357DC4" w:rsidRDefault="006C79CB" w:rsidP="0077507B">
      <w:pPr>
        <w:jc w:val="both"/>
        <w:rPr>
          <w:rFonts w:ascii="Times New Roman" w:hAnsi="Times New Roman" w:cs="Times New Roman"/>
          <w:sz w:val="24"/>
          <w:szCs w:val="24"/>
        </w:rPr>
      </w:pPr>
      <w:r w:rsidRPr="00574496">
        <w:rPr>
          <w:rFonts w:ascii="Times New Roman" w:hAnsi="Times New Roman" w:cs="Times New Roman"/>
          <w:sz w:val="24"/>
          <w:szCs w:val="24"/>
        </w:rPr>
        <w:t xml:space="preserve">Dans les trois pays, il existe trois grandes catégories de procédures d’insolvabilité : </w:t>
      </w:r>
      <w:r>
        <w:rPr>
          <w:rFonts w:ascii="Times New Roman" w:hAnsi="Times New Roman" w:cs="Times New Roman"/>
          <w:sz w:val="24"/>
          <w:szCs w:val="24"/>
        </w:rPr>
        <w:t>insolvabilité</w:t>
      </w:r>
      <w:r w:rsidRPr="00574496">
        <w:rPr>
          <w:rFonts w:ascii="Times New Roman" w:hAnsi="Times New Roman" w:cs="Times New Roman"/>
          <w:sz w:val="24"/>
          <w:szCs w:val="24"/>
        </w:rPr>
        <w:t xml:space="preserve"> et restructuration pour les personnes morales, insolvabilité pour les personnes physiques</w:t>
      </w:r>
      <w:r>
        <w:rPr>
          <w:rFonts w:ascii="Times New Roman" w:hAnsi="Times New Roman" w:cs="Times New Roman"/>
          <w:sz w:val="24"/>
          <w:szCs w:val="24"/>
        </w:rPr>
        <w:t>,</w:t>
      </w:r>
      <w:r w:rsidRPr="00C7111E">
        <w:rPr>
          <w:rFonts w:ascii="Times New Roman" w:hAnsi="Times New Roman" w:cs="Times New Roman"/>
          <w:sz w:val="24"/>
          <w:szCs w:val="24"/>
        </w:rPr>
        <w:t xml:space="preserve"> </w:t>
      </w:r>
      <w:r w:rsidRPr="00574496">
        <w:rPr>
          <w:rFonts w:ascii="Times New Roman" w:hAnsi="Times New Roman" w:cs="Times New Roman"/>
          <w:sz w:val="24"/>
          <w:szCs w:val="24"/>
        </w:rPr>
        <w:t>avec des variations.</w:t>
      </w:r>
      <w:r w:rsidRPr="00C7111E">
        <w:rPr>
          <w:rFonts w:ascii="Times New Roman" w:hAnsi="Times New Roman" w:cs="Times New Roman"/>
          <w:sz w:val="24"/>
          <w:szCs w:val="24"/>
        </w:rPr>
        <w:t xml:space="preserve"> </w:t>
      </w:r>
      <w:r w:rsidRPr="00574496">
        <w:rPr>
          <w:rFonts w:ascii="Times New Roman" w:hAnsi="Times New Roman" w:cs="Times New Roman"/>
          <w:sz w:val="24"/>
          <w:szCs w:val="24"/>
        </w:rPr>
        <w:t>Fait notable, le droit lituanien prévoit une procédure d’insolvabilité extrajudiciaire</w:t>
      </w:r>
      <w:r w:rsidRPr="00574496">
        <w:rPr>
          <w:rStyle w:val="Appelnotedebasdep"/>
        </w:rPr>
        <w:footnoteReference w:id="16"/>
      </w:r>
      <w:r w:rsidRPr="00574496">
        <w:rPr>
          <w:rFonts w:ascii="Times New Roman" w:hAnsi="Times New Roman" w:cs="Times New Roman"/>
          <w:sz w:val="24"/>
          <w:szCs w:val="24"/>
        </w:rPr>
        <w:t>.</w:t>
      </w:r>
    </w:p>
    <w:p w:rsidR="00357DC4" w:rsidRDefault="00357DC4" w:rsidP="00357DC4">
      <w:pPr>
        <w:spacing w:after="0" w:line="240" w:lineRule="auto"/>
        <w:jc w:val="both"/>
        <w:rPr>
          <w:rFonts w:ascii="Times New Roman" w:hAnsi="Times New Roman" w:cs="Times New Roman"/>
          <w:sz w:val="24"/>
          <w:szCs w:val="24"/>
        </w:rPr>
      </w:pPr>
    </w:p>
    <w:p w:rsidR="006C79CB" w:rsidRPr="00357DC4" w:rsidRDefault="006C79CB" w:rsidP="00357DC4">
      <w:pPr>
        <w:spacing w:after="0" w:line="240" w:lineRule="auto"/>
        <w:jc w:val="both"/>
        <w:rPr>
          <w:rFonts w:ascii="Times New Roman" w:hAnsi="Times New Roman" w:cs="Times New Roman"/>
          <w:sz w:val="24"/>
          <w:szCs w:val="24"/>
        </w:rPr>
      </w:pPr>
      <w:r w:rsidRPr="00574496">
        <w:rPr>
          <w:rFonts w:ascii="Times New Roman" w:hAnsi="Times New Roman" w:cs="Times New Roman"/>
          <w:b/>
          <w:i/>
          <w:sz w:val="24"/>
          <w:szCs w:val="24"/>
        </w:rPr>
        <w:t>Quand ces systèmes de sélection aléatoire ont-ils été mis en place ?</w:t>
      </w:r>
    </w:p>
    <w:p w:rsidR="006C79CB" w:rsidRPr="00C7111E" w:rsidRDefault="006C79CB" w:rsidP="006C79CB">
      <w:pPr>
        <w:jc w:val="both"/>
        <w:rPr>
          <w:rFonts w:ascii="Times New Roman" w:hAnsi="Times New Roman" w:cs="Times New Roman"/>
          <w:sz w:val="24"/>
          <w:szCs w:val="24"/>
        </w:rPr>
      </w:pPr>
      <w:r w:rsidRPr="00574496">
        <w:rPr>
          <w:rFonts w:ascii="Times New Roman" w:hAnsi="Times New Roman" w:cs="Times New Roman"/>
          <w:sz w:val="24"/>
          <w:szCs w:val="24"/>
        </w:rPr>
        <w:t>La Slovaquie a commencé à mettre en place des systèmes de sélection aléatoire des PI dès 2005</w:t>
      </w:r>
      <w:r w:rsidRPr="00574496">
        <w:rPr>
          <w:rStyle w:val="Appelnotedebasdep"/>
        </w:rPr>
        <w:footnoteReference w:id="17"/>
      </w:r>
      <w:r w:rsidRPr="00574496">
        <w:rPr>
          <w:rFonts w:ascii="Times New Roman" w:hAnsi="Times New Roman" w:cs="Times New Roman"/>
          <w:sz w:val="24"/>
          <w:szCs w:val="24"/>
        </w:rPr>
        <w:t>,</w:t>
      </w:r>
      <w:r w:rsidRPr="00C7111E">
        <w:rPr>
          <w:rFonts w:ascii="Times New Roman" w:hAnsi="Times New Roman" w:cs="Times New Roman"/>
          <w:sz w:val="24"/>
          <w:szCs w:val="24"/>
        </w:rPr>
        <w:t xml:space="preserve"> </w:t>
      </w:r>
      <w:r w:rsidRPr="00574496">
        <w:rPr>
          <w:rFonts w:ascii="Times New Roman" w:hAnsi="Times New Roman" w:cs="Times New Roman"/>
          <w:sz w:val="24"/>
          <w:szCs w:val="24"/>
        </w:rPr>
        <w:t>suivie par la Hongrie en 2009, puis par la Lituanie en 2015.</w:t>
      </w:r>
      <w:r w:rsidRPr="00C7111E">
        <w:rPr>
          <w:rFonts w:ascii="Times New Roman" w:hAnsi="Times New Roman" w:cs="Times New Roman"/>
          <w:sz w:val="24"/>
          <w:szCs w:val="24"/>
        </w:rPr>
        <w:t xml:space="preserve"> </w:t>
      </w:r>
    </w:p>
    <w:p w:rsidR="006C79CB" w:rsidRPr="00C7111E" w:rsidRDefault="006C79CB" w:rsidP="0077507B">
      <w:pPr>
        <w:spacing w:after="0"/>
        <w:jc w:val="both"/>
        <w:rPr>
          <w:rFonts w:ascii="Times New Roman" w:hAnsi="Times New Roman" w:cs="Times New Roman"/>
          <w:sz w:val="24"/>
          <w:szCs w:val="24"/>
        </w:rPr>
      </w:pPr>
      <w:r w:rsidRPr="00574496">
        <w:rPr>
          <w:rFonts w:ascii="Times New Roman" w:hAnsi="Times New Roman" w:cs="Times New Roman"/>
          <w:b/>
          <w:i/>
          <w:sz w:val="24"/>
          <w:szCs w:val="24"/>
        </w:rPr>
        <w:t>Quels</w:t>
      </w:r>
      <w:r>
        <w:rPr>
          <w:rFonts w:ascii="Times New Roman" w:hAnsi="Times New Roman" w:cs="Times New Roman"/>
          <w:b/>
          <w:i/>
          <w:sz w:val="24"/>
          <w:szCs w:val="24"/>
        </w:rPr>
        <w:t xml:space="preserve"> en</w:t>
      </w:r>
      <w:r w:rsidRPr="00574496">
        <w:rPr>
          <w:rFonts w:ascii="Times New Roman" w:hAnsi="Times New Roman" w:cs="Times New Roman"/>
          <w:b/>
          <w:i/>
          <w:sz w:val="24"/>
          <w:szCs w:val="24"/>
        </w:rPr>
        <w:t xml:space="preserve"> étaient les objectifs ?</w:t>
      </w:r>
    </w:p>
    <w:p w:rsidR="006C79CB" w:rsidRPr="00C7111E" w:rsidRDefault="006C79CB" w:rsidP="006C79CB">
      <w:pPr>
        <w:jc w:val="both"/>
        <w:rPr>
          <w:rFonts w:ascii="Times New Roman" w:hAnsi="Times New Roman" w:cs="Times New Roman"/>
          <w:sz w:val="24"/>
          <w:szCs w:val="24"/>
        </w:rPr>
      </w:pPr>
      <w:r w:rsidRPr="00574496">
        <w:rPr>
          <w:rFonts w:ascii="Times New Roman" w:hAnsi="Times New Roman" w:cs="Times New Roman"/>
          <w:sz w:val="24"/>
          <w:szCs w:val="24"/>
        </w:rPr>
        <w:t>Le principal objectif des législateurs était de lutter contre le manque de transparence (perçu ou réel) associé aux anciennes règles de sélection et de désignation des PI.</w:t>
      </w:r>
      <w:r w:rsidRPr="00C7111E">
        <w:rPr>
          <w:rFonts w:ascii="Times New Roman" w:hAnsi="Times New Roman" w:cs="Times New Roman"/>
          <w:sz w:val="24"/>
          <w:szCs w:val="24"/>
        </w:rPr>
        <w:t xml:space="preserve"> </w:t>
      </w:r>
      <w:r w:rsidRPr="00574496">
        <w:rPr>
          <w:rFonts w:ascii="Times New Roman" w:hAnsi="Times New Roman" w:cs="Times New Roman"/>
          <w:sz w:val="24"/>
          <w:szCs w:val="24"/>
        </w:rPr>
        <w:t>En effet, ces règles permettaient aux intéressés de proposer « leurs » PI et/ou aux juges de désigner des PI de façon opaque et sans réel contrôle</w:t>
      </w:r>
      <w:r w:rsidRPr="00574496">
        <w:rPr>
          <w:rStyle w:val="Appelnotedebasdep"/>
        </w:rPr>
        <w:footnoteReference w:id="18"/>
      </w:r>
      <w:r w:rsidRPr="00574496">
        <w:rPr>
          <w:rFonts w:ascii="Times New Roman" w:hAnsi="Times New Roman" w:cs="Times New Roman"/>
          <w:sz w:val="24"/>
          <w:szCs w:val="24"/>
        </w:rPr>
        <w:t>.</w:t>
      </w:r>
    </w:p>
    <w:p w:rsidR="006C79CB" w:rsidRPr="00C7111E" w:rsidRDefault="006C79CB" w:rsidP="006C79CB">
      <w:pPr>
        <w:jc w:val="both"/>
        <w:rPr>
          <w:rFonts w:ascii="Times New Roman" w:hAnsi="Times New Roman" w:cs="Times New Roman"/>
          <w:sz w:val="24"/>
          <w:szCs w:val="24"/>
        </w:rPr>
      </w:pPr>
      <w:r>
        <w:rPr>
          <w:rFonts w:ascii="Times New Roman" w:hAnsi="Times New Roman" w:cs="Times New Roman"/>
          <w:sz w:val="24"/>
          <w:szCs w:val="24"/>
        </w:rPr>
        <w:t>L</w:t>
      </w:r>
      <w:r w:rsidRPr="00574496">
        <w:rPr>
          <w:rFonts w:ascii="Times New Roman" w:hAnsi="Times New Roman" w:cs="Times New Roman"/>
          <w:sz w:val="24"/>
          <w:szCs w:val="24"/>
        </w:rPr>
        <w:t xml:space="preserve">es anciens systèmes de désignation ne favorisaient </w:t>
      </w:r>
      <w:r>
        <w:rPr>
          <w:rFonts w:ascii="Times New Roman" w:hAnsi="Times New Roman" w:cs="Times New Roman"/>
          <w:sz w:val="24"/>
          <w:szCs w:val="24"/>
        </w:rPr>
        <w:t xml:space="preserve">donc </w:t>
      </w:r>
      <w:r w:rsidRPr="00574496">
        <w:rPr>
          <w:rFonts w:ascii="Times New Roman" w:hAnsi="Times New Roman" w:cs="Times New Roman"/>
          <w:sz w:val="24"/>
          <w:szCs w:val="24"/>
        </w:rPr>
        <w:t xml:space="preserve">pas la confiance </w:t>
      </w:r>
      <w:r>
        <w:rPr>
          <w:rFonts w:ascii="Times New Roman" w:hAnsi="Times New Roman" w:cs="Times New Roman"/>
          <w:sz w:val="24"/>
          <w:szCs w:val="24"/>
        </w:rPr>
        <w:t xml:space="preserve">accordée </w:t>
      </w:r>
      <w:r w:rsidRPr="00574496">
        <w:rPr>
          <w:rFonts w:ascii="Times New Roman" w:hAnsi="Times New Roman" w:cs="Times New Roman"/>
          <w:sz w:val="24"/>
          <w:szCs w:val="24"/>
        </w:rPr>
        <w:t xml:space="preserve">à l’impartialité et au fonctionnement des régimes d’insolvabilité, et les PI étaient </w:t>
      </w:r>
      <w:r>
        <w:rPr>
          <w:rFonts w:ascii="Times New Roman" w:hAnsi="Times New Roman" w:cs="Times New Roman"/>
          <w:sz w:val="24"/>
          <w:szCs w:val="24"/>
        </w:rPr>
        <w:t>généralement</w:t>
      </w:r>
      <w:r w:rsidRPr="00574496">
        <w:rPr>
          <w:rFonts w:ascii="Times New Roman" w:hAnsi="Times New Roman" w:cs="Times New Roman"/>
          <w:sz w:val="24"/>
          <w:szCs w:val="24"/>
        </w:rPr>
        <w:t xml:space="preserve"> considérés comme </w:t>
      </w:r>
      <w:r>
        <w:rPr>
          <w:rFonts w:ascii="Times New Roman" w:hAnsi="Times New Roman" w:cs="Times New Roman"/>
          <w:sz w:val="24"/>
          <w:szCs w:val="24"/>
        </w:rPr>
        <w:t xml:space="preserve">des personnes </w:t>
      </w:r>
      <w:r w:rsidRPr="00574496">
        <w:rPr>
          <w:rFonts w:ascii="Times New Roman" w:hAnsi="Times New Roman" w:cs="Times New Roman"/>
          <w:sz w:val="24"/>
          <w:szCs w:val="24"/>
        </w:rPr>
        <w:t>exerçant des activités louches mais souvent lucratives.</w:t>
      </w:r>
    </w:p>
    <w:p w:rsidR="0077507B" w:rsidRDefault="0077507B" w:rsidP="006C79CB">
      <w:pPr>
        <w:jc w:val="both"/>
        <w:rPr>
          <w:rFonts w:ascii="Times New Roman" w:hAnsi="Times New Roman" w:cs="Times New Roman"/>
          <w:b/>
          <w:i/>
          <w:sz w:val="24"/>
          <w:szCs w:val="24"/>
        </w:rPr>
      </w:pPr>
    </w:p>
    <w:p w:rsidR="006C79CB" w:rsidRPr="00C7111E" w:rsidRDefault="006C79CB" w:rsidP="0077507B">
      <w:pPr>
        <w:spacing w:after="0"/>
        <w:jc w:val="both"/>
        <w:rPr>
          <w:rFonts w:ascii="Times New Roman" w:hAnsi="Times New Roman" w:cs="Times New Roman"/>
          <w:b/>
          <w:i/>
          <w:sz w:val="24"/>
          <w:szCs w:val="24"/>
        </w:rPr>
      </w:pPr>
      <w:r w:rsidRPr="00DE37CC">
        <w:rPr>
          <w:rFonts w:ascii="Times New Roman" w:hAnsi="Times New Roman" w:cs="Times New Roman"/>
          <w:b/>
          <w:i/>
          <w:sz w:val="24"/>
          <w:szCs w:val="24"/>
        </w:rPr>
        <w:lastRenderedPageBreak/>
        <w:t>Comment fonctionne la sélection aléatoire des PI et à quelles procédures s’applique-t-elle ?</w:t>
      </w:r>
    </w:p>
    <w:p w:rsidR="006C79CB" w:rsidRPr="00C7111E" w:rsidRDefault="006C79CB" w:rsidP="006C79CB">
      <w:pPr>
        <w:jc w:val="both"/>
        <w:rPr>
          <w:rFonts w:ascii="Times New Roman" w:hAnsi="Times New Roman" w:cs="Times New Roman"/>
          <w:sz w:val="24"/>
          <w:szCs w:val="24"/>
        </w:rPr>
      </w:pPr>
      <w:r w:rsidRPr="00DE37CC">
        <w:rPr>
          <w:rFonts w:ascii="Times New Roman" w:hAnsi="Times New Roman" w:cs="Times New Roman"/>
          <w:sz w:val="24"/>
          <w:szCs w:val="24"/>
        </w:rPr>
        <w:t xml:space="preserve">En </w:t>
      </w:r>
      <w:r w:rsidRPr="00DE37CC">
        <w:rPr>
          <w:rFonts w:ascii="Times New Roman" w:hAnsi="Times New Roman" w:cs="Times New Roman"/>
          <w:b/>
          <w:sz w:val="24"/>
          <w:szCs w:val="24"/>
        </w:rPr>
        <w:t>Lituanie</w:t>
      </w:r>
      <w:r w:rsidRPr="00DE37CC">
        <w:rPr>
          <w:rFonts w:ascii="Times New Roman" w:hAnsi="Times New Roman" w:cs="Times New Roman"/>
          <w:sz w:val="24"/>
          <w:szCs w:val="24"/>
        </w:rPr>
        <w:t>, la sélection aléatoire des PI est réservée aux procédures judiciaires d’insolvabilité des entreprises, conformément à la loi n° IX-216 du 20 mars 2001 sur l’insolvabilité des entreprises (« LIE ») et aux règles de sélection des administrateurs de l’insolvabilité, telles qu’approuvées au titre de l’ordonnance n° 647 du 9 juillet 2014.</w:t>
      </w:r>
    </w:p>
    <w:p w:rsidR="006C79CB" w:rsidRPr="00C7111E" w:rsidRDefault="006C79CB" w:rsidP="006C79CB">
      <w:pPr>
        <w:jc w:val="both"/>
        <w:rPr>
          <w:rFonts w:ascii="Times New Roman" w:hAnsi="Times New Roman" w:cs="Times New Roman"/>
          <w:sz w:val="24"/>
          <w:szCs w:val="24"/>
        </w:rPr>
      </w:pPr>
      <w:r w:rsidRPr="00DE37CC">
        <w:rPr>
          <w:rFonts w:ascii="Times New Roman" w:hAnsi="Times New Roman" w:cs="Times New Roman"/>
          <w:sz w:val="24"/>
          <w:szCs w:val="24"/>
        </w:rPr>
        <w:t xml:space="preserve">Par conséquent, elle ne s’applique pas aux insolvabilités de personnes physiques, tout du moins pas si la personne physique </w:t>
      </w:r>
      <w:r>
        <w:rPr>
          <w:rFonts w:ascii="Times New Roman" w:hAnsi="Times New Roman" w:cs="Times New Roman"/>
          <w:sz w:val="24"/>
          <w:szCs w:val="24"/>
        </w:rPr>
        <w:t>introduisant l’instance</w:t>
      </w:r>
      <w:r w:rsidRPr="00DE37CC">
        <w:rPr>
          <w:rFonts w:ascii="Times New Roman" w:hAnsi="Times New Roman" w:cs="Times New Roman"/>
          <w:sz w:val="24"/>
          <w:szCs w:val="24"/>
        </w:rPr>
        <w:t xml:space="preserve"> exerce le droit de proposer un administrateur, conformément à la loi sur l’insolvabilité des personnes physiques (cf. art. 4 para. 5- 7).</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Elle ne s’applique pas non plus aux restructurations d’entreprises (cf. art. 6 de la loi n° IX-218 du 20</w:t>
      </w:r>
      <w:r>
        <w:rPr>
          <w:rFonts w:ascii="Times New Roman" w:hAnsi="Times New Roman" w:cs="Times New Roman"/>
          <w:sz w:val="24"/>
          <w:szCs w:val="24"/>
        </w:rPr>
        <w:t> </w:t>
      </w:r>
      <w:r w:rsidRPr="00DE37CC">
        <w:rPr>
          <w:rFonts w:ascii="Times New Roman" w:hAnsi="Times New Roman" w:cs="Times New Roman"/>
          <w:sz w:val="24"/>
          <w:szCs w:val="24"/>
        </w:rPr>
        <w:t>mars 2001 sur la restructuration des entreprises) ni aux procédures d’insolvabilité extrajudiciaires (cf. art. 13 para. 2 de la LIE), dans le cadre desquelles l</w:t>
      </w:r>
      <w:r>
        <w:rPr>
          <w:rFonts w:ascii="Times New Roman" w:hAnsi="Times New Roman" w:cs="Times New Roman"/>
          <w:sz w:val="24"/>
          <w:szCs w:val="24"/>
        </w:rPr>
        <w:t>e déposant</w:t>
      </w:r>
      <w:r w:rsidRPr="00DE37CC">
        <w:rPr>
          <w:rFonts w:ascii="Times New Roman" w:hAnsi="Times New Roman" w:cs="Times New Roman"/>
          <w:sz w:val="24"/>
          <w:szCs w:val="24"/>
        </w:rPr>
        <w:t xml:space="preserve"> propose le PI qui sera désigné officiellement par le tribunal (</w:t>
      </w:r>
      <w:r w:rsidR="009A1930">
        <w:rPr>
          <w:rFonts w:ascii="Times New Roman" w:hAnsi="Times New Roman" w:cs="Times New Roman"/>
          <w:sz w:val="24"/>
          <w:szCs w:val="24"/>
        </w:rPr>
        <w:t xml:space="preserve">pour une </w:t>
      </w:r>
      <w:r w:rsidRPr="00DE37CC">
        <w:rPr>
          <w:rFonts w:ascii="Times New Roman" w:hAnsi="Times New Roman" w:cs="Times New Roman"/>
          <w:sz w:val="24"/>
          <w:szCs w:val="24"/>
        </w:rPr>
        <w:t>restructuration) ou par l’assemblée des créanciers (</w:t>
      </w:r>
      <w:r w:rsidR="009A1930">
        <w:rPr>
          <w:rFonts w:ascii="Times New Roman" w:hAnsi="Times New Roman" w:cs="Times New Roman"/>
          <w:sz w:val="24"/>
          <w:szCs w:val="24"/>
        </w:rPr>
        <w:t xml:space="preserve">pour une </w:t>
      </w:r>
      <w:r w:rsidRPr="00DE37CC">
        <w:rPr>
          <w:rFonts w:ascii="Times New Roman" w:hAnsi="Times New Roman" w:cs="Times New Roman"/>
          <w:sz w:val="24"/>
          <w:szCs w:val="24"/>
        </w:rPr>
        <w:t>procédure extrajudiciaire).</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Le système de « </w:t>
      </w:r>
      <w:r>
        <w:rPr>
          <w:rFonts w:ascii="Times New Roman" w:hAnsi="Times New Roman" w:cs="Times New Roman"/>
          <w:sz w:val="24"/>
          <w:szCs w:val="24"/>
        </w:rPr>
        <w:t>tirage au sort</w:t>
      </w:r>
      <w:r w:rsidRPr="00DE37CC">
        <w:rPr>
          <w:rFonts w:ascii="Times New Roman" w:hAnsi="Times New Roman" w:cs="Times New Roman"/>
          <w:sz w:val="24"/>
          <w:szCs w:val="24"/>
        </w:rPr>
        <w:t xml:space="preserve"> » repose sur une </w:t>
      </w:r>
      <w:r>
        <w:rPr>
          <w:rFonts w:ascii="Times New Roman" w:hAnsi="Times New Roman" w:cs="Times New Roman"/>
          <w:sz w:val="24"/>
          <w:szCs w:val="24"/>
        </w:rPr>
        <w:t>répartition</w:t>
      </w:r>
      <w:r w:rsidRPr="00DE37CC">
        <w:rPr>
          <w:rFonts w:ascii="Times New Roman" w:hAnsi="Times New Roman" w:cs="Times New Roman"/>
          <w:sz w:val="24"/>
          <w:szCs w:val="24"/>
        </w:rPr>
        <w:t xml:space="preserve"> des entreprises insolvables</w:t>
      </w:r>
      <w:r>
        <w:rPr>
          <w:rFonts w:ascii="Times New Roman" w:hAnsi="Times New Roman" w:cs="Times New Roman"/>
          <w:sz w:val="24"/>
          <w:szCs w:val="24"/>
        </w:rPr>
        <w:t xml:space="preserve"> en </w:t>
      </w:r>
      <w:r w:rsidRPr="00DE37CC">
        <w:rPr>
          <w:rFonts w:ascii="Times New Roman" w:hAnsi="Times New Roman" w:cs="Times New Roman"/>
          <w:sz w:val="24"/>
          <w:szCs w:val="24"/>
        </w:rPr>
        <w:t>trois catégories, en fonction de leur taille : petites, moyennes ou grandes entreprises</w:t>
      </w:r>
      <w:r>
        <w:rPr>
          <w:rFonts w:ascii="Times New Roman" w:hAnsi="Times New Roman" w:cs="Times New Roman"/>
          <w:sz w:val="24"/>
          <w:szCs w:val="24"/>
        </w:rPr>
        <w:t>,</w:t>
      </w:r>
      <w:r w:rsidRPr="00DE37CC">
        <w:rPr>
          <w:rFonts w:ascii="Times New Roman" w:hAnsi="Times New Roman" w:cs="Times New Roman"/>
          <w:sz w:val="24"/>
          <w:szCs w:val="24"/>
        </w:rPr>
        <w:t xml:space="preserve"> et des PI</w:t>
      </w:r>
      <w:r>
        <w:rPr>
          <w:rFonts w:ascii="Times New Roman" w:hAnsi="Times New Roman" w:cs="Times New Roman"/>
          <w:sz w:val="24"/>
          <w:szCs w:val="24"/>
        </w:rPr>
        <w:t xml:space="preserve">, eux aussi en </w:t>
      </w:r>
      <w:r w:rsidRPr="00DE37CC">
        <w:rPr>
          <w:rFonts w:ascii="Times New Roman" w:hAnsi="Times New Roman" w:cs="Times New Roman"/>
          <w:sz w:val="24"/>
          <w:szCs w:val="24"/>
        </w:rPr>
        <w:t>trois catégories, en fonction de critères</w:t>
      </w:r>
      <w:r>
        <w:rPr>
          <w:rFonts w:ascii="Times New Roman" w:hAnsi="Times New Roman" w:cs="Times New Roman"/>
          <w:sz w:val="24"/>
          <w:szCs w:val="24"/>
        </w:rPr>
        <w:t xml:space="preserve"> censément </w:t>
      </w:r>
      <w:r w:rsidRPr="00DE37CC">
        <w:rPr>
          <w:rFonts w:ascii="Times New Roman" w:hAnsi="Times New Roman" w:cs="Times New Roman"/>
          <w:sz w:val="24"/>
          <w:szCs w:val="24"/>
        </w:rPr>
        <w:t>liés à leur expérience.</w:t>
      </w:r>
    </w:p>
    <w:p w:rsidR="006C79CB" w:rsidRPr="00C7111E" w:rsidRDefault="006C79CB" w:rsidP="006C79CB">
      <w:pPr>
        <w:jc w:val="both"/>
        <w:rPr>
          <w:rFonts w:ascii="Times New Roman" w:hAnsi="Times New Roman" w:cs="Times New Roman"/>
          <w:sz w:val="24"/>
          <w:szCs w:val="24"/>
        </w:rPr>
      </w:pPr>
      <w:r w:rsidRPr="00DE37CC">
        <w:rPr>
          <w:rFonts w:ascii="Times New Roman" w:hAnsi="Times New Roman" w:cs="Times New Roman"/>
          <w:sz w:val="24"/>
          <w:szCs w:val="24"/>
        </w:rPr>
        <w:t>Le système informatique utilisé par le juge sélectionne de façon aléatoire le PI qui sera chargé de l’affaire à partir d’une liste pré-triée de PI agréés.</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L’idée générale est d’attribuer les grandes affaires aux PI les plus expérimentés, les affaires moyennes aux PI un peu moins expérimentés, et les petites affaires aux PI débutants (tout en tenant compte de leur charge de travail)</w:t>
      </w:r>
      <w:r w:rsidRPr="00DE37CC">
        <w:rPr>
          <w:rStyle w:val="Appelnotedebasdep"/>
        </w:rPr>
        <w:footnoteReference w:id="19"/>
      </w:r>
      <w:r w:rsidRPr="00DE37CC">
        <w:rPr>
          <w:rFonts w:ascii="Times New Roman" w:hAnsi="Times New Roman" w:cs="Times New Roman"/>
          <w:sz w:val="24"/>
          <w:szCs w:val="24"/>
        </w:rPr>
        <w:t>.</w:t>
      </w:r>
    </w:p>
    <w:p w:rsidR="006C79CB" w:rsidRPr="00C7111E" w:rsidRDefault="006C79CB" w:rsidP="006C79CB">
      <w:pPr>
        <w:jc w:val="both"/>
        <w:rPr>
          <w:rFonts w:ascii="Times New Roman" w:hAnsi="Times New Roman" w:cs="Times New Roman"/>
          <w:sz w:val="24"/>
          <w:szCs w:val="24"/>
        </w:rPr>
      </w:pPr>
      <w:r w:rsidRPr="00DE37CC">
        <w:rPr>
          <w:rFonts w:ascii="Times New Roman" w:hAnsi="Times New Roman" w:cs="Times New Roman"/>
          <w:sz w:val="24"/>
          <w:szCs w:val="24"/>
        </w:rPr>
        <w:t xml:space="preserve">Le système de sélection </w:t>
      </w:r>
      <w:r w:rsidRPr="00DE37CC">
        <w:rPr>
          <w:rFonts w:ascii="Times New Roman" w:hAnsi="Times New Roman" w:cs="Times New Roman"/>
          <w:b/>
          <w:sz w:val="24"/>
          <w:szCs w:val="24"/>
        </w:rPr>
        <w:t>hongrois</w:t>
      </w:r>
      <w:r w:rsidRPr="00DE37CC">
        <w:rPr>
          <w:rFonts w:ascii="Times New Roman" w:hAnsi="Times New Roman" w:cs="Times New Roman"/>
          <w:sz w:val="24"/>
          <w:szCs w:val="24"/>
        </w:rPr>
        <w:t xml:space="preserve"> s’applique aux procédures d’insolvabilité et de restructuration des entreprises, et non aux personnes physiques</w:t>
      </w:r>
      <w:r w:rsidRPr="00DE37CC">
        <w:rPr>
          <w:rStyle w:val="Appelnotedebasdep"/>
        </w:rPr>
        <w:footnoteReference w:id="20"/>
      </w:r>
      <w:r>
        <w:rPr>
          <w:rFonts w:ascii="Times New Roman" w:hAnsi="Times New Roman" w:cs="Times New Roman"/>
          <w:sz w:val="24"/>
          <w:szCs w:val="24"/>
        </w:rPr>
        <w:t>,</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à quelques exceptions près.</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Un régime juridique particulier s’applique aux insolvabilités d’établissements financiers ou de compagnies d’assurance, ainsi qu’aux opérateurs économiques majeurs dotés d’un statut préférentiel</w:t>
      </w:r>
      <w:r>
        <w:rPr>
          <w:rFonts w:ascii="Times New Roman" w:hAnsi="Times New Roman" w:cs="Times New Roman"/>
          <w:sz w:val="24"/>
          <w:szCs w:val="24"/>
        </w:rPr>
        <w:t xml:space="preserve"> au vu de leurs objectifs</w:t>
      </w:r>
      <w:r w:rsidRPr="00DE37CC">
        <w:rPr>
          <w:rFonts w:ascii="Times New Roman" w:hAnsi="Times New Roman" w:cs="Times New Roman"/>
          <w:sz w:val="24"/>
          <w:szCs w:val="24"/>
        </w:rPr>
        <w:t xml:space="preserve"> stratégiques.</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S’agissant des anciens groupes d’entreprises, le type d’activité du débiteur déclenche l’application de dispositions particulières en matière de désignation du PI.</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À cet effet, le statut des entreprises peut être déterminé sur décision des pouvoirs publics.</w:t>
      </w:r>
    </w:p>
    <w:p w:rsidR="006C79CB" w:rsidRPr="00C7111E" w:rsidRDefault="006C79CB" w:rsidP="006C79CB">
      <w:pPr>
        <w:jc w:val="both"/>
        <w:rPr>
          <w:rFonts w:ascii="Times New Roman" w:hAnsi="Times New Roman" w:cs="Times New Roman"/>
          <w:sz w:val="24"/>
          <w:szCs w:val="24"/>
        </w:rPr>
      </w:pPr>
      <w:r w:rsidRPr="00DE37CC">
        <w:rPr>
          <w:rFonts w:ascii="Times New Roman" w:hAnsi="Times New Roman" w:cs="Times New Roman"/>
          <w:sz w:val="24"/>
          <w:szCs w:val="24"/>
        </w:rPr>
        <w:t>Dans les deux cas, le système de sélection aléatoire ne s’applique pas et une entreprises publique est désignée PI.</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 xml:space="preserve">Dans les cas ordinaires, dans lesquels la sélection aléatoire s’applique, le PI est sélectionné grâce à un logiciel exprès qui accède au registre des PI et à certaines données, telles que l’adresse du siège ou de la succursale du PI et le nombre d’affaires qu’il a gérées ou gère </w:t>
      </w:r>
      <w:r>
        <w:rPr>
          <w:rFonts w:ascii="Times New Roman" w:hAnsi="Times New Roman" w:cs="Times New Roman"/>
          <w:sz w:val="24"/>
          <w:szCs w:val="24"/>
        </w:rPr>
        <w:t>à la date concernée</w:t>
      </w:r>
      <w:r w:rsidRPr="00DE37CC">
        <w:rPr>
          <w:rFonts w:ascii="Times New Roman" w:hAnsi="Times New Roman" w:cs="Times New Roman"/>
          <w:sz w:val="24"/>
          <w:szCs w:val="24"/>
        </w:rPr>
        <w:t>.</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Le logiciel compare les PI sur la base de ces informations et propose un PI pour désignation dans l’affaire en question</w:t>
      </w:r>
      <w:r w:rsidRPr="00DE37CC">
        <w:rPr>
          <w:rStyle w:val="Appelnotedebasdep"/>
        </w:rPr>
        <w:footnoteReference w:id="21"/>
      </w:r>
      <w:r w:rsidRPr="00DE37CC">
        <w:rPr>
          <w:rFonts w:ascii="Times New Roman" w:hAnsi="Times New Roman" w:cs="Times New Roman"/>
          <w:sz w:val="24"/>
          <w:szCs w:val="24"/>
        </w:rPr>
        <w:t>.</w:t>
      </w:r>
    </w:p>
    <w:p w:rsidR="006C79CB" w:rsidRPr="00C7111E" w:rsidRDefault="006C79CB" w:rsidP="006C79CB">
      <w:pPr>
        <w:jc w:val="both"/>
        <w:rPr>
          <w:rFonts w:ascii="Times New Roman" w:hAnsi="Times New Roman" w:cs="Times New Roman"/>
          <w:sz w:val="24"/>
          <w:szCs w:val="24"/>
        </w:rPr>
      </w:pPr>
      <w:r w:rsidRPr="00DE37CC">
        <w:rPr>
          <w:rFonts w:ascii="Times New Roman" w:hAnsi="Times New Roman" w:cs="Times New Roman"/>
          <w:sz w:val="24"/>
          <w:szCs w:val="24"/>
        </w:rPr>
        <w:lastRenderedPageBreak/>
        <w:t xml:space="preserve">Contrairement à ce qui se passe en Lituanie et en Hongrie, en </w:t>
      </w:r>
      <w:r w:rsidRPr="00DE37CC">
        <w:rPr>
          <w:rFonts w:ascii="Times New Roman" w:hAnsi="Times New Roman" w:cs="Times New Roman"/>
          <w:b/>
          <w:sz w:val="24"/>
          <w:szCs w:val="24"/>
        </w:rPr>
        <w:t>Slovaquie</w:t>
      </w:r>
      <w:r w:rsidRPr="00DE37CC">
        <w:rPr>
          <w:rFonts w:ascii="Times New Roman" w:hAnsi="Times New Roman" w:cs="Times New Roman"/>
          <w:sz w:val="24"/>
          <w:szCs w:val="24"/>
        </w:rPr>
        <w:t>, le système de sélection aléatoire s’applique à toutes les catégories de procédures d’insolvabilité</w:t>
      </w:r>
      <w:r w:rsidRPr="00DE37CC">
        <w:rPr>
          <w:rStyle w:val="Appelnotedebasdep"/>
        </w:rPr>
        <w:footnoteReference w:id="22"/>
      </w:r>
      <w:r w:rsidRPr="00DE37CC">
        <w:rPr>
          <w:rFonts w:ascii="Times New Roman" w:hAnsi="Times New Roman" w:cs="Times New Roman"/>
          <w:sz w:val="24"/>
          <w:szCs w:val="24"/>
        </w:rPr>
        <w:t>.</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Le tribunal désigne le PI sélectionné de manière aléatoire à partir de la liste de PI agréés.</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Le registre des PI comporte trois sections :</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PI spécialistes de la restructuration, des insolvabilités de personnes morales et des insolvabilités de personnes physiques.</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Les PI peuvent s’enregistrer dans les trois sections à la fois.</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Le principal critère utilisé par le programme de sélection aléatoire est l’adresse du PI, c’est-à-dire que son siège social doit se trouver dans le ressort du tribunal compétent.</w:t>
      </w:r>
      <w:r w:rsidRPr="00C7111E">
        <w:rPr>
          <w:rFonts w:ascii="Times New Roman" w:hAnsi="Times New Roman" w:cs="Times New Roman"/>
          <w:sz w:val="24"/>
          <w:szCs w:val="24"/>
        </w:rPr>
        <w:t xml:space="preserve"> </w:t>
      </w:r>
      <w:r w:rsidRPr="00DE37CC">
        <w:rPr>
          <w:rFonts w:ascii="Times New Roman" w:hAnsi="Times New Roman" w:cs="Times New Roman"/>
          <w:sz w:val="24"/>
          <w:szCs w:val="24"/>
        </w:rPr>
        <w:t xml:space="preserve">Par contre, le système de sélection aléatoire slovaque ne tient pas compte d’autres critères, tels que le nombre de salariés du cabinet du PI </w:t>
      </w:r>
      <w:r>
        <w:rPr>
          <w:rFonts w:ascii="Times New Roman" w:hAnsi="Times New Roman" w:cs="Times New Roman"/>
          <w:sz w:val="24"/>
          <w:szCs w:val="24"/>
        </w:rPr>
        <w:t>ou</w:t>
      </w:r>
      <w:r w:rsidRPr="00DE37CC">
        <w:rPr>
          <w:rFonts w:ascii="Times New Roman" w:hAnsi="Times New Roman" w:cs="Times New Roman"/>
          <w:sz w:val="24"/>
          <w:szCs w:val="24"/>
        </w:rPr>
        <w:t xml:space="preserve"> les dossiers </w:t>
      </w:r>
      <w:r>
        <w:rPr>
          <w:rFonts w:ascii="Times New Roman" w:hAnsi="Times New Roman" w:cs="Times New Roman"/>
          <w:sz w:val="24"/>
          <w:szCs w:val="24"/>
        </w:rPr>
        <w:t xml:space="preserve">d’insolvabilité précédemment </w:t>
      </w:r>
      <w:r w:rsidRPr="00DE37CC">
        <w:rPr>
          <w:rFonts w:ascii="Times New Roman" w:hAnsi="Times New Roman" w:cs="Times New Roman"/>
          <w:sz w:val="24"/>
          <w:szCs w:val="24"/>
        </w:rPr>
        <w:t>traités.</w:t>
      </w:r>
    </w:p>
    <w:p w:rsidR="006C79CB" w:rsidRPr="00C7111E" w:rsidRDefault="006C79CB" w:rsidP="006C79CB">
      <w:pPr>
        <w:jc w:val="both"/>
        <w:rPr>
          <w:rFonts w:ascii="Times New Roman" w:hAnsi="Times New Roman" w:cs="Times New Roman"/>
          <w:sz w:val="24"/>
          <w:szCs w:val="24"/>
        </w:rPr>
      </w:pPr>
      <w:r w:rsidRPr="00DE37CC">
        <w:rPr>
          <w:rFonts w:ascii="Times New Roman" w:hAnsi="Times New Roman" w:cs="Times New Roman"/>
          <w:b/>
          <w:sz w:val="24"/>
          <w:szCs w:val="24"/>
        </w:rPr>
        <w:t>Expériences</w:t>
      </w:r>
      <w:r w:rsidRPr="00C7111E">
        <w:rPr>
          <w:rFonts w:ascii="Times New Roman" w:hAnsi="Times New Roman" w:cs="Times New Roman"/>
          <w:sz w:val="24"/>
          <w:szCs w:val="24"/>
        </w:rPr>
        <w:t xml:space="preserve"> </w:t>
      </w:r>
    </w:p>
    <w:p w:rsidR="0077507B" w:rsidRDefault="006C79CB" w:rsidP="0077507B">
      <w:pPr>
        <w:spacing w:after="0"/>
        <w:jc w:val="both"/>
        <w:rPr>
          <w:rFonts w:ascii="Times New Roman" w:hAnsi="Times New Roman" w:cs="Times New Roman"/>
          <w:sz w:val="24"/>
          <w:szCs w:val="24"/>
        </w:rPr>
      </w:pPr>
      <w:r w:rsidRPr="00DE37CC">
        <w:rPr>
          <w:rFonts w:ascii="Times New Roman" w:hAnsi="Times New Roman" w:cs="Times New Roman"/>
          <w:b/>
          <w:i/>
          <w:sz w:val="24"/>
          <w:szCs w:val="24"/>
        </w:rPr>
        <w:t>Lituanie</w:t>
      </w:r>
      <w:r w:rsidR="0077507B">
        <w:rPr>
          <w:rFonts w:ascii="Times New Roman" w:hAnsi="Times New Roman" w:cs="Times New Roman"/>
          <w:sz w:val="24"/>
          <w:szCs w:val="24"/>
        </w:rPr>
        <w:t xml:space="preserve"> </w:t>
      </w:r>
    </w:p>
    <w:p w:rsidR="006C79CB" w:rsidRPr="00C7111E" w:rsidRDefault="006C79CB" w:rsidP="006C79CB">
      <w:pPr>
        <w:jc w:val="both"/>
        <w:rPr>
          <w:rFonts w:ascii="Times New Roman" w:hAnsi="Times New Roman" w:cs="Times New Roman"/>
          <w:sz w:val="24"/>
          <w:szCs w:val="24"/>
        </w:rPr>
      </w:pPr>
      <w:r w:rsidRPr="00F76859">
        <w:rPr>
          <w:rFonts w:ascii="Times New Roman" w:hAnsi="Times New Roman" w:cs="Times New Roman"/>
          <w:sz w:val="24"/>
          <w:szCs w:val="24"/>
        </w:rPr>
        <w:t>Au cours de ses trois premières années d’existence, le système de sélection aléatoire lituanien a rencontré divers problèmes, dont certains ont été résolus avec succès, mais d’autres non, car ils semblent inhérents au système.</w:t>
      </w:r>
    </w:p>
    <w:p w:rsidR="006C79CB" w:rsidRPr="00C7111E" w:rsidRDefault="006C79CB" w:rsidP="006C79CB">
      <w:pPr>
        <w:jc w:val="both"/>
        <w:rPr>
          <w:rFonts w:ascii="Times New Roman" w:hAnsi="Times New Roman" w:cs="Times New Roman"/>
          <w:sz w:val="24"/>
          <w:szCs w:val="24"/>
        </w:rPr>
      </w:pPr>
      <w:r w:rsidRPr="00F76859">
        <w:rPr>
          <w:rFonts w:ascii="Times New Roman" w:hAnsi="Times New Roman" w:cs="Times New Roman"/>
          <w:sz w:val="24"/>
          <w:szCs w:val="24"/>
        </w:rPr>
        <w:t>Au départ, certains problèmes ont été causés par des possibilités d’abus qui n’avaient pas été anticipées.</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Comme indiqué plus haut, le nombre total de procédures d’insolvabilité gérées joue sur l’ordre de priorité des PI dans le système de désignation.</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 xml:space="preserve">Au départ, ce nombre était calculé séparément pour les PI </w:t>
      </w:r>
      <w:r>
        <w:rPr>
          <w:rFonts w:ascii="Times New Roman" w:hAnsi="Times New Roman" w:cs="Times New Roman"/>
          <w:sz w:val="24"/>
          <w:szCs w:val="24"/>
        </w:rPr>
        <w:t xml:space="preserve">exerçant à titre </w:t>
      </w:r>
      <w:r w:rsidRPr="00F76859">
        <w:rPr>
          <w:rFonts w:ascii="Times New Roman" w:hAnsi="Times New Roman" w:cs="Times New Roman"/>
          <w:sz w:val="24"/>
          <w:szCs w:val="24"/>
        </w:rPr>
        <w:t>individuel et pour les cabinets (supplémentaires) établis par ceux-ci</w:t>
      </w:r>
      <w:r w:rsidRPr="00F76859">
        <w:rPr>
          <w:rStyle w:val="Appelnotedebasdep"/>
        </w:rPr>
        <w:footnoteReference w:id="23"/>
      </w:r>
      <w:r w:rsidRPr="00F76859">
        <w:rPr>
          <w:rFonts w:ascii="Times New Roman" w:hAnsi="Times New Roman" w:cs="Times New Roman"/>
          <w:sz w:val="24"/>
          <w:szCs w:val="24"/>
        </w:rPr>
        <w:t>.</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Certaines personnes ont fait jouer ce critère en établissant de nombreux cabinets à l’aide de leur certificat de PI individuel, afin d’augmenter leurs chances d’être désignées</w:t>
      </w:r>
      <w:r w:rsidRPr="00F76859">
        <w:rPr>
          <w:rStyle w:val="Appelnotedebasdep"/>
        </w:rPr>
        <w:footnoteReference w:id="24"/>
      </w:r>
      <w:r w:rsidRPr="00F76859">
        <w:rPr>
          <w:rFonts w:ascii="Times New Roman" w:hAnsi="Times New Roman" w:cs="Times New Roman"/>
          <w:sz w:val="24"/>
          <w:szCs w:val="24"/>
        </w:rPr>
        <w:t>.</w:t>
      </w:r>
    </w:p>
    <w:p w:rsidR="006C79CB" w:rsidRPr="00C7111E" w:rsidRDefault="006C79CB" w:rsidP="006C79CB">
      <w:pPr>
        <w:jc w:val="both"/>
        <w:rPr>
          <w:rFonts w:ascii="Times New Roman" w:hAnsi="Times New Roman" w:cs="Times New Roman"/>
          <w:sz w:val="24"/>
          <w:szCs w:val="24"/>
        </w:rPr>
      </w:pPr>
      <w:r w:rsidRPr="00F76859">
        <w:rPr>
          <w:rFonts w:ascii="Times New Roman" w:hAnsi="Times New Roman" w:cs="Times New Roman"/>
          <w:sz w:val="24"/>
          <w:szCs w:val="24"/>
        </w:rPr>
        <w:t>Une planification insuffisante a également créé d’autres problèmes.</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En Lituanie, de nombreux débiteurs sont des petites entreprises</w:t>
      </w:r>
      <w:r>
        <w:rPr>
          <w:rFonts w:ascii="Times New Roman" w:hAnsi="Times New Roman" w:cs="Times New Roman"/>
          <w:sz w:val="24"/>
          <w:szCs w:val="24"/>
        </w:rPr>
        <w:t>,</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pour lesquelles les règles de sélection aléatoire désignent en priorité des PI moins expérimentés.</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De ce fait, les praticiens les plus expérimentés se retrouvaient sans travail pendant plusieurs mois, jusqu’à ce qu’une grande entreprise fasse faillite, tandis que les « débutants » étaient débordés.</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Bien que ces problèmes aient été rapidement résolus, il en reste d’autres.</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Comme expliqué plus haut, le système n’est pas entièrement automatisé.</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Ainsi, le tribunal dispose d’une marge de manœuvre pour décider dans quelle catégorie le débiteur doit être placé : petite, moyenne ou grande entreprise.</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Ce pouvoir d’appréciation accordé à des juges qui disposent généralement de peu, voire d’aucune expérience de l’insolvabilité et des questions économiques entraîne des résultats inattendus et parfois préjudiciables</w:t>
      </w:r>
      <w:r w:rsidRPr="00F76859">
        <w:rPr>
          <w:rStyle w:val="Appelnotedebasdep"/>
        </w:rPr>
        <w:footnoteReference w:id="25"/>
      </w:r>
      <w:r w:rsidRPr="00F76859">
        <w:rPr>
          <w:rFonts w:ascii="Times New Roman" w:hAnsi="Times New Roman" w:cs="Times New Roman"/>
          <w:sz w:val="24"/>
          <w:szCs w:val="24"/>
        </w:rPr>
        <w:t>.</w:t>
      </w:r>
      <w:r w:rsidRPr="00C7111E">
        <w:rPr>
          <w:rFonts w:ascii="Times New Roman" w:hAnsi="Times New Roman" w:cs="Times New Roman"/>
          <w:sz w:val="24"/>
          <w:szCs w:val="24"/>
        </w:rPr>
        <w:t xml:space="preserve"> </w:t>
      </w:r>
      <w:r w:rsidRPr="00F76859">
        <w:rPr>
          <w:rFonts w:ascii="Times New Roman" w:hAnsi="Times New Roman" w:cs="Times New Roman"/>
          <w:sz w:val="24"/>
          <w:szCs w:val="24"/>
        </w:rPr>
        <w:t>En outre, l’évaluation de l’expérience d’un PI à des fins de catégorisation repose sur des critères plutôt formels, notamment sur le type et le nombre d’affaires traitée</w:t>
      </w:r>
      <w:r>
        <w:rPr>
          <w:rFonts w:ascii="Times New Roman" w:hAnsi="Times New Roman" w:cs="Times New Roman"/>
          <w:sz w:val="24"/>
          <w:szCs w:val="24"/>
        </w:rPr>
        <w:t>s,</w:t>
      </w:r>
      <w:r w:rsidRPr="00C7111E">
        <w:rPr>
          <w:rFonts w:ascii="Times New Roman" w:hAnsi="Times New Roman" w:cs="Times New Roman"/>
          <w:sz w:val="24"/>
          <w:szCs w:val="24"/>
        </w:rPr>
        <w:t xml:space="preserve"> </w:t>
      </w:r>
      <w:r w:rsidRPr="003A5FDB">
        <w:rPr>
          <w:rFonts w:ascii="Times New Roman" w:hAnsi="Times New Roman" w:cs="Times New Roman"/>
          <w:sz w:val="24"/>
          <w:szCs w:val="24"/>
        </w:rPr>
        <w:t>ce qui ne traduit pas nécessairement les compétences requises.</w:t>
      </w:r>
    </w:p>
    <w:p w:rsidR="006C79CB" w:rsidRPr="00C7111E" w:rsidRDefault="006C79CB" w:rsidP="006C79CB">
      <w:pPr>
        <w:jc w:val="both"/>
        <w:rPr>
          <w:rFonts w:ascii="Times New Roman" w:hAnsi="Times New Roman" w:cs="Times New Roman"/>
          <w:sz w:val="24"/>
          <w:szCs w:val="24"/>
        </w:rPr>
      </w:pPr>
      <w:r w:rsidRPr="003A5FDB">
        <w:rPr>
          <w:rFonts w:ascii="Times New Roman" w:hAnsi="Times New Roman" w:cs="Times New Roman"/>
          <w:sz w:val="24"/>
          <w:szCs w:val="24"/>
        </w:rPr>
        <w:lastRenderedPageBreak/>
        <w:t>L’existence d’un système de sélection aléatoire n’a pas totalement éliminé la possibilité de désigner un PI « souhaité ».</w:t>
      </w:r>
      <w:r w:rsidRPr="00C7111E">
        <w:rPr>
          <w:rFonts w:ascii="Times New Roman" w:hAnsi="Times New Roman" w:cs="Times New Roman"/>
          <w:sz w:val="24"/>
          <w:szCs w:val="24"/>
        </w:rPr>
        <w:t xml:space="preserve"> </w:t>
      </w:r>
      <w:r w:rsidRPr="003A5FDB">
        <w:rPr>
          <w:rFonts w:ascii="Times New Roman" w:hAnsi="Times New Roman" w:cs="Times New Roman"/>
          <w:sz w:val="24"/>
          <w:szCs w:val="24"/>
        </w:rPr>
        <w:t>Comme indiqué plus haut, le système de « </w:t>
      </w:r>
      <w:r>
        <w:rPr>
          <w:rFonts w:ascii="Times New Roman" w:hAnsi="Times New Roman" w:cs="Times New Roman"/>
          <w:sz w:val="24"/>
          <w:szCs w:val="24"/>
        </w:rPr>
        <w:t>tirage au sort</w:t>
      </w:r>
      <w:r w:rsidRPr="003A5FDB">
        <w:rPr>
          <w:rFonts w:ascii="Times New Roman" w:hAnsi="Times New Roman" w:cs="Times New Roman"/>
          <w:sz w:val="24"/>
          <w:szCs w:val="24"/>
        </w:rPr>
        <w:t> » n’est utilisé que dans les procédures d’insolvabilité judiciaires.</w:t>
      </w:r>
      <w:r w:rsidRPr="00C7111E">
        <w:rPr>
          <w:rFonts w:ascii="Times New Roman" w:hAnsi="Times New Roman" w:cs="Times New Roman"/>
          <w:sz w:val="24"/>
          <w:szCs w:val="24"/>
        </w:rPr>
        <w:t xml:space="preserve"> </w:t>
      </w:r>
      <w:r w:rsidRPr="003A5FDB">
        <w:rPr>
          <w:rFonts w:ascii="Times New Roman" w:hAnsi="Times New Roman" w:cs="Times New Roman"/>
          <w:sz w:val="24"/>
          <w:szCs w:val="24"/>
        </w:rPr>
        <w:t xml:space="preserve">Par conséquent, </w:t>
      </w:r>
      <w:r>
        <w:rPr>
          <w:rFonts w:ascii="Times New Roman" w:hAnsi="Times New Roman" w:cs="Times New Roman"/>
          <w:sz w:val="24"/>
          <w:szCs w:val="24"/>
        </w:rPr>
        <w:t>il</w:t>
      </w:r>
      <w:r w:rsidRPr="003A5FDB">
        <w:rPr>
          <w:rFonts w:ascii="Times New Roman" w:hAnsi="Times New Roman" w:cs="Times New Roman"/>
          <w:sz w:val="24"/>
          <w:szCs w:val="24"/>
        </w:rPr>
        <w:t xml:space="preserve"> n’est pas obligatoire pour les procédures d’insolvabilité extrajudiciaires, dans le cadre desquelles le PI est encore proposé par l</w:t>
      </w:r>
      <w:r>
        <w:rPr>
          <w:rFonts w:ascii="Times New Roman" w:hAnsi="Times New Roman" w:cs="Times New Roman"/>
          <w:sz w:val="24"/>
          <w:szCs w:val="24"/>
        </w:rPr>
        <w:t>e déposant</w:t>
      </w:r>
      <w:r w:rsidRPr="003A5FDB">
        <w:rPr>
          <w:rFonts w:ascii="Times New Roman" w:hAnsi="Times New Roman" w:cs="Times New Roman"/>
          <w:sz w:val="24"/>
          <w:szCs w:val="24"/>
        </w:rPr>
        <w:t>.</w:t>
      </w:r>
      <w:r w:rsidRPr="00C7111E">
        <w:rPr>
          <w:rFonts w:ascii="Times New Roman" w:hAnsi="Times New Roman" w:cs="Times New Roman"/>
          <w:sz w:val="24"/>
          <w:szCs w:val="24"/>
        </w:rPr>
        <w:t xml:space="preserve"> </w:t>
      </w:r>
      <w:r w:rsidRPr="003A5FDB">
        <w:rPr>
          <w:rFonts w:ascii="Times New Roman" w:hAnsi="Times New Roman" w:cs="Times New Roman"/>
          <w:sz w:val="24"/>
          <w:szCs w:val="24"/>
        </w:rPr>
        <w:t>Les statistiques</w:t>
      </w:r>
      <w:r w:rsidRPr="003A5FDB">
        <w:rPr>
          <w:rStyle w:val="Appelnotedebasdep"/>
        </w:rPr>
        <w:footnoteReference w:id="26"/>
      </w:r>
      <w:r w:rsidRPr="003A5FDB">
        <w:rPr>
          <w:rFonts w:ascii="Times New Roman" w:hAnsi="Times New Roman" w:cs="Times New Roman"/>
          <w:sz w:val="24"/>
          <w:szCs w:val="24"/>
        </w:rPr>
        <w:t xml:space="preserve"> indiquent que le nombre de procédures extrajudiciaires a explosé après l’introduction du système de sélection aléatoire : en 2015, leur nombre a plus que doublé, pour atteindre 103 procédures (contre 48 en 2014) et a continu</w:t>
      </w:r>
      <w:r>
        <w:rPr>
          <w:rFonts w:ascii="Times New Roman" w:hAnsi="Times New Roman" w:cs="Times New Roman"/>
          <w:sz w:val="24"/>
          <w:szCs w:val="24"/>
        </w:rPr>
        <w:t>é</w:t>
      </w:r>
      <w:r w:rsidRPr="003A5FDB">
        <w:rPr>
          <w:rFonts w:ascii="Times New Roman" w:hAnsi="Times New Roman" w:cs="Times New Roman"/>
          <w:sz w:val="24"/>
          <w:szCs w:val="24"/>
        </w:rPr>
        <w:t xml:space="preserve"> d’augmenter pour arriver à 175 (en 2016) puis à 235 (en 2017).</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Même si le nombre absolu de procédures d’insolvabilité extrajudiciaires reste plutôt faible (environ 8 % du nombre total de procédures en 2017), la tendance est claire.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Les créanciers et autres intéressés peuvent ressentir le besoin de confier l’administration des procédures plus complexes à un PI de leur choix, disposant des ressources et de l’expertise nécessaires.</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Toutefois, on ne peut exclure le fait que les procédures extrajudiciaires sont utilisées dans certains cas pour éviter la sélection aléatoire et faire intervenir un PI qui accorderait la priorité aux intérêts d</w:t>
      </w:r>
      <w:r>
        <w:rPr>
          <w:rFonts w:ascii="Times New Roman" w:hAnsi="Times New Roman" w:cs="Times New Roman"/>
          <w:sz w:val="24"/>
          <w:szCs w:val="24"/>
        </w:rPr>
        <w:t>u déposant</w:t>
      </w:r>
      <w:r w:rsidRPr="009A356F">
        <w:rPr>
          <w:rFonts w:ascii="Times New Roman" w:hAnsi="Times New Roman" w:cs="Times New Roman"/>
          <w:sz w:val="24"/>
          <w:szCs w:val="24"/>
        </w:rPr>
        <w:t>, au détriment des autres intéressés.</w:t>
      </w:r>
    </w:p>
    <w:p w:rsidR="006C79CB" w:rsidRPr="00C7111E" w:rsidRDefault="006C79CB" w:rsidP="0077507B">
      <w:pPr>
        <w:spacing w:after="0"/>
        <w:jc w:val="both"/>
        <w:rPr>
          <w:rFonts w:ascii="Times New Roman" w:hAnsi="Times New Roman" w:cs="Times New Roman"/>
          <w:sz w:val="24"/>
          <w:szCs w:val="24"/>
        </w:rPr>
      </w:pPr>
      <w:r w:rsidRPr="009A356F">
        <w:rPr>
          <w:rFonts w:ascii="Times New Roman" w:hAnsi="Times New Roman" w:cs="Times New Roman"/>
          <w:b/>
          <w:i/>
          <w:sz w:val="24"/>
          <w:szCs w:val="24"/>
        </w:rPr>
        <w:t>Hongrie</w:t>
      </w:r>
      <w:r w:rsidRPr="00C7111E">
        <w:rPr>
          <w:rFonts w:ascii="Times New Roman" w:hAnsi="Times New Roman" w:cs="Times New Roman"/>
          <w:sz w:val="24"/>
          <w:szCs w:val="24"/>
        </w:rPr>
        <w:t xml:space="preserve"> </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 xml:space="preserve">En Hongrie, l’introduction du système de </w:t>
      </w:r>
      <w:r>
        <w:rPr>
          <w:rFonts w:ascii="Times New Roman" w:hAnsi="Times New Roman" w:cs="Times New Roman"/>
          <w:sz w:val="24"/>
          <w:szCs w:val="24"/>
        </w:rPr>
        <w:t>tirage au sort</w:t>
      </w:r>
      <w:r w:rsidRPr="009A356F">
        <w:rPr>
          <w:rFonts w:ascii="Times New Roman" w:hAnsi="Times New Roman" w:cs="Times New Roman"/>
          <w:sz w:val="24"/>
          <w:szCs w:val="24"/>
        </w:rPr>
        <w:t xml:space="preserve"> était principalement motivée par le besoin de remédier à un manque de transparence.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Toutefois, au départ, la sélection aléatoire pouvait facilement être évitée au moyen d’une décision motivée du juge.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Cette dérogation à la désignation électronique intervenait le plus souvent dans le cas de débiteurs actifs dans certains domaines d’activité précis, tels que l’agriculture ou la construction.</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Toute possibilité de dérogation sur décision judiciaire a été abolie en 2014.</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 xml:space="preserve">Cependant, il existe toujours un moyen d’éviter les dispositions générales en matière de désignation, en demandant aux pouvoirs publics d’accorder un statut privilégié au débiteur </w:t>
      </w:r>
      <w:r>
        <w:rPr>
          <w:rFonts w:ascii="Times New Roman" w:hAnsi="Times New Roman" w:cs="Times New Roman"/>
          <w:sz w:val="24"/>
          <w:szCs w:val="24"/>
        </w:rPr>
        <w:t xml:space="preserve">au vu de ses objectifs </w:t>
      </w:r>
      <w:r w:rsidRPr="009A356F">
        <w:rPr>
          <w:rFonts w:ascii="Times New Roman" w:hAnsi="Times New Roman" w:cs="Times New Roman"/>
          <w:sz w:val="24"/>
          <w:szCs w:val="24"/>
        </w:rPr>
        <w:t>stratégiques.</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Dans certains cas, ce statut peut être justifié par le rôle particulier du débiteur dans l’économie hongroise (par ex. compagnies aériennes nationales, prestataires de services d’utilité publique).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Toutefois, dans certains cas, l’attribution de ce statut peut s’apparenter à un outil politique.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Depuis son introduction en 2012, plus d’une centaine d’entreprises ont pu bénéficier de ce statut.</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 xml:space="preserve">Le consensus entre PI est que l’introduction du système de </w:t>
      </w:r>
      <w:r>
        <w:rPr>
          <w:rFonts w:ascii="Times New Roman" w:hAnsi="Times New Roman" w:cs="Times New Roman"/>
          <w:sz w:val="24"/>
          <w:szCs w:val="24"/>
        </w:rPr>
        <w:t>tirage au sort</w:t>
      </w:r>
      <w:r w:rsidRPr="009A356F">
        <w:rPr>
          <w:rFonts w:ascii="Times New Roman" w:hAnsi="Times New Roman" w:cs="Times New Roman"/>
          <w:sz w:val="24"/>
          <w:szCs w:val="24"/>
        </w:rPr>
        <w:t xml:space="preserve"> a manifestement entraîné une répartition plus équitable des dossiers d’insolvabilité.</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La réglementation actuelle permet moins de dérogations à la méthode de sélection aléatoire.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Toutefois, le système est critiqué parce que le tribunal ne peut pas déroger à la désignation aléatoire dans les procédures nécessitant une expérience ou des connaissances particulières.</w:t>
      </w:r>
    </w:p>
    <w:p w:rsidR="006C79CB" w:rsidRPr="00C7111E" w:rsidRDefault="006C79CB" w:rsidP="0077507B">
      <w:pPr>
        <w:spacing w:after="0"/>
        <w:jc w:val="both"/>
        <w:rPr>
          <w:rFonts w:ascii="Times New Roman" w:hAnsi="Times New Roman" w:cs="Times New Roman"/>
          <w:sz w:val="24"/>
          <w:szCs w:val="24"/>
        </w:rPr>
      </w:pPr>
      <w:r w:rsidRPr="009A356F">
        <w:rPr>
          <w:rFonts w:ascii="Times New Roman" w:hAnsi="Times New Roman" w:cs="Times New Roman"/>
          <w:b/>
          <w:i/>
          <w:sz w:val="24"/>
          <w:szCs w:val="24"/>
        </w:rPr>
        <w:lastRenderedPageBreak/>
        <w:t>Slovaquie</w:t>
      </w:r>
      <w:r w:rsidRPr="00C7111E">
        <w:rPr>
          <w:rFonts w:ascii="Times New Roman" w:hAnsi="Times New Roman" w:cs="Times New Roman"/>
          <w:sz w:val="24"/>
          <w:szCs w:val="24"/>
        </w:rPr>
        <w:t xml:space="preserve"> </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Étant donné que le système de sélection aléatoire, en Slovaquie, s’applique à tous les types de procédures d’insolvabilité, il peut sembler être un outil puissant contre la corruption, ainsi que le moyen de renforcer la confiance en l’impartialité des tribunaux s’agissant de la désignation des PI.</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Toutefois, l’attribution aléatoire des dossiers entraîne des problèmes de gestion professionnelle des insolvabilités, car de nombreux PI sont enregistrés dans toutes les sections du registre sans que le système ne tienne compte de facteurs importants tels que leurs ressources et leur expérience.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Ainsi, une affaire importante et complexe risque d’être confiée à un PI sélectionné aléatoirement qui ne dispose pas des compétences ou ressources nécessaires pour la gérer</w:t>
      </w:r>
      <w:r>
        <w:rPr>
          <w:rFonts w:ascii="Times New Roman" w:hAnsi="Times New Roman" w:cs="Times New Roman"/>
          <w:sz w:val="24"/>
          <w:szCs w:val="24"/>
        </w:rPr>
        <w:t xml:space="preserve"> efficacement</w:t>
      </w:r>
      <w:r w:rsidRPr="009A356F">
        <w:rPr>
          <w:rFonts w:ascii="Times New Roman" w:hAnsi="Times New Roman" w:cs="Times New Roman"/>
          <w:sz w:val="24"/>
          <w:szCs w:val="24"/>
        </w:rPr>
        <w:t>.</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b/>
          <w:sz w:val="24"/>
          <w:szCs w:val="24"/>
        </w:rPr>
        <w:t>Conclusion</w:t>
      </w:r>
      <w:r w:rsidRPr="00C7111E">
        <w:rPr>
          <w:rFonts w:ascii="Times New Roman" w:hAnsi="Times New Roman" w:cs="Times New Roman"/>
          <w:sz w:val="24"/>
          <w:szCs w:val="24"/>
        </w:rPr>
        <w:t xml:space="preserve"> </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Les expériences de la Lituanie, de la Slovaquie et de la Hongrie montrent que la sélection aléatoire des PI peut favoriser la transparence et l’impartialité du processus de sélection des PI et ainsi renforcer la confiance générale dont bénéficie la profession, et le fonctionnement du régime d’insolvabilité dans son ensemble.</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Cette avancée doit être accueillie favorablement, en particulier en Europe centrale et orientale, région qui, dans une certaine mesure, est encore confrontée à des accusations de corruption.</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 xml:space="preserve">Toutefois, l’impartialité et la transparence de ces systèmes de </w:t>
      </w:r>
      <w:r>
        <w:rPr>
          <w:rFonts w:ascii="Times New Roman" w:hAnsi="Times New Roman" w:cs="Times New Roman"/>
          <w:sz w:val="24"/>
          <w:szCs w:val="24"/>
        </w:rPr>
        <w:t>tirage au sort</w:t>
      </w:r>
      <w:r w:rsidRPr="009A356F">
        <w:rPr>
          <w:rFonts w:ascii="Times New Roman" w:hAnsi="Times New Roman" w:cs="Times New Roman"/>
          <w:sz w:val="24"/>
          <w:szCs w:val="24"/>
        </w:rPr>
        <w:t xml:space="preserve"> a un coût : même le système de sélection et de catégorisation complexe de la Lituanie présente au bout du compte des inconvénients similaires aux systèmes hongrois et slovaque</w:t>
      </w:r>
      <w:r>
        <w:rPr>
          <w:rFonts w:ascii="Times New Roman" w:hAnsi="Times New Roman" w:cs="Times New Roman"/>
          <w:sz w:val="24"/>
          <w:szCs w:val="24"/>
        </w:rPr>
        <w:t>.</w:t>
      </w:r>
      <w:r w:rsidRPr="009A356F">
        <w:rPr>
          <w:rFonts w:ascii="Times New Roman" w:hAnsi="Times New Roman" w:cs="Times New Roman"/>
          <w:sz w:val="24"/>
          <w:szCs w:val="24"/>
        </w:rPr>
        <w:t xml:space="preserve"> </w:t>
      </w:r>
      <w:r>
        <w:rPr>
          <w:rFonts w:ascii="Times New Roman" w:hAnsi="Times New Roman" w:cs="Times New Roman"/>
          <w:sz w:val="24"/>
          <w:szCs w:val="24"/>
        </w:rPr>
        <w:t>E</w:t>
      </w:r>
      <w:r w:rsidRPr="009A356F">
        <w:rPr>
          <w:rFonts w:ascii="Times New Roman" w:hAnsi="Times New Roman" w:cs="Times New Roman"/>
          <w:sz w:val="24"/>
          <w:szCs w:val="24"/>
        </w:rPr>
        <w:t>n effet, l’élimination de l’erreur humaine va de pair avec l’élimination ou la restriction des possibilités de trouver une solution individuelle adaptée (PI) au cas particulier (débiteur).</w:t>
      </w:r>
    </w:p>
    <w:p w:rsidR="006C79CB" w:rsidRPr="00C7111E"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En outre, si l’on tient compte de la tendance favorable à la restructuration, le besoin de solutions individualisées (PI compris) adaptées au cas par cas augmente.</w:t>
      </w:r>
      <w:r w:rsidRPr="00C7111E">
        <w:rPr>
          <w:rFonts w:ascii="Times New Roman" w:hAnsi="Times New Roman" w:cs="Times New Roman"/>
          <w:sz w:val="24"/>
          <w:szCs w:val="24"/>
        </w:rPr>
        <w:t xml:space="preserve"> </w:t>
      </w:r>
      <w:r w:rsidRPr="009A356F">
        <w:rPr>
          <w:rFonts w:ascii="Times New Roman" w:hAnsi="Times New Roman" w:cs="Times New Roman"/>
          <w:sz w:val="24"/>
          <w:szCs w:val="24"/>
        </w:rPr>
        <w:t>Ceci pose la question de savoir dans quelle mesure les systèmes de sélection aléatoire standardisés seront jamais capables de répondre à ce besoin.</w:t>
      </w:r>
    </w:p>
    <w:p w:rsidR="00A2033A" w:rsidRPr="00A2033A" w:rsidRDefault="006C79CB" w:rsidP="006C79CB">
      <w:pPr>
        <w:jc w:val="both"/>
        <w:rPr>
          <w:rFonts w:ascii="Times New Roman" w:hAnsi="Times New Roman" w:cs="Times New Roman"/>
          <w:sz w:val="24"/>
          <w:szCs w:val="24"/>
        </w:rPr>
      </w:pPr>
      <w:r w:rsidRPr="009A356F">
        <w:rPr>
          <w:rFonts w:ascii="Times New Roman" w:hAnsi="Times New Roman" w:cs="Times New Roman"/>
          <w:sz w:val="24"/>
          <w:szCs w:val="24"/>
        </w:rPr>
        <w:t>Au bout du compte, la confiance gagnée grâce à un système de sélection transparent et impartial faisant appel à un « </w:t>
      </w:r>
      <w:r>
        <w:rPr>
          <w:rFonts w:ascii="Times New Roman" w:hAnsi="Times New Roman" w:cs="Times New Roman"/>
          <w:sz w:val="24"/>
          <w:szCs w:val="24"/>
        </w:rPr>
        <w:t>tirage au sort</w:t>
      </w:r>
      <w:r w:rsidRPr="009A356F">
        <w:rPr>
          <w:rFonts w:ascii="Times New Roman" w:hAnsi="Times New Roman" w:cs="Times New Roman"/>
          <w:sz w:val="24"/>
          <w:szCs w:val="24"/>
        </w:rPr>
        <w:t> » pourrait bien être contrebalancée si la société et les intéressés n’accordent aucune confiance au résultat de la procédure d’insolvabilité, c’est-à-dire le meilleur désintéressement possible des créanciers et/ou la sauvegarde des entreprises viables.</w:t>
      </w:r>
      <w:r w:rsidR="00A2033A">
        <w:rPr>
          <w:rFonts w:ascii="Times New Roman" w:hAnsi="Times New Roman" w:cs="Times New Roman"/>
          <w:sz w:val="24"/>
          <w:szCs w:val="24"/>
        </w:rPr>
        <w:t xml:space="preserve"> </w:t>
      </w:r>
    </w:p>
    <w:p w:rsidR="003B5B5D" w:rsidRDefault="006C79CB" w:rsidP="00035770">
      <w:pPr>
        <w:jc w:val="both"/>
        <w:rPr>
          <w:rFonts w:ascii="Arial Narrow" w:hAnsi="Arial Narrow" w:cs="Times New Roman"/>
          <w:i/>
          <w:sz w:val="20"/>
          <w:szCs w:val="24"/>
          <w:lang w:val="en-GB"/>
        </w:rPr>
      </w:pPr>
      <w:r w:rsidRPr="00C7111E">
        <w:rPr>
          <w:rFonts w:ascii="Arial Narrow" w:hAnsi="Arial Narrow" w:cs="Times New Roman"/>
          <w:i/>
          <w:sz w:val="20"/>
          <w:szCs w:val="24"/>
          <w:lang w:val="en-US"/>
        </w:rPr>
        <w:t>Par Frank Heemann, associé, bnt attorneys in CEE (Vilnius), Arnas Stonys, collaborateur senior, bnt attorneys in CEE (Vilnius), Herman Pikaly, collaborateur junior, bnt attorneys in CEE (Bratislava), Richárd Bódis, collaborateur senior, bnt attorneys in CEE (Budapest)</w:t>
      </w:r>
    </w:p>
    <w:p w:rsidR="0079702A" w:rsidRPr="0079702A" w:rsidRDefault="0079702A" w:rsidP="007970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r w:rsidRPr="0079702A">
        <w:rPr>
          <w:rFonts w:ascii="Times New Roman" w:hAnsi="Times New Roman" w:cs="Times New Roman"/>
          <w:sz w:val="24"/>
          <w:szCs w:val="24"/>
        </w:rPr>
        <w:t xml:space="preserve">  x  x</w:t>
      </w:r>
    </w:p>
    <w:p w:rsidR="0079702A" w:rsidRPr="0079702A" w:rsidRDefault="0079702A" w:rsidP="0079702A">
      <w:pPr>
        <w:spacing w:after="100" w:afterAutospacing="1" w:line="240" w:lineRule="auto"/>
        <w:jc w:val="center"/>
        <w:rPr>
          <w:rFonts w:ascii="Times New Roman" w:hAnsi="Times New Roman" w:cs="Times New Roman"/>
          <w:sz w:val="24"/>
          <w:szCs w:val="24"/>
        </w:rPr>
      </w:pPr>
      <w:r w:rsidRPr="0079702A">
        <w:rPr>
          <w:rFonts w:ascii="Times New Roman" w:hAnsi="Times New Roman" w:cs="Times New Roman"/>
          <w:sz w:val="24"/>
          <w:szCs w:val="24"/>
        </w:rPr>
        <w:t>x</w:t>
      </w:r>
    </w:p>
    <w:p w:rsidR="0077507B" w:rsidRDefault="0077507B" w:rsidP="00CB0492">
      <w:pPr>
        <w:rPr>
          <w:rFonts w:ascii="Arial Narrow" w:hAnsi="Arial Narrow" w:cs="Times New Roman"/>
          <w:b/>
          <w:sz w:val="28"/>
          <w:szCs w:val="28"/>
        </w:rPr>
      </w:pPr>
    </w:p>
    <w:p w:rsidR="00CB0492" w:rsidRPr="00CB0492" w:rsidRDefault="00CB0492" w:rsidP="00CB0492">
      <w:pPr>
        <w:rPr>
          <w:rFonts w:ascii="Arial Narrow" w:hAnsi="Arial Narrow" w:cs="Times New Roman"/>
          <w:b/>
          <w:sz w:val="28"/>
          <w:szCs w:val="28"/>
        </w:rPr>
      </w:pPr>
      <w:r w:rsidRPr="00CB0492">
        <w:rPr>
          <w:rFonts w:ascii="Arial Narrow" w:hAnsi="Arial Narrow" w:cs="Times New Roman"/>
          <w:b/>
          <w:sz w:val="28"/>
          <w:szCs w:val="28"/>
        </w:rPr>
        <w:lastRenderedPageBreak/>
        <w:t>Cybersécurité</w:t>
      </w:r>
    </w:p>
    <w:p w:rsidR="00CB0492" w:rsidRDefault="00CB0492" w:rsidP="00CB0492">
      <w:pPr>
        <w:spacing w:after="0" w:line="240" w:lineRule="auto"/>
        <w:jc w:val="center"/>
        <w:rPr>
          <w:rFonts w:ascii="Times New Roman" w:hAnsi="Times New Roman" w:cs="Times New Roman"/>
          <w:b/>
          <w:sz w:val="48"/>
          <w:szCs w:val="48"/>
        </w:rPr>
      </w:pPr>
      <w:r w:rsidRPr="00A867E1">
        <w:rPr>
          <w:rFonts w:ascii="Times New Roman" w:hAnsi="Times New Roman" w:cs="Times New Roman"/>
          <w:b/>
          <w:sz w:val="48"/>
          <w:szCs w:val="48"/>
        </w:rPr>
        <w:t xml:space="preserve">Cybersécurité : </w:t>
      </w:r>
    </w:p>
    <w:p w:rsidR="00CB0492" w:rsidRPr="00A867E1" w:rsidRDefault="00CB0492" w:rsidP="00CB0492">
      <w:pPr>
        <w:spacing w:after="0" w:line="240" w:lineRule="auto"/>
        <w:jc w:val="center"/>
        <w:rPr>
          <w:rFonts w:ascii="Times New Roman" w:hAnsi="Times New Roman" w:cs="Times New Roman"/>
          <w:b/>
          <w:sz w:val="48"/>
          <w:szCs w:val="48"/>
        </w:rPr>
      </w:pPr>
      <w:r w:rsidRPr="00A867E1">
        <w:rPr>
          <w:rFonts w:ascii="Times New Roman" w:hAnsi="Times New Roman" w:cs="Times New Roman"/>
          <w:b/>
          <w:sz w:val="48"/>
          <w:szCs w:val="48"/>
        </w:rPr>
        <w:t>toutes les entreprises sont concernées</w:t>
      </w:r>
    </w:p>
    <w:p w:rsidR="00CB0492" w:rsidRPr="00A867E1" w:rsidRDefault="00CB0492" w:rsidP="00CB0492">
      <w:pPr>
        <w:jc w:val="center"/>
        <w:rPr>
          <w:rFonts w:ascii="Arial Narrow" w:hAnsi="Arial Narrow" w:cs="Times New Roman"/>
          <w:i/>
          <w:sz w:val="24"/>
          <w:szCs w:val="24"/>
        </w:rPr>
      </w:pPr>
      <w:r w:rsidRPr="007A0676">
        <w:rPr>
          <w:rFonts w:ascii="Arial Narrow" w:hAnsi="Arial Narrow" w:cs="Times New Roman"/>
          <w:i/>
          <w:sz w:val="24"/>
          <w:szCs w:val="24"/>
        </w:rPr>
        <w:t>Christophe Szwedo et Laurent Le Pajolec étudient les ramifications des conséquences que produira le nouveau règlement général sur la protection des données (RGPD) sur toutes les entreprises</w:t>
      </w:r>
    </w:p>
    <w:p w:rsidR="00CB0492" w:rsidRPr="00A867E1" w:rsidRDefault="00CB0492" w:rsidP="00CB0492">
      <w:pPr>
        <w:jc w:val="both"/>
        <w:rPr>
          <w:rFonts w:ascii="Times New Roman" w:hAnsi="Times New Roman" w:cs="Times New Roman"/>
          <w:b/>
          <w:sz w:val="24"/>
          <w:szCs w:val="24"/>
        </w:rPr>
      </w:pPr>
      <w:r w:rsidRPr="007A0676">
        <w:rPr>
          <w:rFonts w:ascii="Times New Roman" w:hAnsi="Times New Roman" w:cs="Times New Roman"/>
          <w:b/>
          <w:sz w:val="24"/>
          <w:szCs w:val="24"/>
        </w:rPr>
        <w:t>De nos jours, une entreprise, quel que soit son secteur d’activité, dépend d’un système informatique qui doit être protégé par des moyens spécifiques.</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Au vu de la fréquence accrue des cyberattaques, la cybersécurité devient un sujet brûlant et les entreprises s’efforcent de sécuriser leurs systèmes informatiques.</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Pourtant, à lui seul, le fait de mettre en place un pare-feu ou d’utiliser une connexion VPN pour accéder à un système informatique ne suffit pas, outre qu’ils doivent être installés et configurés correctement par des experts de la cybersécurité.</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Les moyens mis en œuvre pour lutter contre les cyberattaques et les cybercriminels ne devraient jamais être négligés ni sous-estimés.</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On entend souvent ce genre de choses :</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 Je n’ai pas besoin d’auditer ni de renforcer mon système informatique ! Qui pourrait bien vouloir attaquer mon entreprise ?</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Je n’ai pas d’ennemis ; je ne traite pas de données sensibles. »</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Même s’il est peut-être vrai que vous n’avez pas d’ennemis et que vous ne traitez pas de données sensibles, votre entreprise peut être un intermédiaire pour atteindre la cible réelle et les pirates essayeront de toucher toute personne qui en est suffisamment proche.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Si vous êtes un cabinet d’avocats, il se pourrait bien que vous soyez la cible idéale de pirates : en effet, par le biais de votre système informatique, ils peuvent avoir accès à des données sensibles concernant vos clients.</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En outre, même si vous n’êtes pas la cible réelle, les pirates sont cupides. Si leur tentative d’intrusion réussit, il se peut qu’ils installent un logiciel d’extorsion (un « rançongiciel ») sur votre réseau et vous demandent de payer une rançon si vous voulez récupérer vos données.</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Bien entendu, il N’EST PAS recommandé de payer :</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53 % des entreprises qui le font ne recouvrent pas pour autant leurs données.</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La réussite des récentes attaques connues sous le nom de « NotPetya » et « WannaCry » a prouvé que les entreprises ne consacraient pas assez de temps à réfléchir à la façon d’améliorer leur système de cybersécurité</w:t>
      </w:r>
      <w:r w:rsidRPr="007A0676">
        <w:rPr>
          <w:rStyle w:val="Appelnotedebasdep"/>
          <w:sz w:val="24"/>
        </w:rPr>
        <w:footnoteReference w:id="27"/>
      </w:r>
      <w:r w:rsidRPr="007A0676">
        <w:rPr>
          <w:rFonts w:ascii="Times New Roman" w:hAnsi="Times New Roman" w:cs="Times New Roman"/>
          <w:sz w:val="24"/>
          <w:szCs w:val="24"/>
        </w:rPr>
        <w:t>.</w:t>
      </w:r>
      <w:r w:rsidRPr="00A867E1">
        <w:rPr>
          <w:rFonts w:ascii="Times New Roman" w:hAnsi="Times New Roman" w:cs="Times New Roman"/>
          <w:sz w:val="24"/>
          <w:szCs w:val="24"/>
        </w:rPr>
        <w:t xml:space="preserve"> </w:t>
      </w:r>
    </w:p>
    <w:p w:rsidR="00CB0492" w:rsidRPr="00CB0492"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Citons quelques chiffres :</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55 % des entreprises françaises déclarent avoir été victimes d’une cyberattaque en 2016.</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La moitié d’entre elles déclarent que la cyberattaque a eu des conséquences importantes sur leur productivité.</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 xml:space="preserve">23 % déclarent avoir des difficultés à maintenir leur réputation </w:t>
      </w:r>
      <w:r w:rsidRPr="007A0676">
        <w:rPr>
          <w:rFonts w:ascii="Times New Roman" w:hAnsi="Times New Roman" w:cs="Times New Roman"/>
          <w:sz w:val="24"/>
          <w:szCs w:val="24"/>
        </w:rPr>
        <w:lastRenderedPageBreak/>
        <w:t>après une attaque.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60 % des petites entreprises attaquées mettent la clé sous la porte dans les six mois suivant une cyberattaque</w:t>
      </w:r>
      <w:r w:rsidRPr="007A0676">
        <w:rPr>
          <w:rStyle w:val="Appelnotedebasdep"/>
          <w:sz w:val="24"/>
        </w:rPr>
        <w:footnoteReference w:id="28"/>
      </w:r>
      <w:r w:rsidRPr="007A0676">
        <w:rPr>
          <w:rFonts w:ascii="Times New Roman" w:hAnsi="Times New Roman" w:cs="Times New Roman"/>
          <w:sz w:val="24"/>
          <w:szCs w:val="24"/>
        </w:rPr>
        <w:t>.</w:t>
      </w:r>
    </w:p>
    <w:p w:rsidR="00CB0492" w:rsidRPr="00A867E1" w:rsidRDefault="00CB0492" w:rsidP="00CB0492">
      <w:pPr>
        <w:jc w:val="both"/>
        <w:rPr>
          <w:rFonts w:ascii="Times New Roman" w:hAnsi="Times New Roman" w:cs="Times New Roman"/>
          <w:b/>
          <w:sz w:val="24"/>
          <w:szCs w:val="24"/>
        </w:rPr>
      </w:pPr>
      <w:r w:rsidRPr="007A0676">
        <w:rPr>
          <w:rFonts w:ascii="Times New Roman" w:hAnsi="Times New Roman" w:cs="Times New Roman"/>
          <w:b/>
          <w:sz w:val="24"/>
          <w:szCs w:val="24"/>
        </w:rPr>
        <w:t>Cybersécurité :</w:t>
      </w:r>
      <w:r w:rsidRPr="00A867E1">
        <w:rPr>
          <w:rFonts w:ascii="Times New Roman" w:hAnsi="Times New Roman" w:cs="Times New Roman"/>
          <w:b/>
          <w:sz w:val="24"/>
          <w:szCs w:val="24"/>
        </w:rPr>
        <w:t xml:space="preserve"> </w:t>
      </w:r>
      <w:r w:rsidRPr="007A0676">
        <w:rPr>
          <w:rFonts w:ascii="Times New Roman" w:hAnsi="Times New Roman" w:cs="Times New Roman"/>
          <w:b/>
          <w:sz w:val="24"/>
          <w:szCs w:val="24"/>
        </w:rPr>
        <w:t>comment se protéger ?</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Pour se protéger contre les cybermenaces, l’entreprise doit formaliser ses processus, identifier les données sensibles et les fragilités de son système informatique et les renforcer en mettant en œuvre des moyens de cybersécurité tels que des pares-feux, une politique en matière de mots de passe, un chiffrement intégral obligatoire des disques, etc. Il est important de comprendre que la formalisation des processus et le renforcement de la cybersécurité sont indispensables à la survie d’une entreprise.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De nos jours, la gestion de la cybersécurité semble réservée aux entreprises qui gèrent des données sensibles, alors qu’elle devrait faire partie du cycle de vie de n’importe quelle entreprise.</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Les attaquants peuvent facilement endommager un système informatique non protégé en envoyant des messages électroniques contenant des pièces jointes infectées à toute l’entreprise.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Cette méthode s’appelle le hameçonnage.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Quand elles visent des particuliers, ces attaques auront pour but de pirater leur compte sur les réseaux sociaux ou de voler leurs coordonnées bancaires.</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Dans le cas d’une entreprise, le simple envoi d’une pièce jointe, une fois que celle-ci a infecté un ordinateur, suffit pour que le virus se propage dans tout le réseau comme un ver.</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Les attaques de hameçonnage vont souvent de pair avec des tentatives d’extorsion.</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La quantité de messages électroniques de hameçonnage contenant une forme de logiciel d’extorsion est passée à 97,25 % au troisième trimestre 2016, contre 92 % au premier trimestre</w:t>
      </w:r>
      <w:r w:rsidRPr="007A0676">
        <w:rPr>
          <w:rStyle w:val="Appelnotedebasdep"/>
          <w:sz w:val="24"/>
        </w:rPr>
        <w:footnoteReference w:id="29"/>
      </w:r>
      <w:r w:rsidRPr="007A0676">
        <w:rPr>
          <w:rFonts w:ascii="Times New Roman" w:hAnsi="Times New Roman" w:cs="Times New Roman"/>
          <w:sz w:val="24"/>
          <w:szCs w:val="24"/>
        </w:rPr>
        <w:t>.</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La forme de ces messages est réaliste (copie d’adresse électronique / de format, par exemple fausse « facture d’électricité »…).</w:t>
      </w:r>
      <w:r w:rsidRPr="00A867E1">
        <w:rPr>
          <w:rFonts w:ascii="Times New Roman" w:hAnsi="Times New Roman" w:cs="Times New Roman"/>
          <w:sz w:val="24"/>
          <w:szCs w:val="24"/>
        </w:rPr>
        <w:t xml:space="preserve"> </w:t>
      </w:r>
    </w:p>
    <w:p w:rsidR="00CB0492" w:rsidRPr="00A867E1" w:rsidRDefault="00CB0492" w:rsidP="00CB0492">
      <w:pPr>
        <w:jc w:val="both"/>
        <w:rPr>
          <w:rFonts w:ascii="Times New Roman" w:hAnsi="Times New Roman" w:cs="Times New Roman"/>
          <w:i/>
          <w:sz w:val="24"/>
          <w:szCs w:val="24"/>
        </w:rPr>
      </w:pPr>
      <w:r w:rsidRPr="007A0676">
        <w:rPr>
          <w:rFonts w:ascii="Times New Roman" w:hAnsi="Times New Roman" w:cs="Times New Roman"/>
          <w:i/>
          <w:sz w:val="24"/>
          <w:szCs w:val="24"/>
        </w:rPr>
        <w:t>Le niveau de sécurité est évalué par rapport au maillon le plus faible du système informatique.</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Les pirates ont bien compris cette idée, et c’est la raison pour laquelle il y a de plus en plus de tentatives de hameçonnage.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On a beau avoir mis en place les mesures de sécurité les plus complexes, un système défensif de pointe imposant des restrictions strictes aux flux de réseau, un collaborateur peut tout anéantir à cause d’une seule erreur, en ouvrant le mauvais fichier ou en branchant une clé USB portant le nom d’un concurrent qu’il a trouvée par terre dans le parking de l’entreprise, etc.</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 xml:space="preserve">Les experts de la cybersécurité peuvent réaliser un </w:t>
      </w:r>
      <w:r w:rsidRPr="007A0676">
        <w:rPr>
          <w:rFonts w:ascii="Times New Roman" w:hAnsi="Times New Roman" w:cs="Times New Roman"/>
          <w:i/>
          <w:sz w:val="24"/>
          <w:szCs w:val="24"/>
        </w:rPr>
        <w:t>audit</w:t>
      </w:r>
      <w:r w:rsidRPr="007A0676">
        <w:rPr>
          <w:rFonts w:ascii="Times New Roman" w:hAnsi="Times New Roman" w:cs="Times New Roman"/>
          <w:sz w:val="24"/>
          <w:szCs w:val="24"/>
        </w:rPr>
        <w:t xml:space="preserve"> de votre entreprise, qui consiste à prendre une photographie de votre système informatique, à l’analyser en étudiant son code, son architecture et sa configuration, et ainsi vérifier qu’il est bien sécurisé et conforme aux normes en matière de cybersécurité.</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i/>
          <w:sz w:val="24"/>
          <w:szCs w:val="24"/>
        </w:rPr>
        <w:lastRenderedPageBreak/>
        <w:t>Les essais d’intrusion ont eux aussi leur utilité ; ils consistent à tester la sécurité du système informatique de l’entreprise en conditions réelles.</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Un auditeur se rend dans vos locaux et se comporte comme un collaborateur malveillant qui souhaite nuire à l’entreprise, sans toutefois faire quoique ce soit qui serait susceptible d’avoir des répercussions sur la productivité, sauf s’il a le consentement de l’entreprise à cet effet.</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L’audit et l’essai d’intrusion donnent lieu à un rapport qui contient toutes les vulnérabilités découvertes et les recommandations correspondantes.</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i/>
          <w:sz w:val="24"/>
          <w:szCs w:val="24"/>
        </w:rPr>
        <w:t>Les mesures de sensibilisation sont elles aussi utiles, car on ne peut pas « configurer » un être humain comme on le fait avec un ordinateur !</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Les collaborateurs doivent se soucier de la cybersécurité de leur entreprise. À cet effet, de simples gestes, tels que le verrouillage de l’ordinateur quand ils le quittent (ne serait-ce que pour trois minutes), l’utilisation de mots de passe complexes ou d’un gestionnaire de mots de passe pour accéder aux services en ligne professionnels et internes, participent au renforcement de la cybersécurité de l’entreprise.</w:t>
      </w:r>
    </w:p>
    <w:p w:rsidR="00CB0492" w:rsidRPr="00A867E1" w:rsidRDefault="00CB0492" w:rsidP="00CB0492">
      <w:pPr>
        <w:jc w:val="both"/>
        <w:rPr>
          <w:rFonts w:ascii="Times New Roman" w:hAnsi="Times New Roman" w:cs="Times New Roman"/>
          <w:b/>
          <w:sz w:val="24"/>
          <w:szCs w:val="24"/>
        </w:rPr>
      </w:pPr>
      <w:r w:rsidRPr="007A0676">
        <w:rPr>
          <w:rFonts w:ascii="Times New Roman" w:hAnsi="Times New Roman" w:cs="Times New Roman"/>
          <w:b/>
          <w:sz w:val="24"/>
          <w:szCs w:val="24"/>
        </w:rPr>
        <w:t>Préparation au RGPD</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 xml:space="preserve">Actuellement, le Parlement européen souhaite renforcer la protection des données pour tous les citoyens de l’Union européenne, grâce au </w:t>
      </w:r>
      <w:r w:rsidR="00020502">
        <w:rPr>
          <w:rFonts w:ascii="Times New Roman" w:hAnsi="Times New Roman" w:cs="Times New Roman"/>
          <w:b/>
          <w:sz w:val="24"/>
          <w:szCs w:val="24"/>
        </w:rPr>
        <w:t>R</w:t>
      </w:r>
      <w:r w:rsidRPr="00020502">
        <w:rPr>
          <w:rFonts w:ascii="Times New Roman" w:hAnsi="Times New Roman" w:cs="Times New Roman"/>
          <w:b/>
          <w:sz w:val="24"/>
          <w:szCs w:val="24"/>
        </w:rPr>
        <w:t xml:space="preserve">èglement général sur la protection des données </w:t>
      </w:r>
      <w:r w:rsidRPr="007A0676">
        <w:rPr>
          <w:rFonts w:ascii="Times New Roman" w:hAnsi="Times New Roman" w:cs="Times New Roman"/>
          <w:sz w:val="24"/>
          <w:szCs w:val="24"/>
        </w:rPr>
        <w:t>(« </w:t>
      </w:r>
      <w:r w:rsidRPr="00020502">
        <w:rPr>
          <w:rFonts w:ascii="Times New Roman" w:hAnsi="Times New Roman" w:cs="Times New Roman"/>
          <w:b/>
          <w:sz w:val="24"/>
          <w:szCs w:val="24"/>
        </w:rPr>
        <w:t>RGPD </w:t>
      </w:r>
      <w:r w:rsidRPr="007A0676">
        <w:rPr>
          <w:rFonts w:ascii="Times New Roman" w:hAnsi="Times New Roman" w:cs="Times New Roman"/>
          <w:sz w:val="24"/>
          <w:szCs w:val="24"/>
        </w:rPr>
        <w:t>» ou « Règlement »), qui entrera en vigueur en mai 2018.</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Si une entreprise ne se conforme pas aux exigences du RGPD, elle risque une amende de 20 M d’euros ou de 4 % de son chiffre d’affaires mondial annuel (le montant le plus élevé étant retenu).</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Parmi les entreprises, 52 % pensent qu’elles devront payer une amende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(article 83 du RGPD)</w:t>
      </w:r>
      <w:r w:rsidRPr="007A0676">
        <w:rPr>
          <w:rStyle w:val="Appelnotedebasdep"/>
          <w:sz w:val="24"/>
        </w:rPr>
        <w:footnoteReference w:id="30"/>
      </w:r>
      <w:r w:rsidRPr="007A0676">
        <w:rPr>
          <w:rFonts w:ascii="Times New Roman" w:hAnsi="Times New Roman" w:cs="Times New Roman"/>
          <w:sz w:val="24"/>
          <w:szCs w:val="24"/>
        </w:rPr>
        <w:t>.</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L’objectif du RGPD est que toutes les entreprises protègent les données à caractère personnel suivantes :</w:t>
      </w:r>
      <w:r w:rsidRPr="00A867E1">
        <w:rPr>
          <w:rFonts w:ascii="Times New Roman" w:hAnsi="Times New Roman" w:cs="Times New Roman"/>
          <w:sz w:val="24"/>
          <w:szCs w:val="24"/>
        </w:rPr>
        <w:t xml:space="preserve"> </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t>Nom, adresse et numéro d’identité ;</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t>Lieu, adresse IP, données de type « cookies » et étiquettes RFID ;</w:t>
      </w:r>
    </w:p>
    <w:p w:rsidR="00CB0492" w:rsidRPr="007A0676" w:rsidRDefault="00CB0492" w:rsidP="00CB0492">
      <w:pPr>
        <w:pStyle w:val="Paragraphedeliste"/>
        <w:numPr>
          <w:ilvl w:val="0"/>
          <w:numId w:val="45"/>
        </w:numPr>
        <w:suppressAutoHyphens w:val="0"/>
        <w:spacing w:after="160" w:line="259" w:lineRule="auto"/>
        <w:contextualSpacing/>
        <w:jc w:val="both"/>
        <w:rPr>
          <w:lang w:val="en-GB"/>
        </w:rPr>
      </w:pPr>
      <w:r w:rsidRPr="007A0676">
        <w:t>Données génétiques et sanitaires ;</w:t>
      </w:r>
    </w:p>
    <w:p w:rsidR="00CB0492" w:rsidRPr="007A0676" w:rsidRDefault="00CB0492" w:rsidP="00CB0492">
      <w:pPr>
        <w:pStyle w:val="Paragraphedeliste"/>
        <w:numPr>
          <w:ilvl w:val="0"/>
          <w:numId w:val="45"/>
        </w:numPr>
        <w:suppressAutoHyphens w:val="0"/>
        <w:spacing w:after="160" w:line="259" w:lineRule="auto"/>
        <w:contextualSpacing/>
        <w:jc w:val="both"/>
        <w:rPr>
          <w:lang w:val="en-GB"/>
        </w:rPr>
      </w:pPr>
      <w:r w:rsidRPr="007A0676">
        <w:t>Données biométriques ;</w:t>
      </w:r>
    </w:p>
    <w:p w:rsidR="00CB0492" w:rsidRPr="007A0676" w:rsidRDefault="00CB0492" w:rsidP="00CB0492">
      <w:pPr>
        <w:pStyle w:val="Paragraphedeliste"/>
        <w:numPr>
          <w:ilvl w:val="0"/>
          <w:numId w:val="45"/>
        </w:numPr>
        <w:suppressAutoHyphens w:val="0"/>
        <w:spacing w:after="160" w:line="259" w:lineRule="auto"/>
        <w:contextualSpacing/>
        <w:jc w:val="both"/>
        <w:rPr>
          <w:lang w:val="en-GB"/>
        </w:rPr>
      </w:pPr>
      <w:r w:rsidRPr="007A0676">
        <w:t>Données raciales ou ethniques ;</w:t>
      </w:r>
    </w:p>
    <w:p w:rsidR="00CB0492" w:rsidRPr="007A0676" w:rsidRDefault="00CB0492" w:rsidP="00CB0492">
      <w:pPr>
        <w:pStyle w:val="Paragraphedeliste"/>
        <w:numPr>
          <w:ilvl w:val="0"/>
          <w:numId w:val="45"/>
        </w:numPr>
        <w:suppressAutoHyphens w:val="0"/>
        <w:spacing w:after="160" w:line="259" w:lineRule="auto"/>
        <w:contextualSpacing/>
        <w:jc w:val="both"/>
        <w:rPr>
          <w:lang w:val="en-GB"/>
        </w:rPr>
      </w:pPr>
      <w:r w:rsidRPr="007A0676">
        <w:t>Opinions politiques ;</w:t>
      </w:r>
    </w:p>
    <w:p w:rsidR="00CB0492" w:rsidRPr="007A0676" w:rsidRDefault="00CB0492" w:rsidP="00CB0492">
      <w:pPr>
        <w:pStyle w:val="Paragraphedeliste"/>
        <w:numPr>
          <w:ilvl w:val="0"/>
          <w:numId w:val="45"/>
        </w:numPr>
        <w:suppressAutoHyphens w:val="0"/>
        <w:spacing w:after="160" w:line="259" w:lineRule="auto"/>
        <w:contextualSpacing/>
        <w:jc w:val="both"/>
        <w:rPr>
          <w:lang w:val="en-GB"/>
        </w:rPr>
      </w:pPr>
      <w:r w:rsidRPr="007A0676">
        <w:t>Orientation sexuelle.</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Le Règlement dispose, par exemple, que l’entreprise doit pouvoir localiser et, sur demande, fournir toutes les données à caractère personnel qu’elle a recueillies concernant une personne précise.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Si l’entreprise ne peut pas répondre à la demande et que la personne décide de porter plainte, elle peut être condamnée à payer une amende.</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La conformité au RGPD prouve que l’entreprise :</w:t>
      </w:r>
      <w:r w:rsidRPr="00A867E1">
        <w:rPr>
          <w:rFonts w:ascii="Times New Roman" w:hAnsi="Times New Roman" w:cs="Times New Roman"/>
          <w:sz w:val="24"/>
          <w:szCs w:val="24"/>
        </w:rPr>
        <w:t xml:space="preserve"> </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t>a mis en place des processus et est capable de localiser et protéger toutes les données à caractère personnel conservées ;</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lastRenderedPageBreak/>
        <w:t>peut identifier les applications qui utilisent les données à caractère personnel ; et</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t>peut identifier les personnes qui y ont accès.</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L’un des principes forts du RGPD est la « responsabilité ».</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Si un pirate parvient à voler des données à caractère personnel à l’un des partenaires de l’entreprise, celle-ci est considérée comme tout aussi responsable de la fuite que l’entreprise du partenaire, même si l’entreprise respecte le RGPD.</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Ceci est la principale raison pour laquelle la « préparation au RGPD » est un gage de confiance.</w:t>
      </w:r>
      <w:r w:rsidRPr="00A867E1">
        <w:rPr>
          <w:rFonts w:ascii="Times New Roman" w:hAnsi="Times New Roman" w:cs="Times New Roman"/>
          <w:sz w:val="24"/>
          <w:szCs w:val="24"/>
        </w:rPr>
        <w:t xml:space="preserve"> </w:t>
      </w:r>
      <w:r w:rsidRPr="007A0676">
        <w:rPr>
          <w:rFonts w:ascii="Times New Roman" w:hAnsi="Times New Roman" w:cs="Times New Roman"/>
          <w:sz w:val="24"/>
          <w:szCs w:val="24"/>
        </w:rPr>
        <w:t>Cela signifie que le RGPD pourrait véritablement devenir un avantage concurrentiel ou au moins une condition nécessaire à la coopération avec d’autres entreprises.</w:t>
      </w:r>
    </w:p>
    <w:p w:rsidR="00CB0492" w:rsidRPr="00A867E1" w:rsidRDefault="00CB0492" w:rsidP="00CB0492">
      <w:pPr>
        <w:jc w:val="both"/>
        <w:rPr>
          <w:rFonts w:ascii="Times New Roman" w:hAnsi="Times New Roman" w:cs="Times New Roman"/>
          <w:sz w:val="24"/>
          <w:szCs w:val="24"/>
        </w:rPr>
      </w:pPr>
      <w:r w:rsidRPr="007A0676">
        <w:rPr>
          <w:rFonts w:ascii="Times New Roman" w:hAnsi="Times New Roman" w:cs="Times New Roman"/>
          <w:sz w:val="24"/>
          <w:szCs w:val="24"/>
        </w:rPr>
        <w:t>Le fait de suivre le processus de mise en conformité au RGPD non seulement aide les entreprises à protéger les données à caractère personnel de leurs salariés, clients, fournisseurs et autres partenaires, mais également leur permet de renforcer leur cybersécurité (protection par pare-feu, chiffrement des données, principe de séparation des privilèges, etc.) et de mettre en œuvre des mesures de sécurité de base pour garantir qu’il n’y a pas de fuite de données personnelles ou que celles-ci ne sont pas accessibles à des personnes non autorisées.</w:t>
      </w:r>
    </w:p>
    <w:p w:rsidR="00CB0492" w:rsidRDefault="00CB0492" w:rsidP="00CB0492">
      <w:pPr>
        <w:jc w:val="both"/>
        <w:rPr>
          <w:rFonts w:ascii="Times New Roman" w:hAnsi="Times New Roman" w:cs="Times New Roman"/>
          <w:sz w:val="24"/>
          <w:szCs w:val="24"/>
          <w:lang w:val="en-GB"/>
        </w:rPr>
      </w:pPr>
      <w:r w:rsidRPr="007A0676">
        <w:rPr>
          <w:rFonts w:ascii="Times New Roman" w:hAnsi="Times New Roman" w:cs="Times New Roman"/>
          <w:b/>
          <w:sz w:val="24"/>
          <w:szCs w:val="24"/>
        </w:rPr>
        <w:t>Conclusion</w:t>
      </w:r>
      <w:r w:rsidRPr="007A0676">
        <w:rPr>
          <w:rFonts w:ascii="Times New Roman" w:hAnsi="Times New Roman" w:cs="Times New Roman"/>
          <w:sz w:val="24"/>
          <w:szCs w:val="24"/>
          <w:lang w:val="en-GB"/>
        </w:rPr>
        <w:t xml:space="preserve"> </w:t>
      </w:r>
    </w:p>
    <w:p w:rsidR="00CB0492" w:rsidRDefault="00CB0492" w:rsidP="00CB0492">
      <w:pPr>
        <w:pStyle w:val="Paragraphedeliste"/>
        <w:numPr>
          <w:ilvl w:val="0"/>
          <w:numId w:val="45"/>
        </w:numPr>
        <w:suppressAutoHyphens w:val="0"/>
        <w:spacing w:after="160" w:line="259" w:lineRule="auto"/>
        <w:contextualSpacing/>
        <w:jc w:val="both"/>
        <w:rPr>
          <w:lang w:val="en-GB"/>
        </w:rPr>
      </w:pPr>
      <w:r w:rsidRPr="007A0676">
        <w:t>Toutes les entreprises seront attaquées, que ce soit directement ou indirectement.</w:t>
      </w:r>
      <w:r w:rsidRPr="00A867E1">
        <w:t xml:space="preserve"> </w:t>
      </w:r>
      <w:r w:rsidRPr="007A0676">
        <w:t>C’est une question de temps.</w:t>
      </w:r>
      <w:r w:rsidRPr="007A0676">
        <w:rPr>
          <w:lang w:val="en-GB"/>
        </w:rPr>
        <w:t xml:space="preserve"> </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t>La cybersécurité est un sujet universel :</w:t>
      </w:r>
      <w:r w:rsidRPr="00A867E1">
        <w:t xml:space="preserve"> </w:t>
      </w:r>
    </w:p>
    <w:p w:rsidR="00CB0492" w:rsidRPr="00A867E1" w:rsidRDefault="00CB0492" w:rsidP="00CB0492">
      <w:pPr>
        <w:pStyle w:val="Paragraphedeliste"/>
        <w:numPr>
          <w:ilvl w:val="1"/>
          <w:numId w:val="45"/>
        </w:numPr>
        <w:suppressAutoHyphens w:val="0"/>
        <w:spacing w:after="160" w:line="259" w:lineRule="auto"/>
        <w:contextualSpacing/>
        <w:jc w:val="both"/>
      </w:pPr>
      <w:r w:rsidRPr="007A0676">
        <w:t>pour les entreprises et leurs clients ;</w:t>
      </w:r>
    </w:p>
    <w:p w:rsidR="00CB0492" w:rsidRPr="00A867E1" w:rsidRDefault="00CB0492" w:rsidP="00CB0492">
      <w:pPr>
        <w:pStyle w:val="Paragraphedeliste"/>
        <w:numPr>
          <w:ilvl w:val="1"/>
          <w:numId w:val="45"/>
        </w:numPr>
        <w:suppressAutoHyphens w:val="0"/>
        <w:spacing w:after="160" w:line="259" w:lineRule="auto"/>
        <w:contextualSpacing/>
        <w:jc w:val="both"/>
      </w:pPr>
      <w:r w:rsidRPr="007A0676">
        <w:t>pour toutes les entreprises, quelle que soit leur taille.</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t>Toute société traitant les données à caractère personnel de citoyens européens devra respecter le RGPD.</w:t>
      </w:r>
    </w:p>
    <w:p w:rsidR="00CB0492" w:rsidRPr="00A867E1" w:rsidRDefault="00CB0492" w:rsidP="00CB0492">
      <w:pPr>
        <w:pStyle w:val="Paragraphedeliste"/>
        <w:numPr>
          <w:ilvl w:val="0"/>
          <w:numId w:val="45"/>
        </w:numPr>
        <w:suppressAutoHyphens w:val="0"/>
        <w:spacing w:after="160" w:line="259" w:lineRule="auto"/>
        <w:contextualSpacing/>
        <w:jc w:val="both"/>
      </w:pPr>
      <w:r w:rsidRPr="007A0676">
        <w:rPr>
          <w:b/>
        </w:rPr>
        <w:t>En tant que membre d’INSOL Europe, vous devez veiller à ce que votre entreprise se mette en conformité avec le RGPD !</w:t>
      </w:r>
      <w:r w:rsidRPr="00A867E1">
        <w:rPr>
          <w:b/>
        </w:rPr>
        <w:t xml:space="preserve"> </w:t>
      </w:r>
    </w:p>
    <w:p w:rsidR="00CB0492" w:rsidRDefault="00CB0492" w:rsidP="00CB0492">
      <w:pPr>
        <w:rPr>
          <w:rFonts w:ascii="Arial Narrow" w:hAnsi="Arial Narrow" w:cs="Times New Roman"/>
          <w:i/>
          <w:sz w:val="20"/>
          <w:szCs w:val="20"/>
        </w:rPr>
      </w:pPr>
      <w:r w:rsidRPr="007A0676">
        <w:rPr>
          <w:rFonts w:ascii="Arial Narrow" w:hAnsi="Arial Narrow" w:cs="Times New Roman"/>
          <w:i/>
          <w:sz w:val="20"/>
          <w:szCs w:val="20"/>
        </w:rPr>
        <w:t>*Christophe Szwedo, CYLRESC, France, Laurent Le Pajolec, EXCO A2A Polska – INSOL PL</w:t>
      </w:r>
    </w:p>
    <w:p w:rsidR="00CB0492" w:rsidRPr="00A867E1" w:rsidRDefault="00CB0492" w:rsidP="00CB04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r w:rsidRPr="00A867E1">
        <w:rPr>
          <w:rFonts w:ascii="Times New Roman" w:hAnsi="Times New Roman" w:cs="Times New Roman"/>
          <w:sz w:val="24"/>
          <w:szCs w:val="24"/>
        </w:rPr>
        <w:t xml:space="preserve">  x  x</w:t>
      </w:r>
    </w:p>
    <w:p w:rsidR="00CB28A0" w:rsidRDefault="00CB0492" w:rsidP="00EB197C">
      <w:pPr>
        <w:spacing w:after="0" w:line="240" w:lineRule="auto"/>
        <w:jc w:val="center"/>
        <w:rPr>
          <w:rFonts w:ascii="Times New Roman" w:hAnsi="Times New Roman" w:cs="Times New Roman"/>
          <w:sz w:val="24"/>
          <w:szCs w:val="24"/>
        </w:rPr>
      </w:pPr>
      <w:r w:rsidRPr="00A867E1">
        <w:rPr>
          <w:rFonts w:ascii="Times New Roman" w:hAnsi="Times New Roman" w:cs="Times New Roman"/>
          <w:sz w:val="24"/>
          <w:szCs w:val="24"/>
        </w:rPr>
        <w:t>x</w:t>
      </w:r>
    </w:p>
    <w:p w:rsidR="00EB197C" w:rsidRDefault="00EB197C" w:rsidP="00EB197C">
      <w:pPr>
        <w:spacing w:after="0" w:line="240" w:lineRule="auto"/>
        <w:jc w:val="center"/>
        <w:rPr>
          <w:rFonts w:ascii="Times New Roman" w:hAnsi="Times New Roman" w:cs="Times New Roman"/>
          <w:sz w:val="24"/>
          <w:szCs w:val="24"/>
        </w:rPr>
      </w:pPr>
    </w:p>
    <w:p w:rsidR="00EB197C" w:rsidRPr="00EB197C" w:rsidRDefault="00EB197C" w:rsidP="00EB197C">
      <w:pPr>
        <w:spacing w:after="0" w:line="240" w:lineRule="auto"/>
        <w:jc w:val="center"/>
        <w:rPr>
          <w:rFonts w:ascii="Times New Roman" w:hAnsi="Times New Roman" w:cs="Times New Roman"/>
          <w:sz w:val="24"/>
          <w:szCs w:val="24"/>
        </w:rPr>
      </w:pPr>
    </w:p>
    <w:p w:rsidR="0077507B" w:rsidRDefault="0077507B" w:rsidP="00035770">
      <w:pPr>
        <w:jc w:val="both"/>
        <w:rPr>
          <w:rFonts w:ascii="Arial Narrow" w:hAnsi="Arial Narrow" w:cs="Times New Roman"/>
          <w:b/>
          <w:sz w:val="28"/>
          <w:szCs w:val="28"/>
        </w:rPr>
      </w:pPr>
    </w:p>
    <w:p w:rsidR="0077507B" w:rsidRDefault="0077507B" w:rsidP="00035770">
      <w:pPr>
        <w:jc w:val="both"/>
        <w:rPr>
          <w:rFonts w:ascii="Arial Narrow" w:hAnsi="Arial Narrow" w:cs="Times New Roman"/>
          <w:b/>
          <w:sz w:val="28"/>
          <w:szCs w:val="28"/>
        </w:rPr>
      </w:pPr>
    </w:p>
    <w:p w:rsidR="0077507B" w:rsidRDefault="0077507B" w:rsidP="00035770">
      <w:pPr>
        <w:jc w:val="both"/>
        <w:rPr>
          <w:rFonts w:ascii="Arial Narrow" w:hAnsi="Arial Narrow" w:cs="Times New Roman"/>
          <w:b/>
          <w:sz w:val="28"/>
          <w:szCs w:val="28"/>
        </w:rPr>
      </w:pPr>
    </w:p>
    <w:p w:rsidR="0077507B" w:rsidRDefault="0077507B" w:rsidP="00035770">
      <w:pPr>
        <w:jc w:val="both"/>
        <w:rPr>
          <w:rFonts w:ascii="Arial Narrow" w:hAnsi="Arial Narrow" w:cs="Times New Roman"/>
          <w:b/>
          <w:sz w:val="28"/>
          <w:szCs w:val="28"/>
        </w:rPr>
      </w:pPr>
    </w:p>
    <w:p w:rsidR="0077507B" w:rsidRDefault="0077507B" w:rsidP="00035770">
      <w:pPr>
        <w:jc w:val="both"/>
        <w:rPr>
          <w:rFonts w:ascii="Arial Narrow" w:hAnsi="Arial Narrow" w:cs="Times New Roman"/>
          <w:b/>
          <w:sz w:val="28"/>
          <w:szCs w:val="28"/>
        </w:rPr>
      </w:pPr>
    </w:p>
    <w:p w:rsidR="00035770" w:rsidRPr="00035770" w:rsidRDefault="00035770" w:rsidP="00035770">
      <w:pPr>
        <w:jc w:val="both"/>
        <w:rPr>
          <w:rFonts w:ascii="Arial Narrow" w:hAnsi="Arial Narrow" w:cs="Times New Roman"/>
          <w:b/>
          <w:sz w:val="28"/>
          <w:szCs w:val="28"/>
        </w:rPr>
      </w:pPr>
      <w:r w:rsidRPr="00035770">
        <w:rPr>
          <w:rFonts w:ascii="Arial Narrow" w:hAnsi="Arial Narrow" w:cs="Times New Roman"/>
          <w:b/>
          <w:sz w:val="28"/>
          <w:szCs w:val="28"/>
        </w:rPr>
        <w:lastRenderedPageBreak/>
        <w:t>Roumanie</w:t>
      </w:r>
    </w:p>
    <w:p w:rsidR="00035770" w:rsidRPr="00A73E74" w:rsidRDefault="00035770" w:rsidP="00035770">
      <w:pPr>
        <w:spacing w:after="0"/>
        <w:jc w:val="center"/>
        <w:rPr>
          <w:rFonts w:ascii="Times New Roman" w:hAnsi="Times New Roman" w:cs="Times New Roman"/>
          <w:b/>
          <w:sz w:val="48"/>
          <w:szCs w:val="48"/>
        </w:rPr>
      </w:pPr>
      <w:r w:rsidRPr="00A73E74">
        <w:rPr>
          <w:rFonts w:ascii="Times New Roman" w:hAnsi="Times New Roman" w:cs="Times New Roman"/>
          <w:b/>
          <w:sz w:val="48"/>
          <w:szCs w:val="48"/>
        </w:rPr>
        <w:t>Insolvabilité stratégique en Roumanie</w:t>
      </w:r>
    </w:p>
    <w:p w:rsidR="00035770" w:rsidRPr="00A73E74" w:rsidRDefault="00035770" w:rsidP="00035770">
      <w:pPr>
        <w:jc w:val="center"/>
        <w:rPr>
          <w:rFonts w:ascii="Arial Narrow" w:hAnsi="Arial Narrow" w:cs="Times New Roman"/>
          <w:i/>
          <w:sz w:val="24"/>
          <w:szCs w:val="24"/>
        </w:rPr>
      </w:pPr>
      <w:r w:rsidRPr="00981D7B">
        <w:rPr>
          <w:rFonts w:ascii="Arial Narrow" w:hAnsi="Arial Narrow" w:cs="Times New Roman"/>
          <w:i/>
          <w:sz w:val="24"/>
          <w:szCs w:val="24"/>
        </w:rPr>
        <w:t>Nicoleta Munteanu* nous explique ce qu’on entend par « insolvabilité stratégique » en Roumanie, et ses conséquences sur les procédures d’insolvabilité</w:t>
      </w:r>
    </w:p>
    <w:p w:rsidR="00035770" w:rsidRPr="00A73E74" w:rsidRDefault="00035770" w:rsidP="00035770">
      <w:pPr>
        <w:jc w:val="both"/>
        <w:rPr>
          <w:rFonts w:ascii="Times New Roman" w:hAnsi="Times New Roman" w:cs="Times New Roman"/>
          <w:b/>
          <w:sz w:val="24"/>
          <w:szCs w:val="24"/>
        </w:rPr>
      </w:pPr>
      <w:r w:rsidRPr="00981D7B">
        <w:rPr>
          <w:rFonts w:ascii="Times New Roman" w:hAnsi="Times New Roman" w:cs="Times New Roman"/>
          <w:b/>
          <w:sz w:val="24"/>
          <w:szCs w:val="24"/>
        </w:rPr>
        <w:t>Grâce à la restructuration précoce et à la seconde chance, l’Union européenne s’est préoccupée d’une réalité qui est moins bien comprise dans l’environnement économique.</w:t>
      </w:r>
    </w:p>
    <w:p w:rsidR="00035770" w:rsidRPr="00A73E74" w:rsidRDefault="00035770" w:rsidP="00035770">
      <w:pPr>
        <w:jc w:val="both"/>
        <w:rPr>
          <w:rFonts w:ascii="Times New Roman" w:hAnsi="Times New Roman" w:cs="Times New Roman"/>
          <w:sz w:val="24"/>
          <w:szCs w:val="24"/>
        </w:rPr>
      </w:pPr>
      <w:r w:rsidRPr="00981D7B">
        <w:rPr>
          <w:rFonts w:ascii="Times New Roman" w:hAnsi="Times New Roman" w:cs="Times New Roman"/>
          <w:sz w:val="24"/>
          <w:szCs w:val="24"/>
        </w:rPr>
        <w:t>C’est un état de fait : l’insolvabilité fait partie du circuit économique, c’est un marqueur indispensable à l’efficacité, à la dynamique et à l’essence même des mécanismes économiques.</w:t>
      </w:r>
      <w:r w:rsidRPr="00A73E74">
        <w:rPr>
          <w:rFonts w:ascii="Times New Roman" w:hAnsi="Times New Roman" w:cs="Times New Roman"/>
          <w:sz w:val="24"/>
          <w:szCs w:val="24"/>
        </w:rPr>
        <w:t xml:space="preserve"> </w:t>
      </w:r>
      <w:r w:rsidRPr="00981D7B">
        <w:rPr>
          <w:rFonts w:ascii="Times New Roman" w:hAnsi="Times New Roman" w:cs="Times New Roman"/>
          <w:sz w:val="24"/>
          <w:szCs w:val="24"/>
        </w:rPr>
        <w:t>Par conséquent, l’insolvabilité des entreprises défaillantes est déterminée non seulement par des causes subjectives, mais aussi par des causes objectives, par un contexte économique et financier qui place l’entreprise débitrice dans une situation indésirable qui échappe à son contrôle.</w:t>
      </w:r>
      <w:r w:rsidRPr="00A73E74">
        <w:rPr>
          <w:rFonts w:ascii="Times New Roman" w:hAnsi="Times New Roman" w:cs="Times New Roman"/>
          <w:sz w:val="24"/>
          <w:szCs w:val="24"/>
        </w:rPr>
        <w:t xml:space="preserve"> </w:t>
      </w:r>
      <w:r w:rsidRPr="00981D7B">
        <w:rPr>
          <w:rFonts w:ascii="Times New Roman" w:hAnsi="Times New Roman" w:cs="Times New Roman"/>
          <w:sz w:val="24"/>
          <w:szCs w:val="24"/>
        </w:rPr>
        <w:t xml:space="preserve">C’est de ce point de vue qu’il faut comprendre les </w:t>
      </w:r>
      <w:r>
        <w:rPr>
          <w:rFonts w:ascii="Times New Roman" w:hAnsi="Times New Roman" w:cs="Times New Roman"/>
          <w:sz w:val="24"/>
          <w:szCs w:val="24"/>
        </w:rPr>
        <w:t>tentatives de l’UE, qui insiste</w:t>
      </w:r>
      <w:r w:rsidRPr="00981D7B">
        <w:rPr>
          <w:rFonts w:ascii="Times New Roman" w:hAnsi="Times New Roman" w:cs="Times New Roman"/>
          <w:sz w:val="24"/>
          <w:szCs w:val="24"/>
        </w:rPr>
        <w:t xml:space="preserve"> sur les mécanismes de prévention et sur la possibilité, pour l’entreprise, de revenir dans le circuit économique.</w:t>
      </w:r>
    </w:p>
    <w:p w:rsidR="00035770" w:rsidRPr="00A73E74" w:rsidRDefault="00035770" w:rsidP="00035770">
      <w:pPr>
        <w:jc w:val="both"/>
        <w:rPr>
          <w:rFonts w:ascii="Times New Roman" w:hAnsi="Times New Roman" w:cs="Times New Roman"/>
          <w:sz w:val="24"/>
          <w:szCs w:val="24"/>
        </w:rPr>
      </w:pPr>
      <w:r w:rsidRPr="00981D7B">
        <w:rPr>
          <w:rFonts w:ascii="Times New Roman" w:hAnsi="Times New Roman" w:cs="Times New Roman"/>
          <w:sz w:val="24"/>
          <w:szCs w:val="24"/>
        </w:rPr>
        <w:t>Comprendre l’insolvabilité comme un « mal nécessaire », comme un déséquilibre annonciateur d’un nouvel équilibre, comme un « point critique » servant non seulement à tirer un signal d’alarme fort mais également à marquer un « nouveau départ » est ce qui s’approche le plus de la philosophie de l’UE en la matière.</w:t>
      </w:r>
      <w:r w:rsidRPr="00A73E74">
        <w:rPr>
          <w:rFonts w:ascii="Times New Roman" w:hAnsi="Times New Roman" w:cs="Times New Roman"/>
          <w:sz w:val="24"/>
          <w:szCs w:val="24"/>
        </w:rPr>
        <w:t xml:space="preserve"> </w:t>
      </w:r>
      <w:r w:rsidRPr="00981D7B">
        <w:rPr>
          <w:rFonts w:ascii="Times New Roman" w:hAnsi="Times New Roman" w:cs="Times New Roman"/>
          <w:sz w:val="24"/>
          <w:szCs w:val="24"/>
        </w:rPr>
        <w:t>En outre, l’insolvabilité a également pour effet de nettoyer le circuit économique et d’en éliminer, lorsque cela est nécessaire, les entreprises qui ne respectent pas les règles du jeu et essaient de les détourner à leur profit.</w:t>
      </w:r>
      <w:r w:rsidRPr="00A73E74">
        <w:rPr>
          <w:rFonts w:ascii="Times New Roman" w:hAnsi="Times New Roman" w:cs="Times New Roman"/>
          <w:sz w:val="24"/>
          <w:szCs w:val="24"/>
        </w:rPr>
        <w:t xml:space="preserve"> </w:t>
      </w:r>
      <w:r>
        <w:rPr>
          <w:rFonts w:ascii="Times New Roman" w:hAnsi="Times New Roman" w:cs="Times New Roman"/>
          <w:sz w:val="24"/>
          <w:szCs w:val="24"/>
        </w:rPr>
        <w:t>Mais q</w:t>
      </w:r>
      <w:r w:rsidRPr="00981D7B">
        <w:rPr>
          <w:rFonts w:ascii="Times New Roman" w:hAnsi="Times New Roman" w:cs="Times New Roman"/>
          <w:sz w:val="24"/>
          <w:szCs w:val="24"/>
        </w:rPr>
        <w:t>ue se passe-t-il dans le cas où certaines entreprises ne peuvent tout simplement pas être éliminées du circuit économique ?</w:t>
      </w:r>
    </w:p>
    <w:p w:rsidR="00035770" w:rsidRPr="00A73E74" w:rsidRDefault="00035770" w:rsidP="00035770">
      <w:pPr>
        <w:jc w:val="both"/>
        <w:rPr>
          <w:rFonts w:ascii="Times New Roman" w:hAnsi="Times New Roman" w:cs="Times New Roman"/>
          <w:sz w:val="24"/>
          <w:szCs w:val="24"/>
        </w:rPr>
      </w:pPr>
      <w:r w:rsidRPr="00981D7B">
        <w:rPr>
          <w:rFonts w:ascii="Times New Roman" w:hAnsi="Times New Roman" w:cs="Times New Roman"/>
          <w:sz w:val="24"/>
          <w:szCs w:val="24"/>
        </w:rPr>
        <w:t>L’expérience pratique acquise en gérant des entreprises insolvables permet de tirer plusieurs conclusions quant au processus dans son ensemble :</w:t>
      </w:r>
      <w:r w:rsidRPr="00A73E74">
        <w:rPr>
          <w:rFonts w:ascii="Times New Roman" w:hAnsi="Times New Roman" w:cs="Times New Roman"/>
          <w:sz w:val="24"/>
          <w:szCs w:val="24"/>
        </w:rPr>
        <w:t xml:space="preserve"> </w:t>
      </w:r>
    </w:p>
    <w:p w:rsidR="00035770" w:rsidRPr="00A73E74" w:rsidRDefault="00035770" w:rsidP="00035770">
      <w:pPr>
        <w:pStyle w:val="Paragraphedeliste"/>
        <w:numPr>
          <w:ilvl w:val="0"/>
          <w:numId w:val="40"/>
        </w:numPr>
        <w:suppressAutoHyphens w:val="0"/>
        <w:spacing w:after="160" w:line="259" w:lineRule="auto"/>
        <w:contextualSpacing/>
        <w:jc w:val="both"/>
      </w:pPr>
      <w:r w:rsidRPr="00981D7B">
        <w:t>De nombreuses entreprises demandent l’ouverture d’une procédure d’insolvabilité à cause d’un contexte économique et financier qu’elles ne peuvent pas contrôler, découlant souvent de crises économiques, sociales, politiques, etc.</w:t>
      </w:r>
    </w:p>
    <w:p w:rsidR="00035770" w:rsidRPr="00A73E74" w:rsidRDefault="00035770" w:rsidP="00035770">
      <w:pPr>
        <w:pStyle w:val="Paragraphedeliste"/>
        <w:numPr>
          <w:ilvl w:val="0"/>
          <w:numId w:val="40"/>
        </w:numPr>
        <w:suppressAutoHyphens w:val="0"/>
        <w:spacing w:after="160" w:line="259" w:lineRule="auto"/>
        <w:contextualSpacing/>
        <w:jc w:val="both"/>
      </w:pPr>
      <w:r w:rsidRPr="00981D7B">
        <w:t>De nombreuses entreprises demandent l’ouverture d’une procédure d’insolvabilité en raison d’une gestion défaillante, individualisée, focalisée sur les intérêts d’un groupe.</w:t>
      </w:r>
      <w:r w:rsidRPr="00A73E74">
        <w:t xml:space="preserve"> </w:t>
      </w:r>
      <w:r w:rsidRPr="00981D7B">
        <w:t>Souvent, cette gestion est politi</w:t>
      </w:r>
      <w:r>
        <w:t>cienn</w:t>
      </w:r>
      <w:r w:rsidRPr="00981D7B">
        <w:t>e : les dirigeants choisis n’ont pas les compétences professionnelles nécessaires en matière de gestion pour exercer leurs fonctions.</w:t>
      </w:r>
    </w:p>
    <w:p w:rsidR="00035770" w:rsidRPr="00A73E74" w:rsidRDefault="00035770" w:rsidP="00035770">
      <w:pPr>
        <w:pStyle w:val="Paragraphedeliste"/>
        <w:numPr>
          <w:ilvl w:val="0"/>
          <w:numId w:val="40"/>
        </w:numPr>
        <w:suppressAutoHyphens w:val="0"/>
        <w:spacing w:after="160" w:line="259" w:lineRule="auto"/>
        <w:contextualSpacing/>
        <w:jc w:val="both"/>
      </w:pPr>
      <w:r w:rsidRPr="00981D7B">
        <w:t>De nombreuses entreprises demandent l’ouverture d’une procédure de faillite parce que, en tant que créanciers d’autres entreprises insolvables, elles subissent ce que l’on appelle un « effet domino ».</w:t>
      </w:r>
    </w:p>
    <w:p w:rsidR="00035770" w:rsidRPr="00A73E74" w:rsidRDefault="00035770" w:rsidP="00035770">
      <w:pPr>
        <w:pStyle w:val="Paragraphedeliste"/>
        <w:numPr>
          <w:ilvl w:val="0"/>
          <w:numId w:val="40"/>
        </w:numPr>
        <w:suppressAutoHyphens w:val="0"/>
        <w:spacing w:after="160" w:line="259" w:lineRule="auto"/>
        <w:contextualSpacing/>
        <w:jc w:val="both"/>
      </w:pPr>
      <w:r w:rsidRPr="00133F29">
        <w:t>La dimension « gestion » de la procédure d’insolvabilité est étouffée par la dimension juridique, puisque le praticien de l’insolvabilité ne peut pas mettre en place sa propre politique de gestion</w:t>
      </w:r>
      <w:r>
        <w:t xml:space="preserve"> : </w:t>
      </w:r>
      <w:r w:rsidRPr="00133F29">
        <w:t>il est contraint de respecter à la lettre la procédure, qui consiste la plupart du temps à simplement superviser les activités opérationnelles de la direction, sans y être directement impliqué.</w:t>
      </w:r>
    </w:p>
    <w:p w:rsidR="00035770" w:rsidRPr="00A73E74" w:rsidRDefault="00035770" w:rsidP="00035770">
      <w:pPr>
        <w:pStyle w:val="Paragraphedeliste"/>
        <w:numPr>
          <w:ilvl w:val="0"/>
          <w:numId w:val="40"/>
        </w:numPr>
        <w:suppressAutoHyphens w:val="0"/>
        <w:spacing w:after="160" w:line="259" w:lineRule="auto"/>
        <w:contextualSpacing/>
        <w:jc w:val="both"/>
      </w:pPr>
      <w:r w:rsidRPr="00133F29">
        <w:lastRenderedPageBreak/>
        <w:t>Enfin, on observe souvent que certaines entreprises débitrices sont très importantes pour l’économie nationale et pour la sécurité et la sûreté de l’État, et que leur insolvabilité peut ouvrir des brèches de vulnérabilité et entraîner des risques dans le domaine de la sécurité nationale.</w:t>
      </w:r>
      <w:r w:rsidRPr="00A73E74">
        <w:t xml:space="preserve"> </w:t>
      </w:r>
      <w:r w:rsidRPr="00133F29">
        <w:t>Dans ces cas, ces entreprises ne doivent pas disparaître du circuit économique.</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Cette conclusion est directement née des discussions entre praticiens, et indirectement d’une étude bibliographique et de longues recherches scientifiques</w:t>
      </w:r>
      <w:bookmarkStart w:id="2" w:name="_Ref511305307"/>
      <w:r w:rsidRPr="00133F29">
        <w:rPr>
          <w:rStyle w:val="Appelnotedebasdep"/>
          <w:sz w:val="24"/>
        </w:rPr>
        <w:footnoteReference w:id="31"/>
      </w:r>
      <w:bookmarkEnd w:id="2"/>
      <w:r w:rsidRPr="00133F29">
        <w:rPr>
          <w:rFonts w:ascii="Times New Roman" w:hAnsi="Times New Roman" w:cs="Times New Roman"/>
          <w:sz w:val="24"/>
          <w:szCs w:val="24"/>
        </w:rPr>
        <w:t> : il existe certains acteurs de l’économie nationale dont l’insolvabilité créerait des menaces tant pour la sécurité économique que pour la sécurité nationale.</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 xml:space="preserve">Une analyse de ces insolvabilités est donc nécessaire, venant compléter la dimension juridique par celle des études sur la sécurité et la gestion. Elle aboutit au concept d’« insolvabilité stratégique », qui n’est rien d’autre que l’insolvabilité « classique » appliquée aux entreprises à valeur « stratégique », qui ne peuvent pas être éliminées du circuit économique </w:t>
      </w:r>
      <w:r>
        <w:rPr>
          <w:rFonts w:ascii="Times New Roman" w:hAnsi="Times New Roman" w:cs="Times New Roman"/>
          <w:sz w:val="24"/>
          <w:szCs w:val="24"/>
        </w:rPr>
        <w:t>au risque d’</w:t>
      </w:r>
      <w:r w:rsidRPr="00133F29">
        <w:rPr>
          <w:rFonts w:ascii="Times New Roman" w:hAnsi="Times New Roman" w:cs="Times New Roman"/>
          <w:sz w:val="24"/>
          <w:szCs w:val="24"/>
        </w:rPr>
        <w:t>entraîner des menaces pour la sécurité de l’État.</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 xml:space="preserve">En outre, l’analyse de l’insolvabilité en termes de gestion permet de comprendre à quel point les compétences de gestion du praticien de l’insolvabilité sont importantes, surtout lorsqu’il s’agit de gérer des entreprises présentant un </w:t>
      </w:r>
      <w:r>
        <w:rPr>
          <w:rFonts w:ascii="Times New Roman" w:hAnsi="Times New Roman" w:cs="Times New Roman"/>
          <w:sz w:val="24"/>
          <w:szCs w:val="24"/>
        </w:rPr>
        <w:t>intérêt</w:t>
      </w:r>
      <w:r w:rsidRPr="00133F29">
        <w:rPr>
          <w:rFonts w:ascii="Times New Roman" w:hAnsi="Times New Roman" w:cs="Times New Roman"/>
          <w:sz w:val="24"/>
          <w:szCs w:val="24"/>
        </w:rPr>
        <w:t xml:space="preserve"> pour la sécurité nationale.</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D’après la loi roumaine applicable, la définition de l’insolvabilité désigne la situation où le débiteur ne dispose pas de fonds suffisants pour payer ses dettes certaines, liquides et exigibles.</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 xml:space="preserve">Le terme « insolvabilité stratégique » </w:t>
      </w:r>
      <w:r>
        <w:rPr>
          <w:rFonts w:ascii="Times New Roman" w:hAnsi="Times New Roman" w:cs="Times New Roman"/>
          <w:sz w:val="24"/>
          <w:szCs w:val="24"/>
        </w:rPr>
        <w:t>se rapporte à</w:t>
      </w:r>
      <w:r w:rsidRPr="00133F29">
        <w:rPr>
          <w:rFonts w:ascii="Times New Roman" w:hAnsi="Times New Roman" w:cs="Times New Roman"/>
          <w:sz w:val="24"/>
          <w:szCs w:val="24"/>
        </w:rPr>
        <w:t xml:space="preserve"> un débiteur qui appartient au système de sécurité nationale, mais dont la situation </w:t>
      </w:r>
      <w:r>
        <w:rPr>
          <w:rFonts w:ascii="Times New Roman" w:hAnsi="Times New Roman" w:cs="Times New Roman"/>
          <w:sz w:val="24"/>
          <w:szCs w:val="24"/>
        </w:rPr>
        <w:t xml:space="preserve">se caractérise </w:t>
      </w:r>
      <w:r w:rsidRPr="00133F29">
        <w:rPr>
          <w:rFonts w:ascii="Times New Roman" w:hAnsi="Times New Roman" w:cs="Times New Roman"/>
          <w:sz w:val="24"/>
          <w:szCs w:val="24"/>
        </w:rPr>
        <w:t>également par l’insuffisance de fonds disponibles pour payer ses dettes.</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Comme on peut le voir, la distinction entre une insolvabilité ordinaire et une insolvabilité stratégique dépend uniquement du statut du débiteur au sein du système de sécurité nationale.</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Les questions suivantes sont le point de départ de cette analyse</w:t>
      </w:r>
      <w:r>
        <w:rPr>
          <w:rFonts w:ascii="Times New Roman" w:hAnsi="Times New Roman" w:cs="Times New Roman"/>
          <w:sz w:val="24"/>
          <w:szCs w:val="24"/>
        </w:rPr>
        <w:t> :</w:t>
      </w:r>
    </w:p>
    <w:p w:rsidR="00035770" w:rsidRPr="00A73E74" w:rsidRDefault="00035770" w:rsidP="00035770">
      <w:pPr>
        <w:pStyle w:val="Paragraphedeliste"/>
        <w:numPr>
          <w:ilvl w:val="0"/>
          <w:numId w:val="41"/>
        </w:numPr>
        <w:suppressAutoHyphens w:val="0"/>
        <w:spacing w:after="160" w:line="259" w:lineRule="auto"/>
        <w:contextualSpacing/>
        <w:jc w:val="both"/>
        <w:rPr>
          <w:b/>
        </w:rPr>
      </w:pPr>
      <w:r w:rsidRPr="00133F29">
        <w:rPr>
          <w:b/>
        </w:rPr>
        <w:t>Comment identifier et analyser le statut du débiteur pour qu’il soit considéré comme suffisamment important pour le système de sécurité nationale ?</w:t>
      </w:r>
    </w:p>
    <w:p w:rsidR="00035770" w:rsidRPr="00A73E74" w:rsidRDefault="00035770" w:rsidP="00035770">
      <w:pPr>
        <w:pStyle w:val="Paragraphedeliste"/>
        <w:numPr>
          <w:ilvl w:val="0"/>
          <w:numId w:val="41"/>
        </w:numPr>
        <w:suppressAutoHyphens w:val="0"/>
        <w:spacing w:after="160" w:line="259" w:lineRule="auto"/>
        <w:contextualSpacing/>
        <w:jc w:val="both"/>
        <w:rPr>
          <w:b/>
        </w:rPr>
      </w:pPr>
      <w:r w:rsidRPr="00133F29">
        <w:rPr>
          <w:b/>
        </w:rPr>
        <w:t>Comment structurer la dimension de gestion de l’« insolvabilité stratégique » ?</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Pour ce qui est de la première question, la notion de « système de sécurité nationale » est très vague et, selon une analyse générale, elle englobe toute entité organisée liée directement ou indirectement à la sécurité nationale.</w:t>
      </w:r>
    </w:p>
    <w:p w:rsidR="00035770" w:rsidRDefault="00035770" w:rsidP="00035770">
      <w:pPr>
        <w:jc w:val="both"/>
        <w:rPr>
          <w:rFonts w:ascii="Times New Roman" w:hAnsi="Times New Roman" w:cs="Times New Roman"/>
          <w:sz w:val="24"/>
          <w:szCs w:val="24"/>
          <w:lang w:val="en-GB"/>
        </w:rPr>
      </w:pPr>
      <w:r w:rsidRPr="00133F29">
        <w:rPr>
          <w:rFonts w:ascii="Times New Roman" w:hAnsi="Times New Roman" w:cs="Times New Roman"/>
          <w:sz w:val="24"/>
          <w:szCs w:val="24"/>
        </w:rPr>
        <w:t xml:space="preserve">Des indicateurs pratiques et facilement repérables doivent être trouvés pour vérifier si une entité économique fait partie du système de sécurité nationale, ainsi que divers instruments permettant de </w:t>
      </w:r>
      <w:r w:rsidRPr="00133F29">
        <w:rPr>
          <w:rFonts w:ascii="Times New Roman" w:hAnsi="Times New Roman" w:cs="Times New Roman"/>
          <w:sz w:val="24"/>
          <w:szCs w:val="24"/>
        </w:rPr>
        <w:lastRenderedPageBreak/>
        <w:t>décider si oui ou non une entité économique (entreprise publique ou privée) fait partie de ce système.</w:t>
      </w:r>
      <w:r w:rsidRPr="00A73E74">
        <w:rPr>
          <w:rFonts w:ascii="Times New Roman" w:hAnsi="Times New Roman" w:cs="Times New Roman"/>
          <w:sz w:val="24"/>
          <w:szCs w:val="24"/>
        </w:rPr>
        <w:t xml:space="preserve"> </w:t>
      </w:r>
      <w:r w:rsidRPr="00133F29">
        <w:rPr>
          <w:rFonts w:ascii="Times New Roman" w:hAnsi="Times New Roman" w:cs="Times New Roman"/>
          <w:sz w:val="24"/>
          <w:szCs w:val="24"/>
        </w:rPr>
        <w:t>Les instruments à utiliser sont les suivants :</w:t>
      </w:r>
      <w:r w:rsidRPr="00133F29">
        <w:rPr>
          <w:rFonts w:ascii="Times New Roman" w:hAnsi="Times New Roman" w:cs="Times New Roman"/>
          <w:sz w:val="24"/>
          <w:szCs w:val="24"/>
          <w:lang w:val="en-GB"/>
        </w:rPr>
        <w:t xml:space="preserve"> </w:t>
      </w:r>
    </w:p>
    <w:p w:rsidR="00035770" w:rsidRPr="00133F29" w:rsidRDefault="00035770" w:rsidP="00035770">
      <w:pPr>
        <w:pStyle w:val="Paragraphedeliste"/>
        <w:numPr>
          <w:ilvl w:val="0"/>
          <w:numId w:val="40"/>
        </w:numPr>
        <w:suppressAutoHyphens w:val="0"/>
        <w:spacing w:after="160" w:line="259" w:lineRule="auto"/>
        <w:contextualSpacing/>
        <w:jc w:val="both"/>
        <w:rPr>
          <w:lang w:val="en-GB"/>
        </w:rPr>
      </w:pPr>
      <w:r w:rsidRPr="00133F29">
        <w:t>infrastructure fondamentale de l’État ;</w:t>
      </w:r>
    </w:p>
    <w:p w:rsidR="00035770" w:rsidRPr="00A73E74" w:rsidRDefault="00035770" w:rsidP="00035770">
      <w:pPr>
        <w:pStyle w:val="Paragraphedeliste"/>
        <w:numPr>
          <w:ilvl w:val="0"/>
          <w:numId w:val="40"/>
        </w:numPr>
        <w:suppressAutoHyphens w:val="0"/>
        <w:spacing w:after="160" w:line="259" w:lineRule="auto"/>
        <w:contextualSpacing/>
        <w:jc w:val="both"/>
      </w:pPr>
      <w:r w:rsidRPr="00133F29">
        <w:t>domaines stratégiques d’intérêt pour la sécurité nationale ; et</w:t>
      </w:r>
    </w:p>
    <w:p w:rsidR="00035770" w:rsidRPr="00A73E74" w:rsidRDefault="00035770" w:rsidP="00035770">
      <w:pPr>
        <w:pStyle w:val="Paragraphedeliste"/>
        <w:numPr>
          <w:ilvl w:val="0"/>
          <w:numId w:val="40"/>
        </w:numPr>
        <w:suppressAutoHyphens w:val="0"/>
        <w:spacing w:after="160" w:line="259" w:lineRule="auto"/>
        <w:contextualSpacing/>
        <w:jc w:val="both"/>
      </w:pPr>
      <w:r w:rsidRPr="00133F29">
        <w:t>risque / vulnérabilité pour la sécurité nationale découlant de l’insolvabilité de l’entreprise.</w:t>
      </w:r>
    </w:p>
    <w:p w:rsidR="00035770" w:rsidRPr="00A73E74" w:rsidRDefault="00035770" w:rsidP="00035770">
      <w:pPr>
        <w:jc w:val="both"/>
        <w:rPr>
          <w:rFonts w:ascii="Times New Roman" w:hAnsi="Times New Roman" w:cs="Times New Roman"/>
          <w:sz w:val="24"/>
          <w:szCs w:val="24"/>
        </w:rPr>
      </w:pPr>
      <w:r w:rsidRPr="00133F29">
        <w:rPr>
          <w:rFonts w:ascii="Times New Roman" w:hAnsi="Times New Roman" w:cs="Times New Roman"/>
          <w:sz w:val="24"/>
          <w:szCs w:val="24"/>
        </w:rPr>
        <w:t>De nos jours, en Roumanie, l’infrastructure fondamentale correspond à une liste des secteurs ICN</w:t>
      </w:r>
      <w:r w:rsidRPr="00133F29">
        <w:rPr>
          <w:rStyle w:val="Appelnotedebasdep"/>
          <w:sz w:val="24"/>
        </w:rPr>
        <w:footnoteReference w:id="32"/>
      </w:r>
      <w:r w:rsidRPr="00133F29">
        <w:rPr>
          <w:rFonts w:ascii="Times New Roman" w:hAnsi="Times New Roman" w:cs="Times New Roman"/>
          <w:sz w:val="24"/>
          <w:szCs w:val="24"/>
        </w:rPr>
        <w:t xml:space="preserve"> et des autorités compétentes, ce qui permet d’identifier facilement les entités débitrices qui relèvent de l’ICN.</w:t>
      </w:r>
      <w:r w:rsidRPr="00A73E74">
        <w:rPr>
          <w:rFonts w:ascii="Times New Roman" w:hAnsi="Times New Roman" w:cs="Times New Roman"/>
          <w:sz w:val="24"/>
          <w:szCs w:val="24"/>
        </w:rPr>
        <w:t xml:space="preserve"> </w:t>
      </w:r>
      <w:r w:rsidRPr="00133F29">
        <w:rPr>
          <w:rFonts w:ascii="Times New Roman" w:hAnsi="Times New Roman" w:cs="Times New Roman"/>
          <w:sz w:val="24"/>
          <w:szCs w:val="24"/>
        </w:rPr>
        <w:t>Cette liste comprend notamment les secteurs de l’énergie, des technologies de l’information et de la communication, l’approvisionnement en eau, l’alimentaire, la santé, la sécurité nationale, l’administration, les transports, l’industrie chimique et nucléaire, etc.</w:t>
      </w:r>
    </w:p>
    <w:p w:rsidR="00035770" w:rsidRPr="00A73E74" w:rsidRDefault="00035770" w:rsidP="00035770">
      <w:pPr>
        <w:jc w:val="both"/>
        <w:rPr>
          <w:rFonts w:ascii="Times New Roman" w:hAnsi="Times New Roman" w:cs="Times New Roman"/>
          <w:sz w:val="24"/>
          <w:szCs w:val="24"/>
        </w:rPr>
      </w:pPr>
      <w:r w:rsidRPr="00017F0B">
        <w:rPr>
          <w:rFonts w:ascii="Times New Roman" w:hAnsi="Times New Roman" w:cs="Times New Roman"/>
          <w:sz w:val="24"/>
          <w:szCs w:val="24"/>
        </w:rPr>
        <w:t>Pour ce qui est des domaines stratégiques présentant un intérêt pour la sécurité nationale, l’État a la possibilité, par le biais d’une décision gouvernementale, d’établir quelles sont les entités économiques qui entrent dans cette catégorie.</w:t>
      </w:r>
      <w:r w:rsidRPr="00A73E74">
        <w:rPr>
          <w:rFonts w:ascii="Times New Roman" w:hAnsi="Times New Roman" w:cs="Times New Roman"/>
          <w:sz w:val="24"/>
          <w:szCs w:val="24"/>
        </w:rPr>
        <w:t xml:space="preserve"> </w:t>
      </w:r>
      <w:r w:rsidRPr="00017F0B">
        <w:rPr>
          <w:rFonts w:ascii="Times New Roman" w:hAnsi="Times New Roman" w:cs="Times New Roman"/>
          <w:sz w:val="24"/>
          <w:szCs w:val="24"/>
        </w:rPr>
        <w:t>Les recherches effectuées ont également pris en considération les entreprises privées qui ont une grande importance pour le système de sécurité nationale, puisque toute discrimination entre les entreprises publiques et privées est préjudiciable à l’État.</w:t>
      </w:r>
    </w:p>
    <w:p w:rsidR="00035770" w:rsidRPr="00A73E74" w:rsidRDefault="00035770" w:rsidP="00035770">
      <w:pPr>
        <w:jc w:val="both"/>
        <w:rPr>
          <w:rFonts w:ascii="Times New Roman" w:hAnsi="Times New Roman" w:cs="Times New Roman"/>
          <w:sz w:val="24"/>
          <w:szCs w:val="24"/>
        </w:rPr>
      </w:pPr>
      <w:r w:rsidRPr="00017F0B">
        <w:rPr>
          <w:rFonts w:ascii="Times New Roman" w:hAnsi="Times New Roman" w:cs="Times New Roman"/>
          <w:sz w:val="24"/>
          <w:szCs w:val="24"/>
        </w:rPr>
        <w:t>Le dernier instrument, qui correspond au risque / vulnérabilité causé par une entreprise « stratégique » pour la sécurité nationale, permet d’analyser et de décider au niveau stratégique</w:t>
      </w:r>
      <w:r w:rsidRPr="00017F0B">
        <w:rPr>
          <w:rStyle w:val="Appelnotedebasdep"/>
          <w:sz w:val="24"/>
        </w:rPr>
        <w:footnoteReference w:id="33"/>
      </w:r>
      <w:r w:rsidRPr="00017F0B">
        <w:rPr>
          <w:rFonts w:ascii="Times New Roman" w:hAnsi="Times New Roman" w:cs="Times New Roman"/>
          <w:sz w:val="24"/>
          <w:szCs w:val="24"/>
        </w:rPr>
        <w:t xml:space="preserve"> quels peuvent être les effets de l’insolvabilité de ces entités en termes de sécurité nationale.</w:t>
      </w:r>
    </w:p>
    <w:p w:rsidR="00035770" w:rsidRPr="00A73E74" w:rsidRDefault="00035770" w:rsidP="00035770">
      <w:pPr>
        <w:jc w:val="both"/>
        <w:rPr>
          <w:rFonts w:ascii="Times New Roman" w:hAnsi="Times New Roman" w:cs="Times New Roman"/>
          <w:sz w:val="24"/>
          <w:szCs w:val="24"/>
        </w:rPr>
      </w:pPr>
      <w:r w:rsidRPr="00017F0B">
        <w:rPr>
          <w:rFonts w:ascii="Times New Roman" w:hAnsi="Times New Roman" w:cs="Times New Roman"/>
          <w:sz w:val="24"/>
          <w:szCs w:val="24"/>
        </w:rPr>
        <w:t>Grâce à cette analyse stratégique, l’État peut inclure dans le système de sécurité nationale les entités qui, du fait de leur liquidation, entraînent des risques et vulnérabilités importants pour la sécurité nationale.</w:t>
      </w:r>
      <w:r w:rsidRPr="00A73E74">
        <w:rPr>
          <w:rFonts w:ascii="Times New Roman" w:hAnsi="Times New Roman" w:cs="Times New Roman"/>
          <w:sz w:val="24"/>
          <w:szCs w:val="24"/>
        </w:rPr>
        <w:t xml:space="preserve"> </w:t>
      </w:r>
      <w:r w:rsidRPr="00017F0B">
        <w:rPr>
          <w:rFonts w:ascii="Times New Roman" w:hAnsi="Times New Roman" w:cs="Times New Roman"/>
          <w:sz w:val="24"/>
          <w:szCs w:val="24"/>
        </w:rPr>
        <w:t>Cette analyse stratégique porte également sur les moyens permettant à l’État d’assumer cette insolvabilité.</w:t>
      </w:r>
      <w:r w:rsidRPr="00A73E74">
        <w:rPr>
          <w:rFonts w:ascii="Times New Roman" w:hAnsi="Times New Roman" w:cs="Times New Roman"/>
          <w:sz w:val="24"/>
          <w:szCs w:val="24"/>
        </w:rPr>
        <w:t xml:space="preserve"> </w:t>
      </w:r>
      <w:r w:rsidRPr="00017F0B">
        <w:rPr>
          <w:rFonts w:ascii="Times New Roman" w:hAnsi="Times New Roman" w:cs="Times New Roman"/>
          <w:sz w:val="24"/>
          <w:szCs w:val="24"/>
        </w:rPr>
        <w:t xml:space="preserve">Cependant, il ne faut en aucun cas considérer le sauvetage d’entreprises par le biais d’une restructuration judiciaire </w:t>
      </w:r>
      <w:r>
        <w:rPr>
          <w:rFonts w:ascii="Times New Roman" w:hAnsi="Times New Roman" w:cs="Times New Roman"/>
          <w:sz w:val="24"/>
          <w:szCs w:val="24"/>
        </w:rPr>
        <w:t>comme</w:t>
      </w:r>
      <w:r w:rsidRPr="00017F0B">
        <w:rPr>
          <w:rFonts w:ascii="Times New Roman" w:hAnsi="Times New Roman" w:cs="Times New Roman"/>
          <w:sz w:val="24"/>
          <w:szCs w:val="24"/>
        </w:rPr>
        <w:t xml:space="preserve"> une aide de l’État.</w:t>
      </w:r>
      <w:r w:rsidRPr="00A73E74">
        <w:rPr>
          <w:rFonts w:ascii="Times New Roman" w:hAnsi="Times New Roman" w:cs="Times New Roman"/>
          <w:sz w:val="24"/>
          <w:szCs w:val="24"/>
        </w:rPr>
        <w:t xml:space="preserve"> </w:t>
      </w:r>
      <w:r w:rsidRPr="00017F0B">
        <w:rPr>
          <w:rFonts w:ascii="Times New Roman" w:hAnsi="Times New Roman" w:cs="Times New Roman"/>
          <w:sz w:val="24"/>
          <w:szCs w:val="24"/>
        </w:rPr>
        <w:t>Le succès de la restructuration dépend de la mise en œuvre d’une gestion efficace et des instruments de l’économie de marché prévus par la législation nationale et européenne.</w:t>
      </w:r>
    </w:p>
    <w:p w:rsidR="00035770" w:rsidRPr="00A73E74" w:rsidRDefault="00035770" w:rsidP="00035770">
      <w:pPr>
        <w:jc w:val="both"/>
        <w:rPr>
          <w:rFonts w:ascii="Times New Roman" w:hAnsi="Times New Roman" w:cs="Times New Roman"/>
          <w:sz w:val="24"/>
          <w:szCs w:val="24"/>
        </w:rPr>
      </w:pPr>
      <w:r w:rsidRPr="00017F0B">
        <w:rPr>
          <w:rFonts w:ascii="Times New Roman" w:hAnsi="Times New Roman" w:cs="Times New Roman"/>
          <w:sz w:val="24"/>
          <w:szCs w:val="24"/>
        </w:rPr>
        <w:t xml:space="preserve">Pour ce qui est de la seconde question, à savoir « comment structurer la dimension de gestion de l’‘insolvabilité stratégique’ », il faut établir un </w:t>
      </w:r>
      <w:r w:rsidRPr="00017F0B">
        <w:rPr>
          <w:rFonts w:ascii="Times New Roman" w:hAnsi="Times New Roman" w:cs="Times New Roman"/>
          <w:i/>
          <w:sz w:val="24"/>
          <w:szCs w:val="24"/>
        </w:rPr>
        <w:t xml:space="preserve">modèle de gestion </w:t>
      </w:r>
      <w:r w:rsidRPr="00017F0B">
        <w:rPr>
          <w:rFonts w:ascii="Times New Roman" w:hAnsi="Times New Roman" w:cs="Times New Roman"/>
          <w:sz w:val="24"/>
          <w:szCs w:val="24"/>
        </w:rPr>
        <w:t xml:space="preserve">capable d’apporter une vision cohérente de la mise en œuvre de mesures nécessaires au redressement du débiteur, et développer un style de gestion qui soit à la fois direct, proactif, visionnaire et assumé, mais également </w:t>
      </w:r>
      <w:r>
        <w:rPr>
          <w:rFonts w:ascii="Times New Roman" w:hAnsi="Times New Roman" w:cs="Times New Roman"/>
          <w:sz w:val="24"/>
          <w:szCs w:val="24"/>
        </w:rPr>
        <w:t>actif</w:t>
      </w:r>
      <w:r w:rsidRPr="00017F0B">
        <w:rPr>
          <w:rFonts w:ascii="Times New Roman" w:hAnsi="Times New Roman" w:cs="Times New Roman"/>
          <w:sz w:val="24"/>
          <w:szCs w:val="24"/>
        </w:rPr>
        <w:t xml:space="preserve"> à tous les niveaux de la société.</w:t>
      </w:r>
    </w:p>
    <w:p w:rsidR="00035770" w:rsidRPr="00A73E74" w:rsidRDefault="00035770" w:rsidP="00035770">
      <w:pPr>
        <w:jc w:val="both"/>
        <w:rPr>
          <w:rFonts w:ascii="Times New Roman" w:hAnsi="Times New Roman" w:cs="Times New Roman"/>
          <w:sz w:val="24"/>
          <w:szCs w:val="24"/>
        </w:rPr>
      </w:pPr>
      <w:r w:rsidRPr="00017F0B">
        <w:rPr>
          <w:rFonts w:ascii="Times New Roman" w:hAnsi="Times New Roman" w:cs="Times New Roman"/>
          <w:sz w:val="24"/>
          <w:szCs w:val="24"/>
        </w:rPr>
        <w:t xml:space="preserve">Ainsi, la </w:t>
      </w:r>
      <w:r w:rsidRPr="00017F0B">
        <w:rPr>
          <w:rFonts w:ascii="Times New Roman" w:hAnsi="Times New Roman" w:cs="Times New Roman"/>
          <w:i/>
          <w:sz w:val="24"/>
          <w:szCs w:val="24"/>
        </w:rPr>
        <w:t>gestion de l’insolvabilité stratégique</w:t>
      </w:r>
      <w:r w:rsidRPr="00017F0B">
        <w:rPr>
          <w:rFonts w:ascii="Times New Roman" w:hAnsi="Times New Roman" w:cs="Times New Roman"/>
          <w:sz w:val="24"/>
          <w:szCs w:val="24"/>
        </w:rPr>
        <w:t xml:space="preserve"> doit traiter la crise et les situations à risque en élaborant des instruments de gestion propres à cette branche, permettant au praticien de l’insolvabilité de mettre directement en œuvre les mesures qu’il estime nécessaires.</w:t>
      </w:r>
    </w:p>
    <w:p w:rsidR="00035770" w:rsidRPr="00A73E74" w:rsidRDefault="00035770" w:rsidP="00035770">
      <w:pPr>
        <w:jc w:val="both"/>
        <w:rPr>
          <w:rFonts w:ascii="Times New Roman" w:hAnsi="Times New Roman" w:cs="Times New Roman"/>
          <w:sz w:val="24"/>
          <w:szCs w:val="24"/>
        </w:rPr>
      </w:pPr>
      <w:r w:rsidRPr="00017F0B">
        <w:rPr>
          <w:rFonts w:ascii="Times New Roman" w:hAnsi="Times New Roman" w:cs="Times New Roman"/>
          <w:sz w:val="24"/>
          <w:szCs w:val="24"/>
        </w:rPr>
        <w:lastRenderedPageBreak/>
        <w:t xml:space="preserve">De ce point de vue, les </w:t>
      </w:r>
      <w:r w:rsidRPr="00017F0B">
        <w:rPr>
          <w:rFonts w:ascii="Times New Roman" w:hAnsi="Times New Roman" w:cs="Times New Roman"/>
          <w:i/>
          <w:sz w:val="24"/>
          <w:szCs w:val="24"/>
        </w:rPr>
        <w:t>concepts de risque et d’analyse des risques</w:t>
      </w:r>
      <w:r w:rsidRPr="00017F0B">
        <w:rPr>
          <w:rFonts w:ascii="Times New Roman" w:hAnsi="Times New Roman" w:cs="Times New Roman"/>
          <w:sz w:val="24"/>
          <w:szCs w:val="24"/>
        </w:rPr>
        <w:t xml:space="preserve"> prennent toute leur importance dans les démarches entreprises pour élaborer ce modèle de gestion, car ils sont la base non seulement de la gestion, mais également des propositions concernant les étapes du processus et la structure du plan de documentation de gestion des risques que propose la thèse de doctorat mentionnée ci-dessus (voir note de bas de 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NOTEREF _Ref511305307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Pr="00017F0B">
        <w:rPr>
          <w:rFonts w:ascii="Times New Roman" w:hAnsi="Times New Roman" w:cs="Times New Roman"/>
          <w:sz w:val="24"/>
          <w:szCs w:val="24"/>
        </w:rPr>
        <w:t>).</w:t>
      </w:r>
    </w:p>
    <w:p w:rsidR="00035770" w:rsidRPr="00A73E74" w:rsidRDefault="00035770" w:rsidP="00035770">
      <w:pPr>
        <w:jc w:val="both"/>
        <w:rPr>
          <w:rFonts w:ascii="Times New Roman" w:hAnsi="Times New Roman" w:cs="Times New Roman"/>
          <w:sz w:val="24"/>
          <w:szCs w:val="24"/>
        </w:rPr>
      </w:pPr>
      <w:r w:rsidRPr="00017F0B">
        <w:rPr>
          <w:rFonts w:ascii="Times New Roman" w:hAnsi="Times New Roman" w:cs="Times New Roman"/>
          <w:b/>
          <w:sz w:val="24"/>
          <w:szCs w:val="24"/>
        </w:rPr>
        <w:t>Conclusion</w:t>
      </w:r>
      <w:r w:rsidRPr="00A73E74">
        <w:rPr>
          <w:rFonts w:ascii="Times New Roman" w:hAnsi="Times New Roman" w:cs="Times New Roman"/>
          <w:sz w:val="24"/>
          <w:szCs w:val="24"/>
        </w:rPr>
        <w:t xml:space="preserve"> </w:t>
      </w:r>
    </w:p>
    <w:p w:rsidR="00035770" w:rsidRPr="00A73E74" w:rsidRDefault="00035770" w:rsidP="00035770">
      <w:pPr>
        <w:jc w:val="both"/>
        <w:rPr>
          <w:rFonts w:ascii="Times New Roman" w:hAnsi="Times New Roman" w:cs="Times New Roman"/>
          <w:sz w:val="24"/>
          <w:szCs w:val="24"/>
        </w:rPr>
      </w:pPr>
      <w:r w:rsidRPr="002C1D49">
        <w:rPr>
          <w:rFonts w:ascii="Times New Roman" w:hAnsi="Times New Roman" w:cs="Times New Roman"/>
          <w:sz w:val="24"/>
          <w:szCs w:val="24"/>
        </w:rPr>
        <w:t>En conclusion, la gestion de l’</w:t>
      </w:r>
      <w:r w:rsidRPr="00FF6BB6">
        <w:rPr>
          <w:rFonts w:ascii="Times New Roman" w:hAnsi="Times New Roman" w:cs="Times New Roman"/>
          <w:i/>
          <w:sz w:val="24"/>
          <w:szCs w:val="24"/>
        </w:rPr>
        <w:t>insolvabilité stratégique</w:t>
      </w:r>
      <w:r w:rsidRPr="002C1D49">
        <w:rPr>
          <w:rFonts w:ascii="Times New Roman" w:hAnsi="Times New Roman" w:cs="Times New Roman"/>
          <w:sz w:val="24"/>
          <w:szCs w:val="24"/>
        </w:rPr>
        <w:t xml:space="preserve"> peut </w:t>
      </w:r>
      <w:r>
        <w:rPr>
          <w:rFonts w:ascii="Times New Roman" w:hAnsi="Times New Roman" w:cs="Times New Roman"/>
          <w:sz w:val="24"/>
          <w:szCs w:val="24"/>
        </w:rPr>
        <w:t>aboutir</w:t>
      </w:r>
      <w:r w:rsidRPr="002C1D49">
        <w:rPr>
          <w:rFonts w:ascii="Times New Roman" w:hAnsi="Times New Roman" w:cs="Times New Roman"/>
          <w:sz w:val="24"/>
          <w:szCs w:val="24"/>
        </w:rPr>
        <w:t xml:space="preserve"> à la fois </w:t>
      </w:r>
      <w:r>
        <w:rPr>
          <w:rFonts w:ascii="Times New Roman" w:hAnsi="Times New Roman" w:cs="Times New Roman"/>
          <w:sz w:val="24"/>
          <w:szCs w:val="24"/>
        </w:rPr>
        <w:t>au</w:t>
      </w:r>
      <w:r w:rsidRPr="002C1D49">
        <w:rPr>
          <w:rFonts w:ascii="Times New Roman" w:hAnsi="Times New Roman" w:cs="Times New Roman"/>
          <w:sz w:val="24"/>
          <w:szCs w:val="24"/>
        </w:rPr>
        <w:t xml:space="preserve"> développement des compétences du praticien de l’insolvabilité et, bien entendu, </w:t>
      </w:r>
      <w:r>
        <w:rPr>
          <w:rFonts w:ascii="Times New Roman" w:hAnsi="Times New Roman" w:cs="Times New Roman"/>
          <w:sz w:val="24"/>
          <w:szCs w:val="24"/>
        </w:rPr>
        <w:t>au</w:t>
      </w:r>
      <w:r w:rsidRPr="002C1D49">
        <w:rPr>
          <w:rFonts w:ascii="Times New Roman" w:hAnsi="Times New Roman" w:cs="Times New Roman"/>
          <w:sz w:val="24"/>
          <w:szCs w:val="24"/>
        </w:rPr>
        <w:t xml:space="preserve"> redressement de l’entreprise débitrice par le biais d’une réorganisation, et </w:t>
      </w:r>
      <w:r>
        <w:rPr>
          <w:rFonts w:ascii="Times New Roman" w:hAnsi="Times New Roman" w:cs="Times New Roman"/>
          <w:sz w:val="24"/>
          <w:szCs w:val="24"/>
        </w:rPr>
        <w:t xml:space="preserve">à </w:t>
      </w:r>
      <w:r w:rsidRPr="002C1D49">
        <w:rPr>
          <w:rFonts w:ascii="Times New Roman" w:hAnsi="Times New Roman" w:cs="Times New Roman"/>
          <w:sz w:val="24"/>
          <w:szCs w:val="24"/>
        </w:rPr>
        <w:t>sa réintégration dans le circuit économique, dans le cadre du système de sécurité nationale.</w:t>
      </w:r>
    </w:p>
    <w:p w:rsidR="00035770" w:rsidRPr="00A73E74" w:rsidRDefault="00035770" w:rsidP="00035770">
      <w:pPr>
        <w:jc w:val="both"/>
        <w:rPr>
          <w:rFonts w:ascii="Times New Roman" w:hAnsi="Times New Roman" w:cs="Times New Roman"/>
          <w:sz w:val="24"/>
          <w:szCs w:val="24"/>
        </w:rPr>
      </w:pPr>
      <w:r w:rsidRPr="002C1D49">
        <w:rPr>
          <w:rFonts w:ascii="Times New Roman" w:hAnsi="Times New Roman" w:cs="Times New Roman"/>
          <w:sz w:val="24"/>
          <w:szCs w:val="24"/>
        </w:rPr>
        <w:t>Le concept d’« insolvabilité stratégique » suscitera certainement d’autres débats et prises de position de spécialistes en la matière</w:t>
      </w:r>
      <w:r w:rsidRPr="002C1D49">
        <w:rPr>
          <w:rStyle w:val="Appelnotedebasdep"/>
          <w:sz w:val="24"/>
        </w:rPr>
        <w:footnoteReference w:id="34"/>
      </w:r>
      <w:r w:rsidRPr="002C1D49">
        <w:rPr>
          <w:rFonts w:ascii="Times New Roman" w:hAnsi="Times New Roman" w:cs="Times New Roman"/>
          <w:sz w:val="24"/>
          <w:szCs w:val="24"/>
        </w:rPr>
        <w:t>.</w:t>
      </w:r>
      <w:r w:rsidRPr="00A73E74">
        <w:rPr>
          <w:rFonts w:ascii="Times New Roman" w:hAnsi="Times New Roman" w:cs="Times New Roman"/>
          <w:sz w:val="24"/>
          <w:szCs w:val="24"/>
        </w:rPr>
        <w:t xml:space="preserve"> </w:t>
      </w:r>
      <w:r w:rsidRPr="002C1D49">
        <w:rPr>
          <w:rFonts w:ascii="Times New Roman" w:hAnsi="Times New Roman" w:cs="Times New Roman"/>
          <w:sz w:val="24"/>
          <w:szCs w:val="24"/>
        </w:rPr>
        <w:t>Même si, en ce moment, les praticiens de l’insolvabilité ont des difficultés à comprendre la gestion de l’insolvabilité comme une question de sécurité, les nouvelles réalités géo-économiques, auxquelles s’ajoute le souhait des États de garantir la sécurité économique, aboutiront sûrement à l’acceptation de ce concept comme étant une solution viable pour les secteurs économiques qui ont des répercussions directes sur la sécurité nationale.</w:t>
      </w:r>
    </w:p>
    <w:p w:rsidR="00035770" w:rsidRPr="00A73E74" w:rsidRDefault="00035770" w:rsidP="00035770">
      <w:pPr>
        <w:jc w:val="both"/>
        <w:rPr>
          <w:rFonts w:ascii="Times New Roman" w:hAnsi="Times New Roman" w:cs="Times New Roman"/>
          <w:sz w:val="24"/>
          <w:szCs w:val="24"/>
        </w:rPr>
      </w:pPr>
      <w:r w:rsidRPr="002C1D49">
        <w:rPr>
          <w:rFonts w:ascii="Times New Roman" w:hAnsi="Times New Roman" w:cs="Times New Roman"/>
          <w:sz w:val="24"/>
          <w:szCs w:val="24"/>
        </w:rPr>
        <w:t xml:space="preserve">À titre d’exemple, le succès de la réorganisation de </w:t>
      </w:r>
      <w:r w:rsidRPr="002C1D49">
        <w:rPr>
          <w:rFonts w:ascii="Times New Roman" w:hAnsi="Times New Roman" w:cs="Times New Roman"/>
          <w:i/>
          <w:sz w:val="24"/>
          <w:szCs w:val="24"/>
        </w:rPr>
        <w:t>Hidroelectrica</w:t>
      </w:r>
      <w:r w:rsidRPr="002C1D49">
        <w:rPr>
          <w:rStyle w:val="Appelnotedebasdep"/>
          <w:i/>
          <w:sz w:val="24"/>
        </w:rPr>
        <w:footnoteReference w:id="35"/>
      </w:r>
      <w:r w:rsidRPr="002C1D49">
        <w:rPr>
          <w:rFonts w:ascii="Times New Roman" w:hAnsi="Times New Roman" w:cs="Times New Roman"/>
          <w:sz w:val="24"/>
          <w:szCs w:val="24"/>
        </w:rPr>
        <w:t xml:space="preserve"> est principalement dû au fait que l’administrateur judiciaire a pu gérer directement tous les niveaux de l’entreprise, et à</w:t>
      </w:r>
      <w:r>
        <w:rPr>
          <w:rFonts w:ascii="Times New Roman" w:hAnsi="Times New Roman" w:cs="Times New Roman"/>
          <w:sz w:val="24"/>
          <w:szCs w:val="24"/>
        </w:rPr>
        <w:t xml:space="preserve"> un </w:t>
      </w:r>
      <w:r w:rsidRPr="002C1D49">
        <w:rPr>
          <w:rFonts w:ascii="Times New Roman" w:hAnsi="Times New Roman" w:cs="Times New Roman"/>
          <w:sz w:val="24"/>
          <w:szCs w:val="24"/>
        </w:rPr>
        <w:t>changement d’attitude et de mentalité</w:t>
      </w:r>
      <w:r>
        <w:rPr>
          <w:rFonts w:ascii="Times New Roman" w:hAnsi="Times New Roman" w:cs="Times New Roman"/>
          <w:sz w:val="24"/>
          <w:szCs w:val="24"/>
        </w:rPr>
        <w:t xml:space="preserve"> dans l’entreprise</w:t>
      </w:r>
      <w:r w:rsidRPr="002C1D49">
        <w:rPr>
          <w:rFonts w:ascii="Times New Roman" w:hAnsi="Times New Roman" w:cs="Times New Roman"/>
          <w:sz w:val="24"/>
          <w:szCs w:val="24"/>
        </w:rPr>
        <w:t xml:space="preserve">, non seulement </w:t>
      </w:r>
      <w:r>
        <w:rPr>
          <w:rFonts w:ascii="Times New Roman" w:hAnsi="Times New Roman" w:cs="Times New Roman"/>
          <w:sz w:val="24"/>
          <w:szCs w:val="24"/>
        </w:rPr>
        <w:t xml:space="preserve">de la part </w:t>
      </w:r>
      <w:r w:rsidRPr="002C1D49">
        <w:rPr>
          <w:rFonts w:ascii="Times New Roman" w:hAnsi="Times New Roman" w:cs="Times New Roman"/>
          <w:sz w:val="24"/>
          <w:szCs w:val="24"/>
        </w:rPr>
        <w:t>des hauts dirigeants, mais aussi de ceux situés à des niveaux intermédiaires.</w:t>
      </w:r>
    </w:p>
    <w:p w:rsidR="00035770" w:rsidRPr="00A73E74" w:rsidRDefault="00035770" w:rsidP="00035770">
      <w:pPr>
        <w:jc w:val="both"/>
        <w:rPr>
          <w:rFonts w:ascii="Times New Roman" w:hAnsi="Times New Roman" w:cs="Times New Roman"/>
          <w:sz w:val="24"/>
          <w:szCs w:val="24"/>
        </w:rPr>
      </w:pPr>
      <w:r w:rsidRPr="002C1D49">
        <w:rPr>
          <w:rFonts w:ascii="Times New Roman" w:hAnsi="Times New Roman" w:cs="Times New Roman"/>
          <w:sz w:val="24"/>
          <w:szCs w:val="24"/>
        </w:rPr>
        <w:t>En conclusion, la « sauvegarde des entreprises d’intérêt stratégique » contre l’insolvabilité ne doit pas être comprise ni associée à l’idée d’« aide de l’État », car l’État ne fait que reconnaître l’importance de ces entreprises en termes de sécurité nationale et démontre la flexibilité assumée dans la mise en œuvre des mesures économiques nécessaires au retour de l’entreprise débitrice dans le circuit économique.</w:t>
      </w:r>
      <w:r w:rsidRPr="00A73E74">
        <w:rPr>
          <w:rFonts w:ascii="Times New Roman" w:hAnsi="Times New Roman" w:cs="Times New Roman"/>
          <w:sz w:val="24"/>
          <w:szCs w:val="24"/>
        </w:rPr>
        <w:t xml:space="preserve"> </w:t>
      </w:r>
    </w:p>
    <w:p w:rsidR="00035770" w:rsidRPr="009A1930" w:rsidRDefault="00035770" w:rsidP="00035770">
      <w:pPr>
        <w:jc w:val="both"/>
        <w:rPr>
          <w:rFonts w:ascii="Arial Narrow" w:hAnsi="Arial Narrow" w:cs="Times New Roman"/>
          <w:i/>
          <w:sz w:val="24"/>
          <w:szCs w:val="24"/>
        </w:rPr>
      </w:pPr>
      <w:r>
        <w:rPr>
          <w:rFonts w:ascii="Arial Narrow" w:hAnsi="Arial Narrow" w:cs="Times New Roman"/>
          <w:i/>
          <w:sz w:val="24"/>
          <w:szCs w:val="24"/>
        </w:rPr>
        <w:t xml:space="preserve">                                                           </w:t>
      </w:r>
      <w:r w:rsidRPr="002C1D49">
        <w:rPr>
          <w:rFonts w:ascii="Arial Narrow" w:hAnsi="Arial Narrow" w:cs="Times New Roman"/>
          <w:i/>
          <w:sz w:val="24"/>
          <w:szCs w:val="24"/>
        </w:rPr>
        <w:t>*Nicoleta Munteanu, Praticienne coordinatrice, Euro Insol SPRL</w:t>
      </w:r>
    </w:p>
    <w:p w:rsidR="003B5B5D" w:rsidRPr="009A1930" w:rsidRDefault="00035770" w:rsidP="00035770">
      <w:pPr>
        <w:suppressAutoHyphens/>
        <w:spacing w:after="0" w:line="240" w:lineRule="auto"/>
        <w:jc w:val="center"/>
        <w:rPr>
          <w:rFonts w:ascii="Times New Roman" w:eastAsia="Times New Roman" w:hAnsi="Times New Roman" w:cs="Times New Roman"/>
          <w:sz w:val="24"/>
          <w:szCs w:val="24"/>
          <w:lang w:eastAsia="ar-SA"/>
        </w:rPr>
      </w:pPr>
      <w:r w:rsidRPr="009A1930">
        <w:rPr>
          <w:rFonts w:ascii="Times New Roman" w:eastAsia="Times New Roman" w:hAnsi="Times New Roman" w:cs="Times New Roman"/>
          <w:sz w:val="24"/>
          <w:szCs w:val="24"/>
          <w:lang w:eastAsia="ar-SA"/>
        </w:rPr>
        <w:t>x  x  x</w:t>
      </w:r>
    </w:p>
    <w:p w:rsidR="00035770" w:rsidRPr="009A1930" w:rsidRDefault="00035770" w:rsidP="00035770">
      <w:pPr>
        <w:suppressAutoHyphens/>
        <w:spacing w:after="0" w:line="240" w:lineRule="auto"/>
        <w:jc w:val="center"/>
        <w:rPr>
          <w:rFonts w:ascii="Arial Narrow" w:eastAsia="Times New Roman" w:hAnsi="Arial Narrow" w:cs="Times New Roman"/>
          <w:b/>
          <w:sz w:val="32"/>
          <w:szCs w:val="32"/>
          <w:lang w:eastAsia="ar-SA"/>
        </w:rPr>
      </w:pPr>
      <w:r w:rsidRPr="009A1930">
        <w:rPr>
          <w:rFonts w:ascii="Times New Roman" w:eastAsia="Times New Roman" w:hAnsi="Times New Roman" w:cs="Times New Roman"/>
          <w:sz w:val="24"/>
          <w:szCs w:val="24"/>
          <w:lang w:eastAsia="ar-SA"/>
        </w:rPr>
        <w:t>x</w:t>
      </w:r>
    </w:p>
    <w:p w:rsidR="003B5B5D" w:rsidRPr="009A1930" w:rsidRDefault="003B5B5D" w:rsidP="003B5B5D">
      <w:pPr>
        <w:suppressAutoHyphens/>
        <w:spacing w:after="0" w:line="240" w:lineRule="auto"/>
        <w:jc w:val="both"/>
        <w:rPr>
          <w:rFonts w:ascii="Arial Narrow" w:eastAsia="Times New Roman" w:hAnsi="Arial Narrow" w:cs="Times New Roman"/>
          <w:b/>
          <w:sz w:val="32"/>
          <w:szCs w:val="32"/>
          <w:lang w:eastAsia="ar-SA"/>
        </w:rPr>
      </w:pPr>
    </w:p>
    <w:p w:rsidR="003B5B5D" w:rsidRPr="009A1930" w:rsidRDefault="003B5B5D" w:rsidP="003B5B5D">
      <w:pPr>
        <w:suppressAutoHyphens/>
        <w:spacing w:after="0" w:line="240" w:lineRule="auto"/>
        <w:jc w:val="both"/>
        <w:rPr>
          <w:rFonts w:ascii="Arial Narrow" w:eastAsia="Times New Roman" w:hAnsi="Arial Narrow" w:cs="Times New Roman"/>
          <w:b/>
          <w:sz w:val="32"/>
          <w:szCs w:val="32"/>
          <w:lang w:eastAsia="ar-SA"/>
        </w:rPr>
      </w:pPr>
    </w:p>
    <w:p w:rsidR="00035770" w:rsidRPr="009A1930" w:rsidRDefault="00035770" w:rsidP="003B5B5D">
      <w:pPr>
        <w:suppressAutoHyphens/>
        <w:spacing w:after="0" w:line="240" w:lineRule="auto"/>
        <w:jc w:val="both"/>
        <w:rPr>
          <w:rFonts w:ascii="Arial Narrow" w:eastAsia="Times New Roman" w:hAnsi="Arial Narrow" w:cs="Times New Roman"/>
          <w:b/>
          <w:sz w:val="32"/>
          <w:szCs w:val="32"/>
          <w:lang w:eastAsia="ar-SA"/>
        </w:rPr>
      </w:pPr>
    </w:p>
    <w:p w:rsidR="00035770" w:rsidRPr="009A1930" w:rsidRDefault="00035770" w:rsidP="003B5B5D">
      <w:pPr>
        <w:suppressAutoHyphens/>
        <w:spacing w:after="0" w:line="240" w:lineRule="auto"/>
        <w:jc w:val="both"/>
        <w:rPr>
          <w:rFonts w:ascii="Arial Narrow" w:eastAsia="Times New Roman" w:hAnsi="Arial Narrow" w:cs="Times New Roman"/>
          <w:b/>
          <w:sz w:val="32"/>
          <w:szCs w:val="32"/>
          <w:lang w:eastAsia="ar-SA"/>
        </w:rPr>
      </w:pPr>
    </w:p>
    <w:p w:rsidR="00035770" w:rsidRPr="009A1930" w:rsidRDefault="00035770" w:rsidP="003B5B5D">
      <w:pPr>
        <w:suppressAutoHyphens/>
        <w:spacing w:after="0" w:line="240" w:lineRule="auto"/>
        <w:jc w:val="both"/>
        <w:rPr>
          <w:rFonts w:ascii="Arial Narrow" w:eastAsia="Times New Roman" w:hAnsi="Arial Narrow" w:cs="Times New Roman"/>
          <w:b/>
          <w:sz w:val="32"/>
          <w:szCs w:val="32"/>
          <w:lang w:eastAsia="ar-SA"/>
        </w:rPr>
      </w:pP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32"/>
          <w:lang w:eastAsia="fr-FR"/>
        </w:rPr>
      </w:pPr>
      <w:r w:rsidRPr="0077507B">
        <w:rPr>
          <w:rFonts w:ascii="Times New Roman" w:eastAsia="Times New Roman" w:hAnsi="Times New Roman" w:cs="Times New Roman"/>
          <w:b/>
          <w:sz w:val="24"/>
          <w:szCs w:val="32"/>
          <w:lang w:eastAsia="fr-FR"/>
        </w:rPr>
        <w:lastRenderedPageBreak/>
        <w:t xml:space="preserve">Le prix « Richard Turton »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0"/>
          <w:lang w:eastAsia="fr-FR"/>
        </w:rPr>
      </w:pPr>
      <w:r w:rsidRPr="0077507B">
        <w:rPr>
          <w:rFonts w:ascii="Times New Roman" w:eastAsia="Times New Roman" w:hAnsi="Times New Roman" w:cs="Times New Roman"/>
          <w:b/>
          <w:bCs/>
          <w:sz w:val="24"/>
          <w:szCs w:val="20"/>
          <w:lang w:eastAsia="fr-FR"/>
        </w:rPr>
        <w:t>Parrainé par INSOL Europe, INSOL International, The Insolvency Practitioners Association et R3</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0"/>
          <w:lang w:eastAsia="fr-FR"/>
        </w:rPr>
      </w:pP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100" w:lineRule="atLeast"/>
        <w:ind w:firstLine="708"/>
        <w:jc w:val="both"/>
        <w:rPr>
          <w:rFonts w:ascii="Times New Roman" w:eastAsia="Courier 10cpi" w:hAnsi="Times New Roman" w:cs="Courier 10cpi"/>
          <w:color w:val="010101"/>
          <w:sz w:val="24"/>
          <w:szCs w:val="20"/>
          <w:lang w:eastAsia="fr-FR"/>
        </w:rPr>
      </w:pPr>
      <w:r w:rsidRPr="0077507B">
        <w:rPr>
          <w:rFonts w:ascii="Times New Roman" w:eastAsia="Courier 10cpi" w:hAnsi="Times New Roman" w:cs="Courier 10cpi"/>
          <w:color w:val="010101"/>
          <w:sz w:val="24"/>
          <w:szCs w:val="20"/>
          <w:lang w:eastAsia="fr-FR"/>
        </w:rPr>
        <w:t>Richard Turton a joué un rôle exceptionnel dans la création et la direction d'Insol Europe, Insol International, l'</w:t>
      </w:r>
      <w:r w:rsidRPr="0077507B">
        <w:rPr>
          <w:rFonts w:ascii="Times New Roman" w:eastAsia="Courier 10cpi" w:hAnsi="Times New Roman" w:cs="Courier 10cpi"/>
          <w:i/>
          <w:iCs/>
          <w:color w:val="010101"/>
          <w:sz w:val="24"/>
          <w:szCs w:val="20"/>
          <w:lang w:eastAsia="fr-FR"/>
        </w:rPr>
        <w:t>Insolvency Practitioners Association</w:t>
      </w:r>
      <w:r w:rsidRPr="0077507B">
        <w:rPr>
          <w:rFonts w:ascii="Times New Roman" w:eastAsia="Courier 10cpi" w:hAnsi="Times New Roman" w:cs="Courier 10cpi"/>
          <w:color w:val="010101"/>
          <w:sz w:val="24"/>
          <w:szCs w:val="20"/>
          <w:lang w:eastAsia="fr-FR"/>
        </w:rPr>
        <w:t>, et R3, l'association des professionnels du redressement d'entreprises au Royaume-Uni. Ces quatre organisations, en reconnaissance de ses réalisations, ont conjointement créé un prix à sa mémoire. Le Prix Richard Turton sera attribué annuellement à un participant remplissant les conditions requises, lui permettant de compléter sa formation en participant à la conférence annuelle d'Insol Europe.</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100" w:lineRule="atLeast"/>
        <w:ind w:firstLine="708"/>
        <w:jc w:val="both"/>
        <w:rPr>
          <w:rFonts w:ascii="Times New Roman" w:eastAsia="Courier 10cpi" w:hAnsi="Times New Roman" w:cs="Courier 10cpi"/>
          <w:color w:val="010101"/>
          <w:sz w:val="24"/>
          <w:szCs w:val="20"/>
          <w:lang w:eastAsia="fr-FR"/>
        </w:rPr>
      </w:pPr>
      <w:r w:rsidRPr="0077507B">
        <w:rPr>
          <w:rFonts w:ascii="Times New Roman" w:eastAsia="Courier 10cpi" w:hAnsi="Times New Roman" w:cs="Courier 10cpi"/>
          <w:color w:val="010101"/>
          <w:sz w:val="24"/>
          <w:szCs w:val="20"/>
          <w:lang w:eastAsia="fr-FR"/>
        </w:rPr>
        <w:t>En reconnaissance des aspects qui présentaient un intérêt particulier pour Richard, le prix est ouvert aux candidats remplissant les conditions suivantes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100" w:lineRule="atLeast"/>
        <w:jc w:val="both"/>
        <w:rPr>
          <w:rFonts w:ascii="Times New Roman" w:eastAsia="Courier 10cpi" w:hAnsi="Times New Roman" w:cs="Courier 10cpi"/>
          <w:color w:val="010101"/>
          <w:sz w:val="24"/>
          <w:szCs w:val="20"/>
          <w:lang w:eastAsia="fr-FR"/>
        </w:rPr>
      </w:pPr>
      <w:r w:rsidRPr="0077507B">
        <w:rPr>
          <w:rFonts w:ascii="Times New Roman" w:eastAsia="Courier 10cpi" w:hAnsi="Times New Roman" w:cs="Courier 10cpi"/>
          <w:color w:val="010101"/>
          <w:sz w:val="24"/>
          <w:szCs w:val="20"/>
          <w:lang w:eastAsia="fr-FR"/>
        </w:rPr>
        <w:t>- travailler dans un pays en développement ou émergent, et en avoir la nationalité;</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100" w:lineRule="atLeast"/>
        <w:jc w:val="both"/>
        <w:rPr>
          <w:rFonts w:ascii="Times New Roman" w:eastAsia="Courier 10cpi" w:hAnsi="Times New Roman" w:cs="Courier 10cpi"/>
          <w:color w:val="010101"/>
          <w:sz w:val="24"/>
          <w:szCs w:val="20"/>
          <w:lang w:eastAsia="fr-FR"/>
        </w:rPr>
      </w:pPr>
      <w:r w:rsidRPr="0077507B">
        <w:rPr>
          <w:rFonts w:ascii="Times New Roman" w:eastAsia="Courier 10cpi" w:hAnsi="Times New Roman" w:cs="Courier 10cpi"/>
          <w:color w:val="010101"/>
          <w:sz w:val="24"/>
          <w:szCs w:val="20"/>
          <w:lang w:eastAsia="fr-FR"/>
        </w:rPr>
        <w:t>- travailler dans le droit ou la pratique de l'insolvabilité, ou les étudier activement;</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100" w:lineRule="atLeast"/>
        <w:jc w:val="both"/>
        <w:rPr>
          <w:rFonts w:ascii="Times New Roman" w:eastAsia="Courier 10cpi" w:hAnsi="Times New Roman" w:cs="Courier 10cpi"/>
          <w:color w:val="010101"/>
          <w:sz w:val="24"/>
          <w:szCs w:val="20"/>
          <w:lang w:eastAsia="fr-FR"/>
        </w:rPr>
      </w:pPr>
      <w:r w:rsidRPr="0077507B">
        <w:rPr>
          <w:rFonts w:ascii="Times New Roman" w:eastAsia="Courier 10cpi" w:hAnsi="Times New Roman" w:cs="Courier 10cpi"/>
          <w:color w:val="010101"/>
          <w:sz w:val="24"/>
          <w:szCs w:val="20"/>
          <w:lang w:eastAsia="fr-FR"/>
        </w:rPr>
        <w:t>- être âgé de moins de 35 ans à la date de la candidature;</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100" w:lineRule="atLeast"/>
        <w:jc w:val="both"/>
        <w:rPr>
          <w:rFonts w:ascii="Times New Roman" w:eastAsia="Courier 10cpi" w:hAnsi="Times New Roman" w:cs="Courier 10cpi"/>
          <w:color w:val="010101"/>
          <w:sz w:val="24"/>
          <w:szCs w:val="20"/>
          <w:lang w:eastAsia="fr-FR"/>
        </w:rPr>
      </w:pPr>
      <w:r w:rsidRPr="0077507B">
        <w:rPr>
          <w:rFonts w:ascii="Times New Roman" w:eastAsia="Courier 10cpi" w:hAnsi="Times New Roman" w:cs="Courier 10cpi"/>
          <w:color w:val="010101"/>
          <w:sz w:val="24"/>
          <w:szCs w:val="20"/>
          <w:lang w:eastAsia="fr-FR"/>
        </w:rPr>
        <w:t>- maîtriser suffisamment l'anglais parlé pour tirer parti du programme technique du congrès annuel;</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100" w:lineRule="atLeast"/>
        <w:jc w:val="both"/>
        <w:rPr>
          <w:rFonts w:ascii="Times New Roman" w:eastAsia="Courier 10cpi" w:hAnsi="Times New Roman" w:cs="Courier 10cpi"/>
          <w:color w:val="010101"/>
          <w:sz w:val="24"/>
          <w:szCs w:val="20"/>
          <w:lang w:eastAsia="fr-FR"/>
        </w:rPr>
      </w:pPr>
      <w:r w:rsidRPr="0077507B">
        <w:rPr>
          <w:rFonts w:ascii="Times New Roman" w:eastAsia="Courier 10cpi" w:hAnsi="Times New Roman" w:cs="Courier 10cpi"/>
          <w:color w:val="010101"/>
          <w:sz w:val="24"/>
          <w:szCs w:val="20"/>
          <w:lang w:eastAsia="fr-FR"/>
        </w:rPr>
        <w:t>- accepter les conditions ci-dessous.</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0"/>
          <w:lang w:eastAsia="fr-FR"/>
        </w:rPr>
      </w:pPr>
      <w:r w:rsidRPr="0077507B">
        <w:rPr>
          <w:rFonts w:ascii="Times New Roman" w:eastAsia="Times New Roman" w:hAnsi="Times New Roman" w:cs="Times New Roman"/>
          <w:sz w:val="24"/>
          <w:szCs w:val="20"/>
          <w:lang w:eastAsia="fr-FR"/>
        </w:rPr>
        <w:t>Les candidats sont invités à écrire - avec leur CV - à l’adresse ci après, une lettre d’environ 200 mots, pour expliquer pour quoi ils se considèrent qualifiés à rece</w:t>
      </w:r>
      <w:r w:rsidR="00CB28A0" w:rsidRPr="0077507B">
        <w:rPr>
          <w:rFonts w:ascii="Times New Roman" w:eastAsia="Times New Roman" w:hAnsi="Times New Roman" w:cs="Times New Roman"/>
          <w:sz w:val="24"/>
          <w:szCs w:val="20"/>
          <w:lang w:eastAsia="fr-FR"/>
        </w:rPr>
        <w:t xml:space="preserve">voir ce prix, et ceci </w:t>
      </w:r>
      <w:r w:rsidR="00CB28A0" w:rsidRPr="0077507B">
        <w:rPr>
          <w:rFonts w:ascii="Times New Roman" w:eastAsia="Times New Roman" w:hAnsi="Times New Roman" w:cs="Times New Roman"/>
          <w:b/>
          <w:sz w:val="24"/>
          <w:szCs w:val="20"/>
          <w:lang w:eastAsia="fr-FR"/>
        </w:rPr>
        <w:t>avant le 2 juillet 2018</w:t>
      </w:r>
      <w:r w:rsidRPr="0077507B">
        <w:rPr>
          <w:rFonts w:ascii="Times New Roman" w:eastAsia="Times New Roman" w:hAnsi="Times New Roman" w:cs="Times New Roman"/>
          <w:sz w:val="24"/>
          <w:szCs w:val="20"/>
          <w:lang w:eastAsia="fr-FR"/>
        </w:rPr>
        <w:t xml:space="preserve">. Ils sont également censés donner le titre du papier qu’ils soumettront à la commission. La décision sera prise par un panel représentant les quatre organisations au plus tard le 3 août 2017, pour permettre au candidat retenu de programmer sa participation au Congrès annuel d’INSOL Europe.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0"/>
          <w:lang w:eastAsia="fr-FR"/>
        </w:rPr>
      </w:pPr>
      <w:r w:rsidRPr="0077507B">
        <w:rPr>
          <w:rFonts w:ascii="Times New Roman" w:eastAsia="Times New Roman" w:hAnsi="Times New Roman" w:cs="Times New Roman"/>
          <w:b/>
          <w:bCs/>
          <w:sz w:val="24"/>
          <w:szCs w:val="20"/>
          <w:lang w:eastAsia="fr-FR"/>
        </w:rPr>
        <w:t>Le candidat retenu</w:t>
      </w:r>
      <w:r w:rsidRPr="0077507B">
        <w:rPr>
          <w:rFonts w:ascii="Times New Roman" w:eastAsia="Times New Roman" w:hAnsi="Times New Roman" w:cs="Times New Roman"/>
          <w:sz w:val="24"/>
          <w:szCs w:val="20"/>
          <w:lang w:eastAsia="fr-FR"/>
        </w:rPr>
        <w:t xml:space="preserve"> bénéficiera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0"/>
          <w:lang w:eastAsia="fr-FR"/>
        </w:rPr>
      </w:pPr>
      <w:r w:rsidRPr="0077507B">
        <w:rPr>
          <w:rFonts w:ascii="Times New Roman" w:eastAsia="Times New Roman" w:hAnsi="Times New Roman" w:cs="Times New Roman"/>
          <w:sz w:val="24"/>
          <w:szCs w:val="20"/>
          <w:lang w:eastAsia="fr-FR"/>
        </w:rPr>
        <w:t>- d’une inscription gratuite au congrès annuel d’INSOL Europe, qui se tiendra en 2017 à</w:t>
      </w:r>
      <w:r w:rsidR="00CB28A0" w:rsidRPr="0077507B">
        <w:rPr>
          <w:rFonts w:ascii="Times New Roman" w:eastAsia="Times New Roman" w:hAnsi="Times New Roman" w:cs="Times New Roman"/>
          <w:sz w:val="24"/>
          <w:szCs w:val="20"/>
          <w:lang w:eastAsia="fr-FR"/>
        </w:rPr>
        <w:t>Athènes du 4 au 7 octobre 2018</w:t>
      </w:r>
      <w:r w:rsidRPr="0077507B">
        <w:rPr>
          <w:rFonts w:ascii="Times New Roman" w:eastAsia="Times New Roman" w:hAnsi="Times New Roman" w:cs="Times New Roman"/>
          <w:sz w:val="24"/>
          <w:szCs w:val="20"/>
          <w:lang w:eastAsia="fr-FR"/>
        </w:rPr>
        <w:t xml:space="preserve"> ; ses frais de voyage, de logement et de nourriture seront pris en charge pour toute la durée du congrès ;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0"/>
          <w:lang w:eastAsia="fr-FR"/>
        </w:rPr>
      </w:pPr>
      <w:r w:rsidRPr="0077507B">
        <w:rPr>
          <w:rFonts w:ascii="Times New Roman" w:eastAsia="Times New Roman" w:hAnsi="Times New Roman" w:cs="Times New Roman"/>
          <w:sz w:val="24"/>
          <w:szCs w:val="20"/>
          <w:lang w:eastAsia="fr-FR"/>
        </w:rPr>
        <w:t>- en retour, le candidat devra écrire un article d’environ 3 000 mots sur le droit et/ou la pratique de l’insolvabilité ou réorganisation avec l’accord de la commission. Cet article pourra être publié dans la revue des quatre organisations marraines sous une forme réduite ; il sera également affiché intégralement sur leurs sites web.</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0"/>
          <w:lang w:eastAsia="fr-FR"/>
        </w:rPr>
      </w:pPr>
      <w:r w:rsidRPr="0077507B">
        <w:rPr>
          <w:rFonts w:ascii="Times New Roman" w:eastAsia="Times New Roman" w:hAnsi="Times New Roman" w:cs="Times New Roman"/>
          <w:sz w:val="24"/>
          <w:szCs w:val="20"/>
          <w:lang w:eastAsia="fr-FR"/>
        </w:rPr>
        <w:t>- le candidat gagnant sera félicité lors du congrès et recevra un certificat encadré, correspondant à son prix.</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b/>
          <w:bCs/>
          <w:sz w:val="24"/>
          <w:szCs w:val="20"/>
          <w:lang w:eastAsia="fr-FR"/>
        </w:rPr>
      </w:pPr>
      <w:r w:rsidRPr="0077507B">
        <w:rPr>
          <w:rFonts w:ascii="Times New Roman" w:eastAsia="Times New Roman" w:hAnsi="Times New Roman" w:cs="Times New Roman"/>
          <w:b/>
          <w:bCs/>
          <w:sz w:val="24"/>
          <w:szCs w:val="20"/>
          <w:lang w:eastAsia="fr-FR"/>
        </w:rPr>
        <w:t>Etes-vous intéressé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0"/>
          <w:lang w:eastAsia="fr-FR"/>
        </w:rPr>
      </w:pPr>
      <w:r w:rsidRPr="0077507B">
        <w:rPr>
          <w:rFonts w:ascii="Times New Roman" w:eastAsia="Times New Roman" w:hAnsi="Times New Roman" w:cs="Times New Roman"/>
          <w:sz w:val="24"/>
          <w:szCs w:val="20"/>
          <w:lang w:eastAsia="fr-FR"/>
        </w:rPr>
        <w:t xml:space="preserve">Envoyez votre lettre d’environ 200 mots, expliquant pour quoi vous vous considérez qualifié à bénéficier de la possibilité d’être présent au Congrès annuel d’INSOL Europe en tant que gagnant du prix Richard Turton, avant le </w:t>
      </w:r>
      <w:r w:rsidR="002275A1" w:rsidRPr="0077507B">
        <w:rPr>
          <w:rFonts w:ascii="Times New Roman" w:eastAsia="Times New Roman" w:hAnsi="Times New Roman" w:cs="Times New Roman"/>
          <w:sz w:val="24"/>
          <w:szCs w:val="20"/>
          <w:lang w:eastAsia="fr-FR"/>
        </w:rPr>
        <w:t>2 juillet 2018</w:t>
      </w:r>
      <w:r w:rsidRPr="0077507B">
        <w:rPr>
          <w:rFonts w:ascii="Times New Roman" w:eastAsia="Times New Roman" w:hAnsi="Times New Roman" w:cs="Times New Roman"/>
          <w:sz w:val="24"/>
          <w:szCs w:val="20"/>
          <w:lang w:eastAsia="fr-FR"/>
        </w:rPr>
        <w:t>, à l’adresse suivante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lang w:eastAsia="fr-FR"/>
        </w:rPr>
      </w:pPr>
      <w:r w:rsidRPr="0077507B">
        <w:rPr>
          <w:rFonts w:ascii="Times New Roman" w:eastAsia="Times New Roman" w:hAnsi="Times New Roman" w:cs="Times New Roman"/>
          <w:b/>
          <w:bCs/>
          <w:sz w:val="24"/>
          <w:szCs w:val="20"/>
          <w:lang w:eastAsia="fr-FR"/>
        </w:rPr>
        <w:t xml:space="preserve">Richard Turton Award   </w:t>
      </w:r>
      <w:r w:rsidRPr="0077507B">
        <w:rPr>
          <w:rFonts w:ascii="Times New Roman" w:eastAsia="Times New Roman" w:hAnsi="Times New Roman" w:cs="Times New Roman"/>
          <w:sz w:val="24"/>
          <w:szCs w:val="20"/>
          <w:lang w:eastAsia="fr-FR"/>
        </w:rPr>
        <w:t>c/o INSOL International</w:t>
      </w:r>
      <w:r w:rsidRPr="0077507B">
        <w:rPr>
          <w:rFonts w:ascii="Times New Roman" w:eastAsia="Times New Roman" w:hAnsi="Times New Roman" w:cs="Times New Roman"/>
          <w:b/>
          <w:bCs/>
          <w:sz w:val="24"/>
          <w:szCs w:val="20"/>
          <w:lang w:eastAsia="fr-FR"/>
        </w:rPr>
        <w:t xml:space="preserve">   </w:t>
      </w:r>
      <w:r w:rsidRPr="0077507B">
        <w:rPr>
          <w:rFonts w:ascii="Times New Roman" w:eastAsia="Times New Roman" w:hAnsi="Times New Roman" w:cs="Times New Roman"/>
          <w:sz w:val="24"/>
          <w:szCs w:val="20"/>
          <w:lang w:eastAsia="fr-FR"/>
        </w:rPr>
        <w:t>6-7 Queen Street</w:t>
      </w:r>
      <w:r w:rsidRPr="0077507B">
        <w:rPr>
          <w:rFonts w:ascii="Times New Roman" w:eastAsia="Times New Roman" w:hAnsi="Times New Roman" w:cs="Times New Roman"/>
          <w:b/>
          <w:bCs/>
          <w:sz w:val="24"/>
          <w:szCs w:val="20"/>
          <w:lang w:eastAsia="fr-FR"/>
        </w:rPr>
        <w:t xml:space="preserve">  </w:t>
      </w:r>
      <w:r w:rsidRPr="0077507B">
        <w:rPr>
          <w:rFonts w:ascii="Times New Roman" w:eastAsia="Times New Roman" w:hAnsi="Times New Roman" w:cs="Times New Roman"/>
          <w:sz w:val="24"/>
          <w:szCs w:val="20"/>
          <w:lang w:eastAsia="fr-FR"/>
        </w:rPr>
        <w:t xml:space="preserve">London EC4N 1SP   Royaume Uni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0"/>
          <w:lang w:eastAsia="fr-FR"/>
        </w:rPr>
      </w:pPr>
      <w:r w:rsidRPr="0077507B">
        <w:rPr>
          <w:rFonts w:ascii="Times New Roman" w:eastAsia="Times New Roman" w:hAnsi="Times New Roman" w:cs="Times New Roman"/>
          <w:sz w:val="24"/>
          <w:szCs w:val="20"/>
          <w:lang w:eastAsia="fr-FR"/>
        </w:rPr>
        <w:t xml:space="preserve">                                            </w:t>
      </w:r>
      <w:r w:rsidR="002275A1" w:rsidRPr="0077507B">
        <w:rPr>
          <w:rFonts w:ascii="Times New Roman" w:eastAsia="Times New Roman" w:hAnsi="Times New Roman" w:cs="Times New Roman"/>
          <w:sz w:val="24"/>
          <w:szCs w:val="20"/>
          <w:lang w:eastAsia="fr-FR"/>
        </w:rPr>
        <w:t>e-mail :</w:t>
      </w:r>
      <w:hyperlink r:id="rId77" w:history="1">
        <w:r w:rsidR="002275A1" w:rsidRPr="0077507B">
          <w:rPr>
            <w:rStyle w:val="Lienhypertexte"/>
            <w:rFonts w:ascii="Times New Roman" w:eastAsia="Times New Roman" w:hAnsi="Times New Roman" w:cs="Times New Roman"/>
            <w:sz w:val="24"/>
            <w:szCs w:val="20"/>
            <w:lang w:eastAsia="fr-FR"/>
          </w:rPr>
          <w:t>jason@insol.ision.co.uk</w:t>
        </w:r>
      </w:hyperlink>
      <w:r w:rsidRPr="0077507B">
        <w:rPr>
          <w:rFonts w:ascii="Times New Roman" w:eastAsia="Times New Roman" w:hAnsi="Times New Roman" w:cs="Times New Roman"/>
          <w:b/>
          <w:bCs/>
          <w:sz w:val="24"/>
          <w:szCs w:val="20"/>
          <w:lang w:eastAsia="fr-FR"/>
        </w:rPr>
        <w:t xml:space="preserve">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0"/>
          <w:lang w:eastAsia="fr-FR"/>
        </w:rPr>
      </w:pPr>
      <w:r w:rsidRPr="0077507B">
        <w:rPr>
          <w:rFonts w:ascii="Times New Roman" w:eastAsia="Times New Roman" w:hAnsi="Times New Roman" w:cs="Times New Roman"/>
          <w:b/>
          <w:bCs/>
          <w:sz w:val="24"/>
          <w:szCs w:val="20"/>
          <w:lang w:eastAsia="fr-FR"/>
        </w:rPr>
        <w:t xml:space="preserve">Avez-vous dépassé les 35 ans ?   </w:t>
      </w:r>
      <w:r w:rsidRPr="0077507B">
        <w:rPr>
          <w:rFonts w:ascii="Times New Roman" w:eastAsia="Times New Roman" w:hAnsi="Times New Roman" w:cs="Times New Roman"/>
          <w:sz w:val="24"/>
          <w:szCs w:val="20"/>
          <w:lang w:eastAsia="fr-FR"/>
        </w:rPr>
        <w:t>Passez cette annonce à un collègue plus jeune !</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ind w:firstLine="708"/>
        <w:jc w:val="center"/>
        <w:rPr>
          <w:rFonts w:ascii="Times New Roman" w:eastAsia="Times New Roman" w:hAnsi="Times New Roman" w:cs="Times New Roman"/>
          <w:sz w:val="24"/>
          <w:szCs w:val="20"/>
          <w:lang w:eastAsia="fr-FR"/>
        </w:rPr>
      </w:pPr>
      <w:r w:rsidRPr="0077507B">
        <w:rPr>
          <w:rFonts w:ascii="Times New Roman" w:eastAsia="Times New Roman" w:hAnsi="Times New Roman" w:cs="Times New Roman"/>
          <w:b/>
          <w:sz w:val="24"/>
          <w:szCs w:val="20"/>
          <w:lang w:eastAsia="fr-FR"/>
        </w:rPr>
        <w:t>Décision du Jury</w:t>
      </w:r>
      <w:r w:rsidR="002275A1" w:rsidRPr="0077507B">
        <w:rPr>
          <w:rFonts w:ascii="Times New Roman" w:eastAsia="Times New Roman" w:hAnsi="Times New Roman" w:cs="Times New Roman"/>
          <w:sz w:val="24"/>
          <w:szCs w:val="20"/>
          <w:lang w:eastAsia="fr-FR"/>
        </w:rPr>
        <w:t> : aux environs du 6 août 2018</w:t>
      </w:r>
      <w:r w:rsidRPr="0077507B">
        <w:rPr>
          <w:rFonts w:ascii="Times New Roman" w:eastAsia="Times New Roman" w:hAnsi="Times New Roman" w:cs="Times New Roman"/>
          <w:sz w:val="24"/>
          <w:szCs w:val="20"/>
          <w:lang w:eastAsia="fr-FR"/>
        </w:rPr>
        <w:t>.</w:t>
      </w:r>
    </w:p>
    <w:p w:rsidR="005759EE" w:rsidRPr="0077507B" w:rsidRDefault="005759EE" w:rsidP="005759EE">
      <w:pPr>
        <w:pBdr>
          <w:top w:val="single" w:sz="4" w:space="1" w:color="auto"/>
          <w:left w:val="single" w:sz="4" w:space="4" w:color="auto"/>
          <w:bottom w:val="single" w:sz="4" w:space="1" w:color="auto"/>
          <w:right w:val="single" w:sz="4" w:space="4" w:color="auto"/>
        </w:pBdr>
        <w:spacing w:after="0" w:line="240" w:lineRule="auto"/>
        <w:ind w:firstLine="708"/>
        <w:jc w:val="center"/>
        <w:rPr>
          <w:rFonts w:ascii="Times New Roman" w:eastAsia="Times New Roman" w:hAnsi="Times New Roman" w:cs="Times New Roman"/>
          <w:sz w:val="24"/>
          <w:szCs w:val="20"/>
          <w:lang w:eastAsia="fr-FR"/>
        </w:rPr>
      </w:pPr>
    </w:p>
    <w:p w:rsidR="005759EE" w:rsidRPr="005759EE" w:rsidRDefault="005759EE" w:rsidP="005759EE">
      <w:pPr>
        <w:suppressAutoHyphens/>
        <w:spacing w:after="0" w:line="240" w:lineRule="auto"/>
        <w:rPr>
          <w:rFonts w:ascii="Times New Roman" w:eastAsia="Times New Roman" w:hAnsi="Times New Roman" w:cs="Times New Roman"/>
          <w:sz w:val="24"/>
          <w:szCs w:val="24"/>
          <w:lang w:eastAsia="ar-SA"/>
        </w:rPr>
      </w:pPr>
    </w:p>
    <w:p w:rsidR="00035770" w:rsidRDefault="00035770" w:rsidP="005759EE">
      <w:pPr>
        <w:suppressAutoHyphens/>
        <w:spacing w:after="0" w:line="240" w:lineRule="auto"/>
        <w:rPr>
          <w:rFonts w:ascii="Times New Roman" w:eastAsia="Times New Roman" w:hAnsi="Times New Roman" w:cs="Times New Roman"/>
          <w:sz w:val="24"/>
          <w:szCs w:val="24"/>
          <w:lang w:eastAsia="ar-SA"/>
        </w:rPr>
      </w:pPr>
    </w:p>
    <w:p w:rsidR="003B5B5D" w:rsidRPr="003B5B5D" w:rsidRDefault="003B5B5D" w:rsidP="003B5B5D">
      <w:pPr>
        <w:suppressAutoHyphens/>
        <w:spacing w:after="0" w:line="240" w:lineRule="auto"/>
        <w:jc w:val="center"/>
        <w:rPr>
          <w:rFonts w:ascii="Times New Roman" w:eastAsia="Times New Roman" w:hAnsi="Times New Roman" w:cs="Times New Roman"/>
          <w:sz w:val="24"/>
          <w:szCs w:val="24"/>
          <w:lang w:eastAsia="ar-SA"/>
        </w:rPr>
      </w:pPr>
    </w:p>
    <w:p w:rsidR="005759EE" w:rsidRPr="005759EE" w:rsidRDefault="005759EE" w:rsidP="002275A1">
      <w:pPr>
        <w:suppressAutoHyphens/>
        <w:spacing w:after="0" w:line="240" w:lineRule="auto"/>
        <w:rPr>
          <w:rFonts w:ascii="Arial Narrow" w:eastAsia="Times New Roman" w:hAnsi="Arial Narrow" w:cs="Times New Roman"/>
          <w:b/>
          <w:sz w:val="32"/>
          <w:szCs w:val="32"/>
          <w:lang w:eastAsia="ar-SA"/>
        </w:rPr>
      </w:pPr>
      <w:r>
        <w:rPr>
          <w:rFonts w:ascii="Arial Narrow" w:eastAsia="Times New Roman" w:hAnsi="Arial Narrow" w:cs="Times New Roman"/>
          <w:b/>
          <w:sz w:val="32"/>
          <w:szCs w:val="32"/>
          <w:lang w:eastAsia="ar-SA"/>
        </w:rPr>
        <w:lastRenderedPageBreak/>
        <w:t>Espagne</w:t>
      </w:r>
    </w:p>
    <w:p w:rsidR="005759EE" w:rsidRPr="002275A1" w:rsidRDefault="005759EE" w:rsidP="002275A1">
      <w:pPr>
        <w:spacing w:after="0" w:line="240" w:lineRule="auto"/>
        <w:rPr>
          <w:rFonts w:ascii="Times New Roman" w:hAnsi="Times New Roman" w:cs="Times New Roman"/>
          <w:b/>
          <w:sz w:val="24"/>
          <w:szCs w:val="24"/>
        </w:rPr>
      </w:pPr>
    </w:p>
    <w:p w:rsidR="005759EE" w:rsidRDefault="005759EE" w:rsidP="005759EE">
      <w:pPr>
        <w:spacing w:after="0" w:line="240" w:lineRule="auto"/>
        <w:jc w:val="center"/>
        <w:rPr>
          <w:rFonts w:ascii="Times New Roman" w:hAnsi="Times New Roman" w:cs="Times New Roman"/>
          <w:b/>
          <w:sz w:val="48"/>
          <w:szCs w:val="48"/>
        </w:rPr>
      </w:pPr>
      <w:r w:rsidRPr="005759EE">
        <w:rPr>
          <w:rFonts w:ascii="Times New Roman" w:hAnsi="Times New Roman" w:cs="Times New Roman"/>
          <w:b/>
          <w:sz w:val="48"/>
          <w:szCs w:val="48"/>
        </w:rPr>
        <w:t xml:space="preserve">Réformes de la succession d’employeurs </w:t>
      </w:r>
    </w:p>
    <w:p w:rsidR="005759EE" w:rsidRPr="005759EE" w:rsidRDefault="005759EE" w:rsidP="005759EE">
      <w:pPr>
        <w:spacing w:after="0" w:line="240" w:lineRule="auto"/>
        <w:jc w:val="center"/>
        <w:rPr>
          <w:rFonts w:ascii="Times New Roman" w:hAnsi="Times New Roman" w:cs="Times New Roman"/>
          <w:b/>
          <w:sz w:val="48"/>
          <w:szCs w:val="48"/>
        </w:rPr>
      </w:pPr>
      <w:r w:rsidRPr="005759EE">
        <w:rPr>
          <w:rFonts w:ascii="Times New Roman" w:hAnsi="Times New Roman" w:cs="Times New Roman"/>
          <w:b/>
          <w:sz w:val="48"/>
          <w:szCs w:val="48"/>
        </w:rPr>
        <w:t>en Espagne</w:t>
      </w:r>
    </w:p>
    <w:p w:rsidR="005759EE" w:rsidRPr="005759EE" w:rsidRDefault="005759EE" w:rsidP="005759EE">
      <w:pPr>
        <w:jc w:val="center"/>
        <w:rPr>
          <w:rFonts w:ascii="Arial Narrow" w:hAnsi="Arial Narrow" w:cs="Times New Roman"/>
          <w:i/>
          <w:sz w:val="24"/>
          <w:szCs w:val="24"/>
        </w:rPr>
      </w:pPr>
      <w:r w:rsidRPr="00EC2DCE">
        <w:rPr>
          <w:rFonts w:ascii="Arial Narrow" w:hAnsi="Arial Narrow" w:cs="Times New Roman"/>
          <w:i/>
          <w:sz w:val="24"/>
          <w:szCs w:val="24"/>
        </w:rPr>
        <w:t xml:space="preserve">Agustín Bou* </w:t>
      </w:r>
      <w:r>
        <w:rPr>
          <w:rFonts w:ascii="Arial Narrow" w:hAnsi="Arial Narrow" w:cs="Times New Roman"/>
          <w:i/>
          <w:sz w:val="24"/>
          <w:szCs w:val="24"/>
        </w:rPr>
        <w:t>présente</w:t>
      </w:r>
      <w:r w:rsidRPr="00EC2DCE">
        <w:rPr>
          <w:rFonts w:ascii="Arial Narrow" w:hAnsi="Arial Narrow" w:cs="Times New Roman"/>
          <w:i/>
          <w:sz w:val="24"/>
          <w:szCs w:val="24"/>
        </w:rPr>
        <w:t xml:space="preserve"> les récentes réformes qui permettent la succession d’employeurs à la suite de la cession d’unités de production</w:t>
      </w:r>
    </w:p>
    <w:p w:rsidR="005759EE" w:rsidRPr="002B58B4" w:rsidRDefault="005759EE" w:rsidP="005759EE">
      <w:pPr>
        <w:jc w:val="both"/>
        <w:rPr>
          <w:rFonts w:ascii="Times New Roman" w:hAnsi="Times New Roman" w:cs="Times New Roman"/>
          <w:b/>
          <w:sz w:val="24"/>
          <w:szCs w:val="24"/>
        </w:rPr>
      </w:pPr>
      <w:r w:rsidRPr="00EC2DCE">
        <w:rPr>
          <w:rFonts w:ascii="Times New Roman" w:hAnsi="Times New Roman" w:cs="Times New Roman"/>
          <w:b/>
          <w:sz w:val="24"/>
          <w:szCs w:val="24"/>
        </w:rPr>
        <w:t>La loi espagnole sur l’insolvabilité (la « LI ») propose, au nombre de ses principaux objectifs, de maintenir la continuité de l’activité économique des entreprises faisant l’objet d’une procédure d’insolvabilité.</w:t>
      </w:r>
    </w:p>
    <w:p w:rsidR="005759EE" w:rsidRPr="002B58B4" w:rsidRDefault="005759EE" w:rsidP="005759EE">
      <w:pPr>
        <w:jc w:val="both"/>
        <w:rPr>
          <w:rFonts w:ascii="Times New Roman" w:hAnsi="Times New Roman" w:cs="Times New Roman"/>
          <w:sz w:val="24"/>
          <w:szCs w:val="24"/>
        </w:rPr>
      </w:pPr>
      <w:r w:rsidRPr="00150D7F">
        <w:rPr>
          <w:rFonts w:ascii="Times New Roman" w:hAnsi="Times New Roman" w:cs="Times New Roman"/>
          <w:sz w:val="24"/>
          <w:szCs w:val="24"/>
        </w:rPr>
        <w:t>Ces dernières années, grâce à cette loi, il a été possible de sauver de nombreux emplois et pôles opérationnels en cédant des unités de production dans le cadre de procédures d’insolvabilité.</w:t>
      </w:r>
      <w:r w:rsidRPr="002B58B4">
        <w:rPr>
          <w:rFonts w:ascii="Times New Roman" w:hAnsi="Times New Roman" w:cs="Times New Roman"/>
          <w:sz w:val="24"/>
          <w:szCs w:val="24"/>
        </w:rPr>
        <w:t xml:space="preserve"> </w:t>
      </w:r>
      <w:r w:rsidRPr="00150D7F">
        <w:rPr>
          <w:rFonts w:ascii="Times New Roman" w:hAnsi="Times New Roman" w:cs="Times New Roman"/>
          <w:sz w:val="24"/>
          <w:szCs w:val="24"/>
        </w:rPr>
        <w:t xml:space="preserve">Cette réussite est due au fait que ce type de cession permettait de conserver les pôles opérationnels économiquement viables </w:t>
      </w:r>
      <w:r>
        <w:rPr>
          <w:rFonts w:ascii="Times New Roman" w:hAnsi="Times New Roman" w:cs="Times New Roman"/>
          <w:sz w:val="24"/>
          <w:szCs w:val="24"/>
        </w:rPr>
        <w:t>sans assumer le passif de la masse de l’insolvabilité</w:t>
      </w:r>
      <w:r w:rsidRPr="00150D7F">
        <w:rPr>
          <w:rFonts w:ascii="Times New Roman" w:hAnsi="Times New Roman" w:cs="Times New Roman"/>
          <w:sz w:val="24"/>
          <w:szCs w:val="24"/>
        </w:rPr>
        <w:t xml:space="preserve">, et de subroger les contrats de travail à titre de nécessité </w:t>
      </w:r>
      <w:r>
        <w:rPr>
          <w:rFonts w:ascii="Times New Roman" w:hAnsi="Times New Roman" w:cs="Times New Roman"/>
          <w:sz w:val="24"/>
          <w:szCs w:val="24"/>
        </w:rPr>
        <w:t xml:space="preserve">en vue </w:t>
      </w:r>
      <w:r w:rsidRPr="00150D7F">
        <w:rPr>
          <w:rFonts w:ascii="Times New Roman" w:hAnsi="Times New Roman" w:cs="Times New Roman"/>
          <w:sz w:val="24"/>
          <w:szCs w:val="24"/>
        </w:rPr>
        <w:t>de la poursuite de l’activité.</w:t>
      </w:r>
    </w:p>
    <w:p w:rsidR="005759EE" w:rsidRPr="002B58B4" w:rsidRDefault="005759EE" w:rsidP="005759EE">
      <w:pPr>
        <w:jc w:val="both"/>
        <w:rPr>
          <w:rFonts w:ascii="Times New Roman" w:hAnsi="Times New Roman" w:cs="Times New Roman"/>
          <w:sz w:val="24"/>
          <w:szCs w:val="24"/>
        </w:rPr>
      </w:pPr>
      <w:r w:rsidRPr="00150D7F">
        <w:rPr>
          <w:rFonts w:ascii="Times New Roman" w:hAnsi="Times New Roman" w:cs="Times New Roman"/>
          <w:sz w:val="24"/>
          <w:szCs w:val="24"/>
        </w:rPr>
        <w:t>Par le passé, les tribunaux espagnols ont jugé que le transfert d’une unité de production ne constituait pas une succession d’employeurs, ce qui signifiait que les dettes correspondant aux salaires et aux charges sociales n’étaient pas assumées par l’acquéreur.</w:t>
      </w:r>
      <w:r w:rsidRPr="002B58B4">
        <w:rPr>
          <w:rFonts w:ascii="Times New Roman" w:hAnsi="Times New Roman" w:cs="Times New Roman"/>
          <w:sz w:val="24"/>
          <w:szCs w:val="24"/>
        </w:rPr>
        <w:t xml:space="preserve"> </w:t>
      </w:r>
      <w:r w:rsidRPr="00150D7F">
        <w:rPr>
          <w:rFonts w:ascii="Times New Roman" w:hAnsi="Times New Roman" w:cs="Times New Roman"/>
          <w:sz w:val="24"/>
          <w:szCs w:val="24"/>
        </w:rPr>
        <w:t>Toutefois, bien que les plus récentes réformes de la LI espagnole visaient théoriquement à assouplir les conditions de ces cessions, elles ont en réalité pro</w:t>
      </w:r>
      <w:r>
        <w:rPr>
          <w:rFonts w:ascii="Times New Roman" w:hAnsi="Times New Roman" w:cs="Times New Roman"/>
          <w:sz w:val="24"/>
          <w:szCs w:val="24"/>
        </w:rPr>
        <w:t>duit exactement l’effet inverse, car</w:t>
      </w:r>
      <w:r w:rsidRPr="002B58B4">
        <w:rPr>
          <w:rFonts w:ascii="Times New Roman" w:hAnsi="Times New Roman" w:cs="Times New Roman"/>
          <w:sz w:val="24"/>
          <w:szCs w:val="24"/>
        </w:rPr>
        <w:t xml:space="preserve"> </w:t>
      </w:r>
      <w:r>
        <w:rPr>
          <w:rFonts w:ascii="Times New Roman" w:hAnsi="Times New Roman" w:cs="Times New Roman"/>
          <w:sz w:val="24"/>
          <w:szCs w:val="24"/>
        </w:rPr>
        <w:t>les</w:t>
      </w:r>
      <w:r w:rsidRPr="00150D7F">
        <w:rPr>
          <w:rFonts w:ascii="Times New Roman" w:hAnsi="Times New Roman" w:cs="Times New Roman"/>
          <w:sz w:val="24"/>
          <w:szCs w:val="24"/>
        </w:rPr>
        <w:t xml:space="preserve"> nouvelles dispositions contraignent les acquéreurs d’unités de production à assumer les dettes correspondant aux salaires et aux charges sociales.</w:t>
      </w:r>
    </w:p>
    <w:p w:rsidR="005759EE" w:rsidRPr="002B58B4" w:rsidRDefault="005759EE" w:rsidP="005759EE">
      <w:pPr>
        <w:jc w:val="both"/>
        <w:rPr>
          <w:rFonts w:ascii="Times New Roman" w:hAnsi="Times New Roman" w:cs="Times New Roman"/>
          <w:sz w:val="24"/>
          <w:szCs w:val="24"/>
        </w:rPr>
      </w:pPr>
      <w:r w:rsidRPr="00150D7F">
        <w:rPr>
          <w:rFonts w:ascii="Times New Roman" w:hAnsi="Times New Roman" w:cs="Times New Roman"/>
          <w:b/>
          <w:sz w:val="24"/>
          <w:szCs w:val="24"/>
        </w:rPr>
        <w:t>Dernières réformes de la loi espagnole sur l’insolvabilité</w:t>
      </w:r>
      <w:r w:rsidRPr="002B58B4">
        <w:rPr>
          <w:rFonts w:ascii="Times New Roman" w:hAnsi="Times New Roman" w:cs="Times New Roman"/>
          <w:sz w:val="24"/>
          <w:szCs w:val="24"/>
        </w:rPr>
        <w:t xml:space="preserve"> </w:t>
      </w:r>
    </w:p>
    <w:p w:rsidR="005759EE" w:rsidRPr="002B58B4" w:rsidRDefault="005759EE" w:rsidP="005759EE">
      <w:pPr>
        <w:jc w:val="both"/>
        <w:rPr>
          <w:rFonts w:ascii="Times New Roman" w:hAnsi="Times New Roman" w:cs="Times New Roman"/>
          <w:sz w:val="24"/>
          <w:szCs w:val="24"/>
        </w:rPr>
      </w:pPr>
      <w:r w:rsidRPr="00150D7F">
        <w:rPr>
          <w:rFonts w:ascii="Times New Roman" w:hAnsi="Times New Roman" w:cs="Times New Roman"/>
          <w:sz w:val="24"/>
          <w:szCs w:val="24"/>
        </w:rPr>
        <w:t xml:space="preserve">Le décret-loi royal n° 11/2014 du 5 septembre concernant les mesures </w:t>
      </w:r>
      <w:r>
        <w:rPr>
          <w:rFonts w:ascii="Times New Roman" w:hAnsi="Times New Roman" w:cs="Times New Roman"/>
          <w:sz w:val="24"/>
          <w:szCs w:val="24"/>
        </w:rPr>
        <w:t>d’</w:t>
      </w:r>
      <w:r w:rsidRPr="00150D7F">
        <w:rPr>
          <w:rFonts w:ascii="Times New Roman" w:hAnsi="Times New Roman" w:cs="Times New Roman"/>
          <w:sz w:val="24"/>
          <w:szCs w:val="24"/>
        </w:rPr>
        <w:t>urgen</w:t>
      </w:r>
      <w:r>
        <w:rPr>
          <w:rFonts w:ascii="Times New Roman" w:hAnsi="Times New Roman" w:cs="Times New Roman"/>
          <w:sz w:val="24"/>
          <w:szCs w:val="24"/>
        </w:rPr>
        <w:t>ce</w:t>
      </w:r>
      <w:r w:rsidRPr="00150D7F">
        <w:rPr>
          <w:rFonts w:ascii="Times New Roman" w:hAnsi="Times New Roman" w:cs="Times New Roman"/>
          <w:sz w:val="24"/>
          <w:szCs w:val="24"/>
        </w:rPr>
        <w:t xml:space="preserve"> en matière d’insolvabilité, qui est devenu, après avoir suivi la procédure parlementaire correspondante, la loi espagnole n° 9/2015 du 25 mai portant modification de la loi sur l’insolvabilité, modifie en profondeur les règles de la LI concernant la cession d’unités de production dans le cadre d’une procédure d’insolvabilité.</w:t>
      </w:r>
    </w:p>
    <w:p w:rsidR="005759EE" w:rsidRPr="002B58B4" w:rsidRDefault="005759EE" w:rsidP="005759EE">
      <w:pPr>
        <w:jc w:val="both"/>
        <w:rPr>
          <w:rFonts w:ascii="Times New Roman" w:hAnsi="Times New Roman" w:cs="Times New Roman"/>
          <w:sz w:val="24"/>
          <w:szCs w:val="24"/>
        </w:rPr>
      </w:pPr>
      <w:r w:rsidRPr="00150D7F">
        <w:rPr>
          <w:rFonts w:ascii="Times New Roman" w:hAnsi="Times New Roman" w:cs="Times New Roman"/>
          <w:sz w:val="24"/>
          <w:szCs w:val="24"/>
        </w:rPr>
        <w:t xml:space="preserve">Cette réforme introduit </w:t>
      </w:r>
      <w:r>
        <w:rPr>
          <w:rFonts w:ascii="Times New Roman" w:hAnsi="Times New Roman" w:cs="Times New Roman"/>
          <w:sz w:val="24"/>
          <w:szCs w:val="24"/>
        </w:rPr>
        <w:t xml:space="preserve">un </w:t>
      </w:r>
      <w:r w:rsidRPr="00150D7F">
        <w:rPr>
          <w:rFonts w:ascii="Times New Roman" w:hAnsi="Times New Roman" w:cs="Times New Roman"/>
          <w:sz w:val="24"/>
          <w:szCs w:val="24"/>
        </w:rPr>
        <w:t>article 146 bis afin d’établir des règles spéciales applicables au transfert d’unités de production.</w:t>
      </w:r>
      <w:r w:rsidRPr="002B58B4">
        <w:rPr>
          <w:rFonts w:ascii="Times New Roman" w:hAnsi="Times New Roman" w:cs="Times New Roman"/>
          <w:sz w:val="24"/>
          <w:szCs w:val="24"/>
        </w:rPr>
        <w:t xml:space="preserve"> </w:t>
      </w:r>
      <w:r w:rsidRPr="00DA2BFA">
        <w:rPr>
          <w:rFonts w:ascii="Times New Roman" w:hAnsi="Times New Roman" w:cs="Times New Roman"/>
          <w:sz w:val="24"/>
          <w:szCs w:val="24"/>
        </w:rPr>
        <w:t>En vertu de cet article, l’acquéreur sera subrogé au débiteur au titre des contrats et licences administratives dont la résiliation n’a pas été demandée, et le transfert n'obligera pas l’acquéreur à régler les dettes impayées de l’entreprise insolvable avant le transfert.</w:t>
      </w:r>
      <w:r w:rsidRPr="002B58B4">
        <w:rPr>
          <w:rFonts w:ascii="Times New Roman" w:hAnsi="Times New Roman" w:cs="Times New Roman"/>
          <w:sz w:val="24"/>
          <w:szCs w:val="24"/>
        </w:rPr>
        <w:t xml:space="preserve"> </w:t>
      </w:r>
      <w:r w:rsidRPr="00DA2BFA">
        <w:rPr>
          <w:rFonts w:ascii="Times New Roman" w:hAnsi="Times New Roman" w:cs="Times New Roman"/>
          <w:sz w:val="24"/>
          <w:szCs w:val="24"/>
        </w:rPr>
        <w:t>Toutefois, il prévoit également une exception, à savoir « sans préjudice des dispositions de l’article 149.4 de la LI. »</w:t>
      </w:r>
    </w:p>
    <w:p w:rsidR="005759EE" w:rsidRPr="002B58B4" w:rsidRDefault="005759EE" w:rsidP="005759EE">
      <w:pPr>
        <w:jc w:val="both"/>
        <w:rPr>
          <w:rFonts w:ascii="Times New Roman" w:hAnsi="Times New Roman" w:cs="Times New Roman"/>
          <w:sz w:val="24"/>
          <w:szCs w:val="24"/>
        </w:rPr>
      </w:pPr>
      <w:r w:rsidRPr="00DA2BFA">
        <w:rPr>
          <w:rFonts w:ascii="Times New Roman" w:hAnsi="Times New Roman" w:cs="Times New Roman"/>
          <w:sz w:val="24"/>
          <w:szCs w:val="24"/>
        </w:rPr>
        <w:t>L’article 149.4 de la LI dispose que, lors du transfert d’une unité de production, il sera entendu, pour les besoins de l’emploi et de la sécurité sociale, qu’il y a succession d’employeurs.</w:t>
      </w:r>
      <w:r w:rsidRPr="002B58B4">
        <w:rPr>
          <w:rFonts w:ascii="Times New Roman" w:hAnsi="Times New Roman" w:cs="Times New Roman"/>
          <w:sz w:val="24"/>
          <w:szCs w:val="24"/>
        </w:rPr>
        <w:t xml:space="preserve"> </w:t>
      </w:r>
      <w:r w:rsidRPr="00DA2BFA">
        <w:rPr>
          <w:rFonts w:ascii="Times New Roman" w:hAnsi="Times New Roman" w:cs="Times New Roman"/>
          <w:sz w:val="24"/>
          <w:szCs w:val="24"/>
        </w:rPr>
        <w:t xml:space="preserve">Ainsi, le </w:t>
      </w:r>
      <w:r w:rsidRPr="00DA2BFA">
        <w:rPr>
          <w:rFonts w:ascii="Times New Roman" w:hAnsi="Times New Roman" w:cs="Times New Roman"/>
          <w:sz w:val="24"/>
          <w:szCs w:val="24"/>
        </w:rPr>
        <w:lastRenderedPageBreak/>
        <w:t xml:space="preserve">législateur prive l’acquéreur de la possibilité de se débarrasser des dettes </w:t>
      </w:r>
      <w:r>
        <w:rPr>
          <w:rFonts w:ascii="Times New Roman" w:hAnsi="Times New Roman" w:cs="Times New Roman"/>
          <w:sz w:val="24"/>
          <w:szCs w:val="24"/>
        </w:rPr>
        <w:t>correspondant aux</w:t>
      </w:r>
      <w:r w:rsidRPr="00DA2BFA">
        <w:rPr>
          <w:rFonts w:ascii="Times New Roman" w:hAnsi="Times New Roman" w:cs="Times New Roman"/>
          <w:sz w:val="24"/>
          <w:szCs w:val="24"/>
        </w:rPr>
        <w:t xml:space="preserve"> </w:t>
      </w:r>
      <w:r>
        <w:rPr>
          <w:rFonts w:ascii="Times New Roman" w:hAnsi="Times New Roman" w:cs="Times New Roman"/>
          <w:sz w:val="24"/>
          <w:szCs w:val="24"/>
        </w:rPr>
        <w:t>salaires</w:t>
      </w:r>
      <w:r w:rsidRPr="00DA2BFA">
        <w:rPr>
          <w:rFonts w:ascii="Times New Roman" w:hAnsi="Times New Roman" w:cs="Times New Roman"/>
          <w:sz w:val="24"/>
          <w:szCs w:val="24"/>
        </w:rPr>
        <w:t xml:space="preserve"> et </w:t>
      </w:r>
      <w:r>
        <w:rPr>
          <w:rFonts w:ascii="Times New Roman" w:hAnsi="Times New Roman" w:cs="Times New Roman"/>
          <w:sz w:val="24"/>
          <w:szCs w:val="24"/>
        </w:rPr>
        <w:t>aux charges</w:t>
      </w:r>
      <w:r w:rsidRPr="00DA2BFA">
        <w:rPr>
          <w:rFonts w:ascii="Times New Roman" w:hAnsi="Times New Roman" w:cs="Times New Roman"/>
          <w:sz w:val="24"/>
          <w:szCs w:val="24"/>
        </w:rPr>
        <w:t xml:space="preserve"> sociale</w:t>
      </w:r>
      <w:r>
        <w:rPr>
          <w:rFonts w:ascii="Times New Roman" w:hAnsi="Times New Roman" w:cs="Times New Roman"/>
          <w:sz w:val="24"/>
          <w:szCs w:val="24"/>
        </w:rPr>
        <w:t>s</w:t>
      </w:r>
      <w:r w:rsidRPr="00DA2BFA">
        <w:rPr>
          <w:rFonts w:ascii="Times New Roman" w:hAnsi="Times New Roman" w:cs="Times New Roman"/>
          <w:sz w:val="24"/>
          <w:szCs w:val="24"/>
        </w:rPr>
        <w:t>.</w:t>
      </w:r>
    </w:p>
    <w:p w:rsidR="005759EE" w:rsidRPr="002B58B4" w:rsidRDefault="005759EE" w:rsidP="005759EE">
      <w:pPr>
        <w:jc w:val="both"/>
        <w:rPr>
          <w:rFonts w:ascii="Times New Roman" w:hAnsi="Times New Roman" w:cs="Times New Roman"/>
          <w:sz w:val="24"/>
          <w:szCs w:val="24"/>
        </w:rPr>
      </w:pPr>
      <w:r w:rsidRPr="00DA2BFA">
        <w:rPr>
          <w:rFonts w:ascii="Times New Roman" w:hAnsi="Times New Roman" w:cs="Times New Roman"/>
          <w:sz w:val="24"/>
          <w:szCs w:val="24"/>
        </w:rPr>
        <w:t>Au départ, certains juges des tribunaux de commerce avaient décidé que le renvoi, dans l’article 146 bis.4 de la LI</w:t>
      </w:r>
      <w:r>
        <w:rPr>
          <w:rFonts w:ascii="Times New Roman" w:hAnsi="Times New Roman" w:cs="Times New Roman"/>
          <w:sz w:val="24"/>
          <w:szCs w:val="24"/>
        </w:rPr>
        <w:t>,</w:t>
      </w:r>
      <w:r w:rsidRPr="00DA2BFA">
        <w:rPr>
          <w:rFonts w:ascii="Times New Roman" w:hAnsi="Times New Roman" w:cs="Times New Roman"/>
          <w:sz w:val="24"/>
          <w:szCs w:val="24"/>
        </w:rPr>
        <w:t xml:space="preserve"> à l’article 149.4 de la LI devait être interprété au sens que l’acquéreur ne devait assumer que les dettes envers les salariés et le Trésor général de la sécurité sociale (le « TGSS ») nées des contrats de travail en vigueur à la date du transfert ou du prononcé de la décision.</w:t>
      </w:r>
      <w:r w:rsidRPr="002B58B4">
        <w:rPr>
          <w:rFonts w:ascii="Times New Roman" w:hAnsi="Times New Roman" w:cs="Times New Roman"/>
          <w:sz w:val="24"/>
          <w:szCs w:val="24"/>
        </w:rPr>
        <w:t xml:space="preserve"> </w:t>
      </w:r>
      <w:r w:rsidRPr="00DA2BFA">
        <w:rPr>
          <w:rFonts w:ascii="Times New Roman" w:hAnsi="Times New Roman" w:cs="Times New Roman"/>
          <w:sz w:val="24"/>
          <w:szCs w:val="24"/>
        </w:rPr>
        <w:t>Par conséquent, à l’époque, l’acquéreur n’assumait pas les dettes découlant de contrats qui n’étaient plus en vigueur à la date de la décision.</w:t>
      </w:r>
    </w:p>
    <w:p w:rsidR="005759EE" w:rsidRPr="002B58B4" w:rsidRDefault="005759EE" w:rsidP="005759EE">
      <w:pPr>
        <w:jc w:val="both"/>
        <w:rPr>
          <w:rFonts w:ascii="Times New Roman" w:hAnsi="Times New Roman" w:cs="Times New Roman"/>
          <w:sz w:val="24"/>
          <w:szCs w:val="24"/>
        </w:rPr>
      </w:pPr>
      <w:r w:rsidRPr="00DA2BFA">
        <w:rPr>
          <w:rFonts w:ascii="Times New Roman" w:hAnsi="Times New Roman" w:cs="Times New Roman"/>
          <w:sz w:val="24"/>
          <w:szCs w:val="24"/>
        </w:rPr>
        <w:t>Toutefois, cette interprétation</w:t>
      </w:r>
      <w:r>
        <w:rPr>
          <w:rFonts w:ascii="Times New Roman" w:hAnsi="Times New Roman" w:cs="Times New Roman"/>
          <w:sz w:val="24"/>
          <w:szCs w:val="24"/>
        </w:rPr>
        <w:t>,</w:t>
      </w:r>
      <w:r w:rsidRPr="00DA2BFA">
        <w:rPr>
          <w:rFonts w:ascii="Times New Roman" w:hAnsi="Times New Roman" w:cs="Times New Roman"/>
          <w:sz w:val="24"/>
          <w:szCs w:val="24"/>
        </w:rPr>
        <w:t xml:space="preserve"> auparavant partagée par la majorité des juges des tribunaux de commerce, a été contestée tant par </w:t>
      </w:r>
      <w:r>
        <w:rPr>
          <w:rFonts w:ascii="Times New Roman" w:hAnsi="Times New Roman" w:cs="Times New Roman"/>
          <w:sz w:val="24"/>
          <w:szCs w:val="24"/>
        </w:rPr>
        <w:t>d</w:t>
      </w:r>
      <w:r w:rsidRPr="00DA2BFA">
        <w:rPr>
          <w:rFonts w:ascii="Times New Roman" w:hAnsi="Times New Roman" w:cs="Times New Roman"/>
          <w:sz w:val="24"/>
          <w:szCs w:val="24"/>
        </w:rPr>
        <w:t xml:space="preserve">es salariés que par le TGSS, générant une très forte incertitude juridique, jusqu’à ce que les </w:t>
      </w:r>
      <w:r>
        <w:rPr>
          <w:rFonts w:ascii="Times New Roman" w:hAnsi="Times New Roman" w:cs="Times New Roman"/>
          <w:sz w:val="24"/>
          <w:szCs w:val="24"/>
        </w:rPr>
        <w:t>c</w:t>
      </w:r>
      <w:r w:rsidRPr="00DA2BFA">
        <w:rPr>
          <w:rFonts w:ascii="Times New Roman" w:hAnsi="Times New Roman" w:cs="Times New Roman"/>
          <w:sz w:val="24"/>
          <w:szCs w:val="24"/>
        </w:rPr>
        <w:t>hambres du travail de diverses cours d’appel régionales (</w:t>
      </w:r>
      <w:r w:rsidRPr="00DA2BFA">
        <w:rPr>
          <w:rFonts w:ascii="Times New Roman" w:hAnsi="Times New Roman" w:cs="Times New Roman"/>
          <w:i/>
          <w:sz w:val="24"/>
          <w:szCs w:val="24"/>
        </w:rPr>
        <w:t>Tribunales Superiores de Justicia</w:t>
      </w:r>
      <w:r w:rsidRPr="00DA2BFA">
        <w:rPr>
          <w:rFonts w:ascii="Times New Roman" w:hAnsi="Times New Roman" w:cs="Times New Roman"/>
          <w:sz w:val="24"/>
          <w:szCs w:val="24"/>
        </w:rPr>
        <w:t xml:space="preserve"> ou TSJ) </w:t>
      </w:r>
      <w:r>
        <w:rPr>
          <w:rFonts w:ascii="Times New Roman" w:hAnsi="Times New Roman" w:cs="Times New Roman"/>
          <w:sz w:val="24"/>
          <w:szCs w:val="24"/>
        </w:rPr>
        <w:t>rendent</w:t>
      </w:r>
      <w:r w:rsidRPr="00DA2BFA">
        <w:rPr>
          <w:rFonts w:ascii="Times New Roman" w:hAnsi="Times New Roman" w:cs="Times New Roman"/>
          <w:sz w:val="24"/>
          <w:szCs w:val="24"/>
        </w:rPr>
        <w:t xml:space="preserve"> plusieurs arrêts apportant des clarifications à cet égard.</w:t>
      </w:r>
    </w:p>
    <w:p w:rsidR="005759EE" w:rsidRPr="002B58B4" w:rsidRDefault="005759EE" w:rsidP="005759EE">
      <w:pPr>
        <w:jc w:val="both"/>
        <w:rPr>
          <w:rFonts w:ascii="Times New Roman" w:hAnsi="Times New Roman" w:cs="Times New Roman"/>
          <w:sz w:val="24"/>
          <w:szCs w:val="24"/>
        </w:rPr>
      </w:pPr>
      <w:r w:rsidRPr="00DA2BFA">
        <w:rPr>
          <w:rFonts w:ascii="Times New Roman" w:hAnsi="Times New Roman" w:cs="Times New Roman"/>
          <w:b/>
          <w:sz w:val="24"/>
          <w:szCs w:val="24"/>
        </w:rPr>
        <w:t>Consolidation de la succession d’employeurs en 2017</w:t>
      </w:r>
      <w:r w:rsidRPr="002B58B4">
        <w:rPr>
          <w:rFonts w:ascii="Times New Roman" w:hAnsi="Times New Roman" w:cs="Times New Roman"/>
          <w:sz w:val="24"/>
          <w:szCs w:val="24"/>
        </w:rPr>
        <w:t xml:space="preserve"> </w:t>
      </w:r>
    </w:p>
    <w:p w:rsidR="005759EE" w:rsidRPr="002B58B4" w:rsidRDefault="005759EE" w:rsidP="005759EE">
      <w:pPr>
        <w:jc w:val="both"/>
        <w:rPr>
          <w:rFonts w:ascii="Times New Roman" w:hAnsi="Times New Roman" w:cs="Times New Roman"/>
          <w:sz w:val="24"/>
          <w:szCs w:val="24"/>
        </w:rPr>
      </w:pPr>
      <w:r w:rsidRPr="00DA2BFA">
        <w:rPr>
          <w:rFonts w:ascii="Times New Roman" w:hAnsi="Times New Roman" w:cs="Times New Roman"/>
          <w:sz w:val="24"/>
          <w:szCs w:val="24"/>
        </w:rPr>
        <w:t>S’agissant de la question sous-jacente, en 2017, les Chambres du travail de diverses cours d’appel régionales ont affirmé que, dans les situations régies par la nouvelle loi (c’est-à-dire dans les cas où la phase de liquidation de la procédure d’insolvabilité a été ouverte à partir du 26 mai 2015), l’article 44 de la loi espagnole sur les salariés s’appliquera en cas de cession d’une unité de production.</w:t>
      </w:r>
      <w:r w:rsidRPr="002B58B4">
        <w:rPr>
          <w:rFonts w:ascii="Times New Roman" w:hAnsi="Times New Roman" w:cs="Times New Roman"/>
          <w:sz w:val="24"/>
          <w:szCs w:val="24"/>
        </w:rPr>
        <w:t xml:space="preserve"> </w:t>
      </w:r>
      <w:r w:rsidRPr="00DA2BFA">
        <w:rPr>
          <w:rFonts w:ascii="Times New Roman" w:hAnsi="Times New Roman" w:cs="Times New Roman"/>
          <w:sz w:val="24"/>
          <w:szCs w:val="24"/>
        </w:rPr>
        <w:t xml:space="preserve">Cela signifie qu’il y a succession d’employeurs et que l’acquéreur de l’unité de production, par conséquent, devient conjointement et </w:t>
      </w:r>
      <w:r>
        <w:rPr>
          <w:rFonts w:ascii="Times New Roman" w:hAnsi="Times New Roman" w:cs="Times New Roman"/>
          <w:sz w:val="24"/>
          <w:szCs w:val="24"/>
        </w:rPr>
        <w:t>solidairement</w:t>
      </w:r>
      <w:r w:rsidRPr="00DA2BFA">
        <w:rPr>
          <w:rFonts w:ascii="Times New Roman" w:hAnsi="Times New Roman" w:cs="Times New Roman"/>
          <w:sz w:val="24"/>
          <w:szCs w:val="24"/>
        </w:rPr>
        <w:t xml:space="preserve"> responsable des dettes salariales et de sécurité sociale de l</w:t>
      </w:r>
      <w:r>
        <w:rPr>
          <w:rFonts w:ascii="Times New Roman" w:hAnsi="Times New Roman" w:cs="Times New Roman"/>
          <w:sz w:val="24"/>
          <w:szCs w:val="24"/>
        </w:rPr>
        <w:t xml:space="preserve">’entreprise </w:t>
      </w:r>
      <w:r w:rsidRPr="00DA2BFA">
        <w:rPr>
          <w:rFonts w:ascii="Times New Roman" w:hAnsi="Times New Roman" w:cs="Times New Roman"/>
          <w:sz w:val="24"/>
          <w:szCs w:val="24"/>
        </w:rPr>
        <w:t>insolvable vis-à-vis de tous les salariés (y compris de ceux qui font l’objet d’une subrogation, et des autres), en vertu des articles 146 bis.4 et 149.4 de la LI.</w:t>
      </w:r>
    </w:p>
    <w:p w:rsidR="005759EE" w:rsidRPr="002B58B4" w:rsidRDefault="005759EE" w:rsidP="005759EE">
      <w:pPr>
        <w:jc w:val="both"/>
        <w:rPr>
          <w:rFonts w:ascii="Times New Roman" w:hAnsi="Times New Roman" w:cs="Times New Roman"/>
          <w:sz w:val="24"/>
          <w:szCs w:val="24"/>
        </w:rPr>
      </w:pPr>
      <w:r>
        <w:rPr>
          <w:rFonts w:ascii="Times New Roman" w:hAnsi="Times New Roman" w:cs="Times New Roman"/>
          <w:sz w:val="24"/>
          <w:szCs w:val="24"/>
        </w:rPr>
        <w:t xml:space="preserve">Cette </w:t>
      </w:r>
      <w:r w:rsidRPr="00DA2BFA">
        <w:rPr>
          <w:rFonts w:ascii="Times New Roman" w:hAnsi="Times New Roman" w:cs="Times New Roman"/>
          <w:sz w:val="24"/>
          <w:szCs w:val="24"/>
        </w:rPr>
        <w:t>même conclusion se retrouve dans les décisions de la Chambre du travail du TSJ de Galice du 16 juin 2017 (appel n° 325/2017), de la Chambre du travail du TSJ d’Andalousie (Séville) du 22 juin 2017 (appel n° 2581/2016) et de la Chambre du travail du TSJ de Catalogne du 18 octobre 2017 (appel n° 4177/2017).</w:t>
      </w:r>
    </w:p>
    <w:p w:rsidR="005759EE" w:rsidRPr="002B58B4" w:rsidRDefault="005759EE" w:rsidP="005759EE">
      <w:pPr>
        <w:jc w:val="both"/>
        <w:rPr>
          <w:rFonts w:ascii="Times New Roman" w:hAnsi="Times New Roman" w:cs="Times New Roman"/>
          <w:sz w:val="24"/>
          <w:szCs w:val="24"/>
        </w:rPr>
      </w:pPr>
      <w:r w:rsidRPr="00DD42B3">
        <w:rPr>
          <w:rFonts w:ascii="Times New Roman" w:hAnsi="Times New Roman" w:cs="Times New Roman"/>
          <w:sz w:val="24"/>
          <w:szCs w:val="24"/>
        </w:rPr>
        <w:t>Cette dernière décision revêt une importance particulière, car elle contient une analyse de la façon dont les modifications apportées aux articles 146</w:t>
      </w:r>
      <w:r>
        <w:rPr>
          <w:rFonts w:ascii="Times New Roman" w:hAnsi="Times New Roman" w:cs="Times New Roman"/>
          <w:sz w:val="24"/>
          <w:szCs w:val="24"/>
        </w:rPr>
        <w:t> </w:t>
      </w:r>
      <w:r w:rsidRPr="00DD42B3">
        <w:rPr>
          <w:rFonts w:ascii="Times New Roman" w:hAnsi="Times New Roman" w:cs="Times New Roman"/>
          <w:sz w:val="24"/>
          <w:szCs w:val="24"/>
        </w:rPr>
        <w:t>bis et 149.4 de la LI, dans le cadre des récentes réformes législatives, ont constitué un revirement à 360 degrés sur ce point : alors que les plans de liquidation pouvaient auparavant limiter la responsabilité de l’acquéreur d’une unité de production en termes de dettes vis-à-vis des salariés et du TGSS, cette limitation n’est plus possible, car l’article 149.4 de la LI est une disposition obligatoire qui établit expressément l’existence d’une succession d’employeurs pour les questions de salaires et de charges sociales.</w:t>
      </w:r>
    </w:p>
    <w:p w:rsidR="005759EE" w:rsidRPr="002B58B4" w:rsidRDefault="005759EE" w:rsidP="005759EE">
      <w:pPr>
        <w:jc w:val="both"/>
        <w:rPr>
          <w:rFonts w:ascii="Times New Roman" w:hAnsi="Times New Roman" w:cs="Times New Roman"/>
          <w:sz w:val="24"/>
          <w:szCs w:val="24"/>
        </w:rPr>
      </w:pPr>
      <w:r w:rsidRPr="00DD42B3">
        <w:rPr>
          <w:rFonts w:ascii="Times New Roman" w:hAnsi="Times New Roman" w:cs="Times New Roman"/>
          <w:sz w:val="24"/>
          <w:szCs w:val="24"/>
        </w:rPr>
        <w:t>Enfin, il convient de noter que la Cour suprême espagnole (</w:t>
      </w:r>
      <w:r w:rsidRPr="00DD42B3">
        <w:rPr>
          <w:rFonts w:ascii="Times New Roman" w:hAnsi="Times New Roman" w:cs="Times New Roman"/>
          <w:i/>
          <w:sz w:val="24"/>
          <w:szCs w:val="24"/>
        </w:rPr>
        <w:t>Tribunal Supremo</w:t>
      </w:r>
      <w:r w:rsidRPr="00DD42B3">
        <w:rPr>
          <w:rFonts w:ascii="Times New Roman" w:hAnsi="Times New Roman" w:cs="Times New Roman"/>
          <w:sz w:val="24"/>
          <w:szCs w:val="24"/>
        </w:rPr>
        <w:t xml:space="preserve">) a arrêté que les </w:t>
      </w:r>
      <w:r>
        <w:rPr>
          <w:rFonts w:ascii="Times New Roman" w:hAnsi="Times New Roman" w:cs="Times New Roman"/>
          <w:sz w:val="24"/>
          <w:szCs w:val="24"/>
        </w:rPr>
        <w:t>t</w:t>
      </w:r>
      <w:r w:rsidRPr="00DD42B3">
        <w:rPr>
          <w:rFonts w:ascii="Times New Roman" w:hAnsi="Times New Roman" w:cs="Times New Roman"/>
          <w:sz w:val="24"/>
          <w:szCs w:val="24"/>
        </w:rPr>
        <w:t>ribunaux du travail régionaux d’Espagne (</w:t>
      </w:r>
      <w:r w:rsidRPr="00DD42B3">
        <w:rPr>
          <w:rFonts w:ascii="Times New Roman" w:hAnsi="Times New Roman" w:cs="Times New Roman"/>
          <w:i/>
          <w:sz w:val="24"/>
          <w:szCs w:val="24"/>
        </w:rPr>
        <w:t>Juzgados de lo Social</w:t>
      </w:r>
      <w:r w:rsidRPr="00DD42B3">
        <w:rPr>
          <w:rFonts w:ascii="Times New Roman" w:hAnsi="Times New Roman" w:cs="Times New Roman"/>
          <w:sz w:val="24"/>
          <w:szCs w:val="24"/>
        </w:rPr>
        <w:t xml:space="preserve">) avaient compétence pour statuer </w:t>
      </w:r>
      <w:r w:rsidRPr="00DD42B3">
        <w:rPr>
          <w:rFonts w:ascii="Times New Roman" w:hAnsi="Times New Roman" w:cs="Times New Roman"/>
          <w:sz w:val="24"/>
          <w:szCs w:val="24"/>
        </w:rPr>
        <w:lastRenderedPageBreak/>
        <w:t>sur l’existence d’une succession d’employeurs dans des circonstances impliquant la cession d’unités de production dans le cadre d’une procédure d’insolvabilité.</w:t>
      </w:r>
    </w:p>
    <w:p w:rsidR="005759EE" w:rsidRPr="002B58B4" w:rsidRDefault="005759EE" w:rsidP="005759EE">
      <w:pPr>
        <w:jc w:val="both"/>
        <w:rPr>
          <w:rFonts w:ascii="Times New Roman" w:hAnsi="Times New Roman" w:cs="Times New Roman"/>
          <w:b/>
          <w:sz w:val="24"/>
          <w:szCs w:val="24"/>
        </w:rPr>
      </w:pPr>
      <w:r w:rsidRPr="00DD42B3">
        <w:rPr>
          <w:rFonts w:ascii="Times New Roman" w:hAnsi="Times New Roman" w:cs="Times New Roman"/>
          <w:b/>
          <w:sz w:val="24"/>
          <w:szCs w:val="24"/>
        </w:rPr>
        <w:t>Répercussions de la nouvelle loi et de sa réforme pratique</w:t>
      </w:r>
    </w:p>
    <w:p w:rsidR="005759EE" w:rsidRPr="002B58B4" w:rsidRDefault="005759EE" w:rsidP="005759EE">
      <w:pPr>
        <w:jc w:val="both"/>
        <w:rPr>
          <w:rFonts w:ascii="Times New Roman" w:hAnsi="Times New Roman" w:cs="Times New Roman"/>
          <w:sz w:val="24"/>
          <w:szCs w:val="24"/>
        </w:rPr>
      </w:pPr>
      <w:r w:rsidRPr="0056368F">
        <w:rPr>
          <w:rFonts w:ascii="Times New Roman" w:hAnsi="Times New Roman" w:cs="Times New Roman"/>
          <w:sz w:val="24"/>
          <w:szCs w:val="24"/>
        </w:rPr>
        <w:t>La réforme introduite par la loi espagnole 9/2015 du 25 mai concernant la modification de la loi sur l’insolvabilité et ses interprétations ultérieures ont renforcé la succession d’employeurs en cas de cession d’unités de production dans le cadre d’une procédure d’insolvabilité.</w:t>
      </w:r>
      <w:r w:rsidRPr="002B58B4">
        <w:rPr>
          <w:rFonts w:ascii="Times New Roman" w:hAnsi="Times New Roman" w:cs="Times New Roman"/>
          <w:sz w:val="24"/>
          <w:szCs w:val="24"/>
        </w:rPr>
        <w:t xml:space="preserve"> </w:t>
      </w:r>
      <w:r w:rsidRPr="0056368F">
        <w:rPr>
          <w:rFonts w:ascii="Times New Roman" w:hAnsi="Times New Roman" w:cs="Times New Roman"/>
          <w:sz w:val="24"/>
          <w:szCs w:val="24"/>
        </w:rPr>
        <w:t xml:space="preserve">Cette nouvelle loi correspond à l’attribution d’un statut privilégié — que la LI n’établit pas par principe — à toutes les dettes </w:t>
      </w:r>
      <w:r>
        <w:rPr>
          <w:rFonts w:ascii="Times New Roman" w:hAnsi="Times New Roman" w:cs="Times New Roman"/>
          <w:sz w:val="24"/>
          <w:szCs w:val="24"/>
        </w:rPr>
        <w:t>correspondant</w:t>
      </w:r>
      <w:r w:rsidRPr="0056368F">
        <w:rPr>
          <w:rFonts w:ascii="Times New Roman" w:hAnsi="Times New Roman" w:cs="Times New Roman"/>
          <w:sz w:val="24"/>
          <w:szCs w:val="24"/>
        </w:rPr>
        <w:t xml:space="preserve"> aux salaires et aux charges sociales, puisque l’acquéreur sera obligé de les payer.</w:t>
      </w:r>
    </w:p>
    <w:p w:rsidR="005759EE" w:rsidRPr="002B58B4" w:rsidRDefault="005759EE" w:rsidP="005759EE">
      <w:pPr>
        <w:jc w:val="both"/>
        <w:rPr>
          <w:rFonts w:ascii="Times New Roman" w:hAnsi="Times New Roman" w:cs="Times New Roman"/>
          <w:sz w:val="24"/>
          <w:szCs w:val="24"/>
        </w:rPr>
      </w:pPr>
      <w:r w:rsidRPr="0056368F">
        <w:rPr>
          <w:rFonts w:ascii="Times New Roman" w:hAnsi="Times New Roman" w:cs="Times New Roman"/>
          <w:sz w:val="24"/>
          <w:szCs w:val="24"/>
        </w:rPr>
        <w:t>Plus important, cette nouvelle loi pourrait mettre en échec la cession d’unités de production, puisque ces décisions augmentent le montant que les parties intéressées par l’acquisition d’unités de production devront investir et risquent d’effrayer les acquéreurs potentiels, entraînant la disparition de l’entreprise insolvable à laquelle l’unité de production en question appartenait, et don</w:t>
      </w:r>
      <w:r>
        <w:rPr>
          <w:rFonts w:ascii="Times New Roman" w:hAnsi="Times New Roman" w:cs="Times New Roman"/>
          <w:sz w:val="24"/>
          <w:szCs w:val="24"/>
        </w:rPr>
        <w:t>c</w:t>
      </w:r>
      <w:r w:rsidRPr="0056368F">
        <w:rPr>
          <w:rFonts w:ascii="Times New Roman" w:hAnsi="Times New Roman" w:cs="Times New Roman"/>
          <w:sz w:val="24"/>
          <w:szCs w:val="24"/>
        </w:rPr>
        <w:t xml:space="preserve"> la perte de tous les emplois.</w:t>
      </w:r>
    </w:p>
    <w:p w:rsidR="005759EE" w:rsidRPr="00EB1078" w:rsidRDefault="005759EE" w:rsidP="005759EE">
      <w:pPr>
        <w:jc w:val="both"/>
        <w:rPr>
          <w:sz w:val="24"/>
        </w:rPr>
      </w:pPr>
      <w:r w:rsidRPr="00EB1078">
        <w:rPr>
          <w:rFonts w:ascii="Times New Roman" w:hAnsi="Times New Roman" w:cs="Times New Roman"/>
          <w:sz w:val="24"/>
          <w:szCs w:val="24"/>
        </w:rPr>
        <w:t>Par conséquent, l’approbation de la loi espagnole n° 9/2015 et ses interprétations ultérieures ont largement réduit les possibilités d’acquisition d’unités de production, car les acquéreurs sont contraints d’hériter des dettes en cours et passées envers les salariés et la Sécurité sociale.</w:t>
      </w:r>
      <w:r w:rsidRPr="002B58B4">
        <w:rPr>
          <w:rFonts w:ascii="Times New Roman" w:hAnsi="Times New Roman" w:cs="Times New Roman"/>
          <w:sz w:val="24"/>
          <w:szCs w:val="24"/>
        </w:rPr>
        <w:t xml:space="preserve"> </w:t>
      </w:r>
      <w:r w:rsidRPr="00EB1078">
        <w:rPr>
          <w:rFonts w:ascii="Times New Roman" w:hAnsi="Times New Roman" w:cs="Times New Roman"/>
          <w:sz w:val="24"/>
          <w:szCs w:val="24"/>
        </w:rPr>
        <w:t xml:space="preserve">Ce qui </w:t>
      </w:r>
      <w:r>
        <w:rPr>
          <w:rFonts w:ascii="Times New Roman" w:hAnsi="Times New Roman" w:cs="Times New Roman"/>
          <w:sz w:val="24"/>
          <w:szCs w:val="24"/>
        </w:rPr>
        <w:t>serait</w:t>
      </w:r>
      <w:r w:rsidRPr="00EB1078">
        <w:rPr>
          <w:rFonts w:ascii="Times New Roman" w:hAnsi="Times New Roman" w:cs="Times New Roman"/>
          <w:sz w:val="24"/>
          <w:szCs w:val="24"/>
        </w:rPr>
        <w:t xml:space="preserve"> le plus souhaitable, désormais, </w:t>
      </w:r>
      <w:r>
        <w:rPr>
          <w:rFonts w:ascii="Times New Roman" w:hAnsi="Times New Roman" w:cs="Times New Roman"/>
          <w:sz w:val="24"/>
          <w:szCs w:val="24"/>
        </w:rPr>
        <w:t>serait</w:t>
      </w:r>
      <w:r w:rsidRPr="00EB1078">
        <w:rPr>
          <w:rFonts w:ascii="Times New Roman" w:hAnsi="Times New Roman" w:cs="Times New Roman"/>
          <w:sz w:val="24"/>
          <w:szCs w:val="24"/>
        </w:rPr>
        <w:t xml:space="preserve"> que les législateurs comprennent enfin que la seule façon de préserver le tissu industriel du pays et les emplois qui y sont associés </w:t>
      </w:r>
      <w:r>
        <w:rPr>
          <w:rFonts w:ascii="Times New Roman" w:hAnsi="Times New Roman" w:cs="Times New Roman"/>
          <w:sz w:val="24"/>
          <w:szCs w:val="24"/>
        </w:rPr>
        <w:t>consiste à</w:t>
      </w:r>
      <w:r w:rsidRPr="00EB1078">
        <w:rPr>
          <w:rFonts w:ascii="Times New Roman" w:hAnsi="Times New Roman" w:cs="Times New Roman"/>
          <w:sz w:val="24"/>
          <w:szCs w:val="24"/>
        </w:rPr>
        <w:t xml:space="preserve"> réformer </w:t>
      </w:r>
      <w:r>
        <w:rPr>
          <w:rFonts w:ascii="Times New Roman" w:hAnsi="Times New Roman" w:cs="Times New Roman"/>
          <w:sz w:val="24"/>
          <w:szCs w:val="24"/>
        </w:rPr>
        <w:t>de</w:t>
      </w:r>
      <w:r w:rsidRPr="00EB1078">
        <w:rPr>
          <w:rFonts w:ascii="Times New Roman" w:hAnsi="Times New Roman" w:cs="Times New Roman"/>
          <w:sz w:val="24"/>
          <w:szCs w:val="24"/>
        </w:rPr>
        <w:t xml:space="preserve"> nouveau les articles 146 bis.4 et 149.4 de la loi espagnole sur l’insolvabilité, afin d’exprimer clairement et expressément que lorsque le transfert d’une unité de production intervient dans le cadre d’une procédure d’insolvabilité, il n’y a pas de succession d’employeurs, puisque ce type de cession est supervisé par le juge de l’insolvabilité et intervient dans le but de maintenir la viabilité des pôles opérationnels.</w:t>
      </w:r>
    </w:p>
    <w:p w:rsidR="005759EE" w:rsidRPr="002B58B4" w:rsidRDefault="005759EE" w:rsidP="005759EE">
      <w:pPr>
        <w:jc w:val="both"/>
        <w:rPr>
          <w:rFonts w:ascii="Times New Roman" w:hAnsi="Times New Roman" w:cs="Times New Roman"/>
          <w:sz w:val="24"/>
          <w:szCs w:val="24"/>
        </w:rPr>
      </w:pPr>
      <w:r w:rsidRPr="00EB1078">
        <w:rPr>
          <w:rFonts w:ascii="Times New Roman" w:hAnsi="Times New Roman" w:cs="Times New Roman"/>
          <w:sz w:val="24"/>
          <w:szCs w:val="24"/>
        </w:rPr>
        <w:t>Bien que ces nouvelles réformes soient souhaitables, en attendant qu’elles soient effectuées, les parties qui souhaitent acquérir des unités de production devront analyser attentivement les dettes de l’entreprise insolvables correspondant aux salaires et aux charges sociales, de manière à adapter leurs offres à ces éventualités et éviter les mauvaises surprises après l’acquisition.</w:t>
      </w:r>
      <w:r w:rsidRPr="002B58B4">
        <w:rPr>
          <w:rFonts w:ascii="Times New Roman" w:hAnsi="Times New Roman" w:cs="Times New Roman"/>
          <w:sz w:val="24"/>
          <w:szCs w:val="24"/>
        </w:rPr>
        <w:t xml:space="preserve"> </w:t>
      </w:r>
    </w:p>
    <w:p w:rsidR="005759EE" w:rsidRPr="002B58B4" w:rsidRDefault="005759EE" w:rsidP="005759EE">
      <w:pPr>
        <w:jc w:val="both"/>
        <w:rPr>
          <w:rFonts w:ascii="Arial Narrow" w:hAnsi="Arial Narrow" w:cs="Times New Roman"/>
          <w:i/>
          <w:sz w:val="24"/>
          <w:szCs w:val="24"/>
        </w:rPr>
      </w:pPr>
      <w:r w:rsidRPr="00EB1078">
        <w:rPr>
          <w:rFonts w:ascii="Arial Narrow" w:hAnsi="Arial Narrow" w:cs="Times New Roman"/>
          <w:i/>
          <w:sz w:val="24"/>
          <w:szCs w:val="24"/>
        </w:rPr>
        <w:t>*Agustín Bou, associé, Jausus Legal (Espagne)</w:t>
      </w:r>
    </w:p>
    <w:p w:rsidR="003B5B5D" w:rsidRPr="003B5B5D" w:rsidRDefault="003B5B5D" w:rsidP="005759EE">
      <w:pPr>
        <w:suppressAutoHyphens/>
        <w:spacing w:after="0" w:line="240" w:lineRule="auto"/>
        <w:rPr>
          <w:rFonts w:ascii="Times New Roman" w:eastAsia="Times New Roman" w:hAnsi="Times New Roman" w:cs="Times New Roman"/>
          <w:sz w:val="24"/>
          <w:szCs w:val="24"/>
          <w:lang w:eastAsia="ar-SA"/>
        </w:rPr>
      </w:pPr>
    </w:p>
    <w:p w:rsidR="003B5B5D" w:rsidRPr="003B5B5D" w:rsidRDefault="003B5B5D" w:rsidP="003B5B5D">
      <w:pPr>
        <w:suppressAutoHyphens/>
        <w:spacing w:after="0" w:line="240" w:lineRule="auto"/>
        <w:jc w:val="center"/>
        <w:rPr>
          <w:rFonts w:ascii="Times New Roman" w:eastAsia="Times New Roman" w:hAnsi="Times New Roman" w:cs="Times New Roman"/>
          <w:sz w:val="24"/>
          <w:szCs w:val="24"/>
          <w:lang w:eastAsia="ar-SA"/>
        </w:rPr>
      </w:pPr>
      <w:r w:rsidRPr="003B5B5D">
        <w:rPr>
          <w:rFonts w:ascii="Times New Roman" w:eastAsia="Times New Roman" w:hAnsi="Times New Roman" w:cs="Times New Roman"/>
          <w:sz w:val="24"/>
          <w:szCs w:val="24"/>
          <w:lang w:eastAsia="ar-SA"/>
        </w:rPr>
        <w:t>x  x x</w:t>
      </w:r>
    </w:p>
    <w:p w:rsidR="003B5B5D" w:rsidRPr="003B5B5D" w:rsidRDefault="003B5B5D" w:rsidP="003B5B5D">
      <w:pPr>
        <w:suppressAutoHyphens/>
        <w:spacing w:after="0" w:line="240" w:lineRule="auto"/>
        <w:jc w:val="center"/>
        <w:rPr>
          <w:rFonts w:ascii="Times New Roman" w:eastAsia="Times New Roman" w:hAnsi="Times New Roman" w:cs="Times New Roman"/>
          <w:sz w:val="24"/>
          <w:szCs w:val="24"/>
          <w:lang w:eastAsia="ar-SA"/>
        </w:rPr>
      </w:pPr>
      <w:r w:rsidRPr="003B5B5D">
        <w:rPr>
          <w:rFonts w:ascii="Times New Roman" w:eastAsia="Times New Roman" w:hAnsi="Times New Roman" w:cs="Times New Roman"/>
          <w:sz w:val="24"/>
          <w:szCs w:val="24"/>
          <w:lang w:eastAsia="ar-SA"/>
        </w:rPr>
        <w:t>x</w:t>
      </w:r>
    </w:p>
    <w:p w:rsidR="003B5B5D" w:rsidRPr="003B5B5D" w:rsidRDefault="003B5B5D" w:rsidP="003B5B5D">
      <w:pPr>
        <w:suppressAutoHyphens/>
        <w:spacing w:after="0" w:line="240" w:lineRule="auto"/>
        <w:jc w:val="both"/>
        <w:rPr>
          <w:rFonts w:ascii="Arial Narrow" w:eastAsia="Times New Roman" w:hAnsi="Arial Narrow" w:cs="Times New Roman"/>
          <w:b/>
          <w:sz w:val="32"/>
          <w:szCs w:val="32"/>
          <w:lang w:eastAsia="ar-SA"/>
        </w:rPr>
      </w:pPr>
    </w:p>
    <w:p w:rsidR="00ED42FE" w:rsidRDefault="00ED42FE" w:rsidP="00C44D1B">
      <w:pPr>
        <w:spacing w:after="0" w:line="240" w:lineRule="auto"/>
        <w:jc w:val="both"/>
        <w:rPr>
          <w:rFonts w:ascii="Arial Narrow" w:hAnsi="Arial Narrow" w:cs="Times New Roman"/>
          <w:b/>
          <w:sz w:val="32"/>
          <w:szCs w:val="32"/>
        </w:rPr>
      </w:pPr>
    </w:p>
    <w:p w:rsidR="00ED42FE" w:rsidRDefault="00ED42FE" w:rsidP="00C44D1B">
      <w:pPr>
        <w:spacing w:after="0" w:line="240" w:lineRule="auto"/>
        <w:jc w:val="both"/>
        <w:rPr>
          <w:rFonts w:ascii="Arial Narrow" w:hAnsi="Arial Narrow" w:cs="Times New Roman"/>
          <w:b/>
          <w:sz w:val="32"/>
          <w:szCs w:val="32"/>
        </w:rPr>
      </w:pPr>
    </w:p>
    <w:p w:rsidR="00ED42FE" w:rsidRDefault="00ED42FE" w:rsidP="00C44D1B">
      <w:pPr>
        <w:spacing w:after="0" w:line="240" w:lineRule="auto"/>
        <w:jc w:val="both"/>
        <w:rPr>
          <w:rFonts w:ascii="Arial Narrow" w:hAnsi="Arial Narrow" w:cs="Times New Roman"/>
          <w:b/>
          <w:sz w:val="32"/>
          <w:szCs w:val="32"/>
        </w:rPr>
      </w:pPr>
    </w:p>
    <w:p w:rsidR="00C44D1B" w:rsidRPr="00405201" w:rsidRDefault="00C44D1B" w:rsidP="00C44D1B">
      <w:pPr>
        <w:spacing w:after="0" w:line="240" w:lineRule="auto"/>
        <w:jc w:val="both"/>
        <w:rPr>
          <w:rFonts w:ascii="Arial Narrow" w:hAnsi="Arial Narrow" w:cs="Times New Roman"/>
          <w:b/>
          <w:sz w:val="32"/>
          <w:szCs w:val="32"/>
        </w:rPr>
      </w:pPr>
      <w:r w:rsidRPr="00405201">
        <w:rPr>
          <w:rFonts w:ascii="Arial Narrow" w:hAnsi="Arial Narrow" w:cs="Times New Roman"/>
          <w:b/>
          <w:sz w:val="32"/>
          <w:szCs w:val="32"/>
        </w:rPr>
        <w:lastRenderedPageBreak/>
        <w:t>Finland</w:t>
      </w:r>
      <w:r w:rsidR="00377C4B">
        <w:rPr>
          <w:rFonts w:ascii="Arial Narrow" w:hAnsi="Arial Narrow" w:cs="Times New Roman"/>
          <w:b/>
          <w:sz w:val="32"/>
          <w:szCs w:val="32"/>
        </w:rPr>
        <w:t>e</w:t>
      </w:r>
    </w:p>
    <w:p w:rsidR="00C44D1B" w:rsidRPr="00405201" w:rsidRDefault="00C44D1B" w:rsidP="00C44D1B">
      <w:pPr>
        <w:spacing w:after="0" w:line="240" w:lineRule="auto"/>
        <w:jc w:val="center"/>
        <w:rPr>
          <w:rFonts w:ascii="Times New Roman" w:hAnsi="Times New Roman" w:cs="Times New Roman"/>
          <w:b/>
          <w:sz w:val="24"/>
          <w:szCs w:val="24"/>
        </w:rPr>
      </w:pPr>
    </w:p>
    <w:p w:rsidR="00C44D1B" w:rsidRPr="00405201" w:rsidRDefault="00C44D1B" w:rsidP="00C44D1B">
      <w:pPr>
        <w:spacing w:after="0" w:line="240" w:lineRule="auto"/>
        <w:jc w:val="center"/>
        <w:rPr>
          <w:rFonts w:ascii="Times New Roman" w:hAnsi="Times New Roman" w:cs="Times New Roman"/>
          <w:b/>
          <w:sz w:val="48"/>
          <w:szCs w:val="48"/>
        </w:rPr>
      </w:pPr>
      <w:r w:rsidRPr="00405201">
        <w:rPr>
          <w:rFonts w:ascii="Times New Roman" w:hAnsi="Times New Roman" w:cs="Times New Roman"/>
          <w:b/>
          <w:sz w:val="48"/>
          <w:szCs w:val="48"/>
        </w:rPr>
        <w:t>Finlande : Peaufinage d’un régime de l’insolvabilité déjà stable</w:t>
      </w:r>
    </w:p>
    <w:p w:rsidR="00C44D1B" w:rsidRPr="00405201" w:rsidRDefault="00C44D1B" w:rsidP="00C44D1B">
      <w:pPr>
        <w:jc w:val="center"/>
        <w:rPr>
          <w:rFonts w:ascii="Arial Narrow" w:hAnsi="Arial Narrow" w:cs="Times New Roman"/>
          <w:i/>
          <w:sz w:val="24"/>
          <w:szCs w:val="24"/>
        </w:rPr>
      </w:pPr>
      <w:r w:rsidRPr="004823FB">
        <w:rPr>
          <w:rFonts w:ascii="Arial Narrow" w:hAnsi="Arial Narrow" w:cs="Times New Roman"/>
          <w:i/>
          <w:sz w:val="24"/>
          <w:szCs w:val="24"/>
        </w:rPr>
        <w:t>Tuula Linna et Sami Uoti* nous présentent les récentes mises à jour et évolutions</w:t>
      </w:r>
    </w:p>
    <w:p w:rsidR="00C44D1B" w:rsidRPr="00AE58AA" w:rsidRDefault="00C44D1B" w:rsidP="00C44D1B">
      <w:pPr>
        <w:jc w:val="both"/>
        <w:rPr>
          <w:rFonts w:ascii="Times New Roman" w:hAnsi="Times New Roman" w:cs="Times New Roman"/>
          <w:b/>
          <w:sz w:val="24"/>
          <w:szCs w:val="24"/>
        </w:rPr>
      </w:pPr>
      <w:r w:rsidRPr="004823FB">
        <w:rPr>
          <w:rFonts w:ascii="Times New Roman" w:hAnsi="Times New Roman" w:cs="Times New Roman"/>
          <w:b/>
          <w:sz w:val="24"/>
          <w:szCs w:val="24"/>
        </w:rPr>
        <w:t>En Finlande, les procédures d’insolvabilité et d’exécution sont actuellement stables.</w:t>
      </w:r>
      <w:r w:rsidRPr="00AE58AA">
        <w:rPr>
          <w:rFonts w:ascii="Times New Roman" w:hAnsi="Times New Roman" w:cs="Times New Roman"/>
          <w:b/>
          <w:sz w:val="24"/>
          <w:szCs w:val="24"/>
        </w:rPr>
        <w:t xml:space="preserve"> </w:t>
      </w:r>
      <w:r w:rsidRPr="004823FB">
        <w:rPr>
          <w:rFonts w:ascii="Times New Roman" w:hAnsi="Times New Roman" w:cs="Times New Roman"/>
          <w:b/>
          <w:sz w:val="24"/>
          <w:szCs w:val="24"/>
        </w:rPr>
        <w:t xml:space="preserve">Dans l’ensemble, le régime de l’insolvabilité finlandais est </w:t>
      </w:r>
      <w:r>
        <w:rPr>
          <w:rFonts w:ascii="Times New Roman" w:hAnsi="Times New Roman" w:cs="Times New Roman"/>
          <w:b/>
          <w:sz w:val="24"/>
          <w:szCs w:val="24"/>
        </w:rPr>
        <w:t>très</w:t>
      </w:r>
      <w:r w:rsidRPr="004823FB">
        <w:rPr>
          <w:rFonts w:ascii="Times New Roman" w:hAnsi="Times New Roman" w:cs="Times New Roman"/>
          <w:b/>
          <w:sz w:val="24"/>
          <w:szCs w:val="24"/>
        </w:rPr>
        <w:t xml:space="preserve"> moderne, bien qu’il nécessite des ajustements mineurs.</w:t>
      </w:r>
    </w:p>
    <w:p w:rsidR="00C44D1B" w:rsidRPr="00AE58AA" w:rsidRDefault="00C44D1B" w:rsidP="00C44D1B">
      <w:pPr>
        <w:jc w:val="both"/>
        <w:rPr>
          <w:rFonts w:ascii="Times New Roman" w:hAnsi="Times New Roman" w:cs="Times New Roman"/>
          <w:sz w:val="24"/>
          <w:szCs w:val="24"/>
        </w:rPr>
      </w:pPr>
      <w:r w:rsidRPr="004823FB">
        <w:rPr>
          <w:rFonts w:ascii="Times New Roman" w:hAnsi="Times New Roman" w:cs="Times New Roman"/>
          <w:sz w:val="24"/>
          <w:szCs w:val="24"/>
        </w:rPr>
        <w:t xml:space="preserve">La législation sur l’insolvabilité regroupe trois </w:t>
      </w:r>
      <w:r>
        <w:rPr>
          <w:rFonts w:ascii="Times New Roman" w:hAnsi="Times New Roman" w:cs="Times New Roman"/>
          <w:sz w:val="24"/>
          <w:szCs w:val="24"/>
        </w:rPr>
        <w:t>textes</w:t>
      </w:r>
      <w:r w:rsidRPr="004823FB">
        <w:rPr>
          <w:rFonts w:ascii="Times New Roman" w:hAnsi="Times New Roman" w:cs="Times New Roman"/>
          <w:sz w:val="24"/>
          <w:szCs w:val="24"/>
        </w:rPr>
        <w:t> : la loi sur l’insolvabilité (120/2004), la loi sur la restructuration des entreprises (47/1993) et la loi sur l</w:t>
      </w:r>
      <w:r>
        <w:rPr>
          <w:rFonts w:ascii="Times New Roman" w:hAnsi="Times New Roman" w:cs="Times New Roman"/>
          <w:sz w:val="24"/>
          <w:szCs w:val="24"/>
        </w:rPr>
        <w:t xml:space="preserve">e désendettement des </w:t>
      </w:r>
      <w:r w:rsidRPr="004823FB">
        <w:rPr>
          <w:rFonts w:ascii="Times New Roman" w:hAnsi="Times New Roman" w:cs="Times New Roman"/>
          <w:sz w:val="24"/>
          <w:szCs w:val="24"/>
        </w:rPr>
        <w:t>particulier</w:t>
      </w:r>
      <w:r>
        <w:rPr>
          <w:rFonts w:ascii="Times New Roman" w:hAnsi="Times New Roman" w:cs="Times New Roman"/>
          <w:sz w:val="24"/>
          <w:szCs w:val="24"/>
        </w:rPr>
        <w:t>s</w:t>
      </w:r>
      <w:r w:rsidRPr="004823FB">
        <w:rPr>
          <w:rFonts w:ascii="Times New Roman" w:hAnsi="Times New Roman" w:cs="Times New Roman"/>
          <w:sz w:val="24"/>
          <w:szCs w:val="24"/>
        </w:rPr>
        <w:t xml:space="preserve"> (57/1993).</w:t>
      </w:r>
      <w:r w:rsidRPr="00AE58AA">
        <w:rPr>
          <w:rFonts w:ascii="Times New Roman" w:hAnsi="Times New Roman" w:cs="Times New Roman"/>
          <w:sz w:val="24"/>
          <w:szCs w:val="24"/>
        </w:rPr>
        <w:t xml:space="preserve"> </w:t>
      </w:r>
      <w:r w:rsidRPr="004823FB">
        <w:rPr>
          <w:rFonts w:ascii="Times New Roman" w:hAnsi="Times New Roman" w:cs="Times New Roman"/>
          <w:sz w:val="24"/>
          <w:szCs w:val="24"/>
        </w:rPr>
        <w:t xml:space="preserve">En outre, d’après le Code d’exécution (705/2007), les saisies et autres formes </w:t>
      </w:r>
      <w:r>
        <w:rPr>
          <w:rFonts w:ascii="Times New Roman" w:hAnsi="Times New Roman" w:cs="Times New Roman"/>
          <w:sz w:val="24"/>
          <w:szCs w:val="24"/>
        </w:rPr>
        <w:t xml:space="preserve">de mesures </w:t>
      </w:r>
      <w:r w:rsidRPr="004823FB">
        <w:rPr>
          <w:rFonts w:ascii="Times New Roman" w:hAnsi="Times New Roman" w:cs="Times New Roman"/>
          <w:sz w:val="24"/>
          <w:szCs w:val="24"/>
        </w:rPr>
        <w:t>d’exécution civile doivent être effectuées par des huissiers de justice.</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Le régime de l’insolvabilité finlandais ne prévoit pas de procédures communes ; ainsi, la procédure d’insolvabilité la plus adaptée doit être choisie lors de l’étape d’ouverture, au cas par cas.</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Cela peut facilement entraîner des problèmes de cohérence et de coordination entre les différentes procédures (par ex., comment passer d’une liquidation à une restructuration et vice versa).</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En outre, le champ d’application de la loi sur le désendettement a été étendu aux entrepreneurs, ce qui devrait entraîner une augmentation du nombre de procédures.</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En ce qui concerne la numérisation, les procédures d’exécution fonctionnent efficacement grâce à un système électronique national (ULJAS) et la majorité des biens saisis, biens immobiliers compris, sont vendus dans le cadre de ventes aux enchères en ligne.</w:t>
      </w:r>
      <w:r>
        <w:rPr>
          <w:rFonts w:ascii="Times New Roman" w:hAnsi="Times New Roman" w:cs="Times New Roman"/>
          <w:sz w:val="24"/>
          <w:szCs w:val="24"/>
        </w:rPr>
        <w:t xml:space="preserve"> De plus</w:t>
      </w:r>
      <w:r w:rsidRPr="007F5A26">
        <w:rPr>
          <w:rFonts w:ascii="Times New Roman" w:hAnsi="Times New Roman" w:cs="Times New Roman"/>
          <w:sz w:val="24"/>
          <w:szCs w:val="24"/>
        </w:rPr>
        <w:t>, un autre système électronique (KOSTI) a été lancé en 2015 pour aider les praticiens de l’insolvabilité et les créanciers dans le cadre des procédures d’insolvabilité et de restructuration.</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Toutefois, la numérisation n’a pas été mise en œuvre concernant le désendettement des particuliers.</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 xml:space="preserve">Des progrès devraient </w:t>
      </w:r>
      <w:r>
        <w:rPr>
          <w:rFonts w:ascii="Times New Roman" w:hAnsi="Times New Roman" w:cs="Times New Roman"/>
          <w:sz w:val="24"/>
          <w:szCs w:val="24"/>
        </w:rPr>
        <w:t>être faits</w:t>
      </w:r>
      <w:r w:rsidRPr="007F5A26">
        <w:rPr>
          <w:rFonts w:ascii="Times New Roman" w:hAnsi="Times New Roman" w:cs="Times New Roman"/>
          <w:sz w:val="24"/>
          <w:szCs w:val="24"/>
        </w:rPr>
        <w:t xml:space="preserve"> une fois que le service municipal de conseil en matière d’endettement passera sous la tute</w:t>
      </w:r>
      <w:r>
        <w:rPr>
          <w:rFonts w:ascii="Times New Roman" w:hAnsi="Times New Roman" w:cs="Times New Roman"/>
          <w:sz w:val="24"/>
          <w:szCs w:val="24"/>
        </w:rPr>
        <w:t>lle du m</w:t>
      </w:r>
      <w:r w:rsidRPr="007F5A26">
        <w:rPr>
          <w:rFonts w:ascii="Times New Roman" w:hAnsi="Times New Roman" w:cs="Times New Roman"/>
          <w:sz w:val="24"/>
          <w:szCs w:val="24"/>
        </w:rPr>
        <w:t>inistère de la Justice, début 2019.</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b/>
          <w:sz w:val="24"/>
          <w:szCs w:val="24"/>
        </w:rPr>
        <w:t>Insolvabilité</w:t>
      </w:r>
      <w:r w:rsidRPr="00AE58AA">
        <w:rPr>
          <w:rFonts w:ascii="Times New Roman" w:hAnsi="Times New Roman" w:cs="Times New Roman"/>
          <w:sz w:val="24"/>
          <w:szCs w:val="24"/>
        </w:rPr>
        <w:t xml:space="preserve"> </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Actuellement, sur délégation des ministères de la Justice et de l’Environnement, un groupe d’experts travaille sur le problème de l’« insolvabilité environnementale », pour savoir s</w:t>
      </w:r>
      <w:r>
        <w:rPr>
          <w:rFonts w:ascii="Times New Roman" w:hAnsi="Times New Roman" w:cs="Times New Roman"/>
          <w:sz w:val="24"/>
          <w:szCs w:val="24"/>
        </w:rPr>
        <w:t>’il incombe à</w:t>
      </w:r>
      <w:r w:rsidRPr="007F5A26">
        <w:rPr>
          <w:rFonts w:ascii="Times New Roman" w:hAnsi="Times New Roman" w:cs="Times New Roman"/>
          <w:sz w:val="24"/>
          <w:szCs w:val="24"/>
        </w:rPr>
        <w:t xml:space="preserve"> la masse de l’insolvabilité de nettoyer et d’éliminer la pollution environnementale.</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 xml:space="preserve">D’après </w:t>
      </w:r>
      <w:r>
        <w:rPr>
          <w:rFonts w:ascii="Times New Roman" w:hAnsi="Times New Roman" w:cs="Times New Roman"/>
          <w:sz w:val="24"/>
          <w:szCs w:val="24"/>
        </w:rPr>
        <w:t>l</w:t>
      </w:r>
      <w:r w:rsidRPr="007F5A26">
        <w:rPr>
          <w:rFonts w:ascii="Times New Roman" w:hAnsi="Times New Roman" w:cs="Times New Roman"/>
          <w:sz w:val="24"/>
          <w:szCs w:val="24"/>
        </w:rPr>
        <w:t>a lettre de mission (2015), l’une des tâches du groupe d’experts consiste à évaluer s’il conviendrait de légiférer sur les passifs environnementaux d’une masse de l’insolvabilité et, dans l’affirmative, sous quelle forme.</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Le groupe d’experts est aussi chargé d’étudier les différents types de risques environnementaux, ainsi que leur gravité et leur acuité.</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lastRenderedPageBreak/>
        <w:t>De fait, soulignant le fait qu’il s’agit d’un problème d’actualité, la question de la responsabilité environnementale a récemment été soulevée dans une affaire dont avait été saisi</w:t>
      </w:r>
      <w:r>
        <w:rPr>
          <w:rFonts w:ascii="Times New Roman" w:hAnsi="Times New Roman" w:cs="Times New Roman"/>
          <w:sz w:val="24"/>
          <w:szCs w:val="24"/>
        </w:rPr>
        <w:t>e</w:t>
      </w:r>
      <w:r w:rsidRPr="007F5A26">
        <w:rPr>
          <w:rFonts w:ascii="Times New Roman" w:hAnsi="Times New Roman" w:cs="Times New Roman"/>
          <w:sz w:val="24"/>
          <w:szCs w:val="24"/>
        </w:rPr>
        <w:t xml:space="preserve"> la Cour administrative suprême de Finlande (KHO 2017:53), celle-ci ayant arrêté que la masse de l’insolvabilité </w:t>
      </w:r>
      <w:r>
        <w:rPr>
          <w:rFonts w:ascii="Times New Roman" w:hAnsi="Times New Roman" w:cs="Times New Roman"/>
          <w:sz w:val="24"/>
          <w:szCs w:val="24"/>
        </w:rPr>
        <w:t xml:space="preserve">était </w:t>
      </w:r>
      <w:r w:rsidRPr="007F5A26">
        <w:rPr>
          <w:rFonts w:ascii="Times New Roman" w:hAnsi="Times New Roman" w:cs="Times New Roman"/>
          <w:sz w:val="24"/>
          <w:szCs w:val="24"/>
        </w:rPr>
        <w:t>responsable du traitement des déchets dangereux, même si l’entreprise débitrice a</w:t>
      </w:r>
      <w:r>
        <w:rPr>
          <w:rFonts w:ascii="Times New Roman" w:hAnsi="Times New Roman" w:cs="Times New Roman"/>
          <w:sz w:val="24"/>
          <w:szCs w:val="24"/>
        </w:rPr>
        <w:t>vait</w:t>
      </w:r>
      <w:r w:rsidRPr="007F5A26">
        <w:rPr>
          <w:rFonts w:ascii="Times New Roman" w:hAnsi="Times New Roman" w:cs="Times New Roman"/>
          <w:sz w:val="24"/>
          <w:szCs w:val="24"/>
        </w:rPr>
        <w:t xml:space="preserve"> cessé ses activités.</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 xml:space="preserve">La </w:t>
      </w:r>
      <w:r>
        <w:rPr>
          <w:rFonts w:ascii="Times New Roman" w:hAnsi="Times New Roman" w:cs="Times New Roman"/>
          <w:sz w:val="24"/>
          <w:szCs w:val="24"/>
        </w:rPr>
        <w:t>C</w:t>
      </w:r>
      <w:r w:rsidRPr="007F5A26">
        <w:rPr>
          <w:rFonts w:ascii="Times New Roman" w:hAnsi="Times New Roman" w:cs="Times New Roman"/>
          <w:sz w:val="24"/>
          <w:szCs w:val="24"/>
        </w:rPr>
        <w:t>our a fait remarquer qu’il ne s’agissait pas d’une dette, mais d’une question de contrainte en vertu du droit administratif public.</w:t>
      </w:r>
    </w:p>
    <w:p w:rsidR="002275A1" w:rsidRPr="00ED42FE"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Les travaux du groupe d’experts devraient se terminer fin mars 2018.</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S’ils donnent lieu à l’adoption d’une loi, la Finlande sera, à notre connaissance, l’un des seuls pays à s’être dotés d’une législation concernant les passifs environnementaux d’une masse de l’insolvabilité.</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En outre, le groupe d’experts évaluera l’efficacité des procédures d’insolvabilité.</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 xml:space="preserve">Actuellement, ces procédures sont considérées comme trop longues, particulièrement dans leurs étapes initiales, </w:t>
      </w:r>
      <w:r>
        <w:rPr>
          <w:rFonts w:ascii="Times New Roman" w:hAnsi="Times New Roman" w:cs="Times New Roman"/>
          <w:sz w:val="24"/>
          <w:szCs w:val="24"/>
        </w:rPr>
        <w:t>au cours desquelles</w:t>
      </w:r>
      <w:r w:rsidRPr="007F5A26">
        <w:rPr>
          <w:rFonts w:ascii="Times New Roman" w:hAnsi="Times New Roman" w:cs="Times New Roman"/>
          <w:sz w:val="24"/>
          <w:szCs w:val="24"/>
        </w:rPr>
        <w:t xml:space="preserve"> la charge de travail est considérée comme bien trop lourde, puisque près de 75 % des procédures d’insolvabilité ouvertes sont déchues en raison de l’insuffisance de fonds du débiteur.</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b/>
          <w:sz w:val="24"/>
          <w:szCs w:val="24"/>
        </w:rPr>
        <w:t>Restructuration d’entreprises</w:t>
      </w:r>
      <w:r w:rsidRPr="00AE58AA">
        <w:rPr>
          <w:rFonts w:ascii="Times New Roman" w:hAnsi="Times New Roman" w:cs="Times New Roman"/>
          <w:b/>
          <w:sz w:val="24"/>
          <w:szCs w:val="24"/>
        </w:rPr>
        <w:t xml:space="preserve"> </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La législation finlandaise en vigueur en matière de restructuration fonctionne assez efficacement.</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En Finlande, un pourcentage étonnamment haut de restructurations concerne des PME.</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Neuf tribunaux de district (sur vingt-sept) ont compétence pour statuer sur les affaires de restructuration.</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Toutefois, la capacité des juges de district à apprécier la viabilité d’une entreprise a parfois été remise en question.</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Le ministère de la Justice a confié à un cabinet d’avocats la mission de préparer un rapport international sur les échanges de dettes contre des participations.</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Cette étude aura pour objet de fournir des informations aux décideurs politiques pour leur permettre d’estimer le besoin de réforme du régime finlandais concernant, d’une part, l’efficacité du marché obligataire et, d’autre part, la nécessité de protéger les intérêts des entreprises débitrices.</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 xml:space="preserve">Ces démarches vont de pair avec la proposition de directive de la Commission européenne concernant un cadre de restructuration préventif et </w:t>
      </w:r>
      <w:r>
        <w:rPr>
          <w:rFonts w:ascii="Times New Roman" w:hAnsi="Times New Roman" w:cs="Times New Roman"/>
          <w:sz w:val="24"/>
          <w:szCs w:val="24"/>
        </w:rPr>
        <w:t xml:space="preserve">avec </w:t>
      </w:r>
      <w:r w:rsidRPr="007F5A26">
        <w:rPr>
          <w:rFonts w:ascii="Times New Roman" w:hAnsi="Times New Roman" w:cs="Times New Roman"/>
          <w:sz w:val="24"/>
          <w:szCs w:val="24"/>
        </w:rPr>
        <w:t>les concordats.</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Par ailleurs, le ministère de la Justice prépare lui-même une enquête internationale concernant l’endettement des entrepreneurs post-insolvabilité, qui cherchera à savoir s’il est nécessaire de faciliter l’effacement de dettes des anciens entrepreneurs dans le cadre d’une procédure de désendettement.</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La durée normale d’un plan de remboursement dans le cadre d’un désendettement est de trois ans ; toutefois, dans le cas où le débiteur ne peut pas effectuer de remboursements, sa durée est portée à cinq ans.</w:t>
      </w:r>
    </w:p>
    <w:p w:rsidR="00C44D1B" w:rsidRPr="00AE58AA" w:rsidRDefault="00C44D1B" w:rsidP="00C44D1B">
      <w:pPr>
        <w:jc w:val="both"/>
        <w:rPr>
          <w:rFonts w:ascii="Times New Roman" w:hAnsi="Times New Roman" w:cs="Times New Roman"/>
          <w:sz w:val="24"/>
          <w:szCs w:val="24"/>
        </w:rPr>
      </w:pPr>
      <w:r>
        <w:rPr>
          <w:rFonts w:ascii="Times New Roman" w:hAnsi="Times New Roman" w:cs="Times New Roman"/>
          <w:b/>
          <w:sz w:val="24"/>
          <w:szCs w:val="24"/>
        </w:rPr>
        <w:t>Système</w:t>
      </w:r>
      <w:r w:rsidRPr="007F5A26">
        <w:rPr>
          <w:rFonts w:ascii="Times New Roman" w:hAnsi="Times New Roman" w:cs="Times New Roman"/>
          <w:b/>
          <w:sz w:val="24"/>
          <w:szCs w:val="24"/>
        </w:rPr>
        <w:t xml:space="preserve"> d’exécution</w:t>
      </w:r>
      <w:r w:rsidRPr="00AE58AA">
        <w:rPr>
          <w:rFonts w:ascii="Times New Roman" w:hAnsi="Times New Roman" w:cs="Times New Roman"/>
          <w:sz w:val="24"/>
          <w:szCs w:val="24"/>
        </w:rPr>
        <w:t xml:space="preserve"> </w:t>
      </w:r>
    </w:p>
    <w:p w:rsidR="00C44D1B" w:rsidRPr="00AE58AA" w:rsidRDefault="00C44D1B" w:rsidP="00C44D1B">
      <w:pPr>
        <w:jc w:val="both"/>
        <w:rPr>
          <w:rFonts w:ascii="Times New Roman" w:hAnsi="Times New Roman" w:cs="Times New Roman"/>
          <w:sz w:val="24"/>
          <w:szCs w:val="24"/>
        </w:rPr>
      </w:pPr>
      <w:r w:rsidRPr="007F5A26">
        <w:rPr>
          <w:rFonts w:ascii="Times New Roman" w:hAnsi="Times New Roman" w:cs="Times New Roman"/>
          <w:sz w:val="24"/>
          <w:szCs w:val="24"/>
        </w:rPr>
        <w:t xml:space="preserve">Le </w:t>
      </w:r>
      <w:r>
        <w:rPr>
          <w:rFonts w:ascii="Times New Roman" w:hAnsi="Times New Roman" w:cs="Times New Roman"/>
          <w:sz w:val="24"/>
          <w:szCs w:val="24"/>
        </w:rPr>
        <w:t>système</w:t>
      </w:r>
      <w:r w:rsidRPr="007F5A26">
        <w:rPr>
          <w:rFonts w:ascii="Times New Roman" w:hAnsi="Times New Roman" w:cs="Times New Roman"/>
          <w:sz w:val="24"/>
          <w:szCs w:val="24"/>
        </w:rPr>
        <w:t xml:space="preserve"> d’exécution finlandais est considéré comme très effica</w:t>
      </w:r>
      <w:r>
        <w:rPr>
          <w:rFonts w:ascii="Times New Roman" w:hAnsi="Times New Roman" w:cs="Times New Roman"/>
          <w:sz w:val="24"/>
          <w:szCs w:val="24"/>
        </w:rPr>
        <w:t xml:space="preserve">ce, car il fonctionne comme un ensemble </w:t>
      </w:r>
      <w:r w:rsidRPr="007F5A26">
        <w:rPr>
          <w:rFonts w:ascii="Times New Roman" w:hAnsi="Times New Roman" w:cs="Times New Roman"/>
          <w:sz w:val="24"/>
          <w:szCs w:val="24"/>
        </w:rPr>
        <w:t>unique</w:t>
      </w:r>
      <w:r>
        <w:rPr>
          <w:rFonts w:ascii="Times New Roman" w:hAnsi="Times New Roman" w:cs="Times New Roman"/>
          <w:sz w:val="24"/>
          <w:szCs w:val="24"/>
        </w:rPr>
        <w:t>,</w:t>
      </w:r>
      <w:r w:rsidRPr="007F5A26">
        <w:rPr>
          <w:rFonts w:ascii="Times New Roman" w:hAnsi="Times New Roman" w:cs="Times New Roman"/>
          <w:sz w:val="24"/>
          <w:szCs w:val="24"/>
        </w:rPr>
        <w:t xml:space="preserve"> sur la base d’un système informatique commun.</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 xml:space="preserve">Les huissiers, agissant en qualité de mandataires, ont le pouvoir d’obtenir des informations sur la situation économique et les </w:t>
      </w:r>
      <w:r w:rsidRPr="007F5A26">
        <w:rPr>
          <w:rFonts w:ascii="Times New Roman" w:hAnsi="Times New Roman" w:cs="Times New Roman"/>
          <w:sz w:val="24"/>
          <w:szCs w:val="24"/>
        </w:rPr>
        <w:lastRenderedPageBreak/>
        <w:t>revenus des débiteurs, notamment en ayant accès à leurs comptes bancaires.</w:t>
      </w:r>
      <w:r w:rsidRPr="00AE58AA">
        <w:rPr>
          <w:rFonts w:ascii="Times New Roman" w:hAnsi="Times New Roman" w:cs="Times New Roman"/>
          <w:sz w:val="24"/>
          <w:szCs w:val="24"/>
        </w:rPr>
        <w:t xml:space="preserve"> </w:t>
      </w:r>
      <w:r w:rsidRPr="007F5A26">
        <w:rPr>
          <w:rFonts w:ascii="Times New Roman" w:hAnsi="Times New Roman" w:cs="Times New Roman"/>
          <w:sz w:val="24"/>
          <w:szCs w:val="24"/>
        </w:rPr>
        <w:t>Ils ont également le pouvoir d’annuler diverses constructions juridiques artificielles, notamment en « levant le voile de la personnalité juridique », surtout dans le cas où les débiteurs essaient de se soustraire aux mesures d’exécution.</w:t>
      </w:r>
    </w:p>
    <w:p w:rsidR="00C44D1B" w:rsidRPr="00AE58AA" w:rsidRDefault="00C44D1B" w:rsidP="00C44D1B">
      <w:pPr>
        <w:jc w:val="both"/>
        <w:rPr>
          <w:rFonts w:ascii="Times New Roman" w:hAnsi="Times New Roman" w:cs="Times New Roman"/>
          <w:sz w:val="24"/>
          <w:szCs w:val="24"/>
        </w:rPr>
      </w:pPr>
      <w:r w:rsidRPr="00D63DD0">
        <w:rPr>
          <w:rFonts w:ascii="Times New Roman" w:hAnsi="Times New Roman" w:cs="Times New Roman"/>
          <w:sz w:val="24"/>
          <w:szCs w:val="24"/>
        </w:rPr>
        <w:t>L’initiative de la Commission européenne, qui vise à développer des marchés secondaires pour les prêts non productifs et les actifs dévalorisés, ainsi qu’à protéger les créanciers gagistes contre la défaillance d’un emprunteur</w:t>
      </w:r>
      <w:r w:rsidRPr="00D63DD0">
        <w:rPr>
          <w:rStyle w:val="Appelnotedebasdep"/>
        </w:rPr>
        <w:footnoteReference w:id="36"/>
      </w:r>
      <w:r w:rsidRPr="00D63DD0">
        <w:rPr>
          <w:rFonts w:ascii="Times New Roman" w:hAnsi="Times New Roman" w:cs="Times New Roman"/>
          <w:sz w:val="24"/>
          <w:szCs w:val="24"/>
        </w:rPr>
        <w:t xml:space="preserve">, n’est pas pertinente pour la Finlande, puisque les huissiers ont normalement le pouvoir de vendre les gages et les biens immobiliers hypothéqués à un bon prix sans </w:t>
      </w:r>
      <w:r>
        <w:rPr>
          <w:rFonts w:ascii="Times New Roman" w:hAnsi="Times New Roman" w:cs="Times New Roman"/>
          <w:sz w:val="24"/>
          <w:szCs w:val="24"/>
        </w:rPr>
        <w:t>encourir</w:t>
      </w:r>
      <w:r w:rsidRPr="00D63DD0">
        <w:rPr>
          <w:rFonts w:ascii="Times New Roman" w:hAnsi="Times New Roman" w:cs="Times New Roman"/>
          <w:sz w:val="24"/>
          <w:szCs w:val="24"/>
        </w:rPr>
        <w:t xml:space="preserve"> de frais élevés.</w:t>
      </w:r>
      <w:r w:rsidRPr="00AE58AA">
        <w:rPr>
          <w:rFonts w:ascii="Times New Roman" w:hAnsi="Times New Roman" w:cs="Times New Roman"/>
          <w:sz w:val="24"/>
          <w:szCs w:val="24"/>
        </w:rPr>
        <w:t xml:space="preserve"> </w:t>
      </w:r>
      <w:r w:rsidRPr="00D63DD0">
        <w:rPr>
          <w:rFonts w:ascii="Times New Roman" w:hAnsi="Times New Roman" w:cs="Times New Roman"/>
          <w:sz w:val="24"/>
          <w:szCs w:val="24"/>
        </w:rPr>
        <w:t>À notre connaissance, les banques sont tout à fait satisfaites du système actuel.</w:t>
      </w:r>
    </w:p>
    <w:p w:rsidR="00C44D1B" w:rsidRPr="00AE58AA" w:rsidRDefault="00C44D1B" w:rsidP="00C44D1B">
      <w:pPr>
        <w:jc w:val="both"/>
        <w:rPr>
          <w:rFonts w:ascii="Times New Roman" w:hAnsi="Times New Roman" w:cs="Times New Roman"/>
          <w:sz w:val="24"/>
          <w:szCs w:val="24"/>
        </w:rPr>
      </w:pPr>
      <w:r w:rsidRPr="00D63DD0">
        <w:rPr>
          <w:rFonts w:ascii="Times New Roman" w:hAnsi="Times New Roman" w:cs="Times New Roman"/>
          <w:sz w:val="24"/>
          <w:szCs w:val="24"/>
        </w:rPr>
        <w:t xml:space="preserve">La Finlande prête une attention particulière à la protection des débiteurs, comme en témoignent les politiques concernant le </w:t>
      </w:r>
      <w:r w:rsidRPr="00D63DD0">
        <w:rPr>
          <w:rFonts w:ascii="Times New Roman" w:hAnsi="Times New Roman" w:cs="Times New Roman"/>
          <w:i/>
          <w:sz w:val="24"/>
          <w:szCs w:val="24"/>
        </w:rPr>
        <w:t>beneficium</w:t>
      </w:r>
      <w:r w:rsidRPr="00D63DD0">
        <w:rPr>
          <w:rFonts w:ascii="Times New Roman" w:hAnsi="Times New Roman" w:cs="Times New Roman"/>
          <w:sz w:val="24"/>
          <w:szCs w:val="24"/>
        </w:rPr>
        <w:t xml:space="preserve"> (biens exonérés du débiteur) et les mois d’exonération en cas de saisie des revenus.</w:t>
      </w:r>
      <w:r w:rsidRPr="00AE58AA">
        <w:rPr>
          <w:rFonts w:ascii="Times New Roman" w:hAnsi="Times New Roman" w:cs="Times New Roman"/>
          <w:sz w:val="24"/>
          <w:szCs w:val="24"/>
        </w:rPr>
        <w:t xml:space="preserve"> </w:t>
      </w:r>
      <w:r w:rsidRPr="00D63DD0">
        <w:rPr>
          <w:rFonts w:ascii="Times New Roman" w:hAnsi="Times New Roman" w:cs="Times New Roman"/>
          <w:sz w:val="24"/>
          <w:szCs w:val="24"/>
        </w:rPr>
        <w:t>En outre, une récente loi modificative a été promulguée pour promouvoir l’emploi des débiteurs en garantissant des « mois sans exécution » dans le cas où un débiteur obtient un emploi après une longue période de chômage.</w:t>
      </w:r>
    </w:p>
    <w:p w:rsidR="00C44D1B" w:rsidRPr="00AE58AA" w:rsidRDefault="00C44D1B" w:rsidP="00C44D1B">
      <w:pPr>
        <w:jc w:val="both"/>
        <w:rPr>
          <w:rFonts w:ascii="Times New Roman" w:hAnsi="Times New Roman" w:cs="Times New Roman"/>
          <w:sz w:val="24"/>
          <w:szCs w:val="24"/>
        </w:rPr>
      </w:pPr>
      <w:r w:rsidRPr="00D63DD0">
        <w:rPr>
          <w:rFonts w:ascii="Times New Roman" w:hAnsi="Times New Roman" w:cs="Times New Roman"/>
          <w:b/>
          <w:sz w:val="24"/>
          <w:szCs w:val="24"/>
        </w:rPr>
        <w:t>Conclusion</w:t>
      </w:r>
      <w:r w:rsidRPr="00AE58AA">
        <w:rPr>
          <w:rFonts w:ascii="Times New Roman" w:hAnsi="Times New Roman" w:cs="Times New Roman"/>
          <w:sz w:val="24"/>
          <w:szCs w:val="24"/>
        </w:rPr>
        <w:t xml:space="preserve"> </w:t>
      </w:r>
    </w:p>
    <w:p w:rsidR="00C44D1B" w:rsidRPr="00AE58AA" w:rsidRDefault="00C44D1B" w:rsidP="00C44D1B">
      <w:pPr>
        <w:jc w:val="both"/>
        <w:rPr>
          <w:rFonts w:ascii="Times New Roman" w:hAnsi="Times New Roman" w:cs="Times New Roman"/>
          <w:sz w:val="24"/>
          <w:szCs w:val="24"/>
        </w:rPr>
      </w:pPr>
      <w:r w:rsidRPr="00D63DD0">
        <w:rPr>
          <w:rFonts w:ascii="Times New Roman" w:hAnsi="Times New Roman" w:cs="Times New Roman"/>
          <w:sz w:val="24"/>
          <w:szCs w:val="24"/>
        </w:rPr>
        <w:t>Dans l’ensemble, le régime de l’insolvabilité finlandais fonctionne bien.</w:t>
      </w:r>
      <w:r w:rsidRPr="00AE58AA">
        <w:rPr>
          <w:rFonts w:ascii="Times New Roman" w:hAnsi="Times New Roman" w:cs="Times New Roman"/>
          <w:sz w:val="24"/>
          <w:szCs w:val="24"/>
        </w:rPr>
        <w:t xml:space="preserve"> </w:t>
      </w:r>
      <w:r w:rsidRPr="00D63DD0">
        <w:rPr>
          <w:rFonts w:ascii="Times New Roman" w:hAnsi="Times New Roman" w:cs="Times New Roman"/>
          <w:sz w:val="24"/>
          <w:szCs w:val="24"/>
        </w:rPr>
        <w:t xml:space="preserve">Toutefois, les cadres préventifs, tels que les procédures de pré-insolvabilité ou les concordats prévus par le droit des sociétés et de l’insolvabilité, ne sont pas aussi </w:t>
      </w:r>
      <w:r>
        <w:rPr>
          <w:rFonts w:ascii="Times New Roman" w:hAnsi="Times New Roman" w:cs="Times New Roman"/>
          <w:sz w:val="24"/>
          <w:szCs w:val="24"/>
        </w:rPr>
        <w:t>développés</w:t>
      </w:r>
      <w:r w:rsidRPr="00D63DD0">
        <w:rPr>
          <w:rFonts w:ascii="Times New Roman" w:hAnsi="Times New Roman" w:cs="Times New Roman"/>
          <w:sz w:val="24"/>
          <w:szCs w:val="24"/>
        </w:rPr>
        <w:t xml:space="preserve"> et nécessiteront une réforme.</w:t>
      </w:r>
      <w:r w:rsidRPr="00AE58AA">
        <w:rPr>
          <w:rFonts w:ascii="Times New Roman" w:hAnsi="Times New Roman" w:cs="Times New Roman"/>
          <w:sz w:val="24"/>
          <w:szCs w:val="24"/>
        </w:rPr>
        <w:t xml:space="preserve"> </w:t>
      </w:r>
      <w:r w:rsidRPr="00D63DD0">
        <w:rPr>
          <w:rFonts w:ascii="Times New Roman" w:hAnsi="Times New Roman" w:cs="Times New Roman"/>
          <w:sz w:val="24"/>
          <w:szCs w:val="24"/>
        </w:rPr>
        <w:t>Des débats concernant la responsabilité qui incombe aux dirigeants d’éviter l’insolvabilité d’une entreprise devraient également se tenir.</w:t>
      </w:r>
    </w:p>
    <w:p w:rsidR="00C44D1B" w:rsidRPr="00AE58AA" w:rsidRDefault="00C44D1B" w:rsidP="00C44D1B">
      <w:pPr>
        <w:jc w:val="both"/>
        <w:rPr>
          <w:rFonts w:ascii="Arial Narrow" w:hAnsi="Arial Narrow" w:cs="Times New Roman"/>
          <w:i/>
          <w:sz w:val="20"/>
          <w:szCs w:val="20"/>
        </w:rPr>
      </w:pPr>
      <w:r w:rsidRPr="00D63DD0">
        <w:rPr>
          <w:rFonts w:ascii="Arial Narrow" w:hAnsi="Arial Narrow" w:cs="Times New Roman"/>
          <w:i/>
          <w:sz w:val="20"/>
          <w:szCs w:val="20"/>
        </w:rPr>
        <w:t>*Tuula Linna est professeur de droit de la procédure à l’université de Helsinki et membre du groupe d’experts spécialistes de la restructuration et de l’insolvabilité mis en place par la Commission européenne ; Sami Uoti est associé au sein du cabinet HPP Attorneys Ltd et président du Conseil consultatif en matière d’insolvabilité.</w:t>
      </w:r>
    </w:p>
    <w:p w:rsidR="003B5B5D" w:rsidRPr="003B5B5D" w:rsidRDefault="003B5B5D" w:rsidP="003B5B5D">
      <w:pPr>
        <w:suppressAutoHyphens/>
        <w:spacing w:after="0" w:line="240" w:lineRule="auto"/>
        <w:jc w:val="both"/>
        <w:rPr>
          <w:rFonts w:ascii="Arial Narrow" w:eastAsia="Times New Roman" w:hAnsi="Arial Narrow" w:cs="Times New Roman"/>
          <w:b/>
          <w:sz w:val="32"/>
          <w:szCs w:val="32"/>
          <w:lang w:eastAsia="ar-SA"/>
        </w:rPr>
      </w:pPr>
    </w:p>
    <w:p w:rsidR="005759EE" w:rsidRPr="00C44D1B" w:rsidRDefault="00C44D1B" w:rsidP="00C44D1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x</w:t>
      </w:r>
      <w:r w:rsidRPr="00C44D1B">
        <w:rPr>
          <w:rFonts w:ascii="Times New Roman" w:eastAsia="Times New Roman" w:hAnsi="Times New Roman" w:cs="Times New Roman"/>
          <w:sz w:val="24"/>
          <w:szCs w:val="24"/>
          <w:lang w:eastAsia="ar-SA"/>
        </w:rPr>
        <w:t xml:space="preserve">  x  x</w:t>
      </w:r>
    </w:p>
    <w:p w:rsidR="00C44D1B" w:rsidRDefault="00C44D1B" w:rsidP="002275A1">
      <w:pPr>
        <w:suppressAutoHyphens/>
        <w:spacing w:after="0" w:line="240" w:lineRule="auto"/>
        <w:jc w:val="center"/>
        <w:rPr>
          <w:rFonts w:ascii="Arial Narrow" w:eastAsia="Times New Roman" w:hAnsi="Arial Narrow" w:cs="Times New Roman"/>
          <w:b/>
          <w:sz w:val="28"/>
          <w:szCs w:val="28"/>
          <w:lang w:eastAsia="ar-SA"/>
        </w:rPr>
      </w:pPr>
      <w:r w:rsidRPr="00C44D1B">
        <w:rPr>
          <w:rFonts w:ascii="Times New Roman" w:eastAsia="Times New Roman" w:hAnsi="Times New Roman" w:cs="Times New Roman"/>
          <w:sz w:val="24"/>
          <w:szCs w:val="24"/>
          <w:lang w:eastAsia="ar-SA"/>
        </w:rPr>
        <w:t>x</w:t>
      </w:r>
    </w:p>
    <w:p w:rsidR="002275A1" w:rsidRPr="002275A1" w:rsidRDefault="002275A1" w:rsidP="002275A1">
      <w:pPr>
        <w:suppressAutoHyphens/>
        <w:spacing w:after="0" w:line="240" w:lineRule="auto"/>
        <w:jc w:val="center"/>
        <w:rPr>
          <w:rFonts w:ascii="Arial Narrow" w:eastAsia="Times New Roman" w:hAnsi="Arial Narrow" w:cs="Times New Roman"/>
          <w:b/>
          <w:sz w:val="28"/>
          <w:szCs w:val="28"/>
          <w:lang w:eastAsia="ar-SA"/>
        </w:rPr>
      </w:pPr>
    </w:p>
    <w:p w:rsidR="00ED42FE" w:rsidRDefault="00ED42FE" w:rsidP="00C44D1B">
      <w:pPr>
        <w:jc w:val="both"/>
        <w:rPr>
          <w:rFonts w:ascii="Arial Narrow" w:hAnsi="Arial Narrow" w:cs="Times New Roman"/>
          <w:b/>
          <w:sz w:val="28"/>
          <w:szCs w:val="28"/>
        </w:rPr>
      </w:pPr>
    </w:p>
    <w:p w:rsidR="00ED42FE" w:rsidRDefault="00ED42FE" w:rsidP="00C44D1B">
      <w:pPr>
        <w:jc w:val="both"/>
        <w:rPr>
          <w:rFonts w:ascii="Arial Narrow" w:hAnsi="Arial Narrow" w:cs="Times New Roman"/>
          <w:b/>
          <w:sz w:val="28"/>
          <w:szCs w:val="28"/>
        </w:rPr>
      </w:pPr>
    </w:p>
    <w:p w:rsidR="00ED42FE" w:rsidRDefault="00ED42FE" w:rsidP="00C44D1B">
      <w:pPr>
        <w:jc w:val="both"/>
        <w:rPr>
          <w:rFonts w:ascii="Arial Narrow" w:hAnsi="Arial Narrow" w:cs="Times New Roman"/>
          <w:b/>
          <w:sz w:val="28"/>
          <w:szCs w:val="28"/>
        </w:rPr>
      </w:pPr>
    </w:p>
    <w:p w:rsidR="00ED42FE" w:rsidRDefault="00ED42FE" w:rsidP="00C44D1B">
      <w:pPr>
        <w:jc w:val="both"/>
        <w:rPr>
          <w:rFonts w:ascii="Arial Narrow" w:hAnsi="Arial Narrow" w:cs="Times New Roman"/>
          <w:b/>
          <w:sz w:val="28"/>
          <w:szCs w:val="28"/>
        </w:rPr>
      </w:pPr>
    </w:p>
    <w:p w:rsidR="00C44D1B" w:rsidRPr="003F1762" w:rsidRDefault="00C44D1B" w:rsidP="00C44D1B">
      <w:pPr>
        <w:jc w:val="both"/>
        <w:rPr>
          <w:rFonts w:ascii="Arial Narrow" w:hAnsi="Arial Narrow" w:cs="Times New Roman"/>
          <w:b/>
          <w:sz w:val="28"/>
          <w:szCs w:val="28"/>
        </w:rPr>
      </w:pPr>
      <w:r w:rsidRPr="003F1762">
        <w:rPr>
          <w:rFonts w:ascii="Arial Narrow" w:hAnsi="Arial Narrow" w:cs="Times New Roman"/>
          <w:b/>
          <w:sz w:val="28"/>
          <w:szCs w:val="28"/>
        </w:rPr>
        <w:lastRenderedPageBreak/>
        <w:t>Belgique</w:t>
      </w:r>
    </w:p>
    <w:p w:rsidR="00C44D1B" w:rsidRDefault="00C44D1B" w:rsidP="00C44D1B">
      <w:pPr>
        <w:spacing w:after="0" w:line="240" w:lineRule="auto"/>
        <w:jc w:val="center"/>
        <w:rPr>
          <w:rFonts w:ascii="Times New Roman" w:hAnsi="Times New Roman" w:cs="Times New Roman"/>
          <w:b/>
          <w:sz w:val="48"/>
          <w:szCs w:val="48"/>
        </w:rPr>
      </w:pPr>
      <w:r w:rsidRPr="003F1762">
        <w:rPr>
          <w:rFonts w:ascii="Times New Roman" w:hAnsi="Times New Roman" w:cs="Times New Roman"/>
          <w:b/>
          <w:sz w:val="48"/>
          <w:szCs w:val="48"/>
        </w:rPr>
        <w:t xml:space="preserve">Nouveau Code belge de l’insolvabilité : </w:t>
      </w:r>
    </w:p>
    <w:p w:rsidR="00C44D1B" w:rsidRPr="003F1762" w:rsidRDefault="00C44D1B" w:rsidP="00C44D1B">
      <w:pPr>
        <w:spacing w:after="0" w:line="240" w:lineRule="auto"/>
        <w:jc w:val="center"/>
        <w:rPr>
          <w:rFonts w:ascii="Times New Roman" w:hAnsi="Times New Roman" w:cs="Times New Roman"/>
          <w:b/>
          <w:sz w:val="32"/>
          <w:szCs w:val="32"/>
        </w:rPr>
      </w:pPr>
      <w:r w:rsidRPr="003F1762">
        <w:rPr>
          <w:rFonts w:ascii="Times New Roman" w:hAnsi="Times New Roman" w:cs="Times New Roman"/>
          <w:b/>
          <w:sz w:val="48"/>
          <w:szCs w:val="48"/>
        </w:rPr>
        <w:t>un pas vers le droit de</w:t>
      </w:r>
      <w:r w:rsidRPr="00020172">
        <w:rPr>
          <w:rFonts w:ascii="Times New Roman" w:hAnsi="Times New Roman" w:cs="Times New Roman"/>
          <w:b/>
          <w:sz w:val="32"/>
          <w:szCs w:val="32"/>
        </w:rPr>
        <w:t xml:space="preserve"> </w:t>
      </w:r>
      <w:r w:rsidRPr="003F1762">
        <w:rPr>
          <w:rFonts w:ascii="Times New Roman" w:hAnsi="Times New Roman" w:cs="Times New Roman"/>
          <w:b/>
          <w:sz w:val="48"/>
          <w:szCs w:val="48"/>
        </w:rPr>
        <w:t>demain</w:t>
      </w:r>
    </w:p>
    <w:p w:rsidR="00C44D1B" w:rsidRDefault="00C44D1B" w:rsidP="00C44D1B">
      <w:pPr>
        <w:spacing w:after="0" w:line="240" w:lineRule="auto"/>
        <w:jc w:val="center"/>
        <w:rPr>
          <w:rFonts w:ascii="Arial Narrow" w:hAnsi="Arial Narrow" w:cs="Times New Roman"/>
          <w:i/>
          <w:sz w:val="24"/>
        </w:rPr>
      </w:pPr>
      <w:r w:rsidRPr="00020172">
        <w:rPr>
          <w:rFonts w:ascii="Arial Narrow" w:hAnsi="Arial Narrow" w:cs="Times New Roman"/>
          <w:i/>
          <w:sz w:val="24"/>
        </w:rPr>
        <w:t xml:space="preserve">Réformes belges tendant à codifier et améliorer la législation en vigueur </w:t>
      </w:r>
    </w:p>
    <w:p w:rsidR="00C44D1B" w:rsidRDefault="00C44D1B" w:rsidP="00C44D1B">
      <w:pPr>
        <w:spacing w:after="0" w:line="240" w:lineRule="auto"/>
        <w:jc w:val="center"/>
        <w:rPr>
          <w:rFonts w:ascii="Arial Narrow" w:hAnsi="Arial Narrow" w:cs="Times New Roman"/>
          <w:i/>
          <w:sz w:val="24"/>
        </w:rPr>
      </w:pPr>
      <w:r w:rsidRPr="00020172">
        <w:rPr>
          <w:rFonts w:ascii="Arial Narrow" w:hAnsi="Arial Narrow" w:cs="Times New Roman"/>
          <w:i/>
          <w:sz w:val="24"/>
        </w:rPr>
        <w:t>conformément aux bonnes pratiques européennes</w:t>
      </w:r>
    </w:p>
    <w:p w:rsidR="00C44D1B" w:rsidRPr="00C44D1B" w:rsidRDefault="00C44D1B" w:rsidP="00C44D1B">
      <w:pPr>
        <w:spacing w:after="0" w:line="240" w:lineRule="auto"/>
        <w:jc w:val="center"/>
        <w:rPr>
          <w:rFonts w:ascii="Arial Narrow" w:hAnsi="Arial Narrow" w:cs="Times New Roman"/>
          <w:i/>
          <w:sz w:val="24"/>
        </w:rPr>
      </w:pPr>
    </w:p>
    <w:p w:rsidR="00C44D1B" w:rsidRPr="003F1762" w:rsidRDefault="00C44D1B" w:rsidP="00C44D1B">
      <w:pPr>
        <w:jc w:val="both"/>
        <w:rPr>
          <w:rFonts w:ascii="Times New Roman" w:hAnsi="Times New Roman" w:cs="Times New Roman"/>
          <w:b/>
          <w:sz w:val="24"/>
        </w:rPr>
      </w:pPr>
      <w:r w:rsidRPr="00020172">
        <w:rPr>
          <w:rFonts w:ascii="Times New Roman" w:hAnsi="Times New Roman" w:cs="Times New Roman"/>
          <w:b/>
          <w:sz w:val="24"/>
        </w:rPr>
        <w:t xml:space="preserve">Ces dernières années, les législateurs belges ont regroupé divers textes de loi régissant les entreprises </w:t>
      </w:r>
      <w:r>
        <w:rPr>
          <w:rFonts w:ascii="Times New Roman" w:hAnsi="Times New Roman" w:cs="Times New Roman"/>
          <w:b/>
          <w:sz w:val="24"/>
        </w:rPr>
        <w:t xml:space="preserve">en </w:t>
      </w:r>
      <w:r w:rsidRPr="00020172">
        <w:rPr>
          <w:rFonts w:ascii="Times New Roman" w:hAnsi="Times New Roman" w:cs="Times New Roman"/>
          <w:b/>
          <w:sz w:val="24"/>
        </w:rPr>
        <w:t>un instrument unique : le Code de droit économique (</w:t>
      </w:r>
      <w:r w:rsidRPr="00020172">
        <w:rPr>
          <w:rFonts w:ascii="Times New Roman" w:hAnsi="Times New Roman" w:cs="Times New Roman"/>
          <w:b/>
          <w:i/>
          <w:sz w:val="24"/>
        </w:rPr>
        <w:t>Wetboek van economisch recht</w:t>
      </w:r>
      <w:r w:rsidRPr="00020172">
        <w:rPr>
          <w:rFonts w:ascii="Times New Roman" w:hAnsi="Times New Roman" w:cs="Times New Roman"/>
          <w:b/>
          <w:sz w:val="24"/>
        </w:rPr>
        <w:t>).</w:t>
      </w:r>
      <w:r w:rsidRPr="003F1762">
        <w:rPr>
          <w:rFonts w:ascii="Times New Roman" w:hAnsi="Times New Roman" w:cs="Times New Roman"/>
          <w:b/>
          <w:sz w:val="24"/>
        </w:rPr>
        <w:t xml:space="preserve"> </w:t>
      </w:r>
      <w:r w:rsidRPr="00020172">
        <w:rPr>
          <w:rFonts w:ascii="Times New Roman" w:hAnsi="Times New Roman" w:cs="Times New Roman"/>
          <w:b/>
          <w:sz w:val="24"/>
        </w:rPr>
        <w:t>Le droit de l’insolvabilité n’a pas échappé à cette tendance.</w:t>
      </w:r>
    </w:p>
    <w:p w:rsidR="002275A1" w:rsidRPr="00ED42FE" w:rsidRDefault="00C44D1B" w:rsidP="00C44D1B">
      <w:pPr>
        <w:jc w:val="both"/>
        <w:rPr>
          <w:rFonts w:ascii="Times New Roman" w:hAnsi="Times New Roman" w:cs="Times New Roman"/>
          <w:sz w:val="24"/>
        </w:rPr>
      </w:pPr>
      <w:r w:rsidRPr="00020172">
        <w:rPr>
          <w:rFonts w:ascii="Times New Roman" w:hAnsi="Times New Roman" w:cs="Times New Roman"/>
          <w:sz w:val="24"/>
        </w:rPr>
        <w:t>À l’été 2017, le Parlement belge a promulgué le Livre XX du Code de droit économique, intitulé « Insolvabilité des entreprises » (le « Code de l’insolvabilité »).</w:t>
      </w:r>
      <w:r w:rsidRPr="003F1762">
        <w:rPr>
          <w:rFonts w:ascii="Times New Roman" w:hAnsi="Times New Roman" w:cs="Times New Roman"/>
          <w:sz w:val="24"/>
        </w:rPr>
        <w:t xml:space="preserve"> </w:t>
      </w:r>
      <w:r w:rsidRPr="00020172">
        <w:rPr>
          <w:rFonts w:ascii="Times New Roman" w:hAnsi="Times New Roman" w:cs="Times New Roman"/>
          <w:sz w:val="24"/>
        </w:rPr>
        <w:t>Ces nouvelles règles entreront en vigueur le 1</w:t>
      </w:r>
      <w:r w:rsidRPr="00020172">
        <w:rPr>
          <w:rFonts w:ascii="Times New Roman" w:hAnsi="Times New Roman" w:cs="Times New Roman"/>
          <w:sz w:val="24"/>
          <w:vertAlign w:val="superscript"/>
        </w:rPr>
        <w:t>er</w:t>
      </w:r>
      <w:r w:rsidRPr="00020172">
        <w:rPr>
          <w:rFonts w:ascii="Times New Roman" w:hAnsi="Times New Roman" w:cs="Times New Roman"/>
          <w:sz w:val="24"/>
        </w:rPr>
        <w:t xml:space="preserve"> mai 2018 et seront applicables aux procédures d’insolvabilité ouvertes après cette date.</w:t>
      </w:r>
      <w:r w:rsidRPr="003F1762">
        <w:rPr>
          <w:rFonts w:ascii="Times New Roman" w:hAnsi="Times New Roman" w:cs="Times New Roman"/>
          <w:sz w:val="24"/>
        </w:rPr>
        <w:t xml:space="preserve"> </w:t>
      </w:r>
      <w:r w:rsidRPr="00020172">
        <w:rPr>
          <w:rFonts w:ascii="Times New Roman" w:hAnsi="Times New Roman" w:cs="Times New Roman"/>
          <w:sz w:val="24"/>
        </w:rPr>
        <w:t>L’objectif premier du Code de l’insolvabilité est de centraliser et d’intégrer les règles existantes du droit belge de l’insolvabilité, qui se trouvaient auparavant dans la loi du 8 août 1997 sur les faillites et</w:t>
      </w:r>
      <w:r>
        <w:rPr>
          <w:rFonts w:ascii="Times New Roman" w:hAnsi="Times New Roman" w:cs="Times New Roman"/>
          <w:sz w:val="24"/>
        </w:rPr>
        <w:t xml:space="preserve"> dans</w:t>
      </w:r>
      <w:r w:rsidRPr="00020172">
        <w:rPr>
          <w:rFonts w:ascii="Times New Roman" w:hAnsi="Times New Roman" w:cs="Times New Roman"/>
          <w:sz w:val="24"/>
        </w:rPr>
        <w:t xml:space="preserve"> la loi du 31 janvier 2009 relative à la continuité des entreprises.</w:t>
      </w:r>
      <w:r w:rsidRPr="003F1762">
        <w:rPr>
          <w:rFonts w:ascii="Times New Roman" w:hAnsi="Times New Roman" w:cs="Times New Roman"/>
          <w:sz w:val="24"/>
        </w:rPr>
        <w:t xml:space="preserve"> </w:t>
      </w:r>
      <w:r>
        <w:rPr>
          <w:rFonts w:ascii="Times New Roman" w:hAnsi="Times New Roman" w:cs="Times New Roman"/>
          <w:sz w:val="24"/>
        </w:rPr>
        <w:t>Le second</w:t>
      </w:r>
      <w:r w:rsidRPr="00020172">
        <w:rPr>
          <w:rFonts w:ascii="Times New Roman" w:hAnsi="Times New Roman" w:cs="Times New Roman"/>
          <w:sz w:val="24"/>
        </w:rPr>
        <w:t xml:space="preserve"> objectif est de moderniser la procédure d’insolvabilité.</w:t>
      </w:r>
      <w:r w:rsidRPr="003F1762">
        <w:rPr>
          <w:rFonts w:ascii="Times New Roman" w:hAnsi="Times New Roman" w:cs="Times New Roman"/>
          <w:sz w:val="24"/>
        </w:rPr>
        <w:t xml:space="preserve"> </w:t>
      </w:r>
      <w:r w:rsidRPr="00020172">
        <w:rPr>
          <w:rFonts w:ascii="Times New Roman" w:hAnsi="Times New Roman" w:cs="Times New Roman"/>
          <w:sz w:val="24"/>
        </w:rPr>
        <w:t>Certaines des nouvelles dispositions du Code de l’insolvabilité sont présentées ci-dessous.</w:t>
      </w:r>
    </w:p>
    <w:p w:rsidR="00C44D1B" w:rsidRPr="003F1762" w:rsidRDefault="00C44D1B" w:rsidP="00C44D1B">
      <w:pPr>
        <w:jc w:val="both"/>
        <w:rPr>
          <w:rFonts w:ascii="Times New Roman" w:hAnsi="Times New Roman" w:cs="Times New Roman"/>
          <w:b/>
          <w:sz w:val="24"/>
        </w:rPr>
      </w:pPr>
      <w:r w:rsidRPr="00020172">
        <w:rPr>
          <w:rFonts w:ascii="Times New Roman" w:hAnsi="Times New Roman" w:cs="Times New Roman"/>
          <w:b/>
          <w:sz w:val="24"/>
        </w:rPr>
        <w:t>« Entreprise » plutôt que « commerçant »</w:t>
      </w:r>
    </w:p>
    <w:p w:rsidR="00C44D1B" w:rsidRPr="003F1762" w:rsidRDefault="00C44D1B" w:rsidP="00C44D1B">
      <w:pPr>
        <w:jc w:val="both"/>
        <w:rPr>
          <w:rFonts w:ascii="Times New Roman" w:hAnsi="Times New Roman" w:cs="Times New Roman"/>
          <w:sz w:val="24"/>
        </w:rPr>
      </w:pPr>
      <w:r w:rsidRPr="00020172">
        <w:rPr>
          <w:rFonts w:ascii="Times New Roman" w:hAnsi="Times New Roman" w:cs="Times New Roman"/>
          <w:sz w:val="24"/>
        </w:rPr>
        <w:t>Le changement le plus important introduit par le Code de l’insolvabilité est l’extension du champ d’application d</w:t>
      </w:r>
      <w:r>
        <w:rPr>
          <w:rFonts w:ascii="Times New Roman" w:hAnsi="Times New Roman" w:cs="Times New Roman"/>
          <w:sz w:val="24"/>
        </w:rPr>
        <w:t>es</w:t>
      </w:r>
      <w:r w:rsidRPr="00020172">
        <w:rPr>
          <w:rFonts w:ascii="Times New Roman" w:hAnsi="Times New Roman" w:cs="Times New Roman"/>
          <w:sz w:val="24"/>
        </w:rPr>
        <w:t xml:space="preserve"> procédure</w:t>
      </w:r>
      <w:r>
        <w:rPr>
          <w:rFonts w:ascii="Times New Roman" w:hAnsi="Times New Roman" w:cs="Times New Roman"/>
          <w:sz w:val="24"/>
        </w:rPr>
        <w:t>s</w:t>
      </w:r>
      <w:r w:rsidRPr="00020172">
        <w:rPr>
          <w:rFonts w:ascii="Times New Roman" w:hAnsi="Times New Roman" w:cs="Times New Roman"/>
          <w:sz w:val="24"/>
        </w:rPr>
        <w:t xml:space="preserve"> d’insolvabilité.</w:t>
      </w:r>
      <w:r w:rsidRPr="003F1762">
        <w:rPr>
          <w:rFonts w:ascii="Times New Roman" w:hAnsi="Times New Roman" w:cs="Times New Roman"/>
          <w:sz w:val="24"/>
        </w:rPr>
        <w:t xml:space="preserve"> </w:t>
      </w:r>
      <w:r w:rsidRPr="00020172">
        <w:rPr>
          <w:rFonts w:ascii="Times New Roman" w:hAnsi="Times New Roman" w:cs="Times New Roman"/>
          <w:sz w:val="24"/>
        </w:rPr>
        <w:t>Auparavant, ces procédures (plus particulièrement la faillite) n’étaient ouvertes qu’aux commerçants, concept juridique étroit datant du Code de commerce de 1807.</w:t>
      </w:r>
      <w:r w:rsidRPr="003F1762">
        <w:rPr>
          <w:rFonts w:ascii="Times New Roman" w:hAnsi="Times New Roman" w:cs="Times New Roman"/>
          <w:sz w:val="24"/>
        </w:rPr>
        <w:t xml:space="preserve"> </w:t>
      </w:r>
      <w:r w:rsidRPr="00020172">
        <w:rPr>
          <w:rFonts w:ascii="Times New Roman" w:hAnsi="Times New Roman" w:cs="Times New Roman"/>
          <w:sz w:val="24"/>
        </w:rPr>
        <w:t>Il était considéré que ce concept limité et à de nombreux égards obsolète ne reflétait plus les réalités commerciales et juridiques actuelles (</w:t>
      </w:r>
      <w:r>
        <w:rPr>
          <w:rFonts w:ascii="Times New Roman" w:hAnsi="Times New Roman" w:cs="Times New Roman"/>
          <w:sz w:val="24"/>
        </w:rPr>
        <w:t xml:space="preserve">tant </w:t>
      </w:r>
      <w:r w:rsidRPr="00020172">
        <w:rPr>
          <w:rFonts w:ascii="Times New Roman" w:hAnsi="Times New Roman" w:cs="Times New Roman"/>
          <w:sz w:val="24"/>
        </w:rPr>
        <w:t xml:space="preserve">belges </w:t>
      </w:r>
      <w:r>
        <w:rPr>
          <w:rFonts w:ascii="Times New Roman" w:hAnsi="Times New Roman" w:cs="Times New Roman"/>
          <w:sz w:val="24"/>
        </w:rPr>
        <w:t>qu’</w:t>
      </w:r>
      <w:r w:rsidRPr="00020172">
        <w:rPr>
          <w:rFonts w:ascii="Times New Roman" w:hAnsi="Times New Roman" w:cs="Times New Roman"/>
          <w:sz w:val="24"/>
        </w:rPr>
        <w:t>européennes).</w:t>
      </w:r>
      <w:r w:rsidRPr="003F1762">
        <w:rPr>
          <w:rFonts w:ascii="Times New Roman" w:hAnsi="Times New Roman" w:cs="Times New Roman"/>
          <w:sz w:val="24"/>
        </w:rPr>
        <w:t xml:space="preserve"> </w:t>
      </w:r>
      <w:r w:rsidRPr="00020172">
        <w:rPr>
          <w:rFonts w:ascii="Times New Roman" w:hAnsi="Times New Roman" w:cs="Times New Roman"/>
          <w:sz w:val="24"/>
        </w:rPr>
        <w:t>Le Code de l’insolvabilité remplace le concept de « commerçant » par celui d’« entreprise » (</w:t>
      </w:r>
      <w:r w:rsidRPr="00020172">
        <w:rPr>
          <w:rFonts w:ascii="Times New Roman" w:hAnsi="Times New Roman" w:cs="Times New Roman"/>
          <w:i/>
          <w:sz w:val="24"/>
        </w:rPr>
        <w:t>onderneming</w:t>
      </w:r>
      <w:r w:rsidRPr="00020172">
        <w:rPr>
          <w:rFonts w:ascii="Times New Roman" w:hAnsi="Times New Roman" w:cs="Times New Roman"/>
          <w:sz w:val="24"/>
        </w:rPr>
        <w:t>).</w:t>
      </w:r>
      <w:r w:rsidRPr="003F1762">
        <w:rPr>
          <w:rFonts w:ascii="Times New Roman" w:hAnsi="Times New Roman" w:cs="Times New Roman"/>
          <w:sz w:val="24"/>
        </w:rPr>
        <w:t xml:space="preserve"> </w:t>
      </w:r>
      <w:r w:rsidRPr="00020172">
        <w:rPr>
          <w:rFonts w:ascii="Times New Roman" w:hAnsi="Times New Roman" w:cs="Times New Roman"/>
          <w:sz w:val="24"/>
        </w:rPr>
        <w:t>Ce concept englobe la plupart des formes juridiques permettant d’exercer des activités économiques à titre indépendant.</w:t>
      </w:r>
      <w:r w:rsidRPr="003F1762">
        <w:rPr>
          <w:rFonts w:ascii="Times New Roman" w:hAnsi="Times New Roman" w:cs="Times New Roman"/>
          <w:sz w:val="24"/>
        </w:rPr>
        <w:t xml:space="preserve"> </w:t>
      </w:r>
      <w:r w:rsidRPr="00020172">
        <w:rPr>
          <w:rFonts w:ascii="Times New Roman" w:hAnsi="Times New Roman" w:cs="Times New Roman"/>
          <w:sz w:val="24"/>
        </w:rPr>
        <w:t>Ainsi, davantage d’opérateurs économiques seront soumis au droit de l’insolvabilité.</w:t>
      </w:r>
      <w:r w:rsidRPr="003F1762">
        <w:rPr>
          <w:rFonts w:ascii="Times New Roman" w:hAnsi="Times New Roman" w:cs="Times New Roman"/>
          <w:sz w:val="24"/>
        </w:rPr>
        <w:t xml:space="preserve"> </w:t>
      </w:r>
      <w:r w:rsidRPr="00020172">
        <w:rPr>
          <w:rFonts w:ascii="Times New Roman" w:hAnsi="Times New Roman" w:cs="Times New Roman"/>
          <w:sz w:val="24"/>
        </w:rPr>
        <w:t>Par exemple, les professions libérales (avocats</w:t>
      </w:r>
      <w:r>
        <w:rPr>
          <w:rFonts w:ascii="Times New Roman" w:hAnsi="Times New Roman" w:cs="Times New Roman"/>
          <w:sz w:val="24"/>
        </w:rPr>
        <w:t>,</w:t>
      </w:r>
      <w:r w:rsidRPr="00020172">
        <w:rPr>
          <w:rFonts w:ascii="Times New Roman" w:hAnsi="Times New Roman" w:cs="Times New Roman"/>
          <w:sz w:val="24"/>
        </w:rPr>
        <w:t xml:space="preserve"> architectes</w:t>
      </w:r>
      <w:r>
        <w:rPr>
          <w:rFonts w:ascii="Times New Roman" w:hAnsi="Times New Roman" w:cs="Times New Roman"/>
          <w:sz w:val="24"/>
        </w:rPr>
        <w:t>, etc.</w:t>
      </w:r>
      <w:r w:rsidRPr="00020172">
        <w:rPr>
          <w:rFonts w:ascii="Times New Roman" w:hAnsi="Times New Roman" w:cs="Times New Roman"/>
          <w:sz w:val="24"/>
        </w:rPr>
        <w:t>), les agriculteurs, les associations à but non lucratif et les organisations sans personnalité juridique (</w:t>
      </w:r>
      <w:r>
        <w:rPr>
          <w:rFonts w:ascii="Times New Roman" w:hAnsi="Times New Roman" w:cs="Times New Roman"/>
          <w:sz w:val="24"/>
        </w:rPr>
        <w:t>notamment</w:t>
      </w:r>
      <w:r w:rsidRPr="00020172">
        <w:rPr>
          <w:rFonts w:ascii="Times New Roman" w:hAnsi="Times New Roman" w:cs="Times New Roman"/>
          <w:sz w:val="24"/>
        </w:rPr>
        <w:t xml:space="preserve"> la société de droit commun / </w:t>
      </w:r>
      <w:r w:rsidRPr="00020172">
        <w:rPr>
          <w:rFonts w:ascii="Times New Roman" w:hAnsi="Times New Roman" w:cs="Times New Roman"/>
          <w:i/>
          <w:sz w:val="24"/>
        </w:rPr>
        <w:t>maatschap</w:t>
      </w:r>
      <w:r w:rsidRPr="00020172">
        <w:rPr>
          <w:rFonts w:ascii="Times New Roman" w:hAnsi="Times New Roman" w:cs="Times New Roman"/>
          <w:sz w:val="24"/>
        </w:rPr>
        <w:t>), qui étaient exclus de l’ancienne législation, entreront dans le champ d’application du nouveau code.</w:t>
      </w:r>
      <w:r w:rsidRPr="003F1762">
        <w:rPr>
          <w:rFonts w:ascii="Times New Roman" w:hAnsi="Times New Roman" w:cs="Times New Roman"/>
          <w:sz w:val="24"/>
        </w:rPr>
        <w:t xml:space="preserve"> </w:t>
      </w:r>
      <w:r w:rsidRPr="00020172">
        <w:rPr>
          <w:rFonts w:ascii="Times New Roman" w:hAnsi="Times New Roman" w:cs="Times New Roman"/>
          <w:sz w:val="24"/>
        </w:rPr>
        <w:t xml:space="preserve">Cela signifie qu’ils pourront être déclarés insolvables mais aussi qu’ils pourront </w:t>
      </w:r>
      <w:r>
        <w:rPr>
          <w:rFonts w:ascii="Times New Roman" w:hAnsi="Times New Roman" w:cs="Times New Roman"/>
          <w:sz w:val="24"/>
        </w:rPr>
        <w:t>faire l’objet</w:t>
      </w:r>
      <w:r w:rsidRPr="00020172">
        <w:rPr>
          <w:rFonts w:ascii="Times New Roman" w:hAnsi="Times New Roman" w:cs="Times New Roman"/>
          <w:sz w:val="24"/>
        </w:rPr>
        <w:t xml:space="preserve"> de procédures de réorganisation.</w:t>
      </w:r>
    </w:p>
    <w:p w:rsidR="00C44D1B" w:rsidRPr="003F1762" w:rsidRDefault="00C44D1B" w:rsidP="00C44D1B">
      <w:pPr>
        <w:jc w:val="both"/>
        <w:rPr>
          <w:rFonts w:ascii="Times New Roman" w:hAnsi="Times New Roman" w:cs="Times New Roman"/>
          <w:sz w:val="24"/>
        </w:rPr>
      </w:pPr>
      <w:r>
        <w:rPr>
          <w:rFonts w:ascii="Times New Roman" w:hAnsi="Times New Roman" w:cs="Times New Roman"/>
          <w:b/>
          <w:sz w:val="24"/>
        </w:rPr>
        <w:t>Informatisation</w:t>
      </w:r>
      <w:r w:rsidRPr="003F1762">
        <w:rPr>
          <w:rFonts w:ascii="Times New Roman" w:hAnsi="Times New Roman" w:cs="Times New Roman"/>
          <w:sz w:val="24"/>
        </w:rPr>
        <w:t xml:space="preserve"> </w:t>
      </w:r>
    </w:p>
    <w:p w:rsidR="00C44D1B" w:rsidRPr="003F1762" w:rsidRDefault="00C44D1B" w:rsidP="00C44D1B">
      <w:pPr>
        <w:jc w:val="both"/>
        <w:rPr>
          <w:rFonts w:ascii="Times New Roman" w:hAnsi="Times New Roman" w:cs="Times New Roman"/>
          <w:sz w:val="24"/>
        </w:rPr>
      </w:pPr>
      <w:r w:rsidRPr="00E71587">
        <w:rPr>
          <w:rFonts w:ascii="Times New Roman" w:hAnsi="Times New Roman" w:cs="Times New Roman"/>
          <w:sz w:val="24"/>
        </w:rPr>
        <w:t>Dans la continuité de l</w:t>
      </w:r>
      <w:r>
        <w:rPr>
          <w:rFonts w:ascii="Times New Roman" w:hAnsi="Times New Roman" w:cs="Times New Roman"/>
          <w:sz w:val="24"/>
        </w:rPr>
        <w:t>’informatisation</w:t>
      </w:r>
      <w:r w:rsidRPr="00E71587">
        <w:rPr>
          <w:rFonts w:ascii="Times New Roman" w:hAnsi="Times New Roman" w:cs="Times New Roman"/>
          <w:sz w:val="24"/>
        </w:rPr>
        <w:t xml:space="preserve"> en cours du corps judiciaire belge, le Code de l’insolvabilité vise à rendre les procédures d’insolvabilité entièrement numériques.</w:t>
      </w:r>
      <w:r w:rsidRPr="003F1762">
        <w:rPr>
          <w:rFonts w:ascii="Times New Roman" w:hAnsi="Times New Roman" w:cs="Times New Roman"/>
          <w:sz w:val="24"/>
        </w:rPr>
        <w:t xml:space="preserve"> </w:t>
      </w:r>
      <w:r w:rsidRPr="00E71587">
        <w:rPr>
          <w:rFonts w:ascii="Times New Roman" w:hAnsi="Times New Roman" w:cs="Times New Roman"/>
          <w:sz w:val="24"/>
        </w:rPr>
        <w:t xml:space="preserve">Dorénavant, toutes les informations relatives aux procédures d’insolvabilité seront regroupées dans un registre de solvabilité central en ligne, qui sera accessible aux magistrats, aux débiteurs, aux créanciers et à </w:t>
      </w:r>
      <w:r w:rsidRPr="00E71587">
        <w:rPr>
          <w:rFonts w:ascii="Times New Roman" w:hAnsi="Times New Roman" w:cs="Times New Roman"/>
          <w:sz w:val="24"/>
        </w:rPr>
        <w:lastRenderedPageBreak/>
        <w:t>leurs avocats.</w:t>
      </w:r>
      <w:r w:rsidRPr="003F1762">
        <w:rPr>
          <w:rFonts w:ascii="Times New Roman" w:hAnsi="Times New Roman" w:cs="Times New Roman"/>
          <w:sz w:val="24"/>
        </w:rPr>
        <w:t xml:space="preserve"> </w:t>
      </w:r>
      <w:r w:rsidRPr="00E71587">
        <w:rPr>
          <w:rFonts w:ascii="Times New Roman" w:hAnsi="Times New Roman" w:cs="Times New Roman"/>
          <w:sz w:val="24"/>
        </w:rPr>
        <w:t xml:space="preserve">Ce registre sera connecté aux registres des autres États membres, conformément à </w:t>
      </w:r>
      <w:r>
        <w:rPr>
          <w:rFonts w:ascii="Times New Roman" w:hAnsi="Times New Roman" w:cs="Times New Roman"/>
          <w:sz w:val="24"/>
        </w:rPr>
        <w:t xml:space="preserve">ce que prévoit </w:t>
      </w:r>
      <w:r w:rsidRPr="00E71587">
        <w:rPr>
          <w:rFonts w:ascii="Times New Roman" w:hAnsi="Times New Roman" w:cs="Times New Roman"/>
          <w:sz w:val="24"/>
        </w:rPr>
        <w:t>la refonte du règlement sur l’insolvabilité.</w:t>
      </w:r>
      <w:r w:rsidRPr="003F1762">
        <w:rPr>
          <w:rFonts w:ascii="Times New Roman" w:hAnsi="Times New Roman" w:cs="Times New Roman"/>
          <w:sz w:val="24"/>
        </w:rPr>
        <w:t xml:space="preserve"> </w:t>
      </w:r>
      <w:r w:rsidRPr="00E71587">
        <w:rPr>
          <w:rFonts w:ascii="Times New Roman" w:hAnsi="Times New Roman" w:cs="Times New Roman"/>
          <w:sz w:val="24"/>
        </w:rPr>
        <w:t>L’informatisation permettra non seulement de réduire le coût et la durée des procédures d’insolvabilité, mais également d’alléger la charge de travail du corps judiciaire et d’accroître la transparence.</w:t>
      </w:r>
    </w:p>
    <w:p w:rsidR="00C44D1B" w:rsidRPr="003F1762" w:rsidRDefault="00C44D1B" w:rsidP="00C44D1B">
      <w:pPr>
        <w:jc w:val="both"/>
        <w:rPr>
          <w:rFonts w:ascii="Times New Roman" w:hAnsi="Times New Roman" w:cs="Times New Roman"/>
          <w:b/>
          <w:sz w:val="24"/>
        </w:rPr>
      </w:pPr>
      <w:r w:rsidRPr="00E71587">
        <w:rPr>
          <w:rFonts w:ascii="Times New Roman" w:hAnsi="Times New Roman" w:cs="Times New Roman"/>
          <w:b/>
          <w:sz w:val="24"/>
        </w:rPr>
        <w:t>Renforcement des règles de « nouveau départ »</w:t>
      </w:r>
    </w:p>
    <w:p w:rsidR="002275A1" w:rsidRPr="00ED42FE" w:rsidRDefault="00C44D1B" w:rsidP="00C44D1B">
      <w:pPr>
        <w:jc w:val="both"/>
        <w:rPr>
          <w:rFonts w:ascii="Times New Roman" w:hAnsi="Times New Roman" w:cs="Times New Roman"/>
          <w:sz w:val="24"/>
        </w:rPr>
      </w:pPr>
      <w:r w:rsidRPr="00E71587">
        <w:rPr>
          <w:rFonts w:ascii="Times New Roman" w:hAnsi="Times New Roman" w:cs="Times New Roman"/>
          <w:sz w:val="24"/>
        </w:rPr>
        <w:t xml:space="preserve">Le Code de l’insolvabilité réforme </w:t>
      </w:r>
      <w:r>
        <w:rPr>
          <w:rFonts w:ascii="Times New Roman" w:hAnsi="Times New Roman" w:cs="Times New Roman"/>
          <w:sz w:val="24"/>
        </w:rPr>
        <w:t>par ailleurs</w:t>
      </w:r>
      <w:r w:rsidRPr="00E71587">
        <w:rPr>
          <w:rFonts w:ascii="Times New Roman" w:hAnsi="Times New Roman" w:cs="Times New Roman"/>
          <w:sz w:val="24"/>
        </w:rPr>
        <w:t xml:space="preserve"> les règles en matière de « nouveau départ ».</w:t>
      </w:r>
      <w:r w:rsidRPr="003F1762">
        <w:rPr>
          <w:rFonts w:ascii="Times New Roman" w:hAnsi="Times New Roman" w:cs="Times New Roman"/>
          <w:sz w:val="24"/>
        </w:rPr>
        <w:t xml:space="preserve"> </w:t>
      </w:r>
      <w:r w:rsidRPr="00E71587">
        <w:rPr>
          <w:rFonts w:ascii="Times New Roman" w:hAnsi="Times New Roman" w:cs="Times New Roman"/>
          <w:sz w:val="24"/>
        </w:rPr>
        <w:t>L’idée qui sous-tend ces règles est que l’insolvabilité ne devrait pas être un stigmate et que les personnes physiques endettées devraient bénéficier d’une vraie seconde chance pour recommencer à zéro.</w:t>
      </w:r>
      <w:r w:rsidRPr="003F1762">
        <w:rPr>
          <w:rFonts w:ascii="Times New Roman" w:hAnsi="Times New Roman" w:cs="Times New Roman"/>
          <w:sz w:val="24"/>
        </w:rPr>
        <w:t xml:space="preserve"> </w:t>
      </w:r>
      <w:r w:rsidRPr="00E71587">
        <w:rPr>
          <w:rFonts w:ascii="Times New Roman" w:hAnsi="Times New Roman" w:cs="Times New Roman"/>
          <w:sz w:val="24"/>
        </w:rPr>
        <w:t>À cet effet, le Code de l’insolvabilité remplace les règles plutôt complexes régissant l’excusabilité des dettes (</w:t>
      </w:r>
      <w:r w:rsidRPr="00E71587">
        <w:rPr>
          <w:rFonts w:ascii="Times New Roman" w:hAnsi="Times New Roman" w:cs="Times New Roman"/>
          <w:i/>
          <w:sz w:val="24"/>
        </w:rPr>
        <w:t>verschoonbaarheid</w:t>
      </w:r>
      <w:r w:rsidRPr="00E71587">
        <w:rPr>
          <w:rFonts w:ascii="Times New Roman" w:hAnsi="Times New Roman" w:cs="Times New Roman"/>
          <w:sz w:val="24"/>
        </w:rPr>
        <w:t>) par un nouveau régime sur l’effacement des dettes (</w:t>
      </w:r>
      <w:r w:rsidRPr="00E71587">
        <w:rPr>
          <w:rFonts w:ascii="Times New Roman" w:hAnsi="Times New Roman" w:cs="Times New Roman"/>
          <w:i/>
          <w:sz w:val="24"/>
        </w:rPr>
        <w:t>kwijtschelding</w:t>
      </w:r>
      <w:r w:rsidRPr="00E71587">
        <w:rPr>
          <w:rFonts w:ascii="Times New Roman" w:hAnsi="Times New Roman" w:cs="Times New Roman"/>
          <w:sz w:val="24"/>
        </w:rPr>
        <w:t>).</w:t>
      </w:r>
      <w:r w:rsidRPr="003F1762">
        <w:rPr>
          <w:rFonts w:ascii="Times New Roman" w:hAnsi="Times New Roman" w:cs="Times New Roman"/>
          <w:sz w:val="24"/>
        </w:rPr>
        <w:t xml:space="preserve"> </w:t>
      </w:r>
      <w:r w:rsidRPr="00E71587">
        <w:rPr>
          <w:rFonts w:ascii="Times New Roman" w:hAnsi="Times New Roman" w:cs="Times New Roman"/>
          <w:sz w:val="24"/>
        </w:rPr>
        <w:t>En vertu des nouvelles règles, les dettes restantes d’un entrepreneur seront effacées, sauf si une partie intéressée (par ex. un créancier ou l’administrateur de l’insolvabilité) s’y oppose activement en démontrant qu’une faute grave et caractérisée du débiteur a contribué à l’insolvabilité.</w:t>
      </w:r>
      <w:r w:rsidRPr="003F1762">
        <w:rPr>
          <w:rFonts w:ascii="Times New Roman" w:hAnsi="Times New Roman" w:cs="Times New Roman"/>
          <w:sz w:val="24"/>
        </w:rPr>
        <w:t xml:space="preserve"> </w:t>
      </w:r>
      <w:r w:rsidRPr="00E71587">
        <w:rPr>
          <w:rFonts w:ascii="Times New Roman" w:hAnsi="Times New Roman" w:cs="Times New Roman"/>
          <w:sz w:val="24"/>
        </w:rPr>
        <w:t>Pour renforcer ces règles sur le nouveau départ, les revenus d’une nouvelle activité perçus après le commencement de la procédure seront exclus de la masse de la faillite (</w:t>
      </w:r>
      <w:r w:rsidRPr="00E71587">
        <w:rPr>
          <w:rFonts w:ascii="Times New Roman" w:hAnsi="Times New Roman" w:cs="Times New Roman"/>
          <w:i/>
          <w:sz w:val="24"/>
        </w:rPr>
        <w:t>massa van het faillissement</w:t>
      </w:r>
      <w:r w:rsidRPr="00E71587">
        <w:rPr>
          <w:rFonts w:ascii="Times New Roman" w:hAnsi="Times New Roman" w:cs="Times New Roman"/>
          <w:sz w:val="24"/>
        </w:rPr>
        <w:t>), alors qu’actuellement, ils y sont inclus jusqu’à la clôture de la procédure.</w:t>
      </w:r>
    </w:p>
    <w:p w:rsidR="00C44D1B" w:rsidRPr="003F1762" w:rsidRDefault="00C44D1B" w:rsidP="00C44D1B">
      <w:pPr>
        <w:jc w:val="both"/>
        <w:rPr>
          <w:rFonts w:ascii="Times New Roman" w:hAnsi="Times New Roman" w:cs="Times New Roman"/>
          <w:sz w:val="24"/>
        </w:rPr>
      </w:pPr>
      <w:r w:rsidRPr="00E71587">
        <w:rPr>
          <w:rFonts w:ascii="Times New Roman" w:hAnsi="Times New Roman" w:cs="Times New Roman"/>
          <w:b/>
          <w:sz w:val="24"/>
        </w:rPr>
        <w:t>Possibilités de règlemen</w:t>
      </w:r>
      <w:r>
        <w:rPr>
          <w:rFonts w:ascii="Times New Roman" w:hAnsi="Times New Roman" w:cs="Times New Roman"/>
          <w:b/>
          <w:sz w:val="24"/>
        </w:rPr>
        <w:t>t amiable</w:t>
      </w:r>
      <w:r w:rsidRPr="003F1762">
        <w:rPr>
          <w:rFonts w:ascii="Times New Roman" w:hAnsi="Times New Roman" w:cs="Times New Roman"/>
          <w:sz w:val="24"/>
        </w:rPr>
        <w:t xml:space="preserve"> </w:t>
      </w:r>
    </w:p>
    <w:p w:rsidR="00C44D1B" w:rsidRPr="003F1762" w:rsidRDefault="00C44D1B" w:rsidP="00C44D1B">
      <w:pPr>
        <w:jc w:val="both"/>
        <w:rPr>
          <w:rFonts w:ascii="Times New Roman" w:hAnsi="Times New Roman" w:cs="Times New Roman"/>
          <w:sz w:val="24"/>
        </w:rPr>
      </w:pPr>
      <w:r w:rsidRPr="00E71587">
        <w:rPr>
          <w:rFonts w:ascii="Times New Roman" w:hAnsi="Times New Roman" w:cs="Times New Roman"/>
          <w:sz w:val="24"/>
        </w:rPr>
        <w:t xml:space="preserve">Conformément au souhait de l’Union européenne de promouvoir les </w:t>
      </w:r>
      <w:r>
        <w:rPr>
          <w:rFonts w:ascii="Times New Roman" w:hAnsi="Times New Roman" w:cs="Times New Roman"/>
          <w:sz w:val="24"/>
        </w:rPr>
        <w:t>règlements amiables</w:t>
      </w:r>
      <w:r w:rsidRPr="00E71587">
        <w:rPr>
          <w:rFonts w:ascii="Times New Roman" w:hAnsi="Times New Roman" w:cs="Times New Roman"/>
          <w:sz w:val="24"/>
        </w:rPr>
        <w:t xml:space="preserve"> à titre d’alternative aux procédures formelles d’insolvabilité, le Code de l’insolvabilité renforce les possibilités </w:t>
      </w:r>
      <w:r>
        <w:rPr>
          <w:rFonts w:ascii="Times New Roman" w:hAnsi="Times New Roman" w:cs="Times New Roman"/>
          <w:sz w:val="24"/>
        </w:rPr>
        <w:t>en la matière</w:t>
      </w:r>
      <w:r w:rsidRPr="00E71587">
        <w:rPr>
          <w:rFonts w:ascii="Times New Roman" w:hAnsi="Times New Roman" w:cs="Times New Roman"/>
          <w:sz w:val="24"/>
        </w:rPr>
        <w:t>.</w:t>
      </w:r>
      <w:r w:rsidRPr="003F1762">
        <w:rPr>
          <w:rFonts w:ascii="Times New Roman" w:hAnsi="Times New Roman" w:cs="Times New Roman"/>
          <w:sz w:val="24"/>
        </w:rPr>
        <w:t xml:space="preserve"> </w:t>
      </w:r>
      <w:r w:rsidRPr="00E71587">
        <w:rPr>
          <w:rFonts w:ascii="Times New Roman" w:hAnsi="Times New Roman" w:cs="Times New Roman"/>
          <w:sz w:val="24"/>
        </w:rPr>
        <w:t xml:space="preserve">Les parties </w:t>
      </w:r>
      <w:r>
        <w:rPr>
          <w:rFonts w:ascii="Times New Roman" w:hAnsi="Times New Roman" w:cs="Times New Roman"/>
          <w:sz w:val="24"/>
        </w:rPr>
        <w:t xml:space="preserve">arrivant </w:t>
      </w:r>
      <w:r w:rsidRPr="00E71587">
        <w:rPr>
          <w:rFonts w:ascii="Times New Roman" w:hAnsi="Times New Roman" w:cs="Times New Roman"/>
          <w:sz w:val="24"/>
        </w:rPr>
        <w:t xml:space="preserve">à un </w:t>
      </w:r>
      <w:r>
        <w:rPr>
          <w:rFonts w:ascii="Times New Roman" w:hAnsi="Times New Roman" w:cs="Times New Roman"/>
          <w:sz w:val="24"/>
        </w:rPr>
        <w:t>accord</w:t>
      </w:r>
      <w:r w:rsidRPr="00E71587">
        <w:rPr>
          <w:rFonts w:ascii="Times New Roman" w:hAnsi="Times New Roman" w:cs="Times New Roman"/>
          <w:sz w:val="24"/>
        </w:rPr>
        <w:t xml:space="preserve"> </w:t>
      </w:r>
      <w:r>
        <w:rPr>
          <w:rFonts w:ascii="Times New Roman" w:hAnsi="Times New Roman" w:cs="Times New Roman"/>
          <w:sz w:val="24"/>
        </w:rPr>
        <w:t xml:space="preserve">de règlement </w:t>
      </w:r>
      <w:r w:rsidRPr="00E71587">
        <w:rPr>
          <w:rFonts w:ascii="Times New Roman" w:hAnsi="Times New Roman" w:cs="Times New Roman"/>
          <w:sz w:val="24"/>
        </w:rPr>
        <w:t>confidentiel pourront désormais saisir le tribunal pour faire homologuer leur accord et/ou obtenir une décision exécutoire concernant les dettes couvertes par l’accord.</w:t>
      </w:r>
    </w:p>
    <w:p w:rsidR="00C44D1B" w:rsidRPr="003F1762" w:rsidRDefault="00C44D1B" w:rsidP="00C44D1B">
      <w:pPr>
        <w:jc w:val="both"/>
        <w:rPr>
          <w:rFonts w:ascii="Times New Roman" w:hAnsi="Times New Roman" w:cs="Times New Roman"/>
          <w:b/>
          <w:sz w:val="24"/>
        </w:rPr>
      </w:pPr>
      <w:r w:rsidRPr="00E71587">
        <w:rPr>
          <w:rFonts w:ascii="Times New Roman" w:hAnsi="Times New Roman" w:cs="Times New Roman"/>
          <w:b/>
          <w:sz w:val="24"/>
        </w:rPr>
        <w:t>Actions en responsabilité</w:t>
      </w:r>
      <w:r w:rsidRPr="003F1762">
        <w:rPr>
          <w:rFonts w:ascii="Times New Roman" w:hAnsi="Times New Roman" w:cs="Times New Roman"/>
          <w:b/>
          <w:sz w:val="24"/>
        </w:rPr>
        <w:t xml:space="preserve"> </w:t>
      </w:r>
    </w:p>
    <w:p w:rsidR="00C44D1B" w:rsidRPr="003F1762" w:rsidRDefault="00C44D1B" w:rsidP="00C44D1B">
      <w:pPr>
        <w:jc w:val="both"/>
        <w:rPr>
          <w:rFonts w:ascii="Times New Roman" w:hAnsi="Times New Roman" w:cs="Times New Roman"/>
          <w:sz w:val="24"/>
        </w:rPr>
      </w:pPr>
      <w:r w:rsidRPr="00E71587">
        <w:rPr>
          <w:rFonts w:ascii="Times New Roman" w:hAnsi="Times New Roman" w:cs="Times New Roman"/>
          <w:sz w:val="24"/>
        </w:rPr>
        <w:t xml:space="preserve">Les demandes en responsabilité présentées dans le contexte d’une procédure d’insolvabilité </w:t>
      </w:r>
      <w:r>
        <w:rPr>
          <w:rFonts w:ascii="Times New Roman" w:hAnsi="Times New Roman" w:cs="Times New Roman"/>
          <w:sz w:val="24"/>
        </w:rPr>
        <w:t>s</w:t>
      </w:r>
      <w:r w:rsidRPr="00E71587">
        <w:rPr>
          <w:rFonts w:ascii="Times New Roman" w:hAnsi="Times New Roman" w:cs="Times New Roman"/>
          <w:sz w:val="24"/>
        </w:rPr>
        <w:t xml:space="preserve">ont désormais </w:t>
      </w:r>
      <w:r>
        <w:rPr>
          <w:rFonts w:ascii="Times New Roman" w:hAnsi="Times New Roman" w:cs="Times New Roman"/>
          <w:sz w:val="24"/>
        </w:rPr>
        <w:t>couvertes par le</w:t>
      </w:r>
      <w:r w:rsidRPr="00E71587">
        <w:rPr>
          <w:rFonts w:ascii="Times New Roman" w:hAnsi="Times New Roman" w:cs="Times New Roman"/>
          <w:sz w:val="24"/>
        </w:rPr>
        <w:t xml:space="preserve"> Code de l’insolvabilité.</w:t>
      </w:r>
    </w:p>
    <w:p w:rsidR="00C44D1B" w:rsidRPr="003F1762" w:rsidRDefault="00C44D1B" w:rsidP="00C44D1B">
      <w:pPr>
        <w:jc w:val="both"/>
        <w:rPr>
          <w:rFonts w:ascii="Times New Roman" w:hAnsi="Times New Roman" w:cs="Times New Roman"/>
          <w:sz w:val="24"/>
        </w:rPr>
      </w:pPr>
      <w:r w:rsidRPr="00E71587">
        <w:rPr>
          <w:rFonts w:ascii="Times New Roman" w:hAnsi="Times New Roman" w:cs="Times New Roman"/>
          <w:sz w:val="24"/>
        </w:rPr>
        <w:t>Les règles régissant les demandes pour faute grave et caractérisée (</w:t>
      </w:r>
      <w:r w:rsidRPr="00E71587">
        <w:rPr>
          <w:rFonts w:ascii="Times New Roman" w:hAnsi="Times New Roman" w:cs="Times New Roman"/>
          <w:i/>
          <w:sz w:val="24"/>
        </w:rPr>
        <w:t>kennelijk grove fout</w:t>
      </w:r>
      <w:r w:rsidRPr="00E71587">
        <w:rPr>
          <w:rFonts w:ascii="Times New Roman" w:hAnsi="Times New Roman" w:cs="Times New Roman"/>
          <w:sz w:val="24"/>
        </w:rPr>
        <w:t>) ont été réformées.</w:t>
      </w:r>
      <w:r w:rsidRPr="003F1762">
        <w:rPr>
          <w:rFonts w:ascii="Times New Roman" w:hAnsi="Times New Roman" w:cs="Times New Roman"/>
          <w:sz w:val="24"/>
        </w:rPr>
        <w:t xml:space="preserve"> </w:t>
      </w:r>
      <w:r w:rsidRPr="00E71587">
        <w:rPr>
          <w:rFonts w:ascii="Times New Roman" w:hAnsi="Times New Roman" w:cs="Times New Roman"/>
          <w:sz w:val="24"/>
        </w:rPr>
        <w:t xml:space="preserve">En vertu des anciennes règles, seul l’administrateur de l’insolvabilité pouvait, dans la pratique, </w:t>
      </w:r>
      <w:r>
        <w:rPr>
          <w:rFonts w:ascii="Times New Roman" w:hAnsi="Times New Roman" w:cs="Times New Roman"/>
          <w:sz w:val="24"/>
        </w:rPr>
        <w:t>introduire</w:t>
      </w:r>
      <w:r w:rsidRPr="00E71587">
        <w:rPr>
          <w:rFonts w:ascii="Times New Roman" w:hAnsi="Times New Roman" w:cs="Times New Roman"/>
          <w:sz w:val="24"/>
        </w:rPr>
        <w:t xml:space="preserve"> cette action.</w:t>
      </w:r>
      <w:r w:rsidRPr="003F1762">
        <w:rPr>
          <w:rFonts w:ascii="Times New Roman" w:hAnsi="Times New Roman" w:cs="Times New Roman"/>
          <w:sz w:val="24"/>
        </w:rPr>
        <w:t xml:space="preserve"> </w:t>
      </w:r>
      <w:r w:rsidRPr="00E71587">
        <w:rPr>
          <w:rFonts w:ascii="Times New Roman" w:hAnsi="Times New Roman" w:cs="Times New Roman"/>
          <w:sz w:val="24"/>
        </w:rPr>
        <w:t>En vertu des nouvelles règles, si l’administrateur de l’insolvabilité ne le fait pas, un créancier individuel peut introduire une action pour le compte de la masse.</w:t>
      </w:r>
      <w:r w:rsidRPr="003F1762">
        <w:rPr>
          <w:rFonts w:ascii="Times New Roman" w:hAnsi="Times New Roman" w:cs="Times New Roman"/>
          <w:sz w:val="24"/>
        </w:rPr>
        <w:t xml:space="preserve"> </w:t>
      </w:r>
      <w:r w:rsidRPr="00E71587">
        <w:rPr>
          <w:rFonts w:ascii="Times New Roman" w:hAnsi="Times New Roman" w:cs="Times New Roman"/>
          <w:sz w:val="24"/>
        </w:rPr>
        <w:t>En outre, le créancier sera dédommagé d</w:t>
      </w:r>
      <w:r>
        <w:rPr>
          <w:rFonts w:ascii="Times New Roman" w:hAnsi="Times New Roman" w:cs="Times New Roman"/>
          <w:sz w:val="24"/>
        </w:rPr>
        <w:t>es frais de l’action</w:t>
      </w:r>
      <w:r w:rsidRPr="00E71587">
        <w:rPr>
          <w:rFonts w:ascii="Times New Roman" w:hAnsi="Times New Roman" w:cs="Times New Roman"/>
          <w:sz w:val="24"/>
        </w:rPr>
        <w:t> :</w:t>
      </w:r>
      <w:r w:rsidRPr="003F1762">
        <w:rPr>
          <w:rFonts w:ascii="Times New Roman" w:hAnsi="Times New Roman" w:cs="Times New Roman"/>
          <w:sz w:val="24"/>
        </w:rPr>
        <w:t xml:space="preserve"> </w:t>
      </w:r>
    </w:p>
    <w:p w:rsidR="00C44D1B" w:rsidRPr="003F1762" w:rsidRDefault="00C44D1B" w:rsidP="00C44D1B">
      <w:pPr>
        <w:pStyle w:val="Paragraphedeliste"/>
        <w:numPr>
          <w:ilvl w:val="0"/>
          <w:numId w:val="42"/>
        </w:numPr>
        <w:suppressAutoHyphens w:val="0"/>
        <w:spacing w:after="160" w:line="259" w:lineRule="auto"/>
        <w:contextualSpacing/>
        <w:jc w:val="both"/>
      </w:pPr>
      <w:r>
        <w:t xml:space="preserve">si </w:t>
      </w:r>
      <w:r w:rsidRPr="00E71587">
        <w:t xml:space="preserve">l’administrateur de l’insolvabilité </w:t>
      </w:r>
      <w:r>
        <w:t>poursuit l’action</w:t>
      </w:r>
      <w:r w:rsidRPr="00E71587">
        <w:t> ; ou</w:t>
      </w:r>
      <w:r w:rsidRPr="003F1762">
        <w:t xml:space="preserve"> </w:t>
      </w:r>
    </w:p>
    <w:p w:rsidR="00C44D1B" w:rsidRPr="003F1762" w:rsidRDefault="00C44D1B" w:rsidP="00C44D1B">
      <w:pPr>
        <w:pStyle w:val="Paragraphedeliste"/>
        <w:numPr>
          <w:ilvl w:val="0"/>
          <w:numId w:val="42"/>
        </w:numPr>
        <w:suppressAutoHyphens w:val="0"/>
        <w:spacing w:after="160" w:line="259" w:lineRule="auto"/>
        <w:contextualSpacing/>
        <w:jc w:val="both"/>
      </w:pPr>
      <w:r w:rsidRPr="00FC6974">
        <w:t>dans le cas contraire, si l’action a été bénéficiaire pour la masse.</w:t>
      </w: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sz w:val="24"/>
        </w:rPr>
        <w:t xml:space="preserve">En outre, dans certains cas, le boni de liquidation est distribué au prorata entre tous les créanciers, sans tenir compte de l’existence d’éventuels gages ou </w:t>
      </w:r>
      <w:r>
        <w:rPr>
          <w:rFonts w:ascii="Times New Roman" w:hAnsi="Times New Roman" w:cs="Times New Roman"/>
          <w:sz w:val="24"/>
        </w:rPr>
        <w:t>droits de rétention</w:t>
      </w:r>
      <w:r w:rsidRPr="00FC6974">
        <w:rPr>
          <w:rFonts w:ascii="Times New Roman" w:hAnsi="Times New Roman" w:cs="Times New Roman"/>
          <w:sz w:val="24"/>
        </w:rPr>
        <w:t xml:space="preserve"> statutaires.</w:t>
      </w: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sz w:val="24"/>
        </w:rPr>
        <w:lastRenderedPageBreak/>
        <w:t>En outre, une action en responsabilité distincte pour « négligence sanctionnable » a été introduite.</w:t>
      </w:r>
      <w:r w:rsidRPr="003F1762">
        <w:rPr>
          <w:rFonts w:ascii="Times New Roman" w:hAnsi="Times New Roman" w:cs="Times New Roman"/>
          <w:sz w:val="24"/>
        </w:rPr>
        <w:t xml:space="preserve"> </w:t>
      </w:r>
      <w:r w:rsidRPr="00FC6974">
        <w:rPr>
          <w:rFonts w:ascii="Times New Roman" w:hAnsi="Times New Roman" w:cs="Times New Roman"/>
          <w:sz w:val="24"/>
        </w:rPr>
        <w:t>Ce type d’action, qui existe déjà dans d’autre pays, peut être introduit à l’encontre d’un dirigeant qui savait ou aurait dû savoir qu’il n’y avait manifestement pas de perspective raisonnable pour préserver l’entreprise ou ses activités et éviter une faillite, sans pour autant agir comme l’aurait fait un administrateur normalement prudent et diligent placé dans les mêmes circonstances.</w:t>
      </w:r>
      <w:r w:rsidRPr="003F1762">
        <w:rPr>
          <w:rFonts w:ascii="Times New Roman" w:hAnsi="Times New Roman" w:cs="Times New Roman"/>
          <w:sz w:val="24"/>
        </w:rPr>
        <w:t xml:space="preserve"> </w:t>
      </w:r>
      <w:r w:rsidRPr="00FC6974">
        <w:rPr>
          <w:rFonts w:ascii="Times New Roman" w:hAnsi="Times New Roman" w:cs="Times New Roman"/>
          <w:sz w:val="24"/>
        </w:rPr>
        <w:t>L’objectif visé est de renforcer la diligence des dirigeants d’entreprises en difficulté.</w:t>
      </w: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b/>
          <w:sz w:val="24"/>
        </w:rPr>
        <w:t>Internationalisation</w:t>
      </w:r>
      <w:r w:rsidRPr="003F1762">
        <w:rPr>
          <w:rFonts w:ascii="Times New Roman" w:hAnsi="Times New Roman" w:cs="Times New Roman"/>
          <w:sz w:val="24"/>
        </w:rPr>
        <w:t xml:space="preserve"> </w:t>
      </w: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sz w:val="24"/>
        </w:rPr>
        <w:t xml:space="preserve">Le Code de l’insolvabilité prévoit un cadre rigoureux de règles pour </w:t>
      </w:r>
      <w:r>
        <w:rPr>
          <w:rFonts w:ascii="Times New Roman" w:hAnsi="Times New Roman" w:cs="Times New Roman"/>
          <w:sz w:val="24"/>
        </w:rPr>
        <w:t>faciliter</w:t>
      </w:r>
      <w:r w:rsidRPr="00FC6974">
        <w:rPr>
          <w:rFonts w:ascii="Times New Roman" w:hAnsi="Times New Roman" w:cs="Times New Roman"/>
          <w:sz w:val="24"/>
        </w:rPr>
        <w:t xml:space="preserve"> les procédures d’insolvabilité transfrontalières, conformément à la refonte du règlement sur l’insolvabilité.</w:t>
      </w:r>
      <w:r w:rsidRPr="003F1762">
        <w:rPr>
          <w:rFonts w:ascii="Times New Roman" w:hAnsi="Times New Roman" w:cs="Times New Roman"/>
          <w:sz w:val="24"/>
        </w:rPr>
        <w:t xml:space="preserve"> </w:t>
      </w:r>
      <w:r w:rsidRPr="00FC6974">
        <w:rPr>
          <w:rFonts w:ascii="Times New Roman" w:hAnsi="Times New Roman" w:cs="Times New Roman"/>
          <w:sz w:val="24"/>
        </w:rPr>
        <w:t>À cet égard, le Code de l’insolvabilité établit une distinction entre :</w:t>
      </w:r>
      <w:r w:rsidRPr="003F1762">
        <w:rPr>
          <w:rFonts w:ascii="Times New Roman" w:hAnsi="Times New Roman" w:cs="Times New Roman"/>
          <w:sz w:val="24"/>
        </w:rPr>
        <w:t xml:space="preserve"> </w:t>
      </w:r>
    </w:p>
    <w:p w:rsidR="00C44D1B" w:rsidRPr="00FC6974" w:rsidRDefault="00C44D1B" w:rsidP="00C44D1B">
      <w:pPr>
        <w:pStyle w:val="Paragraphedeliste"/>
        <w:numPr>
          <w:ilvl w:val="0"/>
          <w:numId w:val="43"/>
        </w:numPr>
        <w:suppressAutoHyphens w:val="0"/>
        <w:spacing w:after="160" w:line="259" w:lineRule="auto"/>
        <w:contextualSpacing/>
        <w:jc w:val="both"/>
        <w:rPr>
          <w:lang w:val="en-GB"/>
        </w:rPr>
      </w:pPr>
      <w:r w:rsidRPr="00FC6974">
        <w:t>les procédures d’insolvabilité européennes ; et</w:t>
      </w:r>
    </w:p>
    <w:p w:rsidR="00C44D1B" w:rsidRPr="003F1762" w:rsidRDefault="00C44D1B" w:rsidP="00C44D1B">
      <w:pPr>
        <w:pStyle w:val="Paragraphedeliste"/>
        <w:numPr>
          <w:ilvl w:val="0"/>
          <w:numId w:val="43"/>
        </w:numPr>
        <w:suppressAutoHyphens w:val="0"/>
        <w:spacing w:after="160" w:line="259" w:lineRule="auto"/>
        <w:contextualSpacing/>
        <w:jc w:val="both"/>
      </w:pPr>
      <w:r w:rsidRPr="00FC6974">
        <w:t>les autres procédures d’insolvabilité internationales.</w:t>
      </w: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sz w:val="24"/>
        </w:rPr>
        <w:t>En ce qui concerne les premières, le Code de l’insolvabilité prévoit des règles complémentaires à l’appui de la refonte du règlement sur l’insolvabilité.</w:t>
      </w:r>
      <w:r w:rsidRPr="003F1762">
        <w:rPr>
          <w:rFonts w:ascii="Times New Roman" w:hAnsi="Times New Roman" w:cs="Times New Roman"/>
          <w:sz w:val="24"/>
        </w:rPr>
        <w:t xml:space="preserve"> </w:t>
      </w:r>
      <w:r w:rsidRPr="00FC6974">
        <w:rPr>
          <w:rFonts w:ascii="Times New Roman" w:hAnsi="Times New Roman" w:cs="Times New Roman"/>
          <w:sz w:val="24"/>
        </w:rPr>
        <w:t>Pour ce qui est des dernières, les législateurs belges ont opté pour la cohérence et ont reproduit, dans la mesure du possible, les règles applicables aux procédures d’insolvabilité européennes.</w:t>
      </w:r>
    </w:p>
    <w:p w:rsidR="00C44D1B" w:rsidRPr="003F1762" w:rsidRDefault="00C44D1B" w:rsidP="002275A1">
      <w:pPr>
        <w:spacing w:after="0" w:line="240" w:lineRule="auto"/>
        <w:jc w:val="both"/>
        <w:rPr>
          <w:rFonts w:ascii="Times New Roman" w:hAnsi="Times New Roman" w:cs="Times New Roman"/>
          <w:sz w:val="24"/>
        </w:rPr>
      </w:pPr>
      <w:r w:rsidRPr="00FC6974">
        <w:rPr>
          <w:rFonts w:ascii="Times New Roman" w:hAnsi="Times New Roman" w:cs="Times New Roman"/>
          <w:b/>
          <w:sz w:val="24"/>
        </w:rPr>
        <w:t>Des mesures préventives renforcées, mais pas de « pré-pack »</w:t>
      </w:r>
      <w:r w:rsidRPr="003F1762">
        <w:rPr>
          <w:rFonts w:ascii="Times New Roman" w:hAnsi="Times New Roman" w:cs="Times New Roman"/>
          <w:b/>
          <w:sz w:val="24"/>
        </w:rPr>
        <w:t xml:space="preserve"> </w:t>
      </w:r>
    </w:p>
    <w:p w:rsidR="002275A1" w:rsidRDefault="002275A1" w:rsidP="002275A1">
      <w:pPr>
        <w:spacing w:after="0"/>
        <w:jc w:val="both"/>
        <w:rPr>
          <w:rFonts w:ascii="Times New Roman" w:hAnsi="Times New Roman" w:cs="Times New Roman"/>
          <w:sz w:val="24"/>
        </w:rPr>
      </w:pP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sz w:val="24"/>
        </w:rPr>
        <w:t>Le Code de l’insolvabilité modifie et améliore les règles existantes concernant les mesures préventives.</w:t>
      </w:r>
      <w:r w:rsidRPr="003F1762">
        <w:rPr>
          <w:rFonts w:ascii="Times New Roman" w:hAnsi="Times New Roman" w:cs="Times New Roman"/>
          <w:sz w:val="24"/>
        </w:rPr>
        <w:t xml:space="preserve"> </w:t>
      </w:r>
      <w:r w:rsidRPr="00FC6974">
        <w:rPr>
          <w:rFonts w:ascii="Times New Roman" w:hAnsi="Times New Roman" w:cs="Times New Roman"/>
          <w:sz w:val="24"/>
        </w:rPr>
        <w:t>Les pouvoirs des chambres des entreprises en difficulté (</w:t>
      </w:r>
      <w:r w:rsidRPr="00FC6974">
        <w:rPr>
          <w:rFonts w:ascii="Times New Roman" w:hAnsi="Times New Roman" w:cs="Times New Roman"/>
          <w:i/>
          <w:sz w:val="24"/>
        </w:rPr>
        <w:t>kamers voor ondernemingen in moeilijkheden</w:t>
      </w:r>
      <w:r w:rsidRPr="00FC6974">
        <w:rPr>
          <w:rFonts w:ascii="Times New Roman" w:hAnsi="Times New Roman" w:cs="Times New Roman"/>
          <w:sz w:val="24"/>
        </w:rPr>
        <w:t>) sont renforcés, surtout vis-à-vis des sociétés dormantes.</w:t>
      </w:r>
      <w:r w:rsidRPr="003F1762">
        <w:rPr>
          <w:rFonts w:ascii="Times New Roman" w:hAnsi="Times New Roman" w:cs="Times New Roman"/>
          <w:sz w:val="24"/>
        </w:rPr>
        <w:t xml:space="preserve"> </w:t>
      </w:r>
      <w:r w:rsidRPr="00FC6974">
        <w:rPr>
          <w:rFonts w:ascii="Times New Roman" w:hAnsi="Times New Roman" w:cs="Times New Roman"/>
          <w:sz w:val="24"/>
        </w:rPr>
        <w:t>Le projet de loi contenait au départ un cadre intéressant pour les transferts au titre d’un pré-pack.</w:t>
      </w:r>
      <w:r w:rsidRPr="003F1762">
        <w:rPr>
          <w:rFonts w:ascii="Times New Roman" w:hAnsi="Times New Roman" w:cs="Times New Roman"/>
          <w:sz w:val="24"/>
        </w:rPr>
        <w:t xml:space="preserve"> </w:t>
      </w:r>
      <w:r w:rsidRPr="00FC6974">
        <w:rPr>
          <w:rFonts w:ascii="Times New Roman" w:hAnsi="Times New Roman" w:cs="Times New Roman"/>
          <w:sz w:val="24"/>
        </w:rPr>
        <w:t xml:space="preserve">Cependant, à la fin du processus parlementaire, la Cour de justice de l’Union européenne a prononcé l’arrêt </w:t>
      </w:r>
      <w:r w:rsidRPr="005C67E0">
        <w:rPr>
          <w:rFonts w:ascii="Times New Roman" w:hAnsi="Times New Roman" w:cs="Times New Roman"/>
          <w:i/>
          <w:sz w:val="24"/>
        </w:rPr>
        <w:t>Estro</w:t>
      </w:r>
      <w:r w:rsidRPr="00FC6974">
        <w:rPr>
          <w:rFonts w:ascii="Times New Roman" w:hAnsi="Times New Roman" w:cs="Times New Roman"/>
          <w:sz w:val="24"/>
        </w:rPr>
        <w:t>, à la suite de quoi le Gouvernement a décidé d’abandonner, pour le moment, ce nouveau mécanisme et d’attendre de nouveaux développements au niveau européen.</w:t>
      </w: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b/>
          <w:sz w:val="24"/>
        </w:rPr>
        <w:t>Conclusion</w:t>
      </w:r>
      <w:r w:rsidRPr="003F1762">
        <w:rPr>
          <w:rFonts w:ascii="Times New Roman" w:hAnsi="Times New Roman" w:cs="Times New Roman"/>
          <w:sz w:val="24"/>
        </w:rPr>
        <w:t xml:space="preserve"> </w:t>
      </w:r>
    </w:p>
    <w:p w:rsidR="00C44D1B" w:rsidRPr="003F1762" w:rsidRDefault="00C44D1B" w:rsidP="00C44D1B">
      <w:pPr>
        <w:jc w:val="both"/>
        <w:rPr>
          <w:rFonts w:ascii="Times New Roman" w:hAnsi="Times New Roman" w:cs="Times New Roman"/>
          <w:sz w:val="24"/>
        </w:rPr>
      </w:pPr>
      <w:r w:rsidRPr="00FC6974">
        <w:rPr>
          <w:rFonts w:ascii="Times New Roman" w:hAnsi="Times New Roman" w:cs="Times New Roman"/>
          <w:sz w:val="24"/>
        </w:rPr>
        <w:t>Comme l’a dit le ministre de la Justice</w:t>
      </w:r>
      <w:r>
        <w:rPr>
          <w:rFonts w:ascii="Times New Roman" w:hAnsi="Times New Roman" w:cs="Times New Roman"/>
          <w:sz w:val="24"/>
        </w:rPr>
        <w:t>,</w:t>
      </w:r>
      <w:r w:rsidRPr="00FC6974">
        <w:rPr>
          <w:rFonts w:ascii="Times New Roman" w:hAnsi="Times New Roman" w:cs="Times New Roman"/>
          <w:sz w:val="24"/>
        </w:rPr>
        <w:t xml:space="preserve"> Koen Geens, la codification et la modernisation du droit de l’insolvabilité s’inscrivent dans une démarche visant « à avancer vers le droit de demain ».</w:t>
      </w:r>
      <w:r w:rsidRPr="003F1762">
        <w:rPr>
          <w:rFonts w:ascii="Times New Roman" w:hAnsi="Times New Roman" w:cs="Times New Roman"/>
          <w:sz w:val="24"/>
        </w:rPr>
        <w:t xml:space="preserve"> </w:t>
      </w:r>
      <w:r w:rsidRPr="00FC6974">
        <w:rPr>
          <w:rFonts w:ascii="Times New Roman" w:hAnsi="Times New Roman" w:cs="Times New Roman"/>
          <w:sz w:val="24"/>
        </w:rPr>
        <w:t>Même s’il n’est pas révolutionnaire, le nouveau Code de l’insolvabilité représente néanmoins un grand pas en avant.</w:t>
      </w:r>
      <w:r w:rsidRPr="003F1762">
        <w:rPr>
          <w:rFonts w:ascii="Times New Roman" w:hAnsi="Times New Roman" w:cs="Times New Roman"/>
          <w:sz w:val="24"/>
        </w:rPr>
        <w:t xml:space="preserve"> </w:t>
      </w:r>
      <w:r w:rsidRPr="00FC6974">
        <w:rPr>
          <w:rFonts w:ascii="Times New Roman" w:hAnsi="Times New Roman" w:cs="Times New Roman"/>
          <w:sz w:val="24"/>
        </w:rPr>
        <w:t xml:space="preserve">C’est un cadre réglementaire plus accessible et moderne, comportant des règles plus équilibrées en matière d’insolvabilité, </w:t>
      </w:r>
      <w:r>
        <w:rPr>
          <w:rFonts w:ascii="Times New Roman" w:hAnsi="Times New Roman" w:cs="Times New Roman"/>
          <w:sz w:val="24"/>
        </w:rPr>
        <w:t xml:space="preserve">qui </w:t>
      </w:r>
      <w:r w:rsidRPr="00FC6974">
        <w:rPr>
          <w:rFonts w:ascii="Times New Roman" w:hAnsi="Times New Roman" w:cs="Times New Roman"/>
          <w:sz w:val="24"/>
        </w:rPr>
        <w:t>permet de restructurer les entreprises de manière flexible et efficace, tout en tenant compte des préoccupations des créanciers et autre intéressés et en facilitant un nouveau départ pour les débiteurs.</w:t>
      </w:r>
      <w:r w:rsidRPr="003F1762">
        <w:rPr>
          <w:rFonts w:ascii="Times New Roman" w:hAnsi="Times New Roman" w:cs="Times New Roman"/>
          <w:sz w:val="24"/>
        </w:rPr>
        <w:t xml:space="preserve"> </w:t>
      </w:r>
    </w:p>
    <w:p w:rsidR="00C44D1B" w:rsidRPr="00681696" w:rsidRDefault="00C44D1B" w:rsidP="00C44D1B">
      <w:pPr>
        <w:jc w:val="both"/>
        <w:rPr>
          <w:rFonts w:ascii="Arial Narrow" w:hAnsi="Arial Narrow" w:cs="Times New Roman"/>
          <w:i/>
          <w:sz w:val="20"/>
          <w:szCs w:val="20"/>
        </w:rPr>
      </w:pPr>
      <w:r w:rsidRPr="00681696">
        <w:rPr>
          <w:rFonts w:ascii="Arial Narrow" w:hAnsi="Arial Narrow" w:cs="Times New Roman"/>
          <w:i/>
          <w:sz w:val="20"/>
          <w:szCs w:val="20"/>
        </w:rPr>
        <w:t>Par Sophie Jacmain, associée, Stan Brijs, associé, et Léonard Maistriaux, collaborateur junior, NautaDutilh</w:t>
      </w:r>
    </w:p>
    <w:p w:rsidR="00241560" w:rsidRDefault="00241560" w:rsidP="00241560">
      <w:pPr>
        <w:suppressAutoHyphens/>
        <w:spacing w:after="0" w:line="240" w:lineRule="auto"/>
        <w:jc w:val="center"/>
        <w:rPr>
          <w:rFonts w:ascii="Arial Narrow" w:eastAsia="Times New Roman" w:hAnsi="Arial Narrow" w:cs="Times New Roman"/>
          <w:b/>
          <w:sz w:val="28"/>
          <w:szCs w:val="28"/>
          <w:lang w:eastAsia="ar-SA"/>
        </w:rPr>
      </w:pPr>
    </w:p>
    <w:p w:rsidR="00C44D1B" w:rsidRDefault="00C44D1B" w:rsidP="003B5B5D">
      <w:pPr>
        <w:suppressAutoHyphens/>
        <w:spacing w:after="0" w:line="240" w:lineRule="auto"/>
        <w:jc w:val="both"/>
        <w:rPr>
          <w:rFonts w:ascii="Arial Narrow" w:eastAsia="Times New Roman" w:hAnsi="Arial Narrow" w:cs="Times New Roman"/>
          <w:b/>
          <w:sz w:val="28"/>
          <w:szCs w:val="28"/>
          <w:lang w:eastAsia="ar-SA"/>
        </w:rPr>
      </w:pPr>
    </w:p>
    <w:p w:rsidR="008A4AB2" w:rsidRPr="008A4AB2" w:rsidRDefault="008A4AB2" w:rsidP="008A4AB2">
      <w:pPr>
        <w:spacing w:after="160" w:line="259" w:lineRule="auto"/>
        <w:rPr>
          <w:rFonts w:ascii="Arial Narrow" w:hAnsi="Arial Narrow"/>
          <w:b/>
          <w:sz w:val="28"/>
          <w:szCs w:val="28"/>
        </w:rPr>
      </w:pPr>
      <w:r w:rsidRPr="008A4AB2">
        <w:rPr>
          <w:rFonts w:ascii="Arial Narrow" w:hAnsi="Arial Narrow"/>
          <w:b/>
          <w:sz w:val="28"/>
          <w:szCs w:val="28"/>
        </w:rPr>
        <w:t xml:space="preserve">Etats-Unis </w:t>
      </w:r>
    </w:p>
    <w:p w:rsidR="008A4AB2" w:rsidRPr="008A4AB2" w:rsidRDefault="008A4AB2" w:rsidP="008A4AB2">
      <w:pPr>
        <w:spacing w:after="0" w:line="240" w:lineRule="auto"/>
        <w:jc w:val="center"/>
        <w:rPr>
          <w:rFonts w:ascii="Times New Roman" w:hAnsi="Times New Roman" w:cs="Times New Roman"/>
          <w:b/>
          <w:sz w:val="48"/>
          <w:szCs w:val="48"/>
        </w:rPr>
      </w:pPr>
      <w:r w:rsidRPr="008A4AB2">
        <w:rPr>
          <w:rFonts w:ascii="Times New Roman" w:hAnsi="Times New Roman" w:cs="Times New Roman"/>
          <w:b/>
          <w:sz w:val="48"/>
          <w:szCs w:val="48"/>
        </w:rPr>
        <w:t xml:space="preserve">Gestion du risque de crédit </w:t>
      </w:r>
    </w:p>
    <w:p w:rsidR="008A4AB2" w:rsidRPr="008A4AB2" w:rsidRDefault="008A4AB2" w:rsidP="008A4AB2">
      <w:pPr>
        <w:spacing w:after="0" w:line="240" w:lineRule="auto"/>
        <w:jc w:val="center"/>
        <w:rPr>
          <w:rFonts w:ascii="Times New Roman" w:hAnsi="Times New Roman" w:cs="Times New Roman"/>
          <w:b/>
          <w:sz w:val="48"/>
          <w:szCs w:val="48"/>
        </w:rPr>
      </w:pPr>
      <w:r w:rsidRPr="008A4AB2">
        <w:rPr>
          <w:rFonts w:ascii="Times New Roman" w:hAnsi="Times New Roman" w:cs="Times New Roman"/>
          <w:b/>
          <w:sz w:val="48"/>
          <w:szCs w:val="48"/>
        </w:rPr>
        <w:t>dans la chaîne d’approvisionnement</w:t>
      </w:r>
    </w:p>
    <w:p w:rsidR="008A4AB2" w:rsidRPr="008A4AB2" w:rsidRDefault="008A4AB2" w:rsidP="008A4AB2">
      <w:pPr>
        <w:spacing w:after="160" w:line="259" w:lineRule="auto"/>
        <w:jc w:val="center"/>
        <w:rPr>
          <w:rFonts w:ascii="Times New Roman" w:hAnsi="Times New Roman" w:cs="Times New Roman"/>
          <w:i/>
          <w:sz w:val="24"/>
          <w:szCs w:val="24"/>
        </w:rPr>
      </w:pPr>
      <w:r w:rsidRPr="008A4AB2">
        <w:rPr>
          <w:rFonts w:ascii="Arial Narrow" w:hAnsi="Arial Narrow" w:cs="Times New Roman"/>
          <w:i/>
          <w:sz w:val="24"/>
          <w:szCs w:val="24"/>
        </w:rPr>
        <w:t>David Conaway* nous explique pourquoi les entreprises devraient appliquer une analyse du risque de crédit à leur chaîne d’approvisionnement</w:t>
      </w:r>
    </w:p>
    <w:p w:rsidR="008A4AB2" w:rsidRPr="008A4AB2" w:rsidRDefault="008A4AB2" w:rsidP="008A4AB2">
      <w:pPr>
        <w:spacing w:after="160" w:line="259" w:lineRule="auto"/>
        <w:jc w:val="both"/>
        <w:rPr>
          <w:rFonts w:ascii="Times New Roman" w:hAnsi="Times New Roman" w:cs="Times New Roman"/>
          <w:b/>
          <w:sz w:val="24"/>
          <w:szCs w:val="24"/>
        </w:rPr>
      </w:pPr>
      <w:r w:rsidRPr="008A4AB2">
        <w:rPr>
          <w:rFonts w:ascii="Times New Roman" w:hAnsi="Times New Roman" w:cs="Times New Roman"/>
          <w:b/>
          <w:sz w:val="24"/>
          <w:szCs w:val="24"/>
        </w:rPr>
        <w:t>Les entreprises consacrent des ressources importantes pour gérer le risque de crédit de leurs clients et protéger la valeur de leurs ventes. Pourtant, elles n’appliquent pas toujours l’analyse du risque de crédit à leur chaîne d’approvisionnement, préférant se focaliser sur des approvisionnements au plus bas prix et sur le respect d’une myriade de questions réglementaires.</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Toutefois, le risque de crédit dans la chaîne d’approvisionnement peut en réalité présenter un risque potentiel de perte plus élevé. Si un fournisseur ne fournit pas un produit dans les délais, le processus de fabrication peut être interrompu, mettant les sites de production à l’arrêt, ce qui représente des coûts journaliers importants pour l’entreprise.</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Outre la diversification de leur chaîne d’approvisionnement, les entreprises peuvent gérer le risque de « crédit » de leur chaîne d’approvisionnement, avant et après les difficultés financières ou l’insolvabilité d’un fournisseur clé.</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b/>
          <w:sz w:val="24"/>
          <w:szCs w:val="24"/>
        </w:rPr>
        <w:t>Signaux d’alerte précoces</w:t>
      </w:r>
      <w:r w:rsidRPr="008A4AB2">
        <w:rPr>
          <w:rFonts w:ascii="Times New Roman" w:hAnsi="Times New Roman" w:cs="Times New Roman"/>
          <w:sz w:val="24"/>
          <w:szCs w:val="24"/>
        </w:rPr>
        <w:t xml:space="preserve"> </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Pour éviter les risques, la recette consiste à identifier leurs principales sources, notamment les relations clés entre un fournisseur et des tiers. Le bailleur de fonds du fournisseur lui fournit-il des liquidités d’exploitation sous la forme de fonds de roulement ou de prêts à terme ? Le fournisseur est-il financé par un prêteur « sur actifs » de deuxième ou troisième rang, qui apporte un financement sur la base d’un inventaire fluctuant et de comptes débiteurs, dont les taux d’avance sont resserrés et largement discrétionnaires ? Le financement apporte-t-il suffisamment de liquidités pour que l’entreprise puisse fonctionner ? Il convient de noter que les prêteurs disposent d’un avantage contractuel sur le fournisseur : ils peuvent agir rapidement pour réduire le financement et recouvrer des garanties en cas de problèmes. Une entreprise dépendante d’un tel fournisseur doit être attentive aux signaux d’alerte précoces de violations d’engagements ou de défaillances au titre des conventions de prêt.</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Les entreprises doivent étudier les états financiers de leur fournisseur, notamment ses performances opérationnelles, ses budgets et ses bilans. Le fournisseur a-t-il conclu des contrats à long terme avec des fournisseurs de pièces détachées ? Le fournisseur est-il en règle vis-à-vis de ses propres fournisseurs ?</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 xml:space="preserve">Les fournisseurs peuvent également recevoir un financement d’obligataires qui disposent eux aussi d’un avantage contractuel sur le fournisseur et de privilèges de second rang sur l’inventaire et les comptes débiteurs du fournisseur. En outre, des nombreux fournisseurs sont financés par des </w:t>
      </w:r>
      <w:r w:rsidRPr="008A4AB2">
        <w:rPr>
          <w:rFonts w:ascii="Times New Roman" w:hAnsi="Times New Roman" w:cs="Times New Roman"/>
          <w:sz w:val="24"/>
          <w:szCs w:val="24"/>
        </w:rPr>
        <w:lastRenderedPageBreak/>
        <w:t>« capitaux » privés qui ressemblent de plus en plus à des prêts sur actifs ou à des titres convertibles, et qui impliquent habituellement une participation à la direction ou un contrôle de celle-ci par le biais d’une majorité des sièges au conseil d’administration ou de contrats de gérance. En lien avec la haute direction d’une entreprise, les capitaux privés offrent des avantages contractuels et juridiques sur le fournisseur.</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Un fabricant qui est un client important du fournisseur est en quelque sorte un co-entrepreneur aux côtés du fournisseur et de ses bailleurs de fonds. Une entreprise manufacturière doit affirmer sa position de négociation pour obtenir des informations sur la situation financière du fournisseur et pour que le fournisseur et ses bailleurs de fonds la préviennent en cas de manquement ou de violation d’engagements.</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b/>
          <w:sz w:val="24"/>
          <w:szCs w:val="24"/>
        </w:rPr>
        <w:t>Minimiser les risques en cas de défaillance</w:t>
      </w:r>
      <w:r w:rsidRPr="008A4AB2">
        <w:rPr>
          <w:rFonts w:ascii="Times New Roman" w:hAnsi="Times New Roman" w:cs="Times New Roman"/>
          <w:sz w:val="24"/>
          <w:szCs w:val="24"/>
        </w:rPr>
        <w:t xml:space="preserve"> </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Si un fournisseur ne livre pas des pièces ou des produits à l’entreprise manufacturière, celle-ci ne doit pas hésiter à faire valoir ses droits au titre du Code de commerce uniforme (« UCC »). En outre, les entreprises se doivent de connaître une voie de droit qui leur est ouverte en l’absence de défaillance du fournisseur, dans le cas où elles estiment que leur fournisseur risque de ne plus respecter ses engagements. L’article 2-609 de l’UCC, intitulé « </w:t>
      </w:r>
      <w:r w:rsidRPr="008A4AB2">
        <w:rPr>
          <w:rFonts w:ascii="Times New Roman" w:hAnsi="Times New Roman" w:cs="Times New Roman"/>
          <w:i/>
          <w:sz w:val="24"/>
          <w:szCs w:val="24"/>
        </w:rPr>
        <w:t>Right to Adequate Assurance of Performance</w:t>
      </w:r>
      <w:r w:rsidRPr="008A4AB2">
        <w:rPr>
          <w:rFonts w:ascii="Times New Roman" w:hAnsi="Times New Roman" w:cs="Times New Roman"/>
          <w:sz w:val="24"/>
          <w:szCs w:val="24"/>
        </w:rPr>
        <w:t> », portant en d’autres termes sur la « défaillance anticipée », permet à l’entreprise de suspendre l’exécution (ou le paiement des comptes débiteurs) si elle a des « motifs raisonnables d’inquiétude […] quand à l’exécution » des obligations du fournisseur. La société doit demander par écrit des garanties de bonne exécution et, dans l’attente de leur réception, peut suspendre l’exécution si elle l’estime commercialement justifié.</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b/>
          <w:i/>
          <w:sz w:val="24"/>
          <w:szCs w:val="24"/>
        </w:rPr>
        <w:t>Astuce contractuelle :</w:t>
      </w:r>
      <w:r w:rsidRPr="008A4AB2">
        <w:rPr>
          <w:rFonts w:ascii="Times New Roman" w:hAnsi="Times New Roman" w:cs="Times New Roman"/>
          <w:sz w:val="24"/>
          <w:szCs w:val="24"/>
        </w:rPr>
        <w:t xml:space="preserve"> Le contrat d’approvisionnement doit expressément citer l’article 2-609 de l’UCC (entre autres dispositions) au nombre des voies de droit et stipuler que l’entreprise peut suspendre le paiement des éventuels comptes débiteurs dus en cas de manquement du fournisseur à livrer les produits dans les délais.</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b/>
          <w:i/>
          <w:sz w:val="24"/>
          <w:szCs w:val="24"/>
        </w:rPr>
        <w:t>Astuce pratique :</w:t>
      </w:r>
      <w:r w:rsidRPr="008A4AB2">
        <w:rPr>
          <w:rFonts w:ascii="Times New Roman" w:hAnsi="Times New Roman" w:cs="Times New Roman"/>
          <w:sz w:val="24"/>
          <w:szCs w:val="24"/>
        </w:rPr>
        <w:t xml:space="preserve"> En l’absence d’urgence, il est conseillé de demander prospectivement des garanties et un avis de suspension d’exécution (cinq à dix jours).</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Il convient de noter que les comptes débiteurs dus par l’entreprise manufacturière à ses fournisseurs et les produits du fournisseur devant être vendus à l’entreprise servent également de garantie au prêteur du fournisseur. À défaut de signaux d’alerte précoce, le premier avis annonciateur d’un problème peut être celui que le prêteur envoie à l’entreprise pour lui demander que les produits achetés soient directement payés au prêteur. Cela est une indication claire du fait que le prêteur est passé au recouvrement de la garantie. Le prêteur pourrait essayer d’obtenir un paiement hors du cours normal des affaires de l’entreprise, afin de garantir l’absence d’interruption de livraison des produits.</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 xml:space="preserve">Dans la mesure où l’entreprise est propriétaire des produits ou dispose d’un autre droit de propriété à cet égard, ou qu’il a remis des outils, équipements ou autres actifs au titre d’un crédit-bail ou en consignation au fournisseur, le prêteur peut également essayer de faire valoir que son droit de rétention est de rang supérieur dans le cas où les droits de propriété des parties ne sont pas clairs. </w:t>
      </w:r>
      <w:r w:rsidRPr="008A4AB2">
        <w:rPr>
          <w:rFonts w:ascii="Times New Roman" w:hAnsi="Times New Roman" w:cs="Times New Roman"/>
          <w:sz w:val="24"/>
          <w:szCs w:val="24"/>
        </w:rPr>
        <w:lastRenderedPageBreak/>
        <w:t>L’entreprise peut devoir agir rapidement en faisant valoir en réponse des prétentions d’ingérence délictuelle dans un contrat ou de conversion d’actifs.</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b/>
          <w:i/>
          <w:sz w:val="24"/>
          <w:szCs w:val="24"/>
        </w:rPr>
        <w:t>Astuce pratique :</w:t>
      </w:r>
      <w:r w:rsidRPr="008A4AB2">
        <w:rPr>
          <w:rFonts w:ascii="Times New Roman" w:hAnsi="Times New Roman" w:cs="Times New Roman"/>
          <w:sz w:val="24"/>
          <w:szCs w:val="24"/>
        </w:rPr>
        <w:t xml:space="preserve"> Outre le respect des exigences de l’UCC, l’entreprise doit obtenir une reconnaissance écrite des prêteurs, mentionnant le droit de propriété supérieur de l’entreprise sur les biens possédés et l’accord entre l’entreprise et le fournisseur, ce qui devrait permettre de réduire ces risques.</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b/>
          <w:sz w:val="24"/>
          <w:szCs w:val="24"/>
        </w:rPr>
        <w:t>Risques fluctuants en cas d’insolvabilité d’un fournisseur</w:t>
      </w:r>
      <w:r w:rsidRPr="008A4AB2">
        <w:rPr>
          <w:rFonts w:ascii="Times New Roman" w:hAnsi="Times New Roman" w:cs="Times New Roman"/>
          <w:sz w:val="24"/>
          <w:szCs w:val="24"/>
        </w:rPr>
        <w:t xml:space="preserve"> </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Si le fournisseur demande l’ouverture d’une procédure fondée sur le Chapitre 11, l’entreprise sera confrontée à deux grandes questions. Premièrement, le fournisseur réussira-t-il sa réorganisation, ou liquidera-t-il ses actifs, peut-être sous la forme d’une cession de l’intégralité de ses actifs en vertu de l’article 363 ? Deuxièmement, quelles seront les répercussions du dépôt de la requête fondée sur le Chapitre 11 sur tout contrat de vente ou d’approvisionnement ?</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S’agissant du résultat final de la procédure fondée sur le Chapitre 11, les requêtes dites du « premier jour » déposées par le fournisseur sont un indice de l’éventuel résultat de la procédure. En particulier, il est habituel qu’un débiteur placé sous la protection du Chapitre 11 obtienne un financement du « débiteur non dessaisi », généralement auprès de ses prêteurs antérieurs. Si ce financement est à court terme (60 ou 90 jours) et que le budget associé s’avère très restreint, il est probable que le prêteur n’envisage pas de financer une réorganisation. En outre, si les étapes prévues par l’accord de financement incluent un « lièvre » et le dépôt d’une requête pour la vente des actifs, il est clair que le prêteur utilise la procédure fondée sur le Chapitre 11 pour liquider sa garantie.</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Par contre, si le financement est à long terme et que les étapes prévoient le dépôt d’un plan d’affaires ou d’un plan de réorganisation, il est plus probable que les parties visent la réussite du plan de réorganisation fondé sur le Chapitre 11. Dans l’un ou l’autre cas, il est important que l’entreprise établisse si la livraison des produits achetés se poursuivra sans interruption pendant la procédure et par la suite. Elle est en droit d’interpréter la procédure comme la capacité du débiteur à poursuivre l’approvisionnement dans des conditions normales. Il est recommandé que l’entreprise communique avec le fournisseur et les autres parties intéressées à la procédure fondée sur le Chapitre 11, afin d’obtenir le plus de renseignements possibles, notamment le budget prévu à ce titre par le fournisseur.</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 xml:space="preserve">Si les relations entre l’entreprise et le fournisseur reposent sur des bons de commande et factures, il est plus probable que les parties n’aient pas conclu de « contrat exécutoire », terme utilisé par le Code de la faillite pour désigner tout contrat au titre duquel les deux parties ont des obligations réciproques importantes. En l’absence de contrat exécutoire, l’entreprise est libre de s’adresser à d’autres fournisseurs pour couvrir ses risques dans le cas où le fournisseur ne réussirait pas sa réorganisation. D’autre part, si le fournisseur et l’entreprise collaborent au titre d’un contrat de vente ou d’approvisionnement écrit, le Code de la faillite dispose que le débiteur placé sous la protection du Chapitre 11 a le droit d’assumer ou de rejeter le contrat exécutoire, ce qui se passe généralement en lien avec le dépôt d’un plan de réorganisation à la fin de la procédure fondée sur le Chapitre 11. Dans l’attente de la décision, les parties sont tenues de poursuivre l’exécution du </w:t>
      </w:r>
      <w:r w:rsidRPr="008A4AB2">
        <w:rPr>
          <w:rFonts w:ascii="Times New Roman" w:hAnsi="Times New Roman" w:cs="Times New Roman"/>
          <w:sz w:val="24"/>
          <w:szCs w:val="24"/>
        </w:rPr>
        <w:lastRenderedPageBreak/>
        <w:t>contrat. Si le fournisseur assume le contrat, il est tenu de remédier à tous les manquement antérieurs à la demande d’ouverture de la procédure, et l’entreprise sera tenue de poursuivre ses relations avec le fournisseur. Toutefois, l’entreprise a le droit d’évaluer prospectivement la capacité du fournisseur à exécuter ses obligations et la faisabilité de tout plan de réorganisation, et de s’opposer à ce qu’il assume le contrat et tout plan de réorganisation proposé.</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sz w:val="24"/>
          <w:szCs w:val="24"/>
        </w:rPr>
        <w:t>Dans le cas où le fournisseur placé sous la protection du Chapitre 11 essaie de céder la quasi-totalité de ses actifs à un acquéreur tiers en vertu de l’article 363 du Code de la faillite, le débiteur a également droit d’« assumer et céder » les contrats exécutoires à l’acquéreur tiers. De la même manière, l’entreprise aura prospectivement la possibilité d’évaluer l’acquéreur tiers et d’obtenir des garanties quant à sa capacité à exécuter ses obligations. Par ailleurs, en fonction de la portée des droits de propriété intellectuelle de l’entreprise, le fournisseur peut être dans l’incapacité d’assumer et céder un contrat sans le consentement de l’entreprise.</w:t>
      </w:r>
    </w:p>
    <w:p w:rsidR="008A4AB2" w:rsidRPr="008A4AB2" w:rsidRDefault="008A4AB2" w:rsidP="008A4AB2">
      <w:pPr>
        <w:spacing w:after="160" w:line="259" w:lineRule="auto"/>
        <w:jc w:val="both"/>
        <w:rPr>
          <w:rFonts w:ascii="Times New Roman" w:hAnsi="Times New Roman" w:cs="Times New Roman"/>
          <w:sz w:val="24"/>
          <w:szCs w:val="24"/>
        </w:rPr>
      </w:pPr>
      <w:r w:rsidRPr="008A4AB2">
        <w:rPr>
          <w:rFonts w:ascii="Times New Roman" w:hAnsi="Times New Roman" w:cs="Times New Roman"/>
          <w:b/>
          <w:i/>
          <w:sz w:val="24"/>
          <w:szCs w:val="24"/>
        </w:rPr>
        <w:t>Astuce contractuelle :</w:t>
      </w:r>
      <w:r w:rsidRPr="008A4AB2">
        <w:rPr>
          <w:rFonts w:ascii="Times New Roman" w:hAnsi="Times New Roman" w:cs="Times New Roman"/>
          <w:sz w:val="24"/>
          <w:szCs w:val="24"/>
        </w:rPr>
        <w:t xml:space="preserve"> Le contrat de vente ou d’approvisionnement doit expressément prévoir la résiliation des licences ou de toute autre utilisation des droits de propriété intellectuelle de l’entreprise en cas de défaillance, de changement de contrôle ou de cession du contrat sans consentement. </w:t>
      </w:r>
    </w:p>
    <w:p w:rsidR="00C44D1B" w:rsidRPr="00241560" w:rsidRDefault="008A4AB2" w:rsidP="00241560">
      <w:pPr>
        <w:spacing w:after="160" w:line="259" w:lineRule="auto"/>
        <w:jc w:val="both"/>
        <w:rPr>
          <w:rFonts w:ascii="Arial Narrow" w:hAnsi="Arial Narrow" w:cs="Times New Roman"/>
          <w:i/>
          <w:sz w:val="20"/>
          <w:szCs w:val="20"/>
        </w:rPr>
      </w:pPr>
      <w:r w:rsidRPr="008A4AB2">
        <w:rPr>
          <w:rFonts w:ascii="Arial Narrow" w:hAnsi="Arial Narrow" w:cs="Times New Roman"/>
          <w:i/>
          <w:sz w:val="20"/>
          <w:szCs w:val="20"/>
        </w:rPr>
        <w:t>*David H. Conaway, du cabinet Shumaker, Loop &amp; Kendrick, LLP (États-Unis)</w:t>
      </w:r>
    </w:p>
    <w:p w:rsidR="00ED42FE" w:rsidRPr="00ED42FE" w:rsidRDefault="00ED42FE" w:rsidP="00ED4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x</w:t>
      </w:r>
      <w:r w:rsidRPr="00ED42FE">
        <w:rPr>
          <w:rFonts w:ascii="Times New Roman" w:eastAsia="Times New Roman" w:hAnsi="Times New Roman" w:cs="Times New Roman"/>
          <w:sz w:val="24"/>
          <w:szCs w:val="24"/>
          <w:lang w:eastAsia="ar-SA"/>
        </w:rPr>
        <w:t xml:space="preserve">   x  x</w:t>
      </w:r>
    </w:p>
    <w:p w:rsidR="00ED42FE" w:rsidRPr="00ED42FE" w:rsidRDefault="00ED42FE" w:rsidP="00ED42FE">
      <w:pPr>
        <w:suppressAutoHyphens/>
        <w:spacing w:after="0" w:line="240" w:lineRule="auto"/>
        <w:jc w:val="center"/>
        <w:rPr>
          <w:rFonts w:ascii="Times New Roman" w:eastAsia="Times New Roman" w:hAnsi="Times New Roman" w:cs="Times New Roman"/>
          <w:sz w:val="24"/>
          <w:szCs w:val="24"/>
          <w:lang w:eastAsia="ar-SA"/>
        </w:rPr>
      </w:pPr>
      <w:r w:rsidRPr="00ED42FE">
        <w:rPr>
          <w:rFonts w:ascii="Times New Roman" w:eastAsia="Times New Roman" w:hAnsi="Times New Roman" w:cs="Times New Roman"/>
          <w:sz w:val="24"/>
          <w:szCs w:val="24"/>
          <w:lang w:eastAsia="ar-SA"/>
        </w:rPr>
        <w:t>x</w:t>
      </w:r>
    </w:p>
    <w:p w:rsidR="00ED42FE" w:rsidRDefault="00ED42FE" w:rsidP="0076748B">
      <w:pPr>
        <w:suppressAutoHyphens/>
        <w:spacing w:after="0" w:line="240" w:lineRule="auto"/>
        <w:jc w:val="both"/>
        <w:rPr>
          <w:rFonts w:ascii="Arial Narrow" w:eastAsia="Times New Roman" w:hAnsi="Arial Narrow" w:cs="Times New Roman"/>
          <w:b/>
          <w:sz w:val="28"/>
          <w:szCs w:val="28"/>
          <w:lang w:eastAsia="ar-SA"/>
        </w:rPr>
      </w:pPr>
    </w:p>
    <w:p w:rsidR="00ED42FE" w:rsidRDefault="00ED42FE"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2B3085" w:rsidRDefault="002B3085" w:rsidP="0076748B">
      <w:pPr>
        <w:suppressAutoHyphens/>
        <w:spacing w:after="0" w:line="240" w:lineRule="auto"/>
        <w:jc w:val="both"/>
        <w:rPr>
          <w:rFonts w:ascii="Arial Narrow" w:eastAsia="Times New Roman" w:hAnsi="Arial Narrow" w:cs="Times New Roman"/>
          <w:b/>
          <w:sz w:val="28"/>
          <w:szCs w:val="28"/>
          <w:lang w:eastAsia="ar-SA"/>
        </w:rPr>
      </w:pPr>
    </w:p>
    <w:p w:rsidR="003B5B5D" w:rsidRPr="003B5B5D" w:rsidRDefault="003B5B5D" w:rsidP="0076748B">
      <w:pPr>
        <w:suppressAutoHyphens/>
        <w:spacing w:after="0" w:line="240" w:lineRule="auto"/>
        <w:jc w:val="both"/>
        <w:rPr>
          <w:rFonts w:ascii="Arial Narrow" w:eastAsia="Times New Roman" w:hAnsi="Arial Narrow" w:cs="Times New Roman"/>
          <w:b/>
          <w:sz w:val="28"/>
          <w:szCs w:val="28"/>
          <w:lang w:eastAsia="ar-SA"/>
        </w:rPr>
      </w:pPr>
      <w:r w:rsidRPr="003B5B5D">
        <w:rPr>
          <w:rFonts w:ascii="Arial Narrow" w:eastAsia="Times New Roman" w:hAnsi="Arial Narrow" w:cs="Times New Roman"/>
          <w:b/>
          <w:sz w:val="28"/>
          <w:szCs w:val="28"/>
          <w:lang w:eastAsia="ar-SA"/>
        </w:rPr>
        <w:lastRenderedPageBreak/>
        <w:t>Actualités par pays</w:t>
      </w:r>
    </w:p>
    <w:p w:rsidR="003B5B5D" w:rsidRPr="003B5B5D" w:rsidRDefault="003B5B5D" w:rsidP="0076748B">
      <w:pPr>
        <w:suppressAutoHyphens/>
        <w:spacing w:after="0" w:line="240" w:lineRule="auto"/>
        <w:rPr>
          <w:rFonts w:ascii="Arial Narrow" w:eastAsia="Courier 10cpi" w:hAnsi="Arial Narrow" w:cs="Courier 10cpi"/>
          <w:b/>
          <w:sz w:val="28"/>
          <w:szCs w:val="28"/>
          <w:lang w:eastAsia="ar-SA"/>
        </w:rPr>
      </w:pPr>
    </w:p>
    <w:p w:rsidR="0076748B" w:rsidRPr="009A1930" w:rsidRDefault="0076748B" w:rsidP="0076748B">
      <w:pPr>
        <w:spacing w:after="0" w:line="240" w:lineRule="auto"/>
        <w:jc w:val="center"/>
        <w:rPr>
          <w:rFonts w:ascii="Arial Narrow" w:hAnsi="Arial Narrow" w:cs="Times New Roman"/>
          <w:caps/>
          <w:sz w:val="24"/>
          <w:szCs w:val="24"/>
        </w:rPr>
      </w:pPr>
      <w:r>
        <w:rPr>
          <w:rFonts w:ascii="Times New Roman" w:eastAsia="Times New Roman" w:hAnsi="Times New Roman" w:cs="Times New Roman"/>
          <w:b/>
          <w:sz w:val="48"/>
          <w:szCs w:val="48"/>
          <w:lang w:eastAsia="ar-SA"/>
        </w:rPr>
        <w:t>Actualités par pays</w:t>
      </w:r>
    </w:p>
    <w:p w:rsidR="0076748B" w:rsidRPr="0076748B" w:rsidRDefault="0076748B" w:rsidP="0076748B">
      <w:pPr>
        <w:spacing w:after="0" w:line="240" w:lineRule="auto"/>
        <w:jc w:val="center"/>
        <w:rPr>
          <w:rFonts w:ascii="Times New Roman" w:hAnsi="Times New Roman" w:cs="Times New Roman"/>
          <w:b/>
          <w:sz w:val="48"/>
          <w:szCs w:val="48"/>
        </w:rPr>
      </w:pPr>
      <w:r w:rsidRPr="0076748B">
        <w:rPr>
          <w:rFonts w:ascii="Times New Roman" w:hAnsi="Times New Roman" w:cs="Times New Roman"/>
          <w:b/>
          <w:sz w:val="48"/>
          <w:szCs w:val="48"/>
        </w:rPr>
        <w:t>Printemps 2018</w:t>
      </w:r>
    </w:p>
    <w:p w:rsidR="0076748B" w:rsidRPr="00E564C8" w:rsidRDefault="0076748B" w:rsidP="0076748B">
      <w:pPr>
        <w:spacing w:after="0" w:line="240" w:lineRule="auto"/>
        <w:jc w:val="center"/>
        <w:rPr>
          <w:rFonts w:ascii="Times New Roman" w:hAnsi="Times New Roman" w:cs="Times New Roman"/>
          <w:b/>
          <w:sz w:val="32"/>
          <w:szCs w:val="32"/>
        </w:rPr>
      </w:pPr>
      <w:r w:rsidRPr="00551DA5">
        <w:rPr>
          <w:rFonts w:ascii="Times New Roman" w:hAnsi="Times New Roman" w:cs="Times New Roman"/>
          <w:b/>
          <w:sz w:val="32"/>
          <w:szCs w:val="32"/>
        </w:rPr>
        <w:t>France, Turquie, Italie, Lettonie</w:t>
      </w:r>
    </w:p>
    <w:p w:rsidR="0076748B" w:rsidRPr="00E564C8" w:rsidRDefault="0076748B" w:rsidP="0076748B">
      <w:pPr>
        <w:spacing w:after="0" w:line="240" w:lineRule="auto"/>
        <w:jc w:val="both"/>
        <w:rPr>
          <w:rFonts w:ascii="Times New Roman" w:hAnsi="Times New Roman" w:cs="Times New Roman"/>
          <w:sz w:val="24"/>
          <w:szCs w:val="24"/>
        </w:rPr>
      </w:pPr>
    </w:p>
    <w:p w:rsidR="0076748B" w:rsidRPr="00E564C8" w:rsidRDefault="0076748B" w:rsidP="0076748B">
      <w:pPr>
        <w:jc w:val="both"/>
        <w:rPr>
          <w:rFonts w:ascii="Arial Narrow" w:hAnsi="Arial Narrow" w:cs="Times New Roman"/>
          <w:sz w:val="24"/>
          <w:szCs w:val="24"/>
          <w:u w:val="single"/>
        </w:rPr>
      </w:pPr>
      <w:r w:rsidRPr="0076748B">
        <w:rPr>
          <w:rFonts w:ascii="Arial Narrow" w:hAnsi="Arial Narrow" w:cs="Times New Roman"/>
          <w:b/>
          <w:sz w:val="36"/>
          <w:szCs w:val="36"/>
          <w:u w:val="single"/>
        </w:rPr>
        <w:t>France</w:t>
      </w:r>
      <w:r w:rsidRPr="00551DA5">
        <w:rPr>
          <w:rFonts w:ascii="Arial Narrow" w:hAnsi="Arial Narrow" w:cs="Times New Roman"/>
          <w:sz w:val="24"/>
          <w:szCs w:val="24"/>
          <w:u w:val="single"/>
        </w:rPr>
        <w:t> :</w:t>
      </w:r>
      <w:r w:rsidRPr="00E564C8">
        <w:rPr>
          <w:rFonts w:ascii="Arial Narrow" w:hAnsi="Arial Narrow" w:cs="Times New Roman"/>
          <w:sz w:val="24"/>
          <w:szCs w:val="24"/>
          <w:u w:val="single"/>
        </w:rPr>
        <w:t xml:space="preserve"> </w:t>
      </w:r>
      <w:r w:rsidRPr="00551DA5">
        <w:rPr>
          <w:rFonts w:ascii="Arial Narrow" w:hAnsi="Arial Narrow" w:cs="Times New Roman"/>
          <w:sz w:val="24"/>
          <w:szCs w:val="24"/>
          <w:u w:val="single"/>
        </w:rPr>
        <w:t>La diminution du nombre de procédures collectives ouvertes par les tribunaux se confirme</w:t>
      </w:r>
    </w:p>
    <w:p w:rsidR="0076748B" w:rsidRPr="00E564C8" w:rsidRDefault="0076748B" w:rsidP="0076748B">
      <w:pPr>
        <w:jc w:val="both"/>
        <w:rPr>
          <w:rFonts w:ascii="Arial Narrow" w:hAnsi="Arial Narrow" w:cs="Times New Roman"/>
          <w:i/>
          <w:sz w:val="20"/>
          <w:szCs w:val="24"/>
        </w:rPr>
      </w:pPr>
      <w:r w:rsidRPr="00551DA5">
        <w:rPr>
          <w:rFonts w:ascii="Arial Narrow" w:hAnsi="Arial Narrow" w:cs="Times New Roman"/>
          <w:i/>
          <w:sz w:val="20"/>
          <w:szCs w:val="24"/>
        </w:rPr>
        <w:t>Par Catherine Ottaway, associée, et Marine-Océane Perrin-Terrin (HOCHE Avocats)</w:t>
      </w:r>
    </w:p>
    <w:p w:rsidR="0076748B" w:rsidRPr="00E564C8" w:rsidRDefault="0076748B" w:rsidP="0076748B">
      <w:pPr>
        <w:jc w:val="both"/>
        <w:rPr>
          <w:rFonts w:ascii="Times New Roman" w:hAnsi="Times New Roman" w:cs="Times New Roman"/>
          <w:b/>
          <w:sz w:val="24"/>
          <w:szCs w:val="24"/>
        </w:rPr>
      </w:pPr>
      <w:r w:rsidRPr="00551DA5">
        <w:rPr>
          <w:rFonts w:ascii="Times New Roman" w:hAnsi="Times New Roman" w:cs="Times New Roman"/>
          <w:b/>
          <w:sz w:val="24"/>
          <w:szCs w:val="24"/>
        </w:rPr>
        <w:t>Si</w:t>
      </w:r>
      <w:r>
        <w:rPr>
          <w:rFonts w:ascii="Times New Roman" w:hAnsi="Times New Roman" w:cs="Times New Roman"/>
          <w:b/>
          <w:sz w:val="24"/>
          <w:szCs w:val="24"/>
        </w:rPr>
        <w:t>,</w:t>
      </w:r>
      <w:r w:rsidRPr="00551DA5">
        <w:rPr>
          <w:rFonts w:ascii="Times New Roman" w:hAnsi="Times New Roman" w:cs="Times New Roman"/>
          <w:b/>
          <w:sz w:val="24"/>
          <w:szCs w:val="24"/>
        </w:rPr>
        <w:t xml:space="preserve"> en 2016, l’activité économique française a commencé à se redresser et le nombre de procédures collectives ouvertes a légèrement baissé, 2017 a marqué un</w:t>
      </w:r>
      <w:r>
        <w:rPr>
          <w:rFonts w:ascii="Times New Roman" w:hAnsi="Times New Roman" w:cs="Times New Roman"/>
          <w:b/>
          <w:sz w:val="24"/>
          <w:szCs w:val="24"/>
        </w:rPr>
        <w:t>e reprise</w:t>
      </w:r>
      <w:r w:rsidRPr="00551DA5">
        <w:rPr>
          <w:rFonts w:ascii="Times New Roman" w:hAnsi="Times New Roman" w:cs="Times New Roman"/>
          <w:b/>
          <w:sz w:val="24"/>
          <w:szCs w:val="24"/>
        </w:rPr>
        <w:t xml:space="preserve"> important</w:t>
      </w:r>
      <w:r>
        <w:rPr>
          <w:rFonts w:ascii="Times New Roman" w:hAnsi="Times New Roman" w:cs="Times New Roman"/>
          <w:b/>
          <w:sz w:val="24"/>
          <w:szCs w:val="24"/>
        </w:rPr>
        <w:t>e</w:t>
      </w:r>
      <w:r w:rsidRPr="00551DA5">
        <w:rPr>
          <w:rFonts w:ascii="Times New Roman" w:hAnsi="Times New Roman" w:cs="Times New Roman"/>
          <w:b/>
          <w:sz w:val="24"/>
          <w:szCs w:val="24"/>
        </w:rPr>
        <w:t>, avec des chiffres proches de ceux antérieurs à la crise de 2011.</w:t>
      </w:r>
      <w:r w:rsidRPr="00E564C8">
        <w:rPr>
          <w:rFonts w:ascii="Times New Roman" w:hAnsi="Times New Roman" w:cs="Times New Roman"/>
          <w:b/>
          <w:sz w:val="24"/>
          <w:szCs w:val="24"/>
        </w:rPr>
        <w:t xml:space="preserve"> </w:t>
      </w:r>
      <w:r w:rsidRPr="00551DA5">
        <w:rPr>
          <w:rFonts w:ascii="Times New Roman" w:hAnsi="Times New Roman" w:cs="Times New Roman"/>
          <w:b/>
          <w:sz w:val="24"/>
          <w:szCs w:val="24"/>
        </w:rPr>
        <w:t>En outre, le 30 janvier 2018, l’INSEE a annoncé une croissance de 1,9 % du PIB pour l’année 2017.</w:t>
      </w:r>
      <w:r w:rsidRPr="00E564C8">
        <w:rPr>
          <w:rFonts w:ascii="Times New Roman" w:hAnsi="Times New Roman" w:cs="Times New Roman"/>
          <w:b/>
          <w:sz w:val="24"/>
          <w:szCs w:val="24"/>
        </w:rPr>
        <w:t xml:space="preserve"> </w:t>
      </w:r>
      <w:r w:rsidRPr="00CC324D">
        <w:rPr>
          <w:rFonts w:ascii="Times New Roman" w:hAnsi="Times New Roman" w:cs="Times New Roman"/>
          <w:b/>
          <w:sz w:val="24"/>
          <w:szCs w:val="24"/>
        </w:rPr>
        <w:t>Applaudie de tous, certains économistes et journalistes ont même baptisé cette année « l’année du décollage »</w:t>
      </w:r>
      <w:r w:rsidRPr="00CC324D">
        <w:rPr>
          <w:rStyle w:val="Appelnotedebasdep"/>
        </w:rPr>
        <w:footnoteReference w:id="37"/>
      </w:r>
      <w:r w:rsidRPr="00CC324D">
        <w:rPr>
          <w:rFonts w:ascii="Times New Roman" w:hAnsi="Times New Roman" w:cs="Times New Roman"/>
          <w:b/>
          <w:sz w:val="24"/>
          <w:szCs w:val="24"/>
        </w:rPr>
        <w:t>.</w:t>
      </w:r>
    </w:p>
    <w:p w:rsidR="0076748B" w:rsidRPr="00E564C8" w:rsidRDefault="0076748B" w:rsidP="0076748B">
      <w:pPr>
        <w:jc w:val="both"/>
        <w:rPr>
          <w:rFonts w:ascii="Times New Roman" w:hAnsi="Times New Roman" w:cs="Times New Roman"/>
          <w:b/>
          <w:i/>
          <w:sz w:val="24"/>
          <w:szCs w:val="24"/>
        </w:rPr>
      </w:pPr>
      <w:r>
        <w:rPr>
          <w:rFonts w:ascii="Times New Roman" w:hAnsi="Times New Roman" w:cs="Times New Roman"/>
          <w:b/>
          <w:i/>
          <w:sz w:val="24"/>
          <w:szCs w:val="24"/>
        </w:rPr>
        <w:t>C</w:t>
      </w:r>
      <w:r w:rsidRPr="00CC324D">
        <w:rPr>
          <w:rFonts w:ascii="Times New Roman" w:hAnsi="Times New Roman" w:cs="Times New Roman"/>
          <w:b/>
          <w:i/>
          <w:sz w:val="24"/>
          <w:szCs w:val="24"/>
        </w:rPr>
        <w:t>hiffres</w:t>
      </w:r>
    </w:p>
    <w:p w:rsidR="0076748B" w:rsidRPr="00E564C8" w:rsidRDefault="0076748B" w:rsidP="0076748B">
      <w:pPr>
        <w:jc w:val="both"/>
        <w:rPr>
          <w:rFonts w:ascii="Times New Roman" w:hAnsi="Times New Roman" w:cs="Times New Roman"/>
          <w:sz w:val="24"/>
          <w:szCs w:val="24"/>
        </w:rPr>
      </w:pPr>
      <w:r w:rsidRPr="00CC324D">
        <w:rPr>
          <w:rFonts w:ascii="Times New Roman" w:hAnsi="Times New Roman" w:cs="Times New Roman"/>
          <w:sz w:val="24"/>
          <w:szCs w:val="24"/>
        </w:rPr>
        <w:t>Les procédures collectives reflètent clairement ce phénomène.</w:t>
      </w:r>
      <w:r w:rsidRPr="00E564C8">
        <w:rPr>
          <w:rFonts w:ascii="Times New Roman" w:hAnsi="Times New Roman" w:cs="Times New Roman"/>
          <w:sz w:val="24"/>
          <w:szCs w:val="24"/>
        </w:rPr>
        <w:t xml:space="preserve"> </w:t>
      </w:r>
      <w:r w:rsidRPr="00CC324D">
        <w:rPr>
          <w:rFonts w:ascii="Times New Roman" w:hAnsi="Times New Roman" w:cs="Times New Roman"/>
          <w:sz w:val="24"/>
          <w:szCs w:val="24"/>
        </w:rPr>
        <w:t>La France affiche une réduction totale de 5,8 %</w:t>
      </w:r>
      <w:r w:rsidRPr="00CC324D">
        <w:rPr>
          <w:rStyle w:val="Appelnotedebasdep"/>
        </w:rPr>
        <w:footnoteReference w:id="38"/>
      </w:r>
      <w:r w:rsidRPr="00CC324D">
        <w:rPr>
          <w:rFonts w:ascii="Times New Roman" w:hAnsi="Times New Roman" w:cs="Times New Roman"/>
          <w:sz w:val="24"/>
          <w:szCs w:val="24"/>
        </w:rPr>
        <w:t xml:space="preserve"> du nombre total de procédures collectives ouvertes (sauvegarde, administration et liquidation) au cours des douze mois de 2017 par rapport à 2016</w:t>
      </w:r>
      <w:r>
        <w:rPr>
          <w:rFonts w:ascii="Times New Roman" w:hAnsi="Times New Roman" w:cs="Times New Roman"/>
          <w:sz w:val="24"/>
          <w:szCs w:val="24"/>
        </w:rPr>
        <w:t>,</w:t>
      </w:r>
      <w:r w:rsidRPr="00E564C8">
        <w:rPr>
          <w:rFonts w:ascii="Times New Roman" w:hAnsi="Times New Roman" w:cs="Times New Roman"/>
          <w:sz w:val="24"/>
          <w:szCs w:val="24"/>
        </w:rPr>
        <w:t xml:space="preserve"> </w:t>
      </w:r>
      <w:r w:rsidRPr="00CC324D">
        <w:rPr>
          <w:rFonts w:ascii="Times New Roman" w:hAnsi="Times New Roman" w:cs="Times New Roman"/>
          <w:sz w:val="24"/>
          <w:szCs w:val="24"/>
        </w:rPr>
        <w:t>ce qui représente au total 54 572 procédures ouvertes en 2017 contre 57 947 en 2016.</w:t>
      </w:r>
    </w:p>
    <w:p w:rsidR="0076748B" w:rsidRPr="00E564C8" w:rsidRDefault="0076748B" w:rsidP="0076748B">
      <w:pPr>
        <w:jc w:val="both"/>
        <w:rPr>
          <w:rFonts w:ascii="Times New Roman" w:hAnsi="Times New Roman" w:cs="Times New Roman"/>
          <w:sz w:val="24"/>
          <w:szCs w:val="24"/>
        </w:rPr>
      </w:pPr>
      <w:r w:rsidRPr="00CC324D">
        <w:rPr>
          <w:rFonts w:ascii="Times New Roman" w:hAnsi="Times New Roman" w:cs="Times New Roman"/>
          <w:sz w:val="24"/>
          <w:szCs w:val="24"/>
        </w:rPr>
        <w:t>Si la diminution du nombre de procédures de liquidation et de redressement judiciaire a atteint 7 % en 2017, c’est la procédure de sauvegarde qui a connu le plus fort recul.</w:t>
      </w:r>
      <w:r w:rsidRPr="00E564C8">
        <w:rPr>
          <w:rFonts w:ascii="Times New Roman" w:hAnsi="Times New Roman" w:cs="Times New Roman"/>
          <w:sz w:val="24"/>
          <w:szCs w:val="24"/>
        </w:rPr>
        <w:t xml:space="preserve"> </w:t>
      </w:r>
      <w:r>
        <w:rPr>
          <w:rFonts w:ascii="Times New Roman" w:hAnsi="Times New Roman" w:cs="Times New Roman"/>
          <w:sz w:val="24"/>
          <w:szCs w:val="24"/>
        </w:rPr>
        <w:t>En effet, l</w:t>
      </w:r>
      <w:r w:rsidRPr="00CC324D">
        <w:rPr>
          <w:rFonts w:ascii="Times New Roman" w:hAnsi="Times New Roman" w:cs="Times New Roman"/>
          <w:sz w:val="24"/>
          <w:szCs w:val="24"/>
        </w:rPr>
        <w:t xml:space="preserve">es </w:t>
      </w:r>
      <w:r>
        <w:rPr>
          <w:rFonts w:ascii="Times New Roman" w:hAnsi="Times New Roman" w:cs="Times New Roman"/>
          <w:sz w:val="24"/>
          <w:szCs w:val="24"/>
        </w:rPr>
        <w:t>statistiques</w:t>
      </w:r>
      <w:r w:rsidRPr="00CC324D">
        <w:rPr>
          <w:rFonts w:ascii="Times New Roman" w:hAnsi="Times New Roman" w:cs="Times New Roman"/>
          <w:sz w:val="24"/>
          <w:szCs w:val="24"/>
        </w:rPr>
        <w:t xml:space="preserve"> indiquent une réduction de 10,5 % du nombre de décisions d’ouverture d’une procédure de sauvegarde prononcées par les tribunaux français.</w:t>
      </w:r>
    </w:p>
    <w:p w:rsidR="0076748B" w:rsidRPr="00E564C8" w:rsidRDefault="0076748B" w:rsidP="0076748B">
      <w:pPr>
        <w:jc w:val="both"/>
        <w:rPr>
          <w:rFonts w:ascii="Times New Roman" w:hAnsi="Times New Roman" w:cs="Times New Roman"/>
          <w:sz w:val="24"/>
          <w:szCs w:val="24"/>
        </w:rPr>
      </w:pPr>
      <w:r>
        <w:rPr>
          <w:rFonts w:ascii="Times New Roman" w:hAnsi="Times New Roman" w:cs="Times New Roman"/>
          <w:b/>
          <w:i/>
          <w:sz w:val="24"/>
          <w:szCs w:val="24"/>
        </w:rPr>
        <w:t>S</w:t>
      </w:r>
      <w:r w:rsidRPr="00CC324D">
        <w:rPr>
          <w:rFonts w:ascii="Times New Roman" w:hAnsi="Times New Roman" w:cs="Times New Roman"/>
          <w:b/>
          <w:i/>
          <w:sz w:val="24"/>
          <w:szCs w:val="24"/>
        </w:rPr>
        <w:t>ecteur</w:t>
      </w:r>
      <w:r>
        <w:rPr>
          <w:rFonts w:ascii="Times New Roman" w:hAnsi="Times New Roman" w:cs="Times New Roman"/>
          <w:b/>
          <w:i/>
          <w:sz w:val="24"/>
          <w:szCs w:val="24"/>
        </w:rPr>
        <w:t>s concerné</w:t>
      </w:r>
      <w:r w:rsidRPr="00CC324D">
        <w:rPr>
          <w:rFonts w:ascii="Times New Roman" w:hAnsi="Times New Roman" w:cs="Times New Roman"/>
          <w:b/>
          <w:i/>
          <w:sz w:val="24"/>
          <w:szCs w:val="24"/>
        </w:rPr>
        <w:t>s</w:t>
      </w:r>
      <w:r w:rsidRPr="00E564C8">
        <w:rPr>
          <w:rFonts w:ascii="Times New Roman" w:hAnsi="Times New Roman" w:cs="Times New Roman"/>
          <w:b/>
          <w:i/>
          <w:sz w:val="24"/>
          <w:szCs w:val="24"/>
        </w:rPr>
        <w:t xml:space="preserve"> </w:t>
      </w:r>
    </w:p>
    <w:p w:rsidR="00241560" w:rsidRPr="00ED42FE" w:rsidRDefault="0076748B" w:rsidP="0076748B">
      <w:pPr>
        <w:jc w:val="both"/>
        <w:rPr>
          <w:rFonts w:ascii="Times New Roman" w:hAnsi="Times New Roman" w:cs="Times New Roman"/>
          <w:sz w:val="24"/>
          <w:szCs w:val="24"/>
        </w:rPr>
      </w:pPr>
      <w:r w:rsidRPr="00CC324D">
        <w:rPr>
          <w:rFonts w:ascii="Times New Roman" w:hAnsi="Times New Roman" w:cs="Times New Roman"/>
          <w:sz w:val="24"/>
          <w:szCs w:val="24"/>
        </w:rPr>
        <w:t>Ce changement de conjoncture est manifeste dans tous les secteurs.</w:t>
      </w:r>
      <w:r w:rsidRPr="00E564C8">
        <w:rPr>
          <w:rFonts w:ascii="Times New Roman" w:hAnsi="Times New Roman" w:cs="Times New Roman"/>
          <w:sz w:val="24"/>
          <w:szCs w:val="24"/>
        </w:rPr>
        <w:t xml:space="preserve"> </w:t>
      </w:r>
      <w:r w:rsidRPr="00CC324D">
        <w:rPr>
          <w:rFonts w:ascii="Times New Roman" w:hAnsi="Times New Roman" w:cs="Times New Roman"/>
          <w:sz w:val="24"/>
          <w:szCs w:val="24"/>
        </w:rPr>
        <w:t>Seules les entreprises des secteurs de l’agriculture, des transports et de l’entreposage continuent de connaître une augmentation de leurs difficultés.</w:t>
      </w:r>
      <w:r w:rsidRPr="00E564C8">
        <w:rPr>
          <w:rFonts w:ascii="Times New Roman" w:hAnsi="Times New Roman" w:cs="Times New Roman"/>
          <w:sz w:val="24"/>
          <w:szCs w:val="24"/>
        </w:rPr>
        <w:t xml:space="preserve"> </w:t>
      </w:r>
      <w:r w:rsidRPr="00CC324D">
        <w:rPr>
          <w:rFonts w:ascii="Times New Roman" w:hAnsi="Times New Roman" w:cs="Times New Roman"/>
          <w:sz w:val="24"/>
          <w:szCs w:val="24"/>
        </w:rPr>
        <w:t>Les petites et moyennes entreprises sont également de moins en moins touchées par les procédures collectives (-6 %).</w:t>
      </w:r>
      <w:r w:rsidRPr="00E564C8">
        <w:rPr>
          <w:rFonts w:ascii="Times New Roman" w:hAnsi="Times New Roman" w:cs="Times New Roman"/>
          <w:sz w:val="24"/>
          <w:szCs w:val="24"/>
        </w:rPr>
        <w:t xml:space="preserve"> </w:t>
      </w:r>
      <w:r w:rsidRPr="00CC324D">
        <w:rPr>
          <w:rFonts w:ascii="Times New Roman" w:hAnsi="Times New Roman" w:cs="Times New Roman"/>
          <w:sz w:val="24"/>
          <w:szCs w:val="24"/>
        </w:rPr>
        <w:t>Toutes les jeunes entreprises (moins de trois ans</w:t>
      </w:r>
      <w:r>
        <w:rPr>
          <w:rFonts w:ascii="Times New Roman" w:hAnsi="Times New Roman" w:cs="Times New Roman"/>
          <w:sz w:val="24"/>
          <w:szCs w:val="24"/>
        </w:rPr>
        <w:t xml:space="preserve"> d’existence</w:t>
      </w:r>
      <w:r w:rsidRPr="00CC324D">
        <w:rPr>
          <w:rFonts w:ascii="Times New Roman" w:hAnsi="Times New Roman" w:cs="Times New Roman"/>
          <w:sz w:val="24"/>
          <w:szCs w:val="24"/>
        </w:rPr>
        <w:t xml:space="preserve">) semblent les plus privilégiées (-10 %) ; seuls les </w:t>
      </w:r>
      <w:r>
        <w:rPr>
          <w:rFonts w:ascii="Times New Roman" w:hAnsi="Times New Roman" w:cs="Times New Roman"/>
          <w:sz w:val="24"/>
          <w:szCs w:val="24"/>
        </w:rPr>
        <w:t xml:space="preserve">secteurs de l’hébergement et de la restauration </w:t>
      </w:r>
      <w:r w:rsidRPr="00CC324D">
        <w:rPr>
          <w:rFonts w:ascii="Times New Roman" w:hAnsi="Times New Roman" w:cs="Times New Roman"/>
          <w:sz w:val="24"/>
          <w:szCs w:val="24"/>
        </w:rPr>
        <w:t>ont encore du mal à se maintenir.</w:t>
      </w:r>
    </w:p>
    <w:p w:rsidR="0076748B" w:rsidRPr="00E564C8" w:rsidRDefault="0076748B" w:rsidP="0076748B">
      <w:pPr>
        <w:jc w:val="both"/>
        <w:rPr>
          <w:rFonts w:ascii="Times New Roman" w:hAnsi="Times New Roman" w:cs="Times New Roman"/>
          <w:sz w:val="24"/>
          <w:szCs w:val="24"/>
        </w:rPr>
      </w:pPr>
      <w:r>
        <w:rPr>
          <w:rFonts w:ascii="Times New Roman" w:hAnsi="Times New Roman" w:cs="Times New Roman"/>
          <w:b/>
          <w:i/>
          <w:sz w:val="24"/>
          <w:szCs w:val="24"/>
        </w:rPr>
        <w:t>Conséquences positive</w:t>
      </w:r>
      <w:r w:rsidRPr="00CC324D">
        <w:rPr>
          <w:rFonts w:ascii="Times New Roman" w:hAnsi="Times New Roman" w:cs="Times New Roman"/>
          <w:b/>
          <w:i/>
          <w:sz w:val="24"/>
          <w:szCs w:val="24"/>
        </w:rPr>
        <w:t>s</w:t>
      </w:r>
      <w:r w:rsidRPr="00E564C8">
        <w:rPr>
          <w:rFonts w:ascii="Times New Roman" w:hAnsi="Times New Roman" w:cs="Times New Roman"/>
          <w:sz w:val="24"/>
          <w:szCs w:val="24"/>
        </w:rPr>
        <w:t xml:space="preserve"> </w:t>
      </w:r>
    </w:p>
    <w:p w:rsidR="0076748B" w:rsidRPr="00E564C8" w:rsidRDefault="0076748B" w:rsidP="0076748B">
      <w:pPr>
        <w:jc w:val="both"/>
        <w:rPr>
          <w:rFonts w:ascii="Times New Roman" w:hAnsi="Times New Roman" w:cs="Times New Roman"/>
          <w:sz w:val="24"/>
          <w:szCs w:val="24"/>
        </w:rPr>
      </w:pPr>
      <w:r>
        <w:rPr>
          <w:rFonts w:ascii="Times New Roman" w:hAnsi="Times New Roman" w:cs="Times New Roman"/>
          <w:sz w:val="24"/>
          <w:szCs w:val="24"/>
        </w:rPr>
        <w:lastRenderedPageBreak/>
        <w:t>Résultat</w:t>
      </w:r>
      <w:r w:rsidRPr="00C16325">
        <w:rPr>
          <w:rFonts w:ascii="Times New Roman" w:hAnsi="Times New Roman" w:cs="Times New Roman"/>
          <w:sz w:val="24"/>
          <w:szCs w:val="24"/>
        </w:rPr>
        <w:t xml:space="preserve">, les problèmes liés </w:t>
      </w:r>
      <w:r>
        <w:rPr>
          <w:rFonts w:ascii="Times New Roman" w:hAnsi="Times New Roman" w:cs="Times New Roman"/>
          <w:sz w:val="24"/>
          <w:szCs w:val="24"/>
        </w:rPr>
        <w:t xml:space="preserve">aux salaires </w:t>
      </w:r>
      <w:r w:rsidRPr="00C16325">
        <w:rPr>
          <w:rFonts w:ascii="Times New Roman" w:hAnsi="Times New Roman" w:cs="Times New Roman"/>
          <w:sz w:val="24"/>
          <w:szCs w:val="24"/>
        </w:rPr>
        <w:t>ont fortement diminué.</w:t>
      </w:r>
    </w:p>
    <w:p w:rsidR="0076748B" w:rsidRPr="00E564C8" w:rsidRDefault="0076748B" w:rsidP="0076748B">
      <w:pPr>
        <w:jc w:val="both"/>
        <w:rPr>
          <w:rFonts w:ascii="Times New Roman" w:hAnsi="Times New Roman" w:cs="Times New Roman"/>
          <w:sz w:val="24"/>
          <w:szCs w:val="24"/>
        </w:rPr>
      </w:pPr>
      <w:r w:rsidRPr="00C16325">
        <w:rPr>
          <w:rFonts w:ascii="Times New Roman" w:hAnsi="Times New Roman" w:cs="Times New Roman"/>
          <w:sz w:val="24"/>
          <w:szCs w:val="24"/>
        </w:rPr>
        <w:t>D’une part, on observe une réduction du nombre d’emplois à risque. Ce phénomène est illustré par le nombre d’affaires créées au titre de la garantie des salaires et les activités de l’AGS (l’</w:t>
      </w:r>
      <w:r w:rsidRPr="00241560">
        <w:rPr>
          <w:rFonts w:ascii="Times New Roman" w:hAnsi="Times New Roman" w:cs="Times New Roman"/>
          <w:b/>
          <w:sz w:val="24"/>
          <w:szCs w:val="24"/>
        </w:rPr>
        <w:t>A</w:t>
      </w:r>
      <w:r w:rsidRPr="00C16325">
        <w:rPr>
          <w:rFonts w:ascii="Times New Roman" w:hAnsi="Times New Roman" w:cs="Times New Roman"/>
          <w:sz w:val="24"/>
          <w:szCs w:val="24"/>
        </w:rPr>
        <w:t xml:space="preserve">ssociation pour la gestion du régime de </w:t>
      </w:r>
      <w:r w:rsidRPr="00241560">
        <w:rPr>
          <w:rFonts w:ascii="Times New Roman" w:hAnsi="Times New Roman" w:cs="Times New Roman"/>
          <w:b/>
          <w:sz w:val="24"/>
          <w:szCs w:val="24"/>
        </w:rPr>
        <w:t>G</w:t>
      </w:r>
      <w:r w:rsidRPr="00C16325">
        <w:rPr>
          <w:rFonts w:ascii="Times New Roman" w:hAnsi="Times New Roman" w:cs="Times New Roman"/>
          <w:sz w:val="24"/>
          <w:szCs w:val="24"/>
        </w:rPr>
        <w:t xml:space="preserve">arantie des créances des </w:t>
      </w:r>
      <w:r w:rsidRPr="00241560">
        <w:rPr>
          <w:rFonts w:ascii="Times New Roman" w:hAnsi="Times New Roman" w:cs="Times New Roman"/>
          <w:b/>
          <w:sz w:val="24"/>
          <w:szCs w:val="24"/>
        </w:rPr>
        <w:t>S</w:t>
      </w:r>
      <w:r w:rsidRPr="00C16325">
        <w:rPr>
          <w:rFonts w:ascii="Times New Roman" w:hAnsi="Times New Roman" w:cs="Times New Roman"/>
          <w:sz w:val="24"/>
          <w:szCs w:val="24"/>
        </w:rPr>
        <w:t>alariés est un organisme patronal fondé sur la solidarité interprofessionnelle des employeurs et financé par leurs cotisations), qui a chuté de 9,2 % pour arriver à son niveau le plus bas en quinze ans</w:t>
      </w:r>
      <w:r w:rsidRPr="00C16325">
        <w:rPr>
          <w:rStyle w:val="Appelnotedebasdep"/>
        </w:rPr>
        <w:footnoteReference w:id="39"/>
      </w:r>
      <w:r w:rsidRPr="00C16325">
        <w:rPr>
          <w:rFonts w:ascii="Times New Roman" w:hAnsi="Times New Roman" w:cs="Times New Roman"/>
          <w:sz w:val="24"/>
          <w:szCs w:val="24"/>
        </w:rPr>
        <w:t>.</w:t>
      </w:r>
    </w:p>
    <w:p w:rsidR="0076748B" w:rsidRPr="00E564C8" w:rsidRDefault="0076748B" w:rsidP="0076748B">
      <w:pPr>
        <w:jc w:val="both"/>
        <w:rPr>
          <w:rFonts w:ascii="Times New Roman" w:hAnsi="Times New Roman" w:cs="Times New Roman"/>
          <w:sz w:val="24"/>
          <w:szCs w:val="24"/>
        </w:rPr>
      </w:pPr>
      <w:r w:rsidRPr="00C16325">
        <w:rPr>
          <w:rFonts w:ascii="Times New Roman" w:hAnsi="Times New Roman" w:cs="Times New Roman"/>
          <w:sz w:val="24"/>
          <w:szCs w:val="24"/>
        </w:rPr>
        <w:t xml:space="preserve">D’autre part, le nombre de licenciements a lui aussi diminué et de nombreux contrats de travail ont été </w:t>
      </w:r>
      <w:r>
        <w:rPr>
          <w:rFonts w:ascii="Times New Roman" w:hAnsi="Times New Roman" w:cs="Times New Roman"/>
          <w:sz w:val="24"/>
          <w:szCs w:val="24"/>
        </w:rPr>
        <w:t>maintenus</w:t>
      </w:r>
      <w:r w:rsidRPr="00C16325">
        <w:rPr>
          <w:rFonts w:ascii="Times New Roman" w:hAnsi="Times New Roman" w:cs="Times New Roman"/>
          <w:sz w:val="24"/>
          <w:szCs w:val="24"/>
        </w:rPr>
        <w:t xml:space="preserve"> après le jugement d’ouverture.</w:t>
      </w:r>
      <w:r w:rsidRPr="00E564C8">
        <w:rPr>
          <w:rFonts w:ascii="Times New Roman" w:hAnsi="Times New Roman" w:cs="Times New Roman"/>
          <w:sz w:val="24"/>
          <w:szCs w:val="24"/>
        </w:rPr>
        <w:t xml:space="preserve"> </w:t>
      </w:r>
      <w:r w:rsidRPr="00C16325">
        <w:rPr>
          <w:rFonts w:ascii="Times New Roman" w:hAnsi="Times New Roman" w:cs="Times New Roman"/>
          <w:sz w:val="24"/>
          <w:szCs w:val="24"/>
        </w:rPr>
        <w:t>Cela montre que les entreprises sont moins susceptibles de licencier les travailleurs pour survivre.</w:t>
      </w:r>
    </w:p>
    <w:p w:rsidR="0076748B" w:rsidRPr="00E564C8" w:rsidRDefault="0076748B" w:rsidP="0076748B">
      <w:pPr>
        <w:jc w:val="both"/>
        <w:rPr>
          <w:rFonts w:ascii="Times New Roman" w:eastAsia="Times New Roman" w:hAnsi="Times New Roman" w:cs="Times New Roman"/>
          <w:sz w:val="24"/>
          <w:szCs w:val="24"/>
        </w:rPr>
      </w:pPr>
      <w:r w:rsidRPr="00C16325">
        <w:rPr>
          <w:rFonts w:ascii="Times New Roman" w:hAnsi="Times New Roman" w:cs="Times New Roman"/>
          <w:sz w:val="24"/>
          <w:szCs w:val="24"/>
        </w:rPr>
        <w:t xml:space="preserve">Enfin, étant donné que les procédures alternatives ne montrent aucun signe de développement, </w:t>
      </w:r>
      <w:r>
        <w:rPr>
          <w:rFonts w:ascii="Times New Roman" w:hAnsi="Times New Roman" w:cs="Times New Roman"/>
          <w:sz w:val="24"/>
          <w:szCs w:val="24"/>
        </w:rPr>
        <w:t xml:space="preserve">on peut en conclure que </w:t>
      </w:r>
      <w:r w:rsidRPr="00C16325">
        <w:rPr>
          <w:rFonts w:ascii="Times New Roman" w:hAnsi="Times New Roman" w:cs="Times New Roman"/>
          <w:sz w:val="24"/>
          <w:szCs w:val="24"/>
        </w:rPr>
        <w:t>la croissance est la seule raison de cette évolution.</w:t>
      </w:r>
      <w:r w:rsidRPr="00E564C8">
        <w:rPr>
          <w:rFonts w:ascii="Times New Roman" w:hAnsi="Times New Roman" w:cs="Times New Roman"/>
          <w:sz w:val="24"/>
          <w:szCs w:val="24"/>
        </w:rPr>
        <w:t xml:space="preserve"> </w:t>
      </w:r>
      <w:r w:rsidRPr="00C16325">
        <w:rPr>
          <w:rFonts w:ascii="Times New Roman" w:hAnsi="Times New Roman" w:cs="Times New Roman"/>
          <w:sz w:val="24"/>
          <w:szCs w:val="24"/>
        </w:rPr>
        <w:t>La France semble revenir à des chiffres proches de ceux qu’on connaissait avant le dernier effondrement boursier de 2011.</w:t>
      </w:r>
      <w:r w:rsidRPr="00E564C8">
        <w:rPr>
          <w:rFonts w:ascii="Times New Roman" w:hAnsi="Times New Roman" w:cs="Times New Roman"/>
          <w:sz w:val="24"/>
          <w:szCs w:val="24"/>
        </w:rPr>
        <w:t xml:space="preserve"> </w:t>
      </w:r>
    </w:p>
    <w:p w:rsidR="0076748B" w:rsidRPr="00E564C8" w:rsidRDefault="0076748B" w:rsidP="0076748B">
      <w:pPr>
        <w:pBdr>
          <w:bottom w:val="single" w:sz="6" w:space="1" w:color="auto"/>
        </w:pBdr>
        <w:jc w:val="both"/>
        <w:rPr>
          <w:rFonts w:ascii="Times New Roman" w:hAnsi="Times New Roman" w:cs="Times New Roman"/>
          <w:sz w:val="24"/>
          <w:szCs w:val="24"/>
        </w:rPr>
      </w:pPr>
    </w:p>
    <w:p w:rsidR="0076748B" w:rsidRPr="00E564C8" w:rsidRDefault="0076748B" w:rsidP="0076748B">
      <w:pPr>
        <w:jc w:val="both"/>
        <w:rPr>
          <w:rFonts w:ascii="Arial Narrow" w:hAnsi="Arial Narrow" w:cs="Times New Roman"/>
          <w:sz w:val="24"/>
          <w:szCs w:val="24"/>
          <w:u w:val="single"/>
        </w:rPr>
      </w:pPr>
      <w:r w:rsidRPr="0076748B">
        <w:rPr>
          <w:rFonts w:ascii="Arial Narrow" w:hAnsi="Arial Narrow" w:cs="Times New Roman"/>
          <w:b/>
          <w:sz w:val="36"/>
          <w:szCs w:val="36"/>
          <w:u w:val="single"/>
        </w:rPr>
        <w:t>Turquie</w:t>
      </w:r>
      <w:r w:rsidRPr="00C16325">
        <w:rPr>
          <w:rFonts w:ascii="Arial Narrow" w:hAnsi="Arial Narrow" w:cs="Times New Roman"/>
          <w:sz w:val="24"/>
          <w:szCs w:val="24"/>
          <w:u w:val="single"/>
        </w:rPr>
        <w:t> :</w:t>
      </w:r>
      <w:r w:rsidRPr="00E564C8">
        <w:rPr>
          <w:rFonts w:ascii="Arial Narrow" w:hAnsi="Arial Narrow" w:cs="Times New Roman"/>
          <w:sz w:val="24"/>
          <w:szCs w:val="24"/>
          <w:u w:val="single"/>
        </w:rPr>
        <w:t xml:space="preserve"> </w:t>
      </w:r>
      <w:r w:rsidRPr="00C16325">
        <w:rPr>
          <w:rFonts w:ascii="Arial Narrow" w:hAnsi="Arial Narrow" w:cs="Times New Roman"/>
          <w:sz w:val="24"/>
          <w:szCs w:val="24"/>
          <w:u w:val="single"/>
        </w:rPr>
        <w:t>Le fait de tenir le représentant légal d’une entreprise responsable de dettes publiques impayées ne viole pas les droits de propriété</w:t>
      </w:r>
    </w:p>
    <w:p w:rsidR="0076748B" w:rsidRPr="00E564C8" w:rsidRDefault="0076748B" w:rsidP="0076748B">
      <w:pPr>
        <w:jc w:val="both"/>
        <w:rPr>
          <w:rFonts w:ascii="Arial Narrow" w:hAnsi="Arial Narrow" w:cs="Times New Roman"/>
          <w:i/>
          <w:sz w:val="20"/>
          <w:szCs w:val="20"/>
        </w:rPr>
      </w:pPr>
      <w:r w:rsidRPr="00C16325">
        <w:rPr>
          <w:rFonts w:ascii="Arial Narrow" w:hAnsi="Arial Narrow" w:cs="Times New Roman"/>
          <w:i/>
          <w:sz w:val="20"/>
          <w:szCs w:val="20"/>
        </w:rPr>
        <w:t>Par Orçun Çetinkaya, associé, et Burak Baydar, collaborateur senior, Moroğlu Arseven, Istanbul (Turquie)</w:t>
      </w:r>
    </w:p>
    <w:p w:rsidR="0076748B" w:rsidRPr="00E564C8" w:rsidRDefault="0076748B" w:rsidP="0076748B">
      <w:pPr>
        <w:jc w:val="both"/>
        <w:rPr>
          <w:rFonts w:ascii="Times New Roman" w:hAnsi="Times New Roman" w:cs="Times New Roman"/>
          <w:b/>
          <w:sz w:val="24"/>
          <w:szCs w:val="24"/>
        </w:rPr>
      </w:pPr>
      <w:r w:rsidRPr="00A8005C">
        <w:rPr>
          <w:rFonts w:ascii="Times New Roman" w:hAnsi="Times New Roman" w:cs="Times New Roman"/>
          <w:b/>
          <w:sz w:val="24"/>
          <w:szCs w:val="24"/>
        </w:rPr>
        <w:t xml:space="preserve">La Cour constitutionnelle de Turquie a récemment confirmé que les représentants légaux d’une entreprise sont conjointement responsables, avec la personne morale, de ses dettes publiques si celles-ci sont </w:t>
      </w:r>
      <w:r>
        <w:rPr>
          <w:rFonts w:ascii="Times New Roman" w:hAnsi="Times New Roman" w:cs="Times New Roman"/>
          <w:b/>
          <w:sz w:val="24"/>
          <w:szCs w:val="24"/>
        </w:rPr>
        <w:t xml:space="preserve">devenues exigibles </w:t>
      </w:r>
      <w:r w:rsidRPr="00A8005C">
        <w:rPr>
          <w:rFonts w:ascii="Times New Roman" w:hAnsi="Times New Roman" w:cs="Times New Roman"/>
          <w:b/>
          <w:sz w:val="24"/>
          <w:szCs w:val="24"/>
        </w:rPr>
        <w:t>pendant qu’ils exerçaient des fonctions au sein de l’entreprise.</w:t>
      </w:r>
      <w:r w:rsidRPr="00E564C8">
        <w:rPr>
          <w:rFonts w:ascii="Times New Roman" w:hAnsi="Times New Roman" w:cs="Times New Roman"/>
          <w:b/>
          <w:sz w:val="24"/>
          <w:szCs w:val="24"/>
        </w:rPr>
        <w:t xml:space="preserve"> </w:t>
      </w:r>
      <w:r w:rsidRPr="00A8005C">
        <w:rPr>
          <w:rFonts w:ascii="Times New Roman" w:hAnsi="Times New Roman" w:cs="Times New Roman"/>
          <w:b/>
          <w:sz w:val="24"/>
          <w:szCs w:val="24"/>
        </w:rPr>
        <w:t>La Cour a arrêté que cela ne troublait pas l’équilibre entre l’intérêt public et le droit constitutionnel à la propriété dont bénéficient les personnes physiques.</w:t>
      </w:r>
    </w:p>
    <w:p w:rsidR="0076748B" w:rsidRPr="00E564C8" w:rsidRDefault="0076748B" w:rsidP="0076748B">
      <w:pPr>
        <w:jc w:val="both"/>
        <w:rPr>
          <w:rFonts w:ascii="Times New Roman" w:hAnsi="Times New Roman" w:cs="Times New Roman"/>
          <w:sz w:val="24"/>
          <w:szCs w:val="24"/>
        </w:rPr>
      </w:pPr>
      <w:r w:rsidRPr="00A8005C">
        <w:rPr>
          <w:rFonts w:ascii="Times New Roman" w:hAnsi="Times New Roman" w:cs="Times New Roman"/>
          <w:sz w:val="24"/>
          <w:szCs w:val="24"/>
        </w:rPr>
        <w:t>Le demandeur (« Demandeur ») était membre du conseil d’administration d’une société (la « Société</w:t>
      </w:r>
      <w:r>
        <w:rPr>
          <w:rFonts w:ascii="Times New Roman" w:hAnsi="Times New Roman" w:cs="Times New Roman"/>
          <w:sz w:val="24"/>
          <w:szCs w:val="24"/>
        </w:rPr>
        <w:t> »</w:t>
      </w:r>
      <w:r w:rsidRPr="00A8005C">
        <w:rPr>
          <w:rFonts w:ascii="Times New Roman" w:hAnsi="Times New Roman" w:cs="Times New Roman"/>
          <w:sz w:val="24"/>
          <w:szCs w:val="24"/>
        </w:rPr>
        <w:t>) entre 1996 et 1999.</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La Société a</w:t>
      </w:r>
      <w:r>
        <w:rPr>
          <w:rFonts w:ascii="Times New Roman" w:hAnsi="Times New Roman" w:cs="Times New Roman"/>
          <w:sz w:val="24"/>
          <w:szCs w:val="24"/>
        </w:rPr>
        <w:t>vait</w:t>
      </w:r>
      <w:r w:rsidRPr="00A8005C">
        <w:rPr>
          <w:rFonts w:ascii="Times New Roman" w:hAnsi="Times New Roman" w:cs="Times New Roman"/>
          <w:sz w:val="24"/>
          <w:szCs w:val="24"/>
        </w:rPr>
        <w:t xml:space="preserve"> souscrit trois prêts différents auprès de Yaşarbank A.Ş. (« Yaşarbank ») en 1994 et 1995, avant que la banque ne soit transférée au Fonds d’assurance des dépôts d’épargne (le « Fonds »)</w:t>
      </w:r>
      <w:r>
        <w:rPr>
          <w:rFonts w:ascii="Times New Roman" w:hAnsi="Times New Roman" w:cs="Times New Roman"/>
          <w:sz w:val="24"/>
          <w:szCs w:val="24"/>
        </w:rPr>
        <w:t>,</w:t>
      </w:r>
      <w:r w:rsidRPr="00A8005C">
        <w:rPr>
          <w:rFonts w:ascii="Times New Roman" w:hAnsi="Times New Roman" w:cs="Times New Roman"/>
          <w:sz w:val="24"/>
          <w:szCs w:val="24"/>
        </w:rPr>
        <w:t xml:space="preserve"> fin 1999.</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Le Fonds a pour mission de protéger les droits des déposants, de renforcer les structures financières et de recouvrer les créances des banques qui ont été transférées au Fonds par l’Agence de réglementation et de supervision bancaires (l’« Agence »).</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Dans ce cas, l’Agence a transféré Yaşarbank au Fonds à cause de sa mauvaise gestion.</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Lors du transfert, les créances de Yaşarbank, notamment les prêts de la Société, sont devenues des dettes publiques.</w:t>
      </w:r>
    </w:p>
    <w:p w:rsidR="0076748B" w:rsidRPr="00E564C8" w:rsidRDefault="0076748B" w:rsidP="0076748B">
      <w:pPr>
        <w:jc w:val="both"/>
        <w:rPr>
          <w:rFonts w:ascii="Times New Roman" w:hAnsi="Times New Roman" w:cs="Times New Roman"/>
          <w:sz w:val="24"/>
          <w:szCs w:val="24"/>
        </w:rPr>
      </w:pPr>
      <w:r w:rsidRPr="00A8005C">
        <w:rPr>
          <w:rFonts w:ascii="Times New Roman" w:hAnsi="Times New Roman" w:cs="Times New Roman"/>
          <w:sz w:val="24"/>
          <w:szCs w:val="24"/>
        </w:rPr>
        <w:t xml:space="preserve">Le Fonds a signé </w:t>
      </w:r>
      <w:r>
        <w:rPr>
          <w:rFonts w:ascii="Times New Roman" w:hAnsi="Times New Roman" w:cs="Times New Roman"/>
          <w:sz w:val="24"/>
          <w:szCs w:val="24"/>
        </w:rPr>
        <w:t>des</w:t>
      </w:r>
      <w:r w:rsidRPr="00A8005C">
        <w:rPr>
          <w:rFonts w:ascii="Times New Roman" w:hAnsi="Times New Roman" w:cs="Times New Roman"/>
          <w:sz w:val="24"/>
          <w:szCs w:val="24"/>
        </w:rPr>
        <w:t xml:space="preserve"> protocole</w:t>
      </w:r>
      <w:r>
        <w:rPr>
          <w:rFonts w:ascii="Times New Roman" w:hAnsi="Times New Roman" w:cs="Times New Roman"/>
          <w:sz w:val="24"/>
          <w:szCs w:val="24"/>
        </w:rPr>
        <w:t>s</w:t>
      </w:r>
      <w:r w:rsidRPr="00A8005C">
        <w:rPr>
          <w:rFonts w:ascii="Times New Roman" w:hAnsi="Times New Roman" w:cs="Times New Roman"/>
          <w:sz w:val="24"/>
          <w:szCs w:val="24"/>
        </w:rPr>
        <w:t xml:space="preserve"> de règlement avec la Société concernant le paiement de ces dettes publiques.</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Toutefois, la Société n</w:t>
      </w:r>
      <w:r>
        <w:rPr>
          <w:rFonts w:ascii="Times New Roman" w:hAnsi="Times New Roman" w:cs="Times New Roman"/>
          <w:sz w:val="24"/>
          <w:szCs w:val="24"/>
        </w:rPr>
        <w:t xml:space="preserve">e les </w:t>
      </w:r>
      <w:r w:rsidRPr="00A8005C">
        <w:rPr>
          <w:rFonts w:ascii="Times New Roman" w:hAnsi="Times New Roman" w:cs="Times New Roman"/>
          <w:sz w:val="24"/>
          <w:szCs w:val="24"/>
        </w:rPr>
        <w:t>a pas respecté</w:t>
      </w:r>
      <w:r>
        <w:rPr>
          <w:rFonts w:ascii="Times New Roman" w:hAnsi="Times New Roman" w:cs="Times New Roman"/>
          <w:sz w:val="24"/>
          <w:szCs w:val="24"/>
        </w:rPr>
        <w:t>s</w:t>
      </w:r>
      <w:r w:rsidRPr="00A8005C">
        <w:rPr>
          <w:rFonts w:ascii="Times New Roman" w:hAnsi="Times New Roman" w:cs="Times New Roman"/>
          <w:sz w:val="24"/>
          <w:szCs w:val="24"/>
        </w:rPr>
        <w:t>.</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Par conséquent, en mai 2008, le Fonds a introduit une procédure d’exécution</w:t>
      </w:r>
      <w:r>
        <w:rPr>
          <w:rFonts w:ascii="Times New Roman" w:hAnsi="Times New Roman" w:cs="Times New Roman"/>
          <w:sz w:val="24"/>
          <w:szCs w:val="24"/>
        </w:rPr>
        <w:t xml:space="preserve"> pour recouvrer les</w:t>
      </w:r>
      <w:r w:rsidRPr="00A8005C">
        <w:rPr>
          <w:rFonts w:ascii="Times New Roman" w:hAnsi="Times New Roman" w:cs="Times New Roman"/>
          <w:sz w:val="24"/>
          <w:szCs w:val="24"/>
        </w:rPr>
        <w:t xml:space="preserve"> dettes publiques impayées auprès du </w:t>
      </w:r>
      <w:r w:rsidRPr="00A8005C">
        <w:rPr>
          <w:rFonts w:ascii="Times New Roman" w:hAnsi="Times New Roman" w:cs="Times New Roman"/>
          <w:sz w:val="24"/>
          <w:szCs w:val="24"/>
        </w:rPr>
        <w:lastRenderedPageBreak/>
        <w:t>Demandeur, conformément à l’article</w:t>
      </w:r>
      <w:r>
        <w:rPr>
          <w:rFonts w:ascii="Times New Roman" w:hAnsi="Times New Roman" w:cs="Times New Roman"/>
          <w:sz w:val="24"/>
          <w:szCs w:val="24"/>
        </w:rPr>
        <w:t xml:space="preserve"> répétitif</w:t>
      </w:r>
      <w:r w:rsidRPr="00A8005C">
        <w:rPr>
          <w:rFonts w:ascii="Times New Roman" w:hAnsi="Times New Roman" w:cs="Times New Roman"/>
          <w:sz w:val="24"/>
          <w:szCs w:val="24"/>
        </w:rPr>
        <w:t> 35 de la Loi n° 6183 sur la procédure de recouvrement des créances publiques (la « Loi »).</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Cet article dispose que les représentants légaux d’une personne morale seront personnellement responsables des dettes publiques qui ne peuvent être recouvrées auprès de la personne morale.</w:t>
      </w:r>
    </w:p>
    <w:p w:rsidR="0076748B" w:rsidRPr="00E564C8" w:rsidRDefault="0076748B" w:rsidP="0076748B">
      <w:pPr>
        <w:jc w:val="both"/>
        <w:rPr>
          <w:rFonts w:ascii="Times New Roman" w:hAnsi="Times New Roman" w:cs="Times New Roman"/>
          <w:sz w:val="24"/>
          <w:szCs w:val="24"/>
        </w:rPr>
      </w:pPr>
      <w:r w:rsidRPr="00A8005C">
        <w:rPr>
          <w:rFonts w:ascii="Times New Roman" w:hAnsi="Times New Roman" w:cs="Times New Roman"/>
          <w:sz w:val="24"/>
          <w:szCs w:val="24"/>
        </w:rPr>
        <w:t>Le Demandeur a introduit une action pour demander que l’injonction de payer du Fonds soit annulée.</w:t>
      </w:r>
      <w:r w:rsidRPr="00E564C8">
        <w:rPr>
          <w:rFonts w:ascii="Times New Roman" w:hAnsi="Times New Roman" w:cs="Times New Roman"/>
          <w:sz w:val="24"/>
          <w:szCs w:val="24"/>
        </w:rPr>
        <w:t xml:space="preserve"> </w:t>
      </w:r>
      <w:r w:rsidRPr="00A8005C">
        <w:rPr>
          <w:rFonts w:ascii="Times New Roman" w:hAnsi="Times New Roman" w:cs="Times New Roman"/>
          <w:sz w:val="24"/>
          <w:szCs w:val="24"/>
        </w:rPr>
        <w:t>Le Demandeur a affirmé qu’il n’était pas responsable pour les raisons suivantes :</w:t>
      </w:r>
      <w:r w:rsidRPr="00E564C8">
        <w:rPr>
          <w:rFonts w:ascii="Times New Roman" w:hAnsi="Times New Roman" w:cs="Times New Roman"/>
          <w:sz w:val="24"/>
          <w:szCs w:val="24"/>
        </w:rPr>
        <w:t xml:space="preserve"> </w:t>
      </w:r>
    </w:p>
    <w:p w:rsidR="0076748B" w:rsidRPr="00E564C8" w:rsidRDefault="0076748B" w:rsidP="0076748B">
      <w:pPr>
        <w:pStyle w:val="Paragraphedeliste"/>
        <w:numPr>
          <w:ilvl w:val="0"/>
          <w:numId w:val="44"/>
        </w:numPr>
        <w:suppressAutoHyphens w:val="0"/>
        <w:spacing w:after="160" w:line="259" w:lineRule="auto"/>
        <w:contextualSpacing/>
        <w:jc w:val="both"/>
      </w:pPr>
      <w:r w:rsidRPr="00A8005C">
        <w:t xml:space="preserve">Les dettes de la Société sont devenues des créances publiques en août 2001, une fois qu’il </w:t>
      </w:r>
      <w:r>
        <w:t>ne siégeait plus a</w:t>
      </w:r>
      <w:r w:rsidRPr="00A8005C">
        <w:t>u conseil d’administration ;</w:t>
      </w:r>
    </w:p>
    <w:p w:rsidR="0076748B" w:rsidRPr="00E564C8" w:rsidRDefault="0076748B" w:rsidP="0076748B">
      <w:pPr>
        <w:pStyle w:val="Paragraphedeliste"/>
        <w:numPr>
          <w:ilvl w:val="0"/>
          <w:numId w:val="44"/>
        </w:numPr>
        <w:suppressAutoHyphens w:val="0"/>
        <w:spacing w:after="160" w:line="259" w:lineRule="auto"/>
        <w:contextualSpacing/>
        <w:jc w:val="both"/>
      </w:pPr>
      <w:r w:rsidRPr="00A8005C">
        <w:t>L’Article 35(5) de la Loi ne s’appliqu</w:t>
      </w:r>
      <w:r>
        <w:t>ait</w:t>
      </w:r>
      <w:r w:rsidRPr="00A8005C">
        <w:t xml:space="preserve"> pas, parce que la Cour constitutionnelle avait supprimé un élément exécutoire important de l’article (article 35(5)) pour les affaires en instance, ainsi que l’</w:t>
      </w:r>
      <w:r>
        <w:t>a</w:t>
      </w:r>
      <w:r w:rsidRPr="00A8005C">
        <w:t>rticle 35(5) lui-même.</w:t>
      </w:r>
    </w:p>
    <w:p w:rsidR="0076748B" w:rsidRPr="00E564C8" w:rsidRDefault="0076748B" w:rsidP="0076748B">
      <w:pPr>
        <w:jc w:val="both"/>
        <w:rPr>
          <w:rFonts w:ascii="Times New Roman" w:hAnsi="Times New Roman" w:cs="Times New Roman"/>
          <w:sz w:val="24"/>
          <w:szCs w:val="24"/>
        </w:rPr>
      </w:pPr>
      <w:r w:rsidRPr="00A8005C">
        <w:rPr>
          <w:rFonts w:ascii="Times New Roman" w:hAnsi="Times New Roman" w:cs="Times New Roman"/>
          <w:sz w:val="24"/>
          <w:szCs w:val="24"/>
        </w:rPr>
        <w:t>Toutefois, le 8</w:t>
      </w:r>
      <w:r w:rsidRPr="00A8005C">
        <w:rPr>
          <w:rFonts w:ascii="Times New Roman" w:hAnsi="Times New Roman" w:cs="Times New Roman"/>
          <w:sz w:val="24"/>
          <w:szCs w:val="24"/>
          <w:vertAlign w:val="superscript"/>
        </w:rPr>
        <w:t>e</w:t>
      </w:r>
      <w:r w:rsidRPr="00A8005C">
        <w:rPr>
          <w:rFonts w:ascii="Times New Roman" w:hAnsi="Times New Roman" w:cs="Times New Roman"/>
          <w:sz w:val="24"/>
          <w:szCs w:val="24"/>
        </w:rPr>
        <w:t xml:space="preserve"> tribunal administratif d’Istanbul a rejeté la demande d’annulation et sa décision est devenue définitive après avoir été examinée par la Cour suprême.</w:t>
      </w:r>
    </w:p>
    <w:p w:rsidR="0076748B" w:rsidRPr="00E564C8" w:rsidRDefault="0076748B" w:rsidP="0076748B">
      <w:pPr>
        <w:jc w:val="both"/>
        <w:rPr>
          <w:rFonts w:ascii="Times New Roman" w:hAnsi="Times New Roman" w:cs="Times New Roman"/>
          <w:sz w:val="24"/>
          <w:szCs w:val="24"/>
        </w:rPr>
      </w:pPr>
      <w:r w:rsidRPr="00CC184F">
        <w:rPr>
          <w:rFonts w:ascii="Times New Roman" w:hAnsi="Times New Roman" w:cs="Times New Roman"/>
          <w:sz w:val="24"/>
          <w:szCs w:val="24"/>
        </w:rPr>
        <w:t>Le Demandeur a ensuite saisi la Cour constitutionnelle au motif que ses droits de propriété avaient été violés lorsqu’il avait été tenu responsable des dettes de la Société, qui étaient devenues des dettes publiques après qu’il ait démissionné de ses fonctions de représentant de la Société, bien que la Cour constitutionnelle ait abrogé l’article répétitif 35(5).</w:t>
      </w:r>
    </w:p>
    <w:p w:rsidR="0076748B" w:rsidRPr="00E564C8" w:rsidRDefault="0076748B" w:rsidP="0076748B">
      <w:pPr>
        <w:jc w:val="both"/>
        <w:rPr>
          <w:rFonts w:ascii="Times New Roman" w:hAnsi="Times New Roman" w:cs="Times New Roman"/>
          <w:sz w:val="24"/>
          <w:szCs w:val="24"/>
        </w:rPr>
      </w:pPr>
      <w:r w:rsidRPr="00CC184F">
        <w:rPr>
          <w:rFonts w:ascii="Times New Roman" w:hAnsi="Times New Roman" w:cs="Times New Roman"/>
          <w:sz w:val="24"/>
          <w:szCs w:val="24"/>
        </w:rPr>
        <w:t>La Cour constitutionnelle a fait remarquer que l’article répétitif 35(5) avait été abrogé pour supprimer la responsabilité des représentants légaux concernant des dettes qui n’étaient pas dues lorsqu’ils étaient en fonctions.</w:t>
      </w:r>
    </w:p>
    <w:p w:rsidR="0076748B" w:rsidRPr="00E564C8" w:rsidRDefault="0076748B" w:rsidP="0076748B">
      <w:pPr>
        <w:jc w:val="both"/>
        <w:rPr>
          <w:rFonts w:ascii="Times New Roman" w:hAnsi="Times New Roman" w:cs="Times New Roman"/>
          <w:sz w:val="24"/>
          <w:szCs w:val="24"/>
        </w:rPr>
      </w:pPr>
      <w:r w:rsidRPr="00CC184F">
        <w:rPr>
          <w:rFonts w:ascii="Times New Roman" w:hAnsi="Times New Roman" w:cs="Times New Roman"/>
          <w:sz w:val="24"/>
          <w:szCs w:val="24"/>
        </w:rPr>
        <w:t>Dans ces circonstances, la Cour constitutionnelle a arrêté que la responsabilité du Demandeur n’était pas affectée par l’abrogation de l’article exécutoire.</w:t>
      </w:r>
      <w:r w:rsidRPr="00E564C8">
        <w:rPr>
          <w:rFonts w:ascii="Times New Roman" w:hAnsi="Times New Roman" w:cs="Times New Roman"/>
          <w:sz w:val="24"/>
          <w:szCs w:val="24"/>
        </w:rPr>
        <w:t xml:space="preserve"> </w:t>
      </w:r>
      <w:r w:rsidRPr="00CC184F">
        <w:rPr>
          <w:rFonts w:ascii="Times New Roman" w:hAnsi="Times New Roman" w:cs="Times New Roman"/>
          <w:sz w:val="24"/>
          <w:szCs w:val="24"/>
        </w:rPr>
        <w:t>La Cour constitutionnelle a souligné que l’article 35(5) avait été abrogé parce qu’il avait pour effet que les représentants étaient tenus responsables de dettes publiques nées d’opérations dans lesquelles ils n’avaient pas pu intervenir.</w:t>
      </w:r>
    </w:p>
    <w:p w:rsidR="0076748B" w:rsidRPr="00E564C8" w:rsidRDefault="0076748B" w:rsidP="0076748B">
      <w:pPr>
        <w:jc w:val="both"/>
        <w:rPr>
          <w:rFonts w:ascii="Times New Roman" w:hAnsi="Times New Roman" w:cs="Times New Roman"/>
          <w:sz w:val="24"/>
          <w:szCs w:val="24"/>
        </w:rPr>
      </w:pPr>
      <w:r>
        <w:rPr>
          <w:rFonts w:ascii="Times New Roman" w:hAnsi="Times New Roman" w:cs="Times New Roman"/>
          <w:sz w:val="24"/>
          <w:szCs w:val="24"/>
        </w:rPr>
        <w:t>Toutefois</w:t>
      </w:r>
      <w:r w:rsidRPr="00CC184F">
        <w:rPr>
          <w:rFonts w:ascii="Times New Roman" w:hAnsi="Times New Roman" w:cs="Times New Roman"/>
          <w:sz w:val="24"/>
          <w:szCs w:val="24"/>
        </w:rPr>
        <w:t>, la Cour constitutionnelle a arrêté qu’en l’espèce, les dettes impayées étaient exigibles pendant le mandat du Demandeur.</w:t>
      </w:r>
      <w:r w:rsidRPr="00E564C8">
        <w:rPr>
          <w:rFonts w:ascii="Times New Roman" w:hAnsi="Times New Roman" w:cs="Times New Roman"/>
          <w:sz w:val="24"/>
          <w:szCs w:val="24"/>
        </w:rPr>
        <w:t xml:space="preserve"> </w:t>
      </w:r>
      <w:r w:rsidRPr="00CC184F">
        <w:rPr>
          <w:rFonts w:ascii="Times New Roman" w:hAnsi="Times New Roman" w:cs="Times New Roman"/>
          <w:sz w:val="24"/>
          <w:szCs w:val="24"/>
        </w:rPr>
        <w:t>Ainsi, il avait eu la possibilité d’intervenir.</w:t>
      </w:r>
      <w:r w:rsidRPr="00E564C8">
        <w:rPr>
          <w:rFonts w:ascii="Times New Roman" w:hAnsi="Times New Roman" w:cs="Times New Roman"/>
          <w:sz w:val="24"/>
          <w:szCs w:val="24"/>
        </w:rPr>
        <w:t xml:space="preserve"> </w:t>
      </w:r>
      <w:r w:rsidRPr="00CC184F">
        <w:rPr>
          <w:rFonts w:ascii="Times New Roman" w:hAnsi="Times New Roman" w:cs="Times New Roman"/>
          <w:sz w:val="24"/>
          <w:szCs w:val="24"/>
        </w:rPr>
        <w:t xml:space="preserve">La Cour constitutionnelle a donc arrêté que le fait de tenir le Demandeur responsable, dans des circonstances où il avait négligé son obligation de payer les dettes à partir des ressources de la Société, n’était </w:t>
      </w:r>
      <w:r>
        <w:rPr>
          <w:rFonts w:ascii="Times New Roman" w:hAnsi="Times New Roman" w:cs="Times New Roman"/>
          <w:sz w:val="24"/>
          <w:szCs w:val="24"/>
        </w:rPr>
        <w:t>ni</w:t>
      </w:r>
      <w:r w:rsidRPr="00CC184F">
        <w:rPr>
          <w:rFonts w:ascii="Times New Roman" w:hAnsi="Times New Roman" w:cs="Times New Roman"/>
          <w:sz w:val="24"/>
          <w:szCs w:val="24"/>
        </w:rPr>
        <w:t xml:space="preserve"> excessif ni disproportionné.</w:t>
      </w:r>
      <w:r w:rsidRPr="00E564C8">
        <w:rPr>
          <w:rFonts w:ascii="Times New Roman" w:hAnsi="Times New Roman" w:cs="Times New Roman"/>
          <w:sz w:val="24"/>
          <w:szCs w:val="24"/>
        </w:rPr>
        <w:t xml:space="preserve"> </w:t>
      </w:r>
      <w:r w:rsidRPr="00CC184F">
        <w:rPr>
          <w:rFonts w:ascii="Times New Roman" w:hAnsi="Times New Roman" w:cs="Times New Roman"/>
          <w:sz w:val="24"/>
          <w:szCs w:val="24"/>
        </w:rPr>
        <w:t>La Cour a arrêté que cela ne troublait pas l’équilibre essentiel entre l’intérêt public et le droit constitutionnel à la propriété dont bénéficient les personnes physiques.</w:t>
      </w:r>
    </w:p>
    <w:p w:rsidR="0076748B" w:rsidRPr="00E564C8" w:rsidRDefault="0076748B" w:rsidP="0076748B">
      <w:pPr>
        <w:jc w:val="both"/>
        <w:rPr>
          <w:rFonts w:ascii="Times New Roman" w:hAnsi="Times New Roman" w:cs="Times New Roman"/>
          <w:sz w:val="24"/>
          <w:szCs w:val="24"/>
        </w:rPr>
      </w:pPr>
      <w:r w:rsidRPr="00CC184F">
        <w:rPr>
          <w:rFonts w:ascii="Times New Roman" w:hAnsi="Times New Roman" w:cs="Times New Roman"/>
          <w:sz w:val="24"/>
          <w:szCs w:val="24"/>
        </w:rPr>
        <w:t xml:space="preserve">Par conséquent, la Cour constitutionnelle a arrêté que les représentants légaux sont conjointement responsables, avec la personne morale, à compter de la date à laquelle les dettes publiques </w:t>
      </w:r>
      <w:r>
        <w:rPr>
          <w:rFonts w:ascii="Times New Roman" w:hAnsi="Times New Roman" w:cs="Times New Roman"/>
          <w:sz w:val="24"/>
          <w:szCs w:val="24"/>
        </w:rPr>
        <w:t>deviennent</w:t>
      </w:r>
      <w:r w:rsidRPr="00CC184F">
        <w:rPr>
          <w:rFonts w:ascii="Times New Roman" w:hAnsi="Times New Roman" w:cs="Times New Roman"/>
          <w:sz w:val="24"/>
          <w:szCs w:val="24"/>
        </w:rPr>
        <w:t xml:space="preserve"> exigibles.</w:t>
      </w:r>
    </w:p>
    <w:p w:rsidR="0076748B" w:rsidRPr="00E564C8" w:rsidRDefault="0076748B" w:rsidP="0076748B">
      <w:pPr>
        <w:jc w:val="both"/>
        <w:rPr>
          <w:rFonts w:ascii="Times New Roman" w:hAnsi="Times New Roman" w:cs="Times New Roman"/>
          <w:sz w:val="24"/>
          <w:szCs w:val="24"/>
        </w:rPr>
      </w:pPr>
      <w:r w:rsidRPr="00CC184F">
        <w:rPr>
          <w:rFonts w:ascii="Times New Roman" w:hAnsi="Times New Roman" w:cs="Times New Roman"/>
          <w:sz w:val="24"/>
          <w:szCs w:val="24"/>
        </w:rPr>
        <w:lastRenderedPageBreak/>
        <w:t>Cet arrêt est important, car il établit un cadre distinct concernant la responsabilité des représentants d’entreprises à la lumière des droits de propriété protégés tant par la Constitution turque que par la Convention européenne des droits de l’homme.</w:t>
      </w:r>
      <w:r w:rsidRPr="00E564C8">
        <w:rPr>
          <w:rFonts w:ascii="Times New Roman" w:hAnsi="Times New Roman" w:cs="Times New Roman"/>
          <w:sz w:val="24"/>
          <w:szCs w:val="24"/>
        </w:rPr>
        <w:t xml:space="preserve"> </w:t>
      </w:r>
      <w:r w:rsidRPr="00CC184F">
        <w:rPr>
          <w:rFonts w:ascii="Times New Roman" w:hAnsi="Times New Roman" w:cs="Times New Roman"/>
          <w:sz w:val="24"/>
          <w:szCs w:val="24"/>
        </w:rPr>
        <w:t>Il est désormais parfaitement clair que la responsabilité personnelle des représentants d’entreprises peut être engagée s’ils ne respectent pas leur obligation de payer des dettes publiques à partir des ressources de l’entreprise.</w:t>
      </w:r>
    </w:p>
    <w:p w:rsidR="0076748B" w:rsidRPr="00E564C8" w:rsidRDefault="0076748B" w:rsidP="0076748B">
      <w:pPr>
        <w:pBdr>
          <w:bottom w:val="single" w:sz="6" w:space="1" w:color="auto"/>
        </w:pBdr>
        <w:jc w:val="both"/>
        <w:rPr>
          <w:rFonts w:ascii="Times New Roman" w:hAnsi="Times New Roman" w:cs="Times New Roman"/>
          <w:sz w:val="24"/>
          <w:szCs w:val="24"/>
        </w:rPr>
      </w:pPr>
    </w:p>
    <w:p w:rsidR="0076748B" w:rsidRPr="00E564C8" w:rsidRDefault="0076748B" w:rsidP="0076748B">
      <w:pPr>
        <w:jc w:val="both"/>
        <w:rPr>
          <w:rFonts w:ascii="Arial Narrow" w:hAnsi="Arial Narrow" w:cs="Times New Roman"/>
          <w:sz w:val="24"/>
          <w:szCs w:val="24"/>
          <w:u w:val="single"/>
        </w:rPr>
      </w:pPr>
      <w:r w:rsidRPr="0076748B">
        <w:rPr>
          <w:rFonts w:ascii="Arial Narrow" w:hAnsi="Arial Narrow" w:cs="Times New Roman"/>
          <w:b/>
          <w:sz w:val="36"/>
          <w:szCs w:val="36"/>
          <w:u w:val="single"/>
        </w:rPr>
        <w:t>Italie </w:t>
      </w:r>
      <w:r w:rsidRPr="00CC184F">
        <w:rPr>
          <w:rFonts w:ascii="Arial Narrow" w:hAnsi="Arial Narrow" w:cs="Times New Roman"/>
          <w:sz w:val="24"/>
          <w:szCs w:val="24"/>
          <w:u w:val="single"/>
        </w:rPr>
        <w:t>:</w:t>
      </w:r>
      <w:r w:rsidRPr="00E564C8">
        <w:rPr>
          <w:rFonts w:ascii="Arial Narrow" w:hAnsi="Arial Narrow" w:cs="Times New Roman"/>
          <w:sz w:val="24"/>
          <w:szCs w:val="24"/>
          <w:u w:val="single"/>
        </w:rPr>
        <w:t xml:space="preserve"> </w:t>
      </w:r>
      <w:r w:rsidRPr="00CC184F">
        <w:rPr>
          <w:rFonts w:ascii="Arial Narrow" w:hAnsi="Arial Narrow" w:cs="Times New Roman"/>
          <w:sz w:val="24"/>
          <w:szCs w:val="24"/>
          <w:u w:val="single"/>
        </w:rPr>
        <w:t>Réformes systémiques</w:t>
      </w:r>
    </w:p>
    <w:p w:rsidR="0076748B" w:rsidRPr="0076748B" w:rsidRDefault="0076748B" w:rsidP="0076748B">
      <w:pPr>
        <w:jc w:val="both"/>
        <w:rPr>
          <w:rFonts w:ascii="Arial Narrow" w:hAnsi="Arial Narrow" w:cs="Times New Roman"/>
          <w:i/>
          <w:sz w:val="20"/>
          <w:szCs w:val="20"/>
        </w:rPr>
      </w:pPr>
      <w:r w:rsidRPr="00CC184F">
        <w:rPr>
          <w:rFonts w:ascii="Arial Narrow" w:hAnsi="Arial Narrow" w:cs="Times New Roman"/>
          <w:i/>
          <w:sz w:val="20"/>
          <w:szCs w:val="20"/>
        </w:rPr>
        <w:t>Par Eugenio Vaccari, doctorant à City</w:t>
      </w:r>
      <w:r>
        <w:rPr>
          <w:rFonts w:ascii="Arial Narrow" w:hAnsi="Arial Narrow" w:cs="Times New Roman"/>
          <w:i/>
          <w:sz w:val="20"/>
          <w:szCs w:val="20"/>
        </w:rPr>
        <w:t>,</w:t>
      </w:r>
      <w:r w:rsidRPr="00CC184F">
        <w:rPr>
          <w:rFonts w:ascii="Arial Narrow" w:hAnsi="Arial Narrow" w:cs="Times New Roman"/>
          <w:i/>
          <w:sz w:val="20"/>
          <w:szCs w:val="20"/>
        </w:rPr>
        <w:t xml:space="preserve"> University of London</w:t>
      </w:r>
    </w:p>
    <w:p w:rsidR="0076748B" w:rsidRPr="00E564C8" w:rsidRDefault="0076748B" w:rsidP="0076748B">
      <w:pPr>
        <w:jc w:val="both"/>
        <w:rPr>
          <w:rFonts w:ascii="Times New Roman" w:hAnsi="Times New Roman" w:cs="Times New Roman"/>
          <w:b/>
          <w:sz w:val="24"/>
          <w:szCs w:val="24"/>
        </w:rPr>
      </w:pPr>
      <w:r w:rsidRPr="00341C8E">
        <w:rPr>
          <w:rFonts w:ascii="Times New Roman" w:hAnsi="Times New Roman" w:cs="Times New Roman"/>
          <w:b/>
          <w:sz w:val="24"/>
          <w:szCs w:val="24"/>
        </w:rPr>
        <w:t xml:space="preserve">Le 11 octobre 2017, le </w:t>
      </w:r>
      <w:r w:rsidRPr="0048257F">
        <w:rPr>
          <w:rFonts w:ascii="Times New Roman" w:hAnsi="Times New Roman" w:cs="Times New Roman"/>
          <w:b/>
          <w:i/>
          <w:sz w:val="24"/>
          <w:szCs w:val="24"/>
        </w:rPr>
        <w:t>Senato della Repubblica</w:t>
      </w:r>
      <w:r w:rsidRPr="00341C8E">
        <w:rPr>
          <w:rFonts w:ascii="Times New Roman" w:hAnsi="Times New Roman" w:cs="Times New Roman"/>
          <w:b/>
          <w:sz w:val="24"/>
          <w:szCs w:val="24"/>
        </w:rPr>
        <w:t xml:space="preserve"> a approuvé la version définitive d’une loi visant à réformer le droit de l’insolvabilité italien de manière systémique. Ses éléments fondamentaux remontent à 1942.</w:t>
      </w:r>
      <w:r w:rsidRPr="00E564C8">
        <w:rPr>
          <w:rFonts w:ascii="Times New Roman" w:hAnsi="Times New Roman" w:cs="Times New Roman"/>
          <w:b/>
          <w:sz w:val="24"/>
          <w:szCs w:val="24"/>
        </w:rPr>
        <w:t xml:space="preserve"> </w:t>
      </w:r>
      <w:r w:rsidRPr="00341C8E">
        <w:rPr>
          <w:rFonts w:ascii="Times New Roman" w:hAnsi="Times New Roman" w:cs="Times New Roman"/>
          <w:b/>
          <w:sz w:val="24"/>
          <w:szCs w:val="24"/>
        </w:rPr>
        <w:t>La loi n° 155/2017 (la « loi ») a été publiée au Journal officiel le 30 octobre 2017 et est entrée en vigueur le 14 novembre 2017 (année 158, n° 254).</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t xml:space="preserve">Cette réforme </w:t>
      </w:r>
      <w:r>
        <w:rPr>
          <w:rFonts w:ascii="Times New Roman" w:hAnsi="Times New Roman" w:cs="Times New Roman"/>
          <w:sz w:val="24"/>
          <w:szCs w:val="24"/>
        </w:rPr>
        <w:t>repose sur les</w:t>
      </w:r>
      <w:r w:rsidRPr="00341C8E">
        <w:rPr>
          <w:rFonts w:ascii="Times New Roman" w:hAnsi="Times New Roman" w:cs="Times New Roman"/>
          <w:sz w:val="24"/>
          <w:szCs w:val="24"/>
        </w:rPr>
        <w:t xml:space="preserve"> travaux préparatoires de la Commission Rordorf, groupe d’experts que le ministère de la Justice a chargé</w:t>
      </w:r>
      <w:r>
        <w:rPr>
          <w:rFonts w:ascii="Times New Roman" w:hAnsi="Times New Roman" w:cs="Times New Roman"/>
          <w:sz w:val="24"/>
          <w:szCs w:val="24"/>
        </w:rPr>
        <w:t xml:space="preserve">, </w:t>
      </w:r>
      <w:r w:rsidRPr="00341C8E">
        <w:rPr>
          <w:rFonts w:ascii="Times New Roman" w:hAnsi="Times New Roman" w:cs="Times New Roman"/>
          <w:sz w:val="24"/>
          <w:szCs w:val="24"/>
        </w:rPr>
        <w:t>en janvier 2015</w:t>
      </w:r>
      <w:r>
        <w:rPr>
          <w:rFonts w:ascii="Times New Roman" w:hAnsi="Times New Roman" w:cs="Times New Roman"/>
          <w:sz w:val="24"/>
          <w:szCs w:val="24"/>
        </w:rPr>
        <w:t>,</w:t>
      </w:r>
      <w:r w:rsidRPr="00341C8E">
        <w:rPr>
          <w:rFonts w:ascii="Times New Roman" w:hAnsi="Times New Roman" w:cs="Times New Roman"/>
          <w:sz w:val="24"/>
          <w:szCs w:val="24"/>
        </w:rPr>
        <w:t xml:space="preserve"> de préparer un</w:t>
      </w:r>
      <w:r>
        <w:rPr>
          <w:rFonts w:ascii="Times New Roman" w:hAnsi="Times New Roman" w:cs="Times New Roman"/>
          <w:sz w:val="24"/>
          <w:szCs w:val="24"/>
        </w:rPr>
        <w:t>e</w:t>
      </w:r>
      <w:r w:rsidRPr="00341C8E">
        <w:rPr>
          <w:rFonts w:ascii="Times New Roman" w:hAnsi="Times New Roman" w:cs="Times New Roman"/>
          <w:sz w:val="24"/>
          <w:szCs w:val="24"/>
        </w:rPr>
        <w:t xml:space="preserve"> proposition de réforme pour modernise</w:t>
      </w:r>
      <w:r>
        <w:rPr>
          <w:rFonts w:ascii="Times New Roman" w:hAnsi="Times New Roman" w:cs="Times New Roman"/>
          <w:sz w:val="24"/>
          <w:szCs w:val="24"/>
        </w:rPr>
        <w:t>r</w:t>
      </w:r>
      <w:r w:rsidRPr="00341C8E">
        <w:rPr>
          <w:rFonts w:ascii="Times New Roman" w:hAnsi="Times New Roman" w:cs="Times New Roman"/>
          <w:sz w:val="24"/>
          <w:szCs w:val="24"/>
        </w:rPr>
        <w:t xml:space="preserve"> l</w:t>
      </w:r>
      <w:r>
        <w:rPr>
          <w:rFonts w:ascii="Times New Roman" w:hAnsi="Times New Roman" w:cs="Times New Roman"/>
          <w:sz w:val="24"/>
          <w:szCs w:val="24"/>
        </w:rPr>
        <w:t xml:space="preserve">a législation </w:t>
      </w:r>
      <w:r w:rsidRPr="00341C8E">
        <w:rPr>
          <w:rFonts w:ascii="Times New Roman" w:hAnsi="Times New Roman" w:cs="Times New Roman"/>
          <w:sz w:val="24"/>
          <w:szCs w:val="24"/>
        </w:rPr>
        <w:t>sur l’insolvabilité.</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La Commission et le Gouvernement ont été inspirés par le souhait d’introduire et de respecter les bonnes pratiques internationales énoncées par la CNUDCI et l’UE (bien que, de manière surprenante, il ne soit pas fait mention de la proposition de 2016 de directive sur l’insolvabilité, la restructuration et la seconde chance).</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t xml:space="preserve">Cette loi ne </w:t>
      </w:r>
      <w:r>
        <w:rPr>
          <w:rFonts w:ascii="Times New Roman" w:hAnsi="Times New Roman" w:cs="Times New Roman"/>
          <w:sz w:val="24"/>
          <w:szCs w:val="24"/>
        </w:rPr>
        <w:t>modifie</w:t>
      </w:r>
      <w:r w:rsidRPr="00341C8E">
        <w:rPr>
          <w:rFonts w:ascii="Times New Roman" w:hAnsi="Times New Roman" w:cs="Times New Roman"/>
          <w:sz w:val="24"/>
          <w:szCs w:val="24"/>
        </w:rPr>
        <w:t xml:space="preserve"> pas </w:t>
      </w:r>
      <w:r>
        <w:rPr>
          <w:rFonts w:ascii="Times New Roman" w:hAnsi="Times New Roman" w:cs="Times New Roman"/>
          <w:i/>
          <w:sz w:val="24"/>
          <w:szCs w:val="24"/>
        </w:rPr>
        <w:t>fondamentalement</w:t>
      </w:r>
      <w:r w:rsidRPr="00341C8E">
        <w:rPr>
          <w:rFonts w:ascii="Times New Roman" w:hAnsi="Times New Roman" w:cs="Times New Roman"/>
          <w:sz w:val="24"/>
          <w:szCs w:val="24"/>
        </w:rPr>
        <w:t xml:space="preserve"> la législation actuelle.</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Elle donne au Gouvernement le pouvoir (et un délai de douze mois) de modifier la loi au moyen d’un ou de plusieurs décrets, qui doivent se conformer aux lignes directrices décrites ci-dessous.</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Leur promulgation déterminera une modification de la loi applicable.</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t>La loi privilégie la sauvegarde par rapport à la liquidation et vise à réduire la durée et le coût des procédures d’insolvabilité judiciaires.</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Elle plaide pour l’introduction de la notion de « situation de crise » en plus de l’« insolvabilité », et pour l’adoption d’un modèle procédural unique pour toutes les procédures judiciaires, quelle que soit la nature du débiteur (à l’unique exception des entités publiques).</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t>Elle propose de remplacer le terme « défaillance » par « liquidation » afin de réduire les stigmates liés à l’insolvabilité.</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Par ailleurs, elle augmente notablement les pouvoirs du curateur dans les affaires de liquidation.</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 xml:space="preserve">Cela représente un changement radical </w:t>
      </w:r>
      <w:r>
        <w:rPr>
          <w:rFonts w:ascii="Times New Roman" w:hAnsi="Times New Roman" w:cs="Times New Roman"/>
          <w:sz w:val="24"/>
          <w:szCs w:val="24"/>
        </w:rPr>
        <w:t>par rapport à</w:t>
      </w:r>
      <w:r w:rsidRPr="00341C8E">
        <w:rPr>
          <w:rFonts w:ascii="Times New Roman" w:hAnsi="Times New Roman" w:cs="Times New Roman"/>
          <w:sz w:val="24"/>
          <w:szCs w:val="24"/>
        </w:rPr>
        <w:t xml:space="preserve"> la tradition italienne, car le pays a toujours préféré s’appuyer sur des procédures qui privilégient l’équité et la transparence (par le biais du contrôle judiciaire) plutôt que </w:t>
      </w:r>
      <w:r>
        <w:rPr>
          <w:rFonts w:ascii="Times New Roman" w:hAnsi="Times New Roman" w:cs="Times New Roman"/>
          <w:sz w:val="24"/>
          <w:szCs w:val="24"/>
        </w:rPr>
        <w:t>la maximisation du résultat pour les</w:t>
      </w:r>
      <w:r w:rsidRPr="00341C8E">
        <w:rPr>
          <w:rFonts w:ascii="Times New Roman" w:hAnsi="Times New Roman" w:cs="Times New Roman"/>
          <w:sz w:val="24"/>
          <w:szCs w:val="24"/>
        </w:rPr>
        <w:t xml:space="preserve"> créanciers.</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lastRenderedPageBreak/>
        <w:t>La loi recommande de créer une procédure de groupe pour les entités soumises à la compétence des juridictions italiennes.</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Si les parties optent pour des procédures distinctes, la loi prévoit la mise en œuvre de pratiques de coordination.</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t>Autre point fort, l’introduction de la « procédure d’alerte et de concordat », c’est-à-dire une procédure confidentielle amiable qui se déroule sous le contrôle de la Chambre de commerce.</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Une telle procédure devrait permettre de sortir plus tôt d’une crise, car le débiteur est assisté par un organisme professionnel dans le but de redresser son entreprise et d’aboutir à un accord avec ses créanciers.</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Le débiteur peut également demander certaines protections au tribunal, notamment une suspension des mesures d’exécution.</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t>Toutefois, certains éléments militent contre l’utilisation préventive de cette procédure.</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En particulier, la procédure d’alerte et de concordat peut être déclenchée par certaines entités publique</w:t>
      </w:r>
      <w:r>
        <w:rPr>
          <w:rFonts w:ascii="Times New Roman" w:hAnsi="Times New Roman" w:cs="Times New Roman"/>
          <w:sz w:val="24"/>
          <w:szCs w:val="24"/>
        </w:rPr>
        <w:t>s</w:t>
      </w:r>
      <w:r w:rsidRPr="00341C8E">
        <w:rPr>
          <w:rFonts w:ascii="Times New Roman" w:hAnsi="Times New Roman" w:cs="Times New Roman"/>
          <w:sz w:val="24"/>
          <w:szCs w:val="24"/>
        </w:rPr>
        <w:t xml:space="preserve"> sans le consentement du débiteur.</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 xml:space="preserve">En outre, si les parties ne parviennent pas à s’entendre, ce fait sera rendu public par la Chambre de commerce, annihilant ainsi les éventuels avantages pouvant découler de </w:t>
      </w:r>
      <w:r>
        <w:rPr>
          <w:rFonts w:ascii="Times New Roman" w:hAnsi="Times New Roman" w:cs="Times New Roman"/>
          <w:sz w:val="24"/>
          <w:szCs w:val="24"/>
        </w:rPr>
        <w:t>la</w:t>
      </w:r>
      <w:r w:rsidRPr="00341C8E">
        <w:rPr>
          <w:rFonts w:ascii="Times New Roman" w:hAnsi="Times New Roman" w:cs="Times New Roman"/>
          <w:sz w:val="24"/>
          <w:szCs w:val="24"/>
        </w:rPr>
        <w:t xml:space="preserve"> nature confidentielle</w:t>
      </w:r>
      <w:r>
        <w:rPr>
          <w:rFonts w:ascii="Times New Roman" w:hAnsi="Times New Roman" w:cs="Times New Roman"/>
          <w:sz w:val="24"/>
          <w:szCs w:val="24"/>
        </w:rPr>
        <w:t xml:space="preserve"> de la procédure</w:t>
      </w:r>
      <w:r w:rsidRPr="00341C8E">
        <w:rPr>
          <w:rFonts w:ascii="Times New Roman" w:hAnsi="Times New Roman" w:cs="Times New Roman"/>
          <w:sz w:val="24"/>
          <w:szCs w:val="24"/>
        </w:rPr>
        <w:t>.</w:t>
      </w:r>
      <w:r w:rsidRPr="00E564C8">
        <w:rPr>
          <w:rFonts w:ascii="Times New Roman" w:hAnsi="Times New Roman" w:cs="Times New Roman"/>
          <w:sz w:val="24"/>
          <w:szCs w:val="24"/>
        </w:rPr>
        <w:t xml:space="preserve"> </w:t>
      </w:r>
      <w:r w:rsidRPr="00341C8E">
        <w:rPr>
          <w:rFonts w:ascii="Times New Roman" w:hAnsi="Times New Roman" w:cs="Times New Roman"/>
          <w:sz w:val="24"/>
          <w:szCs w:val="24"/>
        </w:rPr>
        <w:t>Enfin, si l’insolvabilité est constatée à la fin de la procédure infructueuse, le procureur de la République est dans l’obligation de déposer une demande de liquidation.</w:t>
      </w:r>
    </w:p>
    <w:p w:rsidR="0076748B" w:rsidRPr="00E564C8" w:rsidRDefault="0076748B" w:rsidP="0076748B">
      <w:pPr>
        <w:jc w:val="both"/>
        <w:rPr>
          <w:rFonts w:ascii="Times New Roman" w:hAnsi="Times New Roman" w:cs="Times New Roman"/>
          <w:sz w:val="24"/>
          <w:szCs w:val="24"/>
        </w:rPr>
      </w:pPr>
      <w:r w:rsidRPr="00341C8E">
        <w:rPr>
          <w:rFonts w:ascii="Times New Roman" w:hAnsi="Times New Roman" w:cs="Times New Roman"/>
          <w:sz w:val="24"/>
          <w:szCs w:val="24"/>
        </w:rPr>
        <w:t>Comme on le voit, cette loi n’est pas parfaite ;</w:t>
      </w:r>
      <w:r w:rsidRPr="00E564C8">
        <w:rPr>
          <w:rFonts w:ascii="Times New Roman" w:hAnsi="Times New Roman" w:cs="Times New Roman"/>
          <w:sz w:val="24"/>
          <w:szCs w:val="24"/>
        </w:rPr>
        <w:t xml:space="preserve"> </w:t>
      </w:r>
      <w:r w:rsidRPr="00E726D4">
        <w:rPr>
          <w:rFonts w:ascii="Times New Roman" w:hAnsi="Times New Roman" w:cs="Times New Roman"/>
          <w:sz w:val="24"/>
          <w:szCs w:val="24"/>
        </w:rPr>
        <w:t>toutefois, elle constitue une amélioration fort nécessaire.</w:t>
      </w:r>
      <w:r w:rsidRPr="00E564C8">
        <w:rPr>
          <w:rFonts w:ascii="Times New Roman" w:hAnsi="Times New Roman" w:cs="Times New Roman"/>
          <w:sz w:val="24"/>
          <w:szCs w:val="24"/>
        </w:rPr>
        <w:t xml:space="preserve"> </w:t>
      </w:r>
      <w:r w:rsidRPr="00E726D4">
        <w:rPr>
          <w:rFonts w:ascii="Times New Roman" w:hAnsi="Times New Roman" w:cs="Times New Roman"/>
          <w:sz w:val="24"/>
          <w:szCs w:val="24"/>
        </w:rPr>
        <w:t xml:space="preserve">Les douze prochains mois nous diront si la première réforme organique du droit de l’insolvabilité </w:t>
      </w:r>
      <w:r>
        <w:rPr>
          <w:rFonts w:ascii="Times New Roman" w:hAnsi="Times New Roman" w:cs="Times New Roman"/>
          <w:sz w:val="24"/>
          <w:szCs w:val="24"/>
        </w:rPr>
        <w:t xml:space="preserve">italien </w:t>
      </w:r>
      <w:r w:rsidRPr="00E726D4">
        <w:rPr>
          <w:rFonts w:ascii="Times New Roman" w:hAnsi="Times New Roman" w:cs="Times New Roman"/>
          <w:sz w:val="24"/>
          <w:szCs w:val="24"/>
        </w:rPr>
        <w:t>depuis l’époque mussolinienne recevra le feu vert.</w:t>
      </w:r>
    </w:p>
    <w:p w:rsidR="0076748B" w:rsidRPr="00E564C8" w:rsidRDefault="0076748B" w:rsidP="0076748B">
      <w:pPr>
        <w:pBdr>
          <w:bottom w:val="single" w:sz="6" w:space="1" w:color="auto"/>
        </w:pBdr>
        <w:jc w:val="both"/>
        <w:rPr>
          <w:rFonts w:ascii="Times New Roman" w:hAnsi="Times New Roman" w:cs="Times New Roman"/>
          <w:sz w:val="24"/>
          <w:szCs w:val="24"/>
        </w:rPr>
      </w:pPr>
    </w:p>
    <w:p w:rsidR="0076748B" w:rsidRPr="00E564C8" w:rsidRDefault="0076748B" w:rsidP="0076748B">
      <w:pPr>
        <w:jc w:val="both"/>
        <w:rPr>
          <w:rFonts w:ascii="Arial Narrow" w:hAnsi="Arial Narrow" w:cs="Times New Roman"/>
          <w:sz w:val="24"/>
          <w:szCs w:val="24"/>
          <w:u w:val="single"/>
        </w:rPr>
      </w:pPr>
      <w:r w:rsidRPr="0076748B">
        <w:rPr>
          <w:rFonts w:ascii="Arial Narrow" w:hAnsi="Arial Narrow" w:cs="Times New Roman"/>
          <w:b/>
          <w:sz w:val="36"/>
          <w:szCs w:val="36"/>
          <w:u w:val="single"/>
        </w:rPr>
        <w:t>Lettonie</w:t>
      </w:r>
      <w:r w:rsidRPr="00E726D4">
        <w:rPr>
          <w:rFonts w:ascii="Arial Narrow" w:hAnsi="Arial Narrow" w:cs="Times New Roman"/>
          <w:sz w:val="24"/>
          <w:szCs w:val="24"/>
          <w:u w:val="single"/>
        </w:rPr>
        <w:t xml:space="preserve"> : Disparition des administrateurs </w:t>
      </w:r>
      <w:r>
        <w:rPr>
          <w:rFonts w:ascii="Arial Narrow" w:hAnsi="Arial Narrow" w:cs="Times New Roman"/>
          <w:sz w:val="24"/>
          <w:szCs w:val="24"/>
          <w:u w:val="single"/>
        </w:rPr>
        <w:t xml:space="preserve">en cas de </w:t>
      </w:r>
      <w:r w:rsidRPr="00E726D4">
        <w:rPr>
          <w:rFonts w:ascii="Arial Narrow" w:hAnsi="Arial Narrow" w:cs="Times New Roman"/>
          <w:sz w:val="24"/>
          <w:szCs w:val="24"/>
          <w:u w:val="single"/>
        </w:rPr>
        <w:t>restructuration</w:t>
      </w:r>
      <w:r>
        <w:rPr>
          <w:rFonts w:ascii="Arial Narrow" w:hAnsi="Arial Narrow" w:cs="Times New Roman"/>
          <w:sz w:val="24"/>
          <w:szCs w:val="24"/>
          <w:u w:val="single"/>
        </w:rPr>
        <w:t xml:space="preserve"> —</w:t>
      </w:r>
      <w:r w:rsidRPr="00E726D4">
        <w:rPr>
          <w:rFonts w:ascii="Arial Narrow" w:hAnsi="Arial Narrow" w:cs="Times New Roman"/>
          <w:sz w:val="24"/>
          <w:szCs w:val="24"/>
          <w:u w:val="single"/>
        </w:rPr>
        <w:t xml:space="preserve"> </w:t>
      </w:r>
      <w:r>
        <w:rPr>
          <w:rFonts w:ascii="Arial Narrow" w:hAnsi="Arial Narrow" w:cs="Times New Roman"/>
          <w:sz w:val="24"/>
          <w:szCs w:val="24"/>
          <w:u w:val="single"/>
        </w:rPr>
        <w:t>la</w:t>
      </w:r>
      <w:r w:rsidRPr="00E726D4">
        <w:rPr>
          <w:rFonts w:ascii="Arial Narrow" w:hAnsi="Arial Narrow" w:cs="Times New Roman"/>
          <w:sz w:val="24"/>
          <w:szCs w:val="24"/>
          <w:u w:val="single"/>
        </w:rPr>
        <w:t xml:space="preserve"> faibles</w:t>
      </w:r>
      <w:r>
        <w:rPr>
          <w:rFonts w:ascii="Arial Narrow" w:hAnsi="Arial Narrow" w:cs="Times New Roman"/>
          <w:sz w:val="24"/>
          <w:szCs w:val="24"/>
          <w:u w:val="single"/>
        </w:rPr>
        <w:t xml:space="preserve">se des </w:t>
      </w:r>
      <w:r w:rsidRPr="00E726D4">
        <w:rPr>
          <w:rFonts w:ascii="Arial Narrow" w:hAnsi="Arial Narrow" w:cs="Times New Roman"/>
          <w:sz w:val="24"/>
          <w:szCs w:val="24"/>
          <w:u w:val="single"/>
        </w:rPr>
        <w:t xml:space="preserve">exigences </w:t>
      </w:r>
      <w:r>
        <w:rPr>
          <w:rFonts w:ascii="Arial Narrow" w:hAnsi="Arial Narrow" w:cs="Times New Roman"/>
          <w:sz w:val="24"/>
          <w:szCs w:val="24"/>
          <w:u w:val="single"/>
        </w:rPr>
        <w:t xml:space="preserve">législatives </w:t>
      </w:r>
      <w:r w:rsidRPr="00E726D4">
        <w:rPr>
          <w:rFonts w:ascii="Arial Narrow" w:hAnsi="Arial Narrow" w:cs="Times New Roman"/>
          <w:sz w:val="24"/>
          <w:szCs w:val="24"/>
          <w:u w:val="single"/>
        </w:rPr>
        <w:t>favoriserait-elle de manière disproportionnée les intérêts des créanciers ?</w:t>
      </w:r>
    </w:p>
    <w:p w:rsidR="0076748B" w:rsidRPr="00E726D4" w:rsidRDefault="0076748B" w:rsidP="0076748B">
      <w:pPr>
        <w:jc w:val="both"/>
        <w:rPr>
          <w:rFonts w:ascii="Arial Narrow" w:hAnsi="Arial Narrow" w:cs="Times New Roman"/>
          <w:i/>
          <w:sz w:val="20"/>
          <w:szCs w:val="20"/>
          <w:lang w:val="en-GB"/>
        </w:rPr>
      </w:pPr>
      <w:r w:rsidRPr="00E564C8">
        <w:rPr>
          <w:rFonts w:ascii="Arial Narrow" w:hAnsi="Arial Narrow" w:cs="Times New Roman"/>
          <w:i/>
          <w:sz w:val="20"/>
          <w:szCs w:val="20"/>
          <w:lang w:val="en-US"/>
        </w:rPr>
        <w:t>Par Niklāvs Zieds, avocat, collaborateur junior, bnt attorneys in CEE, Riga (Lettonie)</w:t>
      </w:r>
    </w:p>
    <w:p w:rsidR="0076748B" w:rsidRPr="00E564C8" w:rsidRDefault="0076748B" w:rsidP="0076748B">
      <w:pPr>
        <w:jc w:val="both"/>
        <w:rPr>
          <w:rFonts w:ascii="Times New Roman" w:hAnsi="Times New Roman" w:cs="Times New Roman"/>
          <w:b/>
          <w:sz w:val="24"/>
          <w:szCs w:val="24"/>
        </w:rPr>
      </w:pPr>
      <w:r w:rsidRPr="00AB2049">
        <w:rPr>
          <w:rFonts w:ascii="Times New Roman" w:hAnsi="Times New Roman" w:cs="Times New Roman"/>
          <w:b/>
          <w:sz w:val="24"/>
          <w:szCs w:val="24"/>
        </w:rPr>
        <w:t xml:space="preserve">À la suite des amendements à la loi sur l’insolvabilité, entrés en vigueur le 6 janvier 2017, </w:t>
      </w:r>
      <w:r>
        <w:rPr>
          <w:rFonts w:ascii="Times New Roman" w:hAnsi="Times New Roman" w:cs="Times New Roman"/>
          <w:b/>
          <w:sz w:val="24"/>
          <w:szCs w:val="24"/>
        </w:rPr>
        <w:t>la</w:t>
      </w:r>
      <w:r w:rsidRPr="00AB2049">
        <w:rPr>
          <w:rFonts w:ascii="Times New Roman" w:hAnsi="Times New Roman" w:cs="Times New Roman"/>
          <w:b/>
          <w:sz w:val="24"/>
          <w:szCs w:val="24"/>
        </w:rPr>
        <w:t xml:space="preserve"> procédure de restructuration ne f</w:t>
      </w:r>
      <w:r>
        <w:rPr>
          <w:rFonts w:ascii="Times New Roman" w:hAnsi="Times New Roman" w:cs="Times New Roman"/>
          <w:b/>
          <w:sz w:val="24"/>
          <w:szCs w:val="24"/>
        </w:rPr>
        <w:t>ait</w:t>
      </w:r>
      <w:r w:rsidRPr="00AB2049">
        <w:rPr>
          <w:rFonts w:ascii="Times New Roman" w:hAnsi="Times New Roman" w:cs="Times New Roman"/>
          <w:b/>
          <w:sz w:val="24"/>
          <w:szCs w:val="24"/>
        </w:rPr>
        <w:t xml:space="preserve"> plus intervenir d’administrateur de l’insolvabilité, puisque cette fonction a été remplacée par celle de « superviseur de la restructuration ».</w:t>
      </w:r>
    </w:p>
    <w:p w:rsidR="0076748B" w:rsidRPr="00E564C8" w:rsidRDefault="0076748B" w:rsidP="0076748B">
      <w:pPr>
        <w:jc w:val="both"/>
        <w:rPr>
          <w:rFonts w:ascii="Times New Roman" w:hAnsi="Times New Roman" w:cs="Times New Roman"/>
          <w:sz w:val="24"/>
          <w:szCs w:val="24"/>
        </w:rPr>
      </w:pPr>
      <w:r w:rsidRPr="00AB2049">
        <w:rPr>
          <w:rFonts w:ascii="Times New Roman" w:hAnsi="Times New Roman" w:cs="Times New Roman"/>
          <w:sz w:val="24"/>
          <w:szCs w:val="24"/>
        </w:rPr>
        <w:t>Alors que les procédures de restructuration étaient jusqu’à présent contrôlées par des administrateurs de l’insolvabilité certifiés qui devaient satisfaire des exigences strictes en termes de formation et de respect des normes légales, ce contrôle sera désormais exercé par des superviseurs de la restructuration, ayant pour seule obligation d’être une personne physique ayant pleine capacité juridique.</w:t>
      </w:r>
    </w:p>
    <w:p w:rsidR="0076748B" w:rsidRPr="00E564C8" w:rsidRDefault="0076748B" w:rsidP="0076748B">
      <w:pPr>
        <w:jc w:val="both"/>
        <w:rPr>
          <w:rFonts w:ascii="Times New Roman" w:hAnsi="Times New Roman" w:cs="Times New Roman"/>
          <w:sz w:val="24"/>
          <w:szCs w:val="24"/>
        </w:rPr>
      </w:pPr>
      <w:r w:rsidRPr="00AB2049">
        <w:rPr>
          <w:rFonts w:ascii="Times New Roman" w:hAnsi="Times New Roman" w:cs="Times New Roman"/>
          <w:sz w:val="24"/>
          <w:szCs w:val="24"/>
        </w:rPr>
        <w:t>Au vu de la prévalence des activités de restructuration présentant un élément international, et compte tenu de la liberté d’établissement et de la liberté de fournir des services, les superviseurs de la restructuration doivent avoir la possibilité de résider et de travailler légalement en Lettonie pendant la durée de la procédure de restructuration.</w:t>
      </w:r>
      <w:r w:rsidRPr="00E564C8">
        <w:rPr>
          <w:rFonts w:ascii="Times New Roman" w:hAnsi="Times New Roman" w:cs="Times New Roman"/>
          <w:sz w:val="24"/>
          <w:szCs w:val="24"/>
        </w:rPr>
        <w:t xml:space="preserve"> </w:t>
      </w:r>
      <w:r w:rsidRPr="00AB2049">
        <w:rPr>
          <w:rFonts w:ascii="Times New Roman" w:hAnsi="Times New Roman" w:cs="Times New Roman"/>
          <w:sz w:val="24"/>
          <w:szCs w:val="24"/>
        </w:rPr>
        <w:t xml:space="preserve">Ainsi, les experts étrangers en matière de </w:t>
      </w:r>
      <w:r w:rsidRPr="00AB2049">
        <w:rPr>
          <w:rFonts w:ascii="Times New Roman" w:hAnsi="Times New Roman" w:cs="Times New Roman"/>
          <w:sz w:val="24"/>
          <w:szCs w:val="24"/>
        </w:rPr>
        <w:lastRenderedPageBreak/>
        <w:t>restructuration représentent également un choix viable pour les créanciers lorsqu’ils choisissent leur candidat préféré.</w:t>
      </w:r>
      <w:r w:rsidRPr="00E564C8">
        <w:rPr>
          <w:rFonts w:ascii="Times New Roman" w:hAnsi="Times New Roman" w:cs="Times New Roman"/>
          <w:sz w:val="24"/>
          <w:szCs w:val="24"/>
        </w:rPr>
        <w:t xml:space="preserve"> </w:t>
      </w:r>
      <w:r w:rsidRPr="00AB2049">
        <w:rPr>
          <w:rFonts w:ascii="Times New Roman" w:hAnsi="Times New Roman" w:cs="Times New Roman"/>
          <w:sz w:val="24"/>
          <w:szCs w:val="24"/>
        </w:rPr>
        <w:t>Il convient de noter que les superviseurs de la restructuration étrangers sont tenus de respecter les normes nationales applicables à des fonctions équivalentes à celles de superviseur de la restructuration, conformément aux normes légales de leur pays de résidence.</w:t>
      </w:r>
    </w:p>
    <w:p w:rsidR="0076748B" w:rsidRPr="00E564C8" w:rsidRDefault="0076748B" w:rsidP="0076748B">
      <w:pPr>
        <w:jc w:val="both"/>
        <w:rPr>
          <w:rFonts w:ascii="Times New Roman" w:hAnsi="Times New Roman" w:cs="Times New Roman"/>
          <w:sz w:val="24"/>
          <w:szCs w:val="24"/>
        </w:rPr>
      </w:pPr>
      <w:r w:rsidRPr="00AB2049">
        <w:rPr>
          <w:rFonts w:ascii="Times New Roman" w:hAnsi="Times New Roman" w:cs="Times New Roman"/>
          <w:sz w:val="24"/>
          <w:szCs w:val="24"/>
        </w:rPr>
        <w:t>En outre, les superviseurs de la restructuration ne doivent pas avoir été condamnés pour un délit intentionnel, ne doivent pas avoir fait l’objet d’une procédure d’insolvabilité au cours des cinq années précédentes et ne doivent pas avoir causé l’insolvabilité d’une personne morale.</w:t>
      </w:r>
      <w:r w:rsidRPr="00E564C8">
        <w:rPr>
          <w:rFonts w:ascii="Times New Roman" w:hAnsi="Times New Roman" w:cs="Times New Roman"/>
          <w:sz w:val="24"/>
          <w:szCs w:val="24"/>
        </w:rPr>
        <w:t xml:space="preserve"> </w:t>
      </w:r>
      <w:r w:rsidRPr="00AB2049">
        <w:rPr>
          <w:rFonts w:ascii="Times New Roman" w:hAnsi="Times New Roman" w:cs="Times New Roman"/>
          <w:sz w:val="24"/>
          <w:szCs w:val="24"/>
        </w:rPr>
        <w:t>De la même manière, au cours des cinq dernières années, le superviseur de l’insolvabilité proposé ne doit pas avoir été licencié ni suspendu de ses fonctions publiques, ni révoqué de ses fonctions de supervision d’une procédure de restructuration pour abus d’autorité.</w:t>
      </w:r>
    </w:p>
    <w:p w:rsidR="0076748B" w:rsidRPr="00E564C8" w:rsidRDefault="0076748B" w:rsidP="0076748B">
      <w:pPr>
        <w:jc w:val="both"/>
        <w:rPr>
          <w:rFonts w:ascii="Times New Roman" w:hAnsi="Times New Roman" w:cs="Times New Roman"/>
          <w:sz w:val="24"/>
          <w:szCs w:val="24"/>
        </w:rPr>
      </w:pPr>
      <w:r w:rsidRPr="00AB2049">
        <w:rPr>
          <w:rFonts w:ascii="Times New Roman" w:hAnsi="Times New Roman" w:cs="Times New Roman"/>
          <w:sz w:val="24"/>
          <w:szCs w:val="24"/>
        </w:rPr>
        <w:t>La restriction la plus notable, cependant, reste l’interdiction imposée aux personnes impliquées dans la préparation d’un plan de restructuration, puisqu’il leur est interdit de devenir superviseurs de la restructuration dans l’affaire en question.</w:t>
      </w:r>
      <w:r w:rsidRPr="00E564C8">
        <w:rPr>
          <w:rFonts w:ascii="Times New Roman" w:hAnsi="Times New Roman" w:cs="Times New Roman"/>
          <w:sz w:val="24"/>
          <w:szCs w:val="24"/>
        </w:rPr>
        <w:t xml:space="preserve"> </w:t>
      </w:r>
      <w:r w:rsidRPr="00AB2049">
        <w:rPr>
          <w:rFonts w:ascii="Times New Roman" w:hAnsi="Times New Roman" w:cs="Times New Roman"/>
          <w:sz w:val="24"/>
          <w:szCs w:val="24"/>
        </w:rPr>
        <w:t>Étant donné que les plans de restructuration doivent être approuvés par le superviseur délégué par les créanciers, il semble quelque peu contestable que les législateurs soient parvenus à réaliser leur intention de trouver un équilibre relativement proportionné entre les intérêts des créanciers et ceux des débiteurs.</w:t>
      </w:r>
    </w:p>
    <w:p w:rsidR="0076748B" w:rsidRPr="00E564C8" w:rsidRDefault="0076748B" w:rsidP="0076748B">
      <w:pPr>
        <w:jc w:val="both"/>
        <w:rPr>
          <w:rFonts w:ascii="Times New Roman" w:hAnsi="Times New Roman" w:cs="Times New Roman"/>
          <w:sz w:val="24"/>
          <w:szCs w:val="24"/>
        </w:rPr>
      </w:pPr>
      <w:r w:rsidRPr="00AB2049">
        <w:rPr>
          <w:rFonts w:ascii="Times New Roman" w:hAnsi="Times New Roman" w:cs="Times New Roman"/>
          <w:sz w:val="24"/>
          <w:szCs w:val="24"/>
        </w:rPr>
        <w:t>Néanmoins, pour ce qui est des autres exigences, les superviseurs de la restructuration ne sont pas tenus de respecter les conditions préalables de certification et de formation traditionnellement imposées aux administrateurs de l’insolvabilité.</w:t>
      </w:r>
    </w:p>
    <w:p w:rsidR="0076748B" w:rsidRPr="00E564C8" w:rsidRDefault="0076748B" w:rsidP="0076748B">
      <w:pPr>
        <w:jc w:val="both"/>
        <w:rPr>
          <w:rFonts w:ascii="Times New Roman" w:hAnsi="Times New Roman" w:cs="Times New Roman"/>
          <w:sz w:val="24"/>
          <w:szCs w:val="24"/>
        </w:rPr>
      </w:pPr>
      <w:r w:rsidRPr="00AB2049">
        <w:rPr>
          <w:rFonts w:ascii="Times New Roman" w:hAnsi="Times New Roman" w:cs="Times New Roman"/>
          <w:sz w:val="24"/>
          <w:szCs w:val="24"/>
        </w:rPr>
        <w:t>Les superviseurs de la restructuration sont désignés par les tribunaux sur proposition des créanciers gagistes dont les créances principales représentent les deux tiers des créances garanties totales, et des créanciers chirographaires dont les créances représentent la moitié des créances non garanties totales.</w:t>
      </w:r>
      <w:r w:rsidRPr="00E564C8">
        <w:rPr>
          <w:rFonts w:ascii="Times New Roman" w:hAnsi="Times New Roman" w:cs="Times New Roman"/>
          <w:sz w:val="24"/>
          <w:szCs w:val="24"/>
        </w:rPr>
        <w:t xml:space="preserve"> </w:t>
      </w:r>
      <w:r w:rsidRPr="00AB2049">
        <w:rPr>
          <w:rFonts w:ascii="Times New Roman" w:hAnsi="Times New Roman" w:cs="Times New Roman"/>
          <w:sz w:val="24"/>
          <w:szCs w:val="24"/>
        </w:rPr>
        <w:t>Toutefois, le consentement du débiteur doit également être obtenu.</w:t>
      </w:r>
    </w:p>
    <w:p w:rsidR="0076748B" w:rsidRPr="00E564C8" w:rsidRDefault="0076748B" w:rsidP="0076748B">
      <w:pPr>
        <w:jc w:val="both"/>
        <w:rPr>
          <w:rFonts w:ascii="Times New Roman" w:hAnsi="Times New Roman" w:cs="Times New Roman"/>
          <w:sz w:val="24"/>
          <w:szCs w:val="24"/>
        </w:rPr>
      </w:pPr>
      <w:r w:rsidRPr="00AB2049">
        <w:rPr>
          <w:rFonts w:ascii="Times New Roman" w:hAnsi="Times New Roman" w:cs="Times New Roman"/>
          <w:sz w:val="24"/>
          <w:szCs w:val="24"/>
        </w:rPr>
        <w:t xml:space="preserve">Nonobstant, ces amendements sont perçus comme fortement favorables aux intérêts des créanciers, </w:t>
      </w:r>
      <w:r>
        <w:rPr>
          <w:rFonts w:ascii="Times New Roman" w:hAnsi="Times New Roman" w:cs="Times New Roman"/>
          <w:sz w:val="24"/>
          <w:szCs w:val="24"/>
        </w:rPr>
        <w:t xml:space="preserve">car ils </w:t>
      </w:r>
      <w:r w:rsidRPr="00AB2049">
        <w:rPr>
          <w:rFonts w:ascii="Times New Roman" w:hAnsi="Times New Roman" w:cs="Times New Roman"/>
          <w:sz w:val="24"/>
          <w:szCs w:val="24"/>
        </w:rPr>
        <w:t>leur permett</w:t>
      </w:r>
      <w:r>
        <w:rPr>
          <w:rFonts w:ascii="Times New Roman" w:hAnsi="Times New Roman" w:cs="Times New Roman"/>
          <w:sz w:val="24"/>
          <w:szCs w:val="24"/>
        </w:rPr>
        <w:t>e</w:t>
      </w:r>
      <w:r w:rsidRPr="00AB2049">
        <w:rPr>
          <w:rFonts w:ascii="Times New Roman" w:hAnsi="Times New Roman" w:cs="Times New Roman"/>
          <w:sz w:val="24"/>
          <w:szCs w:val="24"/>
        </w:rPr>
        <w:t>nt d’exercer une influence importante sur la personne qui contrôle la procédure de restructuration.</w:t>
      </w:r>
    </w:p>
    <w:p w:rsidR="0076748B" w:rsidRPr="00E564C8" w:rsidRDefault="0076748B" w:rsidP="0076748B">
      <w:pPr>
        <w:jc w:val="both"/>
        <w:rPr>
          <w:rFonts w:ascii="Times New Roman" w:hAnsi="Times New Roman" w:cs="Times New Roman"/>
          <w:sz w:val="24"/>
          <w:szCs w:val="24"/>
        </w:rPr>
      </w:pPr>
      <w:r w:rsidRPr="003A2007">
        <w:rPr>
          <w:rFonts w:ascii="Times New Roman" w:hAnsi="Times New Roman" w:cs="Times New Roman"/>
          <w:sz w:val="24"/>
          <w:szCs w:val="24"/>
        </w:rPr>
        <w:t>Tant que le superviseur proposé respecte les exigences ci-dessus, le tribunal n’a pas besoin d’évaluer le candidat, puisqu’il doit respecter le vote de la majorité des créanciers.</w:t>
      </w:r>
      <w:r w:rsidRPr="00E564C8">
        <w:rPr>
          <w:rFonts w:ascii="Times New Roman" w:hAnsi="Times New Roman" w:cs="Times New Roman"/>
          <w:sz w:val="24"/>
          <w:szCs w:val="24"/>
        </w:rPr>
        <w:t xml:space="preserve"> </w:t>
      </w:r>
      <w:r w:rsidRPr="003A2007">
        <w:rPr>
          <w:rFonts w:ascii="Times New Roman" w:hAnsi="Times New Roman" w:cs="Times New Roman"/>
          <w:sz w:val="24"/>
          <w:szCs w:val="24"/>
        </w:rPr>
        <w:t>Toutefois, si les choses tournent mal, outre le droit de proposer des candidats, les créanciers ont le droit de révoquer le superviseur à tout moment et de proposer un remplaçant.</w:t>
      </w:r>
    </w:p>
    <w:p w:rsidR="0076748B" w:rsidRPr="00E564C8" w:rsidRDefault="0076748B" w:rsidP="0076748B">
      <w:pPr>
        <w:jc w:val="both"/>
        <w:rPr>
          <w:rFonts w:ascii="Times New Roman" w:hAnsi="Times New Roman" w:cs="Times New Roman"/>
          <w:sz w:val="24"/>
          <w:szCs w:val="24"/>
        </w:rPr>
      </w:pPr>
      <w:r w:rsidRPr="003A2007">
        <w:rPr>
          <w:rFonts w:ascii="Times New Roman" w:hAnsi="Times New Roman" w:cs="Times New Roman"/>
          <w:sz w:val="24"/>
          <w:szCs w:val="24"/>
        </w:rPr>
        <w:t xml:space="preserve">En l’absence de désignation d’un superviseur, la procédure de restructuration est close et aucune nouvelle demande de restructuration ne peut être déposée </w:t>
      </w:r>
      <w:r>
        <w:rPr>
          <w:rFonts w:ascii="Times New Roman" w:hAnsi="Times New Roman" w:cs="Times New Roman"/>
          <w:sz w:val="24"/>
          <w:szCs w:val="24"/>
        </w:rPr>
        <w:t>au cours des</w:t>
      </w:r>
      <w:r w:rsidRPr="003A2007">
        <w:rPr>
          <w:rFonts w:ascii="Times New Roman" w:hAnsi="Times New Roman" w:cs="Times New Roman"/>
          <w:sz w:val="24"/>
          <w:szCs w:val="24"/>
        </w:rPr>
        <w:t xml:space="preserve"> quatre mois suivants.</w:t>
      </w:r>
      <w:r w:rsidRPr="00E564C8">
        <w:rPr>
          <w:rFonts w:ascii="Times New Roman" w:hAnsi="Times New Roman" w:cs="Times New Roman"/>
          <w:sz w:val="24"/>
          <w:szCs w:val="24"/>
        </w:rPr>
        <w:t xml:space="preserve"> </w:t>
      </w:r>
      <w:r w:rsidRPr="003A2007">
        <w:rPr>
          <w:rFonts w:ascii="Times New Roman" w:hAnsi="Times New Roman" w:cs="Times New Roman"/>
          <w:sz w:val="24"/>
          <w:szCs w:val="24"/>
        </w:rPr>
        <w:t>Si cette situation se répète, une procédure d’insolvabilité est ouverte de plein droit.</w:t>
      </w:r>
    </w:p>
    <w:p w:rsidR="0076748B" w:rsidRPr="00E564C8" w:rsidRDefault="0076748B" w:rsidP="0076748B">
      <w:pPr>
        <w:jc w:val="both"/>
        <w:rPr>
          <w:rFonts w:ascii="Times New Roman" w:hAnsi="Times New Roman" w:cs="Times New Roman"/>
          <w:sz w:val="24"/>
          <w:szCs w:val="24"/>
        </w:rPr>
      </w:pPr>
      <w:r>
        <w:rPr>
          <w:rFonts w:ascii="Times New Roman" w:hAnsi="Times New Roman" w:cs="Times New Roman"/>
          <w:sz w:val="24"/>
          <w:szCs w:val="24"/>
        </w:rPr>
        <w:t>Par ailleurs</w:t>
      </w:r>
      <w:r w:rsidRPr="003A2007">
        <w:rPr>
          <w:rFonts w:ascii="Times New Roman" w:hAnsi="Times New Roman" w:cs="Times New Roman"/>
          <w:sz w:val="24"/>
          <w:szCs w:val="24"/>
        </w:rPr>
        <w:t xml:space="preserve">, contrairement aux administrateurs de la restructuration, les superviseurs de la restructuration sont rémunérés par les créanciers majoritaires ayant approuvé le plan de </w:t>
      </w:r>
      <w:r w:rsidRPr="003A2007">
        <w:rPr>
          <w:rFonts w:ascii="Times New Roman" w:hAnsi="Times New Roman" w:cs="Times New Roman"/>
          <w:sz w:val="24"/>
          <w:szCs w:val="24"/>
        </w:rPr>
        <w:lastRenderedPageBreak/>
        <w:t xml:space="preserve">restructuration, </w:t>
      </w:r>
      <w:r>
        <w:rPr>
          <w:rFonts w:ascii="Times New Roman" w:hAnsi="Times New Roman" w:cs="Times New Roman"/>
          <w:sz w:val="24"/>
          <w:szCs w:val="24"/>
        </w:rPr>
        <w:t>pour un</w:t>
      </w:r>
      <w:r w:rsidRPr="003A2007">
        <w:rPr>
          <w:rFonts w:ascii="Times New Roman" w:hAnsi="Times New Roman" w:cs="Times New Roman"/>
          <w:sz w:val="24"/>
          <w:szCs w:val="24"/>
        </w:rPr>
        <w:t xml:space="preserve"> montant laissé à la générosité des créanciers, ce qui suscite également des doutes en matière d’impartialité.</w:t>
      </w:r>
    </w:p>
    <w:p w:rsidR="0076748B" w:rsidRPr="0076748B" w:rsidRDefault="0076748B" w:rsidP="0076748B">
      <w:pPr>
        <w:jc w:val="both"/>
        <w:rPr>
          <w:rFonts w:ascii="Times New Roman" w:hAnsi="Times New Roman" w:cs="Times New Roman"/>
          <w:sz w:val="24"/>
          <w:szCs w:val="24"/>
        </w:rPr>
      </w:pPr>
      <w:r w:rsidRPr="003A2007">
        <w:rPr>
          <w:rFonts w:ascii="Times New Roman" w:hAnsi="Times New Roman" w:cs="Times New Roman"/>
          <w:sz w:val="24"/>
          <w:szCs w:val="24"/>
        </w:rPr>
        <w:t>Les amendements ont été par ailleurs critiqués parce qu’ils ne couvrent pas les cas où les autorités fiscales disposent d</w:t>
      </w:r>
      <w:r>
        <w:rPr>
          <w:rFonts w:ascii="Times New Roman" w:hAnsi="Times New Roman" w:cs="Times New Roman"/>
          <w:sz w:val="24"/>
          <w:szCs w:val="24"/>
        </w:rPr>
        <w:t>’un</w:t>
      </w:r>
      <w:r w:rsidRPr="003A2007">
        <w:rPr>
          <w:rFonts w:ascii="Times New Roman" w:hAnsi="Times New Roman" w:cs="Times New Roman"/>
          <w:sz w:val="24"/>
          <w:szCs w:val="24"/>
        </w:rPr>
        <w:t xml:space="preserve"> vote prépondérant parmi les créanciers majoritaires, car elles ne participent pas au plan de rémunération du superviseur ; pour autant, </w:t>
      </w:r>
      <w:r>
        <w:rPr>
          <w:rFonts w:ascii="Times New Roman" w:hAnsi="Times New Roman" w:cs="Times New Roman"/>
          <w:sz w:val="24"/>
          <w:szCs w:val="24"/>
        </w:rPr>
        <w:t>leurs</w:t>
      </w:r>
      <w:r w:rsidRPr="003A2007">
        <w:rPr>
          <w:rFonts w:ascii="Times New Roman" w:hAnsi="Times New Roman" w:cs="Times New Roman"/>
          <w:sz w:val="24"/>
          <w:szCs w:val="24"/>
        </w:rPr>
        <w:t xml:space="preserve"> droits de vote restent inchangés.</w:t>
      </w:r>
      <w:r w:rsidRPr="00E564C8">
        <w:rPr>
          <w:rFonts w:ascii="Times New Roman" w:hAnsi="Times New Roman" w:cs="Times New Roman"/>
          <w:sz w:val="24"/>
          <w:szCs w:val="24"/>
        </w:rPr>
        <w:t xml:space="preserve"> </w:t>
      </w:r>
      <w:r w:rsidRPr="003A2007">
        <w:rPr>
          <w:rFonts w:ascii="Times New Roman" w:hAnsi="Times New Roman" w:cs="Times New Roman"/>
          <w:sz w:val="24"/>
          <w:szCs w:val="24"/>
        </w:rPr>
        <w:t>Par conséquent, la restructuration pourrait devenir irréalisable à cause de l’implication des autorités fiscales.</w:t>
      </w:r>
      <w:r w:rsidRPr="00E564C8">
        <w:rPr>
          <w:rFonts w:ascii="Times New Roman" w:hAnsi="Times New Roman" w:cs="Times New Roman"/>
          <w:sz w:val="24"/>
          <w:szCs w:val="24"/>
        </w:rPr>
        <w:t xml:space="preserve"> </w:t>
      </w:r>
    </w:p>
    <w:p w:rsidR="003B5B5D" w:rsidRPr="003B5B5D" w:rsidRDefault="003B5B5D" w:rsidP="003B5B5D">
      <w:pPr>
        <w:suppressAutoHyphens/>
        <w:spacing w:after="0" w:line="260" w:lineRule="auto"/>
        <w:jc w:val="center"/>
        <w:rPr>
          <w:rFonts w:ascii="Times New Roman" w:eastAsia="Courier 10cpi" w:hAnsi="Times New Roman" w:cs="Times New Roman"/>
          <w:sz w:val="24"/>
          <w:szCs w:val="24"/>
          <w:lang w:eastAsia="ar-SA"/>
        </w:rPr>
      </w:pPr>
      <w:r w:rsidRPr="003B5B5D">
        <w:rPr>
          <w:rFonts w:ascii="Times New Roman" w:eastAsia="Courier 10cpi" w:hAnsi="Times New Roman" w:cs="Times New Roman"/>
          <w:sz w:val="24"/>
          <w:szCs w:val="24"/>
          <w:lang w:eastAsia="ar-SA"/>
        </w:rPr>
        <w:t>x  x  x</w:t>
      </w:r>
    </w:p>
    <w:p w:rsidR="003B5B5D" w:rsidRPr="003B5B5D" w:rsidRDefault="003B5B5D" w:rsidP="003B5B5D">
      <w:pPr>
        <w:suppressAutoHyphens/>
        <w:spacing w:after="0" w:line="260" w:lineRule="auto"/>
        <w:jc w:val="center"/>
        <w:rPr>
          <w:rFonts w:ascii="Arial Narrow" w:eastAsia="Courier 10cpi" w:hAnsi="Arial Narrow" w:cs="Courier 10cpi"/>
          <w:b/>
          <w:sz w:val="28"/>
          <w:szCs w:val="28"/>
          <w:lang w:eastAsia="ar-SA"/>
        </w:rPr>
      </w:pPr>
      <w:r w:rsidRPr="003B5B5D">
        <w:rPr>
          <w:rFonts w:ascii="Times New Roman" w:eastAsia="Courier 10cpi" w:hAnsi="Times New Roman" w:cs="Times New Roman"/>
          <w:sz w:val="24"/>
          <w:szCs w:val="24"/>
          <w:lang w:eastAsia="ar-SA"/>
        </w:rPr>
        <w:t>x</w:t>
      </w:r>
    </w:p>
    <w:p w:rsidR="00CE3674" w:rsidRPr="000F5BC7" w:rsidRDefault="000F5BC7" w:rsidP="000F5BC7">
      <w:pPr>
        <w:spacing w:after="0" w:line="240" w:lineRule="auto"/>
        <w:jc w:val="both"/>
        <w:rPr>
          <w:rFonts w:ascii="Arial Narrow" w:hAnsi="Arial Narrow" w:cs="Times New Roman"/>
          <w:b/>
          <w:sz w:val="32"/>
          <w:szCs w:val="32"/>
        </w:rPr>
      </w:pPr>
      <w:r w:rsidRPr="000F5BC7">
        <w:rPr>
          <w:rFonts w:ascii="Arial Narrow" w:hAnsi="Arial Narrow" w:cs="Times New Roman"/>
          <w:b/>
          <w:sz w:val="32"/>
          <w:szCs w:val="32"/>
        </w:rPr>
        <w:t>REI</w:t>
      </w:r>
    </w:p>
    <w:p w:rsidR="000F5BC7" w:rsidRPr="000F5BC7" w:rsidRDefault="000F5BC7" w:rsidP="000F5BC7">
      <w:pPr>
        <w:spacing w:after="0" w:line="240" w:lineRule="auto"/>
        <w:jc w:val="center"/>
        <w:rPr>
          <w:rFonts w:ascii="Times New Roman" w:hAnsi="Times New Roman" w:cs="Times New Roman"/>
          <w:b/>
          <w:sz w:val="24"/>
          <w:szCs w:val="24"/>
        </w:rPr>
      </w:pPr>
    </w:p>
    <w:p w:rsidR="00CE3674" w:rsidRPr="000F5BC7" w:rsidRDefault="00CE3674" w:rsidP="000F5BC7">
      <w:pPr>
        <w:spacing w:after="0" w:line="240" w:lineRule="auto"/>
        <w:jc w:val="center"/>
        <w:rPr>
          <w:rFonts w:ascii="Times New Roman" w:hAnsi="Times New Roman" w:cs="Times New Roman"/>
          <w:b/>
          <w:sz w:val="48"/>
          <w:szCs w:val="48"/>
        </w:rPr>
      </w:pPr>
      <w:r w:rsidRPr="000F5BC7">
        <w:rPr>
          <w:rFonts w:ascii="Times New Roman" w:hAnsi="Times New Roman" w:cs="Times New Roman"/>
          <w:b/>
          <w:sz w:val="48"/>
          <w:szCs w:val="48"/>
        </w:rPr>
        <w:t>Trouvez votre affaire : le « Registre d’affaires fondées sur le règlement européen sur l’insolvabilité » d’INSOL Europe</w:t>
      </w:r>
    </w:p>
    <w:p w:rsidR="00CE3674" w:rsidRPr="00CE3674" w:rsidRDefault="00CE3674" w:rsidP="000F5BC7">
      <w:pPr>
        <w:spacing w:after="0" w:line="240" w:lineRule="auto"/>
        <w:jc w:val="center"/>
        <w:rPr>
          <w:rFonts w:ascii="Arial Narrow" w:hAnsi="Arial Narrow" w:cs="Times New Roman"/>
          <w:i/>
          <w:sz w:val="24"/>
          <w:szCs w:val="24"/>
        </w:rPr>
      </w:pPr>
      <w:r w:rsidRPr="005F7A26">
        <w:rPr>
          <w:rFonts w:ascii="Arial Narrow" w:hAnsi="Arial Narrow" w:cs="Times New Roman"/>
          <w:i/>
          <w:sz w:val="24"/>
          <w:szCs w:val="24"/>
        </w:rPr>
        <w:t>Le professeur Reinhard Bork* nous explique l’historique et la finalité du Registre, et comment y contribuer</w:t>
      </w:r>
    </w:p>
    <w:p w:rsidR="00CE3674" w:rsidRPr="00CE3674" w:rsidRDefault="00CE3674" w:rsidP="000F5BC7">
      <w:pPr>
        <w:spacing w:after="0" w:line="240" w:lineRule="auto"/>
        <w:jc w:val="both"/>
        <w:rPr>
          <w:rFonts w:ascii="Times New Roman" w:hAnsi="Times New Roman" w:cs="Times New Roman"/>
          <w:sz w:val="24"/>
          <w:szCs w:val="24"/>
        </w:rPr>
      </w:pPr>
    </w:p>
    <w:p w:rsidR="00CE3674" w:rsidRPr="00CE3674" w:rsidRDefault="00CE3674" w:rsidP="00CE3674">
      <w:pPr>
        <w:jc w:val="both"/>
        <w:rPr>
          <w:rFonts w:ascii="Times New Roman" w:hAnsi="Times New Roman" w:cs="Times New Roman"/>
          <w:b/>
          <w:sz w:val="24"/>
          <w:szCs w:val="24"/>
        </w:rPr>
      </w:pPr>
      <w:r w:rsidRPr="00EB45E7">
        <w:rPr>
          <w:rFonts w:ascii="Times New Roman" w:hAnsi="Times New Roman" w:cs="Times New Roman"/>
          <w:b/>
          <w:sz w:val="24"/>
          <w:szCs w:val="24"/>
        </w:rPr>
        <w:t>Lancé en 2011 lors de la conférence annuelle d’INSOL Europe, le registre d’affaires fondées sur le règlement européen sur l’insolvabilité d’INSOL Europe est une base de données qui résume les affaires des tribunaux de première instance et cours d’appel des États membres de l’Union européenne, ainsi que de la CJUE, qui traitent d’un point important en lien avec le règlement européen sur l’insolvabilité (règlements CE 1346/2000 et UE 2015/848).</w:t>
      </w:r>
    </w:p>
    <w:p w:rsidR="00CE3674" w:rsidRPr="00CE3674" w:rsidRDefault="00CE3674" w:rsidP="00CE3674">
      <w:pPr>
        <w:jc w:val="both"/>
        <w:rPr>
          <w:rFonts w:ascii="Times New Roman" w:hAnsi="Times New Roman" w:cs="Times New Roman"/>
          <w:sz w:val="24"/>
          <w:szCs w:val="24"/>
        </w:rPr>
      </w:pPr>
      <w:r w:rsidRPr="00EB45E7">
        <w:rPr>
          <w:rFonts w:ascii="Times New Roman" w:hAnsi="Times New Roman" w:cs="Times New Roman"/>
          <w:sz w:val="24"/>
          <w:szCs w:val="24"/>
        </w:rPr>
        <w:t>C’est un système en ligne qui recueille et diffuse des informations sur les décisions de justice et jugements liés au règlement européen sur l’insolvabilité (« REI »).</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 xml:space="preserve">Depuis 2014, le registre </w:t>
      </w:r>
      <w:r>
        <w:rPr>
          <w:rFonts w:ascii="Times New Roman" w:hAnsi="Times New Roman" w:cs="Times New Roman"/>
          <w:sz w:val="24"/>
          <w:szCs w:val="24"/>
        </w:rPr>
        <w:t>d’</w:t>
      </w:r>
      <w:r w:rsidRPr="00EB45E7">
        <w:rPr>
          <w:rFonts w:ascii="Times New Roman" w:hAnsi="Times New Roman" w:cs="Times New Roman"/>
          <w:sz w:val="24"/>
          <w:szCs w:val="24"/>
        </w:rPr>
        <w:t>affaires est hébergé par LexisNexis.</w:t>
      </w:r>
    </w:p>
    <w:p w:rsidR="00CE3674" w:rsidRPr="00CE3674" w:rsidRDefault="00CE3674" w:rsidP="00CE3674">
      <w:pPr>
        <w:jc w:val="both"/>
        <w:rPr>
          <w:rFonts w:ascii="Times New Roman" w:hAnsi="Times New Roman" w:cs="Times New Roman"/>
          <w:sz w:val="24"/>
          <w:szCs w:val="24"/>
        </w:rPr>
      </w:pPr>
      <w:r w:rsidRPr="00EB45E7">
        <w:rPr>
          <w:rFonts w:ascii="Times New Roman" w:hAnsi="Times New Roman" w:cs="Times New Roman"/>
          <w:sz w:val="24"/>
          <w:szCs w:val="24"/>
        </w:rPr>
        <w:t>Ses objectifs sont triples.</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P</w:t>
      </w:r>
      <w:r>
        <w:rPr>
          <w:rFonts w:ascii="Times New Roman" w:hAnsi="Times New Roman" w:cs="Times New Roman"/>
          <w:sz w:val="24"/>
          <w:szCs w:val="24"/>
        </w:rPr>
        <w:t>our commencer</w:t>
      </w:r>
      <w:r w:rsidRPr="00EB45E7">
        <w:rPr>
          <w:rFonts w:ascii="Times New Roman" w:hAnsi="Times New Roman" w:cs="Times New Roman"/>
          <w:sz w:val="24"/>
          <w:szCs w:val="24"/>
        </w:rPr>
        <w:t>, le registre vise à permettre aux praticiens, mandataires de l’insolvabilité, juges et universitaires de prendre en compte des décisions pertinentes d’autres États membres lorsqu’ils traitent de questions liées au REI.</w:t>
      </w:r>
      <w:r w:rsidRPr="00CE3674">
        <w:rPr>
          <w:rFonts w:ascii="Times New Roman" w:hAnsi="Times New Roman" w:cs="Times New Roman"/>
          <w:sz w:val="24"/>
          <w:szCs w:val="24"/>
        </w:rPr>
        <w:t xml:space="preserve"> </w:t>
      </w:r>
      <w:r>
        <w:rPr>
          <w:rFonts w:ascii="Times New Roman" w:hAnsi="Times New Roman" w:cs="Times New Roman"/>
          <w:sz w:val="24"/>
          <w:szCs w:val="24"/>
        </w:rPr>
        <w:t>Ensuite</w:t>
      </w:r>
      <w:r w:rsidRPr="00EB45E7">
        <w:rPr>
          <w:rFonts w:ascii="Times New Roman" w:hAnsi="Times New Roman" w:cs="Times New Roman"/>
          <w:sz w:val="24"/>
          <w:szCs w:val="24"/>
        </w:rPr>
        <w:t>, il vise à promouvoir et faciliter une interprétation et une application uniformes du REI.</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Son dernier objectif, et le plus important des trois, est de promouvoir et faciliter la connaissance du REI dans le monde entier.</w:t>
      </w:r>
    </w:p>
    <w:p w:rsidR="00CE3674" w:rsidRPr="00CE3674" w:rsidRDefault="00CE3674" w:rsidP="00CE3674">
      <w:pPr>
        <w:jc w:val="both"/>
        <w:rPr>
          <w:rFonts w:ascii="Times New Roman" w:hAnsi="Times New Roman" w:cs="Times New Roman"/>
          <w:sz w:val="24"/>
          <w:szCs w:val="24"/>
        </w:rPr>
      </w:pPr>
      <w:r w:rsidRPr="00EB45E7">
        <w:rPr>
          <w:rFonts w:ascii="Times New Roman" w:hAnsi="Times New Roman" w:cs="Times New Roman"/>
          <w:sz w:val="24"/>
          <w:szCs w:val="24"/>
        </w:rPr>
        <w:t xml:space="preserve">Le registre d’affaires fondées sur le REI </w:t>
      </w:r>
      <w:r>
        <w:rPr>
          <w:rFonts w:ascii="Times New Roman" w:hAnsi="Times New Roman" w:cs="Times New Roman"/>
          <w:sz w:val="24"/>
          <w:szCs w:val="24"/>
        </w:rPr>
        <w:t>prend la forme d’</w:t>
      </w:r>
      <w:r w:rsidRPr="00EB45E7">
        <w:rPr>
          <w:rFonts w:ascii="Times New Roman" w:hAnsi="Times New Roman" w:cs="Times New Roman"/>
          <w:sz w:val="24"/>
          <w:szCs w:val="24"/>
        </w:rPr>
        <w:t xml:space="preserve">une plateforme unique qui réunit les décisions de justice pertinentes fondées sur le REI </w:t>
      </w:r>
      <w:r>
        <w:rPr>
          <w:rFonts w:ascii="Times New Roman" w:hAnsi="Times New Roman" w:cs="Times New Roman"/>
          <w:sz w:val="24"/>
          <w:szCs w:val="24"/>
        </w:rPr>
        <w:t>de</w:t>
      </w:r>
      <w:r w:rsidRPr="00EB45E7">
        <w:rPr>
          <w:rFonts w:ascii="Times New Roman" w:hAnsi="Times New Roman" w:cs="Times New Roman"/>
          <w:sz w:val="24"/>
          <w:szCs w:val="24"/>
        </w:rPr>
        <w:t xml:space="preserve"> toute l’Union européenne.</w:t>
      </w:r>
      <w:r w:rsidRPr="00CE3674">
        <w:rPr>
          <w:rFonts w:ascii="Times New Roman" w:hAnsi="Times New Roman" w:cs="Times New Roman"/>
          <w:sz w:val="24"/>
          <w:szCs w:val="24"/>
        </w:rPr>
        <w:t xml:space="preserve"> </w:t>
      </w:r>
      <w:r>
        <w:rPr>
          <w:rFonts w:ascii="Times New Roman" w:hAnsi="Times New Roman" w:cs="Times New Roman"/>
          <w:sz w:val="24"/>
          <w:szCs w:val="24"/>
        </w:rPr>
        <w:t>Réunissant</w:t>
      </w:r>
      <w:r w:rsidRPr="00EB45E7">
        <w:rPr>
          <w:rFonts w:ascii="Times New Roman" w:hAnsi="Times New Roman" w:cs="Times New Roman"/>
          <w:sz w:val="24"/>
          <w:szCs w:val="24"/>
        </w:rPr>
        <w:t xml:space="preserve"> des résumés d’affaires </w:t>
      </w:r>
      <w:r>
        <w:rPr>
          <w:rFonts w:ascii="Times New Roman" w:hAnsi="Times New Roman" w:cs="Times New Roman"/>
          <w:sz w:val="24"/>
          <w:szCs w:val="24"/>
        </w:rPr>
        <w:t>remontant jusqu’à</w:t>
      </w:r>
      <w:r w:rsidRPr="00EB45E7">
        <w:rPr>
          <w:rFonts w:ascii="Times New Roman" w:hAnsi="Times New Roman" w:cs="Times New Roman"/>
          <w:sz w:val="24"/>
          <w:szCs w:val="24"/>
        </w:rPr>
        <w:t xml:space="preserve"> 2001 et plus de 600 résumés d’affaires appliquant le REI de tous les États membres, le registre est une ressource unique pour toute personne </w:t>
      </w:r>
      <w:r>
        <w:rPr>
          <w:rFonts w:ascii="Times New Roman" w:hAnsi="Times New Roman" w:cs="Times New Roman"/>
          <w:sz w:val="24"/>
          <w:szCs w:val="24"/>
        </w:rPr>
        <w:t xml:space="preserve">qui </w:t>
      </w:r>
      <w:r w:rsidRPr="00EB45E7">
        <w:rPr>
          <w:rFonts w:ascii="Times New Roman" w:hAnsi="Times New Roman" w:cs="Times New Roman"/>
          <w:sz w:val="24"/>
          <w:szCs w:val="24"/>
        </w:rPr>
        <w:t>s’intéress</w:t>
      </w:r>
      <w:r>
        <w:rPr>
          <w:rFonts w:ascii="Times New Roman" w:hAnsi="Times New Roman" w:cs="Times New Roman"/>
          <w:sz w:val="24"/>
          <w:szCs w:val="24"/>
        </w:rPr>
        <w:t>e</w:t>
      </w:r>
      <w:r w:rsidRPr="00EB45E7">
        <w:rPr>
          <w:rFonts w:ascii="Times New Roman" w:hAnsi="Times New Roman" w:cs="Times New Roman"/>
          <w:sz w:val="24"/>
          <w:szCs w:val="24"/>
        </w:rPr>
        <w:t xml:space="preserve"> du point de vue pratique ou </w:t>
      </w:r>
      <w:r>
        <w:rPr>
          <w:rFonts w:ascii="Times New Roman" w:hAnsi="Times New Roman" w:cs="Times New Roman"/>
          <w:sz w:val="24"/>
          <w:szCs w:val="24"/>
        </w:rPr>
        <w:t>théorique</w:t>
      </w:r>
      <w:r w:rsidRPr="00EB45E7">
        <w:rPr>
          <w:rFonts w:ascii="Times New Roman" w:hAnsi="Times New Roman" w:cs="Times New Roman"/>
          <w:sz w:val="24"/>
          <w:szCs w:val="24"/>
        </w:rPr>
        <w:t xml:space="preserve"> aux jugements qui tiennent compte du REI.</w:t>
      </w:r>
    </w:p>
    <w:p w:rsidR="00F52D53" w:rsidRDefault="00F52D53" w:rsidP="00CE3674">
      <w:pPr>
        <w:jc w:val="both"/>
        <w:rPr>
          <w:rFonts w:ascii="Times New Roman" w:hAnsi="Times New Roman" w:cs="Times New Roman"/>
          <w:b/>
          <w:sz w:val="24"/>
          <w:szCs w:val="24"/>
        </w:rPr>
      </w:pPr>
    </w:p>
    <w:p w:rsidR="00CE3674" w:rsidRPr="00CE3674" w:rsidRDefault="00CE3674" w:rsidP="00CE3674">
      <w:pPr>
        <w:jc w:val="both"/>
        <w:rPr>
          <w:rFonts w:ascii="Times New Roman" w:hAnsi="Times New Roman" w:cs="Times New Roman"/>
          <w:b/>
          <w:sz w:val="24"/>
          <w:szCs w:val="24"/>
        </w:rPr>
      </w:pPr>
      <w:r w:rsidRPr="00EB45E7">
        <w:rPr>
          <w:rFonts w:ascii="Times New Roman" w:hAnsi="Times New Roman" w:cs="Times New Roman"/>
          <w:b/>
          <w:sz w:val="24"/>
          <w:szCs w:val="24"/>
        </w:rPr>
        <w:lastRenderedPageBreak/>
        <w:t>Comment le registre d’affaires évolue-t-il ?</w:t>
      </w:r>
    </w:p>
    <w:p w:rsidR="00CE3674" w:rsidRPr="00CE3674" w:rsidRDefault="00CE3674" w:rsidP="00CE3674">
      <w:pPr>
        <w:jc w:val="both"/>
        <w:rPr>
          <w:rFonts w:ascii="Times New Roman" w:hAnsi="Times New Roman" w:cs="Times New Roman"/>
          <w:sz w:val="24"/>
          <w:szCs w:val="24"/>
        </w:rPr>
      </w:pPr>
      <w:r w:rsidRPr="00EB45E7">
        <w:rPr>
          <w:rFonts w:ascii="Times New Roman" w:hAnsi="Times New Roman" w:cs="Times New Roman"/>
          <w:sz w:val="24"/>
          <w:szCs w:val="24"/>
        </w:rPr>
        <w:t>Le registre d’affaires fondées sur le REI repose sur un réseau de correspondants nationaux qui travaillent en étroite collaboration avec le comité de direction du registre.</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Ces correspondants sont des praticiens et universitaires spécialistes du droit de l’insolvabilité, situés dans tous les États membres de l’Union européenne.</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 xml:space="preserve">Les correspondants nationaux ont pour mission </w:t>
      </w:r>
      <w:r>
        <w:rPr>
          <w:rFonts w:ascii="Times New Roman" w:hAnsi="Times New Roman" w:cs="Times New Roman"/>
          <w:sz w:val="24"/>
          <w:szCs w:val="24"/>
        </w:rPr>
        <w:t xml:space="preserve">générale d’assurer une veille juridique et de </w:t>
      </w:r>
      <w:r w:rsidRPr="00EB45E7">
        <w:rPr>
          <w:rFonts w:ascii="Times New Roman" w:hAnsi="Times New Roman" w:cs="Times New Roman"/>
          <w:sz w:val="24"/>
          <w:szCs w:val="24"/>
        </w:rPr>
        <w:t>recueillir les jugements et décisions de leur pays, de déterminer ceux qu’ils estiment pertinents et enfin de préparer des résumés (extraits) en anglais.</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Le fait qu’ils soient répartis dans toute l’Union européenne, ainsi que leur proximité avec les développements juridiques les plus récents, leur permet d’évaluer rapidement et précisément les affaires récentes.</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Celles-ci sont ensuite téléchargées dans le registre d’affaires, ce qui permet de garantir qu’il contient toujours les résumés les plus récents et pertinents.</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Le comité de direction est actuellement composé de Chris Laughton, Stefan Ramel et Reinhard Bork.</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Le comité de direction, ainsi que les autres modérateurs nationaux (Reinhard Bork, Hambourg, et Kristin van Zwieten, Oxford, qui assurent l’homogénéité linguistique et la clarté) et le modérateur des affaires de la CJUE (Stefan Ramel, Londres) sont assistés par les responsables techniques d’INSOL Europe.</w:t>
      </w:r>
    </w:p>
    <w:p w:rsidR="00CE3674" w:rsidRPr="00CE3674" w:rsidRDefault="00CE3674" w:rsidP="00CE3674">
      <w:pPr>
        <w:jc w:val="both"/>
        <w:rPr>
          <w:rFonts w:ascii="Times New Roman" w:hAnsi="Times New Roman" w:cs="Times New Roman"/>
          <w:sz w:val="24"/>
          <w:szCs w:val="24"/>
        </w:rPr>
      </w:pPr>
      <w:r w:rsidRPr="00EB45E7">
        <w:rPr>
          <w:rFonts w:ascii="Times New Roman" w:hAnsi="Times New Roman" w:cs="Times New Roman"/>
          <w:sz w:val="24"/>
          <w:szCs w:val="24"/>
        </w:rPr>
        <w:t>Le travail intensif des correspondants nationaux et du comité de direction permet au registre d’affaires de se développer continuellement, puisque de nouveaux résumés sont fournis par les correspondants nationaux et intégrés au registre en permanence, afin de garantir que les informations qu’il contient sont pertinentes et à jour.</w:t>
      </w:r>
      <w:r w:rsidRPr="00CE3674">
        <w:rPr>
          <w:rFonts w:ascii="Times New Roman" w:hAnsi="Times New Roman" w:cs="Times New Roman"/>
          <w:sz w:val="24"/>
          <w:szCs w:val="24"/>
        </w:rPr>
        <w:t xml:space="preserve"> </w:t>
      </w:r>
      <w:r>
        <w:rPr>
          <w:rFonts w:ascii="Times New Roman" w:hAnsi="Times New Roman" w:cs="Times New Roman"/>
          <w:sz w:val="24"/>
          <w:szCs w:val="24"/>
        </w:rPr>
        <w:t>Ainsi</w:t>
      </w:r>
      <w:r w:rsidRPr="00EB45E7">
        <w:rPr>
          <w:rFonts w:ascii="Times New Roman" w:hAnsi="Times New Roman" w:cs="Times New Roman"/>
          <w:sz w:val="24"/>
          <w:szCs w:val="24"/>
        </w:rPr>
        <w:t>, en 2017, le nombre de résumés figurant dans le registre dépass</w:t>
      </w:r>
      <w:r>
        <w:rPr>
          <w:rFonts w:ascii="Times New Roman" w:hAnsi="Times New Roman" w:cs="Times New Roman"/>
          <w:sz w:val="24"/>
          <w:szCs w:val="24"/>
        </w:rPr>
        <w:t>ait</w:t>
      </w:r>
      <w:r w:rsidRPr="00EB45E7">
        <w:rPr>
          <w:rFonts w:ascii="Times New Roman" w:hAnsi="Times New Roman" w:cs="Times New Roman"/>
          <w:sz w:val="24"/>
          <w:szCs w:val="24"/>
        </w:rPr>
        <w:t xml:space="preserve"> les six cents.</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 xml:space="preserve">En outre, </w:t>
      </w:r>
      <w:r>
        <w:rPr>
          <w:rFonts w:ascii="Times New Roman" w:hAnsi="Times New Roman" w:cs="Times New Roman"/>
          <w:sz w:val="24"/>
          <w:szCs w:val="24"/>
        </w:rPr>
        <w:t>ne serait-ce</w:t>
      </w:r>
      <w:r w:rsidRPr="00EB45E7">
        <w:rPr>
          <w:rFonts w:ascii="Times New Roman" w:hAnsi="Times New Roman" w:cs="Times New Roman"/>
          <w:sz w:val="24"/>
          <w:szCs w:val="24"/>
        </w:rPr>
        <w:t xml:space="preserve"> qu’en janvier 2018, quinze nouvelles affaires ont été ajoutées.</w:t>
      </w:r>
    </w:p>
    <w:p w:rsidR="00CE3674" w:rsidRPr="00CE3674" w:rsidRDefault="00CE3674" w:rsidP="00CE3674">
      <w:pPr>
        <w:jc w:val="both"/>
        <w:rPr>
          <w:rFonts w:ascii="Times New Roman" w:hAnsi="Times New Roman" w:cs="Times New Roman"/>
          <w:b/>
          <w:sz w:val="24"/>
          <w:szCs w:val="24"/>
        </w:rPr>
      </w:pPr>
      <w:r w:rsidRPr="00EB45E7">
        <w:rPr>
          <w:rFonts w:ascii="Times New Roman" w:hAnsi="Times New Roman" w:cs="Times New Roman"/>
          <w:b/>
          <w:sz w:val="24"/>
          <w:szCs w:val="24"/>
        </w:rPr>
        <w:t>Comment les résumés sont-ils présentés ?</w:t>
      </w:r>
    </w:p>
    <w:p w:rsidR="00CE3674" w:rsidRPr="00CE3674" w:rsidRDefault="00CE3674" w:rsidP="00CE3674">
      <w:pPr>
        <w:jc w:val="both"/>
        <w:rPr>
          <w:rFonts w:ascii="Times New Roman" w:hAnsi="Times New Roman" w:cs="Times New Roman"/>
          <w:sz w:val="24"/>
          <w:szCs w:val="24"/>
        </w:rPr>
      </w:pPr>
      <w:r w:rsidRPr="00EB45E7">
        <w:rPr>
          <w:rFonts w:ascii="Times New Roman" w:hAnsi="Times New Roman" w:cs="Times New Roman"/>
          <w:sz w:val="24"/>
          <w:szCs w:val="24"/>
        </w:rPr>
        <w:t>Comptant entre deux cents et cinq cents mots, et ne dépassant jamais deux pages, les résumés figurant dans le registre ne donnent que les points les plus remarquables et pertinents pris en compte dans les décisions judiciaires qui appliquent le REI ou en tiennent compte.</w:t>
      </w:r>
    </w:p>
    <w:p w:rsidR="00CE3674" w:rsidRPr="00CE3674" w:rsidRDefault="00CE3674" w:rsidP="00CE3674">
      <w:pPr>
        <w:jc w:val="both"/>
        <w:rPr>
          <w:rFonts w:ascii="Times New Roman" w:hAnsi="Times New Roman" w:cs="Times New Roman"/>
          <w:sz w:val="24"/>
          <w:szCs w:val="24"/>
        </w:rPr>
      </w:pPr>
      <w:r w:rsidRPr="00EB45E7">
        <w:rPr>
          <w:rFonts w:ascii="Times New Roman" w:hAnsi="Times New Roman" w:cs="Times New Roman"/>
          <w:sz w:val="24"/>
          <w:szCs w:val="24"/>
        </w:rPr>
        <w:t xml:space="preserve">Les correspondants nationaux reçoivent </w:t>
      </w:r>
      <w:r>
        <w:rPr>
          <w:rFonts w:ascii="Times New Roman" w:hAnsi="Times New Roman" w:cs="Times New Roman"/>
          <w:sz w:val="24"/>
          <w:szCs w:val="24"/>
        </w:rPr>
        <w:t xml:space="preserve">tous </w:t>
      </w:r>
      <w:r w:rsidRPr="00EB45E7">
        <w:rPr>
          <w:rFonts w:ascii="Times New Roman" w:hAnsi="Times New Roman" w:cs="Times New Roman"/>
          <w:sz w:val="24"/>
          <w:szCs w:val="24"/>
        </w:rPr>
        <w:t>un modèle de présentation à partir duquel ils travaillent. Ce modèle prévoit un ensemble de données objectives détaillées, ainsi que des règles spécifiques, ce qui permet de garantir l’accessibilité et la compréhensibilité des résumés.</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Ainsi, chaque résumé présente un format identique, quelle que soit son origine.</w:t>
      </w:r>
      <w:r w:rsidRPr="00CE3674">
        <w:rPr>
          <w:rFonts w:ascii="Times New Roman" w:hAnsi="Times New Roman" w:cs="Times New Roman"/>
          <w:sz w:val="24"/>
          <w:szCs w:val="24"/>
        </w:rPr>
        <w:t xml:space="preserve"> </w:t>
      </w:r>
      <w:r w:rsidRPr="00EB45E7">
        <w:rPr>
          <w:rFonts w:ascii="Times New Roman" w:hAnsi="Times New Roman" w:cs="Times New Roman"/>
          <w:sz w:val="24"/>
          <w:szCs w:val="24"/>
        </w:rPr>
        <w:t xml:space="preserve">Par ailleurs, les correspondants nationaux </w:t>
      </w:r>
      <w:r>
        <w:rPr>
          <w:rFonts w:ascii="Times New Roman" w:hAnsi="Times New Roman" w:cs="Times New Roman"/>
          <w:sz w:val="24"/>
          <w:szCs w:val="24"/>
        </w:rPr>
        <w:t>utilisent</w:t>
      </w:r>
      <w:r w:rsidRPr="00EB45E7">
        <w:rPr>
          <w:rFonts w:ascii="Times New Roman" w:hAnsi="Times New Roman" w:cs="Times New Roman"/>
          <w:sz w:val="24"/>
          <w:szCs w:val="24"/>
        </w:rPr>
        <w:t xml:space="preserve"> une liste de thèmes qui </w:t>
      </w:r>
      <w:r>
        <w:rPr>
          <w:rFonts w:ascii="Times New Roman" w:hAnsi="Times New Roman" w:cs="Times New Roman"/>
          <w:sz w:val="24"/>
          <w:szCs w:val="24"/>
        </w:rPr>
        <w:t>servent à</w:t>
      </w:r>
      <w:r w:rsidRPr="00EB45E7">
        <w:rPr>
          <w:rFonts w:ascii="Times New Roman" w:hAnsi="Times New Roman" w:cs="Times New Roman"/>
          <w:sz w:val="24"/>
          <w:szCs w:val="24"/>
        </w:rPr>
        <w:t xml:space="preserve"> fournir des mots clés et reflètent </w:t>
      </w:r>
      <w:r>
        <w:rPr>
          <w:rFonts w:ascii="Times New Roman" w:hAnsi="Times New Roman" w:cs="Times New Roman"/>
          <w:sz w:val="24"/>
          <w:szCs w:val="24"/>
        </w:rPr>
        <w:t>l</w:t>
      </w:r>
      <w:r w:rsidRPr="00EB45E7">
        <w:rPr>
          <w:rFonts w:ascii="Times New Roman" w:hAnsi="Times New Roman" w:cs="Times New Roman"/>
          <w:sz w:val="24"/>
          <w:szCs w:val="24"/>
        </w:rPr>
        <w:t xml:space="preserve">es détails techniques et juridiques nécessaires pour permettre </w:t>
      </w:r>
      <w:r>
        <w:rPr>
          <w:rFonts w:ascii="Times New Roman" w:hAnsi="Times New Roman" w:cs="Times New Roman"/>
          <w:sz w:val="24"/>
          <w:szCs w:val="24"/>
        </w:rPr>
        <w:t xml:space="preserve">le </w:t>
      </w:r>
      <w:r w:rsidRPr="00EB45E7">
        <w:rPr>
          <w:rFonts w:ascii="Times New Roman" w:hAnsi="Times New Roman" w:cs="Times New Roman"/>
          <w:sz w:val="24"/>
          <w:szCs w:val="24"/>
        </w:rPr>
        <w:t xml:space="preserve">fonctionnement optimal du </w:t>
      </w:r>
      <w:r>
        <w:rPr>
          <w:rFonts w:ascii="Times New Roman" w:hAnsi="Times New Roman" w:cs="Times New Roman"/>
          <w:sz w:val="24"/>
          <w:szCs w:val="24"/>
        </w:rPr>
        <w:t>r</w:t>
      </w:r>
      <w:r w:rsidRPr="00EB45E7">
        <w:rPr>
          <w:rFonts w:ascii="Times New Roman" w:hAnsi="Times New Roman" w:cs="Times New Roman"/>
          <w:sz w:val="24"/>
          <w:szCs w:val="24"/>
        </w:rPr>
        <w:t>egistre.</w:t>
      </w:r>
    </w:p>
    <w:p w:rsidR="00CE3674" w:rsidRPr="00CE3674" w:rsidRDefault="00CE3674" w:rsidP="00CE3674">
      <w:pPr>
        <w:jc w:val="both"/>
        <w:rPr>
          <w:rFonts w:ascii="Times New Roman" w:hAnsi="Times New Roman" w:cs="Times New Roman"/>
          <w:sz w:val="24"/>
          <w:szCs w:val="24"/>
        </w:rPr>
      </w:pPr>
      <w:r w:rsidRPr="00FF3CEA">
        <w:rPr>
          <w:rFonts w:ascii="Times New Roman" w:hAnsi="Times New Roman" w:cs="Times New Roman"/>
          <w:sz w:val="24"/>
          <w:szCs w:val="24"/>
        </w:rPr>
        <w:t>Pour aller plus loin et permettre des recherches plus approfondies et plus détaillées, les résumés figurant dans le registre contiennent des informations telles que la source publique d’origine du jugement intégral dans l’État membre concerné, la jurisprudence pertinente de la CJUE et, dans de nombreux cas, un commentaire sur l’affaire.</w:t>
      </w:r>
    </w:p>
    <w:p w:rsidR="00CE3674" w:rsidRPr="00CE3674" w:rsidRDefault="00CE3674" w:rsidP="00CE3674">
      <w:pPr>
        <w:jc w:val="both"/>
        <w:rPr>
          <w:rFonts w:ascii="Times New Roman" w:hAnsi="Times New Roman" w:cs="Times New Roman"/>
          <w:b/>
          <w:sz w:val="24"/>
          <w:szCs w:val="24"/>
        </w:rPr>
      </w:pPr>
      <w:r w:rsidRPr="00FF3CEA">
        <w:rPr>
          <w:rFonts w:ascii="Times New Roman" w:hAnsi="Times New Roman" w:cs="Times New Roman"/>
          <w:b/>
          <w:sz w:val="24"/>
          <w:szCs w:val="24"/>
        </w:rPr>
        <w:lastRenderedPageBreak/>
        <w:t>À quoi sert le registre ?</w:t>
      </w:r>
    </w:p>
    <w:p w:rsidR="00CE3674" w:rsidRPr="00CE3674" w:rsidRDefault="00CE3674" w:rsidP="00CE3674">
      <w:pPr>
        <w:jc w:val="both"/>
        <w:rPr>
          <w:rFonts w:ascii="Times New Roman" w:hAnsi="Times New Roman" w:cs="Times New Roman"/>
          <w:sz w:val="24"/>
          <w:szCs w:val="24"/>
        </w:rPr>
      </w:pPr>
      <w:r w:rsidRPr="00FF3CEA">
        <w:rPr>
          <w:rFonts w:ascii="Times New Roman" w:hAnsi="Times New Roman" w:cs="Times New Roman"/>
          <w:sz w:val="24"/>
          <w:szCs w:val="24"/>
        </w:rPr>
        <w:t>Le champ d’application large et sans égal du registre en fait un outil particulièrement utile qui permet aux praticiens tout comme aux universitaires d’avoir accès à la jurisprudence concernant le REI dans l’Union européenne.</w:t>
      </w:r>
    </w:p>
    <w:p w:rsidR="00CE3674" w:rsidRPr="00CE3674" w:rsidRDefault="00CE3674" w:rsidP="00CE3674">
      <w:pPr>
        <w:jc w:val="both"/>
        <w:rPr>
          <w:rFonts w:ascii="Times New Roman" w:hAnsi="Times New Roman" w:cs="Times New Roman"/>
          <w:sz w:val="24"/>
          <w:szCs w:val="24"/>
        </w:rPr>
      </w:pPr>
      <w:r w:rsidRPr="00FF3CEA">
        <w:rPr>
          <w:rFonts w:ascii="Times New Roman" w:hAnsi="Times New Roman" w:cs="Times New Roman"/>
          <w:sz w:val="24"/>
          <w:szCs w:val="24"/>
        </w:rPr>
        <w:t>La jurisprudence de la CJUE est contraignante pour les États membres de l’UE.</w:t>
      </w:r>
      <w:r w:rsidRPr="00CE3674">
        <w:rPr>
          <w:rFonts w:ascii="Times New Roman" w:hAnsi="Times New Roman" w:cs="Times New Roman"/>
          <w:sz w:val="24"/>
          <w:szCs w:val="24"/>
        </w:rPr>
        <w:t xml:space="preserve"> </w:t>
      </w:r>
      <w:r w:rsidRPr="00FF3CEA">
        <w:rPr>
          <w:rFonts w:ascii="Times New Roman" w:hAnsi="Times New Roman" w:cs="Times New Roman"/>
          <w:sz w:val="24"/>
          <w:szCs w:val="24"/>
        </w:rPr>
        <w:t>Pourtant peu de précédents ou de conseils sont disponibles.</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Par conséquent, le traitement du REI par les tribunaux nationaux d’autres États membres prend toute son importance en tant que ligne directrice dans les affaires pour lesquelles l’État membre concerné ne dispose que de peu, voire d’aucune jurisprudence traitant une question particulière.</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 xml:space="preserve">Bien que les </w:t>
      </w:r>
      <w:r>
        <w:rPr>
          <w:rFonts w:ascii="Times New Roman" w:hAnsi="Times New Roman" w:cs="Times New Roman"/>
          <w:sz w:val="24"/>
          <w:szCs w:val="24"/>
        </w:rPr>
        <w:t>décisions</w:t>
      </w:r>
      <w:r w:rsidRPr="00F47BB0">
        <w:rPr>
          <w:rFonts w:ascii="Times New Roman" w:hAnsi="Times New Roman" w:cs="Times New Roman"/>
          <w:sz w:val="24"/>
          <w:szCs w:val="24"/>
        </w:rPr>
        <w:t xml:space="preserve"> des tribunaux de première instance ou cours d’appel d’autres États membres ne sont pas contraignantes, elles peuvent être d’une grande utilité lorsque l’on étudie comment le REI peut être appliqué dans d’autres États membres.</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Toutefois, un grand nombre de ces décisions sont prononcées par des tribunaux de première instance ou cours d’appel des différents États membres</w:t>
      </w:r>
      <w:r>
        <w:rPr>
          <w:rFonts w:ascii="Times New Roman" w:hAnsi="Times New Roman" w:cs="Times New Roman"/>
          <w:sz w:val="24"/>
          <w:szCs w:val="24"/>
        </w:rPr>
        <w:t>,</w:t>
      </w:r>
      <w:r w:rsidRPr="00CE3674">
        <w:rPr>
          <w:rFonts w:ascii="Times New Roman" w:hAnsi="Times New Roman" w:cs="Times New Roman"/>
          <w:sz w:val="24"/>
          <w:szCs w:val="24"/>
        </w:rPr>
        <w:t xml:space="preserve"> </w:t>
      </w:r>
      <w:r>
        <w:rPr>
          <w:rFonts w:ascii="Times New Roman" w:hAnsi="Times New Roman" w:cs="Times New Roman"/>
          <w:sz w:val="24"/>
          <w:szCs w:val="24"/>
        </w:rPr>
        <w:t>ce qui</w:t>
      </w:r>
      <w:r w:rsidRPr="00F47BB0">
        <w:rPr>
          <w:rFonts w:ascii="Times New Roman" w:hAnsi="Times New Roman" w:cs="Times New Roman"/>
          <w:sz w:val="24"/>
          <w:szCs w:val="24"/>
        </w:rPr>
        <w:t xml:space="preserve"> signifie qu’elles ne sont généralement publiées que dans la langue officielle de l’État membre en question et, par conséquent, qu’elles sont souvent inaccessibles ou accessibles uniquement par le biais de divers sites payants, et présentent le risque d’être mal traduites.</w:t>
      </w:r>
    </w:p>
    <w:p w:rsidR="00CE3674" w:rsidRPr="00CE3674" w:rsidRDefault="00CE3674" w:rsidP="00CE3674">
      <w:pPr>
        <w:jc w:val="both"/>
        <w:rPr>
          <w:rFonts w:ascii="Times New Roman" w:hAnsi="Times New Roman" w:cs="Times New Roman"/>
          <w:sz w:val="24"/>
          <w:szCs w:val="24"/>
        </w:rPr>
      </w:pPr>
      <w:r w:rsidRPr="00F47BB0">
        <w:rPr>
          <w:rFonts w:ascii="Times New Roman" w:hAnsi="Times New Roman" w:cs="Times New Roman"/>
          <w:sz w:val="24"/>
          <w:szCs w:val="24"/>
        </w:rPr>
        <w:t>Les résumés d’affaires figurant dans le registre, puisqu’ils sont établis par des praticiens et universitaires natifs de chaque État membre de l’Union européenne, remédient à ce problème.</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Les résumés d’affaires sont tous rédigés et publiés en anglais pour garantir l’accessibilité et la cohérence du registre, mais ils proviennent du pays où le jugement a été prononcé à l’origine.</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Sans pour autant être contraignants, ils permettent aux praticiens et universitaires de tenir compte de diverses interprétations d’articles potentiellement problématiques du REI auxquelles ils n’auraient autrement pas accès et qui pourraient s’avérer convaincantes dans leur pays.</w:t>
      </w:r>
    </w:p>
    <w:p w:rsidR="00CE3674" w:rsidRPr="00CE3674" w:rsidRDefault="00CE3674" w:rsidP="00CE3674">
      <w:pPr>
        <w:jc w:val="both"/>
        <w:rPr>
          <w:rFonts w:ascii="Times New Roman" w:hAnsi="Times New Roman" w:cs="Times New Roman"/>
          <w:sz w:val="24"/>
          <w:szCs w:val="24"/>
        </w:rPr>
      </w:pPr>
      <w:r w:rsidRPr="00F47BB0">
        <w:rPr>
          <w:rFonts w:ascii="Times New Roman" w:hAnsi="Times New Roman" w:cs="Times New Roman"/>
          <w:b/>
          <w:sz w:val="24"/>
          <w:szCs w:val="24"/>
        </w:rPr>
        <w:t>Intégration de la refonte du REI au registre</w:t>
      </w:r>
      <w:r w:rsidRPr="00CE3674">
        <w:rPr>
          <w:rFonts w:ascii="Times New Roman" w:hAnsi="Times New Roman" w:cs="Times New Roman"/>
          <w:sz w:val="24"/>
          <w:szCs w:val="24"/>
        </w:rPr>
        <w:t xml:space="preserve"> </w:t>
      </w:r>
    </w:p>
    <w:p w:rsidR="00CE3674" w:rsidRPr="00CE3674" w:rsidRDefault="00CE3674" w:rsidP="00CE3674">
      <w:pPr>
        <w:jc w:val="both"/>
        <w:rPr>
          <w:rFonts w:ascii="Times New Roman" w:hAnsi="Times New Roman" w:cs="Times New Roman"/>
          <w:sz w:val="24"/>
          <w:szCs w:val="24"/>
        </w:rPr>
      </w:pPr>
      <w:r w:rsidRPr="00F47BB0">
        <w:rPr>
          <w:rFonts w:ascii="Times New Roman" w:hAnsi="Times New Roman" w:cs="Times New Roman"/>
          <w:sz w:val="24"/>
          <w:szCs w:val="24"/>
        </w:rPr>
        <w:t>À la suite de l’entrée en vigueur de la refonte du REI 2015/848, la présentation standard susmentionnée a été révisée pour que les affaires appliquant la refonte du REI soient facilement identifiables, ainsi que pour permettre leur intégration immédiate dans le registre.</w:t>
      </w:r>
    </w:p>
    <w:p w:rsidR="00CE3674" w:rsidRPr="00CE3674" w:rsidRDefault="00CE3674" w:rsidP="00CE3674">
      <w:pPr>
        <w:jc w:val="both"/>
        <w:rPr>
          <w:rFonts w:ascii="Times New Roman" w:hAnsi="Times New Roman" w:cs="Times New Roman"/>
          <w:sz w:val="24"/>
          <w:szCs w:val="24"/>
        </w:rPr>
      </w:pPr>
      <w:r w:rsidRPr="00F47BB0">
        <w:rPr>
          <w:rFonts w:ascii="Times New Roman" w:hAnsi="Times New Roman" w:cs="Times New Roman"/>
          <w:sz w:val="24"/>
          <w:szCs w:val="24"/>
        </w:rPr>
        <w:t>Depuis le 26 juin 2017, les résumés d’affaires appliquant la refonte du REI sont intégrés au registre.</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 xml:space="preserve">Début février 2018, six résumés d’affaires appliquant la refonte du REI </w:t>
      </w:r>
      <w:r>
        <w:rPr>
          <w:rFonts w:ascii="Times New Roman" w:hAnsi="Times New Roman" w:cs="Times New Roman"/>
          <w:sz w:val="24"/>
          <w:szCs w:val="24"/>
        </w:rPr>
        <w:t>avaient</w:t>
      </w:r>
      <w:r w:rsidRPr="00F47BB0">
        <w:rPr>
          <w:rFonts w:ascii="Times New Roman" w:hAnsi="Times New Roman" w:cs="Times New Roman"/>
          <w:sz w:val="24"/>
          <w:szCs w:val="24"/>
        </w:rPr>
        <w:t xml:space="preserve"> été préparés et téléchargés dans le registre ; d’autres sont en cours de préparation.</w:t>
      </w:r>
    </w:p>
    <w:p w:rsidR="00CE3674" w:rsidRPr="00CE3674" w:rsidRDefault="00CE3674" w:rsidP="00CE3674">
      <w:pPr>
        <w:jc w:val="both"/>
        <w:rPr>
          <w:rFonts w:ascii="Times New Roman" w:hAnsi="Times New Roman" w:cs="Times New Roman"/>
          <w:sz w:val="24"/>
          <w:szCs w:val="24"/>
        </w:rPr>
      </w:pPr>
      <w:r w:rsidRPr="00F47BB0">
        <w:rPr>
          <w:rFonts w:ascii="Times New Roman" w:hAnsi="Times New Roman" w:cs="Times New Roman"/>
          <w:sz w:val="24"/>
          <w:szCs w:val="24"/>
        </w:rPr>
        <w:t>Cette nouvelle évolution fait que le registre d’affaires reste en première ligne du développement judiciaire et permet à ceux qui l’utilisent de ne pas courir le risque de se fonder sur des informations obsolètes.</w:t>
      </w:r>
    </w:p>
    <w:p w:rsidR="00F52D53" w:rsidRDefault="00F52D53" w:rsidP="00CE3674">
      <w:pPr>
        <w:jc w:val="both"/>
        <w:rPr>
          <w:rFonts w:ascii="Times New Roman" w:hAnsi="Times New Roman" w:cs="Times New Roman"/>
          <w:b/>
          <w:sz w:val="24"/>
          <w:szCs w:val="24"/>
        </w:rPr>
      </w:pPr>
    </w:p>
    <w:p w:rsidR="00F52D53" w:rsidRDefault="00F52D53" w:rsidP="00CE3674">
      <w:pPr>
        <w:jc w:val="both"/>
        <w:rPr>
          <w:rFonts w:ascii="Times New Roman" w:hAnsi="Times New Roman" w:cs="Times New Roman"/>
          <w:b/>
          <w:sz w:val="24"/>
          <w:szCs w:val="24"/>
        </w:rPr>
      </w:pPr>
    </w:p>
    <w:p w:rsidR="00CE3674" w:rsidRPr="00CE3674" w:rsidRDefault="00CE3674" w:rsidP="00CE3674">
      <w:pPr>
        <w:jc w:val="both"/>
        <w:rPr>
          <w:rFonts w:ascii="Times New Roman" w:hAnsi="Times New Roman" w:cs="Times New Roman"/>
          <w:b/>
          <w:sz w:val="24"/>
          <w:szCs w:val="24"/>
        </w:rPr>
      </w:pPr>
      <w:r w:rsidRPr="00F47BB0">
        <w:rPr>
          <w:rFonts w:ascii="Times New Roman" w:hAnsi="Times New Roman" w:cs="Times New Roman"/>
          <w:b/>
          <w:sz w:val="24"/>
          <w:szCs w:val="24"/>
        </w:rPr>
        <w:lastRenderedPageBreak/>
        <w:t>Illustration concrète de l’utilisation du registre</w:t>
      </w:r>
    </w:p>
    <w:p w:rsidR="00CE3674" w:rsidRPr="00CE3674" w:rsidRDefault="00CE3674" w:rsidP="00CE3674">
      <w:pPr>
        <w:jc w:val="both"/>
        <w:rPr>
          <w:rFonts w:ascii="Times New Roman" w:hAnsi="Times New Roman" w:cs="Times New Roman"/>
          <w:sz w:val="24"/>
          <w:szCs w:val="24"/>
        </w:rPr>
      </w:pPr>
      <w:r w:rsidRPr="00F47BB0">
        <w:rPr>
          <w:rFonts w:ascii="Times New Roman" w:hAnsi="Times New Roman" w:cs="Times New Roman"/>
          <w:sz w:val="24"/>
          <w:szCs w:val="24"/>
        </w:rPr>
        <w:t>Une fois qu’un résumé a été rédigé et soumis par un correspondant national, révisé par le comité de direction et ajouté au registre, il est disponible pour les personnes qui disposent d’un accès au registre.</w:t>
      </w:r>
    </w:p>
    <w:p w:rsidR="002C5EDC" w:rsidRPr="00CE3674" w:rsidRDefault="00CE3674" w:rsidP="00CE3674">
      <w:pPr>
        <w:jc w:val="both"/>
        <w:rPr>
          <w:rFonts w:ascii="Times New Roman" w:hAnsi="Times New Roman" w:cs="Times New Roman"/>
          <w:sz w:val="24"/>
          <w:szCs w:val="24"/>
        </w:rPr>
      </w:pPr>
      <w:r w:rsidRPr="00F47BB0">
        <w:rPr>
          <w:rFonts w:ascii="Times New Roman" w:hAnsi="Times New Roman" w:cs="Times New Roman"/>
          <w:sz w:val="24"/>
          <w:szCs w:val="24"/>
        </w:rPr>
        <w:t>Ensuite, il est facile d’avoir accès aux résumés.</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Il est possible de faire une recherche par mots clés et d’utiliser des critères pertinents tels que le nom de l’affaire, ses références, la date du jugement, le tribunal (le nom doit être exact), l’article pertinent du REI de 2000 ou de la refonte du REI.</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Sinon, une recherche par catégories est possible : elle permet de naviguer dans les résumés présentés par pays ou dans tous les résumés pour un pays donné.</w:t>
      </w:r>
    </w:p>
    <w:p w:rsidR="00CE3674" w:rsidRPr="00CE3674" w:rsidRDefault="00CE3674" w:rsidP="00CE367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F47BB0">
        <w:rPr>
          <w:rFonts w:ascii="Times New Roman" w:hAnsi="Times New Roman" w:cs="Times New Roman"/>
          <w:b/>
          <w:sz w:val="24"/>
          <w:szCs w:val="24"/>
        </w:rPr>
        <w:t>Comment accéder au registre d’affaires ?</w:t>
      </w:r>
    </w:p>
    <w:p w:rsidR="00CE3674" w:rsidRPr="00CE3674" w:rsidRDefault="00CE3674" w:rsidP="00CE367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7BB0">
        <w:rPr>
          <w:rFonts w:ascii="Times New Roman" w:hAnsi="Times New Roman" w:cs="Times New Roman"/>
          <w:sz w:val="24"/>
          <w:szCs w:val="24"/>
        </w:rPr>
        <w:t>Bien que la gestion et la modération du registre relèvent de la responsabilité d’INSOL Europe, depuis 2014, le registre des affaires est hébergé par LexisNexis. Par conséquent, il est disponible à l’adresse http://tinyurl.com/y7tf2zc4.</w:t>
      </w:r>
      <w:r w:rsidRPr="00CE3674">
        <w:rPr>
          <w:rFonts w:ascii="Times New Roman" w:hAnsi="Times New Roman" w:cs="Times New Roman"/>
          <w:sz w:val="24"/>
          <w:szCs w:val="24"/>
        </w:rPr>
        <w:t xml:space="preserve"> </w:t>
      </w:r>
    </w:p>
    <w:p w:rsidR="00CE3674" w:rsidRPr="00CE3674" w:rsidRDefault="00CE3674" w:rsidP="00CE367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7BB0">
        <w:rPr>
          <w:rFonts w:ascii="Times New Roman" w:hAnsi="Times New Roman" w:cs="Times New Roman"/>
          <w:sz w:val="24"/>
          <w:szCs w:val="24"/>
        </w:rPr>
        <w:t>Les membres d’INSOL Europe devraient avoir reçu un message électronique contenant leur identifiant de connexion (nom d’utilisateur) et leur mot de passe.</w:t>
      </w:r>
      <w:r w:rsidRPr="00CE3674">
        <w:rPr>
          <w:rFonts w:ascii="Times New Roman" w:hAnsi="Times New Roman" w:cs="Times New Roman"/>
          <w:sz w:val="24"/>
          <w:szCs w:val="24"/>
        </w:rPr>
        <w:t xml:space="preserve"> </w:t>
      </w:r>
      <w:r w:rsidRPr="00F47BB0">
        <w:rPr>
          <w:rFonts w:ascii="Times New Roman" w:hAnsi="Times New Roman" w:cs="Times New Roman"/>
          <w:sz w:val="24"/>
          <w:szCs w:val="24"/>
        </w:rPr>
        <w:t xml:space="preserve">En cas d’oubli ou de perte </w:t>
      </w:r>
      <w:r>
        <w:rPr>
          <w:rFonts w:ascii="Times New Roman" w:hAnsi="Times New Roman" w:cs="Times New Roman"/>
          <w:sz w:val="24"/>
          <w:szCs w:val="24"/>
        </w:rPr>
        <w:t>de ce</w:t>
      </w:r>
      <w:r w:rsidRPr="00F47BB0">
        <w:rPr>
          <w:rFonts w:ascii="Times New Roman" w:hAnsi="Times New Roman" w:cs="Times New Roman"/>
          <w:sz w:val="24"/>
          <w:szCs w:val="24"/>
        </w:rPr>
        <w:t xml:space="preserve"> message, LexisNexis a mis en place une boîte aux lettre</w:t>
      </w:r>
      <w:r w:rsidR="00224EEF">
        <w:rPr>
          <w:rFonts w:ascii="Times New Roman" w:hAnsi="Times New Roman" w:cs="Times New Roman"/>
          <w:sz w:val="24"/>
          <w:szCs w:val="24"/>
        </w:rPr>
        <w:t>s</w:t>
      </w:r>
      <w:r w:rsidRPr="00F47BB0">
        <w:rPr>
          <w:rFonts w:ascii="Times New Roman" w:hAnsi="Times New Roman" w:cs="Times New Roman"/>
          <w:sz w:val="24"/>
          <w:szCs w:val="24"/>
        </w:rPr>
        <w:t xml:space="preserve"> réservée aux utilisateurs d’INSOL (INSOL-Users@lexisnexis.co.uk) qui peut être contactée pour obtenir un rappel.</w:t>
      </w:r>
    </w:p>
    <w:p w:rsidR="00CE3674" w:rsidRPr="00CE3674" w:rsidRDefault="00CE3674" w:rsidP="00CE367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7BB0">
        <w:rPr>
          <w:rFonts w:ascii="Times New Roman" w:hAnsi="Times New Roman" w:cs="Times New Roman"/>
          <w:sz w:val="24"/>
          <w:szCs w:val="24"/>
        </w:rPr>
        <w:t>Les personnes qui ne sont pas membres d’INSOL Europe peuvent contacter les responsables techniques d’INSOL Europe (technical@insol-europe.org), qui prendront les dispositions nécessaires pour organiser l’accès à LexisLibrary et pour que l’équipe de Lexis leur envoie de</w:t>
      </w:r>
      <w:r>
        <w:rPr>
          <w:rFonts w:ascii="Times New Roman" w:hAnsi="Times New Roman" w:cs="Times New Roman"/>
          <w:sz w:val="24"/>
          <w:szCs w:val="24"/>
        </w:rPr>
        <w:t xml:space="preserve"> nouveaux</w:t>
      </w:r>
      <w:r w:rsidRPr="00F47BB0">
        <w:rPr>
          <w:rFonts w:ascii="Times New Roman" w:hAnsi="Times New Roman" w:cs="Times New Roman"/>
          <w:sz w:val="24"/>
          <w:szCs w:val="24"/>
        </w:rPr>
        <w:t xml:space="preserve"> identifiants.</w:t>
      </w:r>
    </w:p>
    <w:p w:rsidR="00CE3674" w:rsidRPr="00CE3674" w:rsidRDefault="00CE3674" w:rsidP="00224EEF">
      <w:pPr>
        <w:ind w:left="4248"/>
        <w:jc w:val="both"/>
        <w:rPr>
          <w:rFonts w:ascii="Arial Narrow" w:hAnsi="Arial Narrow" w:cs="Times New Roman"/>
          <w:i/>
          <w:sz w:val="20"/>
          <w:szCs w:val="24"/>
        </w:rPr>
      </w:pPr>
      <w:r w:rsidRPr="00F47BB0">
        <w:rPr>
          <w:rFonts w:ascii="Arial Narrow" w:hAnsi="Arial Narrow" w:cs="Times New Roman"/>
          <w:i/>
          <w:sz w:val="20"/>
          <w:szCs w:val="24"/>
        </w:rPr>
        <w:t>*Professeur Reinhard Bork, université de Hambourg (Allemagne)</w:t>
      </w:r>
    </w:p>
    <w:p w:rsidR="00CE3674" w:rsidRDefault="00CE3674" w:rsidP="003B5B5D">
      <w:pPr>
        <w:suppressAutoHyphens/>
        <w:spacing w:after="0" w:line="240" w:lineRule="auto"/>
        <w:jc w:val="both"/>
        <w:rPr>
          <w:rFonts w:ascii="Arial Narrow" w:eastAsia="Times New Roman" w:hAnsi="Arial Narrow" w:cs="Times New Roman"/>
          <w:b/>
          <w:sz w:val="32"/>
          <w:szCs w:val="32"/>
          <w:lang w:eastAsia="ar-SA"/>
        </w:rPr>
      </w:pPr>
    </w:p>
    <w:p w:rsidR="00CE3674" w:rsidRPr="00CE3674" w:rsidRDefault="00CE3674" w:rsidP="00CE367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x</w:t>
      </w:r>
      <w:r w:rsidRPr="00CE3674">
        <w:rPr>
          <w:rFonts w:ascii="Times New Roman" w:eastAsia="Times New Roman" w:hAnsi="Times New Roman" w:cs="Times New Roman"/>
          <w:sz w:val="24"/>
          <w:szCs w:val="24"/>
          <w:lang w:eastAsia="ar-SA"/>
        </w:rPr>
        <w:t xml:space="preserve">  x  x</w:t>
      </w:r>
    </w:p>
    <w:p w:rsidR="00CE3674" w:rsidRDefault="00CE3674" w:rsidP="00CE3674">
      <w:pPr>
        <w:suppressAutoHyphens/>
        <w:spacing w:after="0" w:line="240" w:lineRule="auto"/>
        <w:jc w:val="center"/>
        <w:rPr>
          <w:rFonts w:ascii="Arial Narrow" w:eastAsia="Times New Roman" w:hAnsi="Arial Narrow" w:cs="Times New Roman"/>
          <w:b/>
          <w:sz w:val="32"/>
          <w:szCs w:val="32"/>
          <w:lang w:eastAsia="ar-SA"/>
        </w:rPr>
      </w:pPr>
      <w:r w:rsidRPr="00CE3674">
        <w:rPr>
          <w:rFonts w:ascii="Times New Roman" w:eastAsia="Times New Roman" w:hAnsi="Times New Roman" w:cs="Times New Roman"/>
          <w:sz w:val="24"/>
          <w:szCs w:val="24"/>
          <w:lang w:eastAsia="ar-SA"/>
        </w:rPr>
        <w:t>x</w:t>
      </w:r>
    </w:p>
    <w:p w:rsidR="00224EEF" w:rsidRDefault="00224EEF" w:rsidP="003B5B5D">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F52D53" w:rsidRDefault="00F52D53" w:rsidP="00224EEF">
      <w:pPr>
        <w:suppressAutoHyphens/>
        <w:spacing w:after="0" w:line="240" w:lineRule="auto"/>
        <w:jc w:val="both"/>
        <w:rPr>
          <w:rFonts w:ascii="Arial Narrow" w:eastAsia="Times New Roman" w:hAnsi="Arial Narrow" w:cs="Times New Roman"/>
          <w:b/>
          <w:sz w:val="32"/>
          <w:szCs w:val="32"/>
          <w:lang w:eastAsia="ar-SA"/>
        </w:rPr>
      </w:pPr>
    </w:p>
    <w:p w:rsidR="00CE3674" w:rsidRDefault="00224EEF" w:rsidP="00224EEF">
      <w:pPr>
        <w:suppressAutoHyphens/>
        <w:spacing w:after="0" w:line="240" w:lineRule="auto"/>
        <w:jc w:val="both"/>
        <w:rPr>
          <w:rFonts w:ascii="Arial Narrow" w:eastAsia="Times New Roman" w:hAnsi="Arial Narrow" w:cs="Times New Roman"/>
          <w:b/>
          <w:sz w:val="32"/>
          <w:szCs w:val="32"/>
          <w:lang w:eastAsia="ar-SA"/>
        </w:rPr>
      </w:pPr>
      <w:r>
        <w:rPr>
          <w:rFonts w:ascii="Arial Narrow" w:eastAsia="Times New Roman" w:hAnsi="Arial Narrow" w:cs="Times New Roman"/>
          <w:b/>
          <w:sz w:val="32"/>
          <w:szCs w:val="32"/>
          <w:lang w:eastAsia="ar-SA"/>
        </w:rPr>
        <w:lastRenderedPageBreak/>
        <w:t>Compte-rendu technique</w:t>
      </w:r>
    </w:p>
    <w:p w:rsidR="00224EEF" w:rsidRPr="00224EEF" w:rsidRDefault="00224EEF" w:rsidP="00224EEF">
      <w:pPr>
        <w:suppressAutoHyphens/>
        <w:spacing w:after="0" w:line="240" w:lineRule="auto"/>
        <w:jc w:val="both"/>
        <w:rPr>
          <w:rFonts w:ascii="Arial Narrow" w:eastAsia="Times New Roman" w:hAnsi="Arial Narrow" w:cs="Times New Roman"/>
          <w:b/>
          <w:sz w:val="24"/>
          <w:szCs w:val="24"/>
          <w:lang w:eastAsia="ar-SA"/>
        </w:rPr>
      </w:pPr>
    </w:p>
    <w:p w:rsidR="00CE3674" w:rsidRPr="00224EEF" w:rsidRDefault="00CE3674" w:rsidP="00E348B8">
      <w:pPr>
        <w:spacing w:after="0" w:line="240" w:lineRule="auto"/>
        <w:jc w:val="center"/>
        <w:rPr>
          <w:rFonts w:ascii="Times New Roman" w:hAnsi="Times New Roman" w:cs="Times New Roman"/>
          <w:sz w:val="48"/>
          <w:szCs w:val="48"/>
        </w:rPr>
      </w:pPr>
      <w:r w:rsidRPr="00224EEF">
        <w:rPr>
          <w:rFonts w:ascii="Times New Roman" w:hAnsi="Times New Roman" w:cs="Times New Roman"/>
          <w:b/>
          <w:sz w:val="48"/>
          <w:szCs w:val="48"/>
        </w:rPr>
        <w:t>Nouvelles a</w:t>
      </w:r>
      <w:r w:rsidR="00224EEF">
        <w:rPr>
          <w:rFonts w:ascii="Times New Roman" w:hAnsi="Times New Roman" w:cs="Times New Roman"/>
          <w:b/>
          <w:sz w:val="48"/>
          <w:szCs w:val="48"/>
        </w:rPr>
        <w:t xml:space="preserve">ffaires appliquant le règlement </w:t>
      </w:r>
      <w:r w:rsidRPr="00224EEF">
        <w:rPr>
          <w:rFonts w:ascii="Times New Roman" w:hAnsi="Times New Roman" w:cs="Times New Roman"/>
          <w:b/>
          <w:sz w:val="48"/>
          <w:szCs w:val="48"/>
        </w:rPr>
        <w:t>(UE) 2015/848 relatif aux procédures d’insolvabilité</w:t>
      </w:r>
    </w:p>
    <w:p w:rsidR="00CE3674" w:rsidRPr="00224EEF" w:rsidRDefault="00CE3674" w:rsidP="00E348B8">
      <w:pPr>
        <w:spacing w:after="0" w:line="240" w:lineRule="auto"/>
        <w:jc w:val="center"/>
        <w:rPr>
          <w:rFonts w:ascii="Arial Narrow" w:hAnsi="Arial Narrow" w:cs="Times New Roman"/>
          <w:i/>
          <w:sz w:val="24"/>
        </w:rPr>
      </w:pPr>
      <w:r w:rsidRPr="00D30A24">
        <w:rPr>
          <w:rFonts w:ascii="Arial Narrow" w:hAnsi="Arial Narrow" w:cs="Times New Roman"/>
          <w:i/>
          <w:sz w:val="24"/>
        </w:rPr>
        <w:t xml:space="preserve">Myriam Mailly* présente les nouvelles affaires publiées dans le registre LexisNexis INSOL Europe d’affaires fondées sur le REI suite à l’entrée en vigueur de la refonte du </w:t>
      </w:r>
      <w:r w:rsidR="00224EEF">
        <w:rPr>
          <w:rFonts w:ascii="Arial Narrow" w:hAnsi="Arial Narrow" w:cs="Times New Roman"/>
          <w:i/>
          <w:sz w:val="24"/>
        </w:rPr>
        <w:t xml:space="preserve">REI </w:t>
      </w:r>
      <w:r w:rsidRPr="00D30A24">
        <w:rPr>
          <w:rFonts w:ascii="Arial Narrow" w:hAnsi="Arial Narrow" w:cs="Times New Roman"/>
          <w:i/>
          <w:sz w:val="24"/>
        </w:rPr>
        <w:t>le 26 juin 2017</w:t>
      </w:r>
    </w:p>
    <w:p w:rsidR="00CE3674" w:rsidRPr="00CE3674" w:rsidRDefault="00CE3674" w:rsidP="00CE3674">
      <w:pPr>
        <w:jc w:val="both"/>
        <w:rPr>
          <w:rFonts w:ascii="Times New Roman" w:hAnsi="Times New Roman" w:cs="Times New Roman"/>
          <w:b/>
          <w:sz w:val="24"/>
        </w:rPr>
      </w:pPr>
      <w:r w:rsidRPr="00D30A24">
        <w:rPr>
          <w:rFonts w:ascii="Times New Roman" w:hAnsi="Times New Roman" w:cs="Times New Roman"/>
          <w:b/>
          <w:sz w:val="24"/>
        </w:rPr>
        <w:t>Comme le règlement prédécesseur, la refonte du règlement européen sur l’insolvabilité (« refonte du REI ») expose des règles visant entre autres à établir quel tribunal est compétent pour ouvrir une affaire d’insolvabilité transfrontalière.</w:t>
      </w:r>
      <w:r w:rsidRPr="00CE3674">
        <w:rPr>
          <w:rFonts w:ascii="Times New Roman" w:hAnsi="Times New Roman" w:cs="Times New Roman"/>
          <w:b/>
          <w:sz w:val="24"/>
        </w:rPr>
        <w:t xml:space="preserve"> </w:t>
      </w:r>
      <w:r w:rsidRPr="00D30A24">
        <w:rPr>
          <w:rFonts w:ascii="Times New Roman" w:hAnsi="Times New Roman" w:cs="Times New Roman"/>
          <w:b/>
          <w:sz w:val="24"/>
        </w:rPr>
        <w:t>En termes de compétence, la procédure principale se déroule toujours devant les tribunaux de l’État membre où se situe le centre des intérêts principaux (« CIP ») du débiteur.</w:t>
      </w:r>
    </w:p>
    <w:p w:rsidR="00CE3674" w:rsidRPr="00CE3674" w:rsidRDefault="00CE3674" w:rsidP="00CE3674">
      <w:pPr>
        <w:jc w:val="both"/>
        <w:rPr>
          <w:rFonts w:ascii="Times New Roman" w:hAnsi="Times New Roman" w:cs="Times New Roman"/>
          <w:sz w:val="24"/>
        </w:rPr>
      </w:pPr>
      <w:r w:rsidRPr="00D30A24">
        <w:rPr>
          <w:rFonts w:ascii="Times New Roman" w:hAnsi="Times New Roman" w:cs="Times New Roman"/>
          <w:b/>
          <w:i/>
          <w:sz w:val="24"/>
        </w:rPr>
        <w:t>Exemples d’affaires récentes</w:t>
      </w:r>
      <w:r w:rsidRPr="00CE3674">
        <w:rPr>
          <w:rFonts w:ascii="Times New Roman" w:hAnsi="Times New Roman" w:cs="Times New Roman"/>
          <w:sz w:val="24"/>
        </w:rPr>
        <w:t xml:space="preserve"> </w:t>
      </w:r>
    </w:p>
    <w:p w:rsidR="00CE3674" w:rsidRPr="00CE3674" w:rsidRDefault="00CE3674" w:rsidP="00CE3674">
      <w:pPr>
        <w:jc w:val="both"/>
        <w:rPr>
          <w:rFonts w:ascii="Times New Roman" w:hAnsi="Times New Roman" w:cs="Times New Roman"/>
          <w:sz w:val="24"/>
        </w:rPr>
      </w:pPr>
      <w:r w:rsidRPr="00D30A24">
        <w:rPr>
          <w:rFonts w:ascii="Times New Roman" w:hAnsi="Times New Roman" w:cs="Times New Roman"/>
          <w:sz w:val="24"/>
        </w:rPr>
        <w:t>Désormais, la refonte du REI précise expressément que</w:t>
      </w:r>
      <w:r>
        <w:rPr>
          <w:rFonts w:ascii="Times New Roman" w:hAnsi="Times New Roman" w:cs="Times New Roman"/>
          <w:sz w:val="24"/>
        </w:rPr>
        <w:t>,</w:t>
      </w:r>
      <w:r w:rsidRPr="00D30A24">
        <w:rPr>
          <w:rFonts w:ascii="Times New Roman" w:hAnsi="Times New Roman" w:cs="Times New Roman"/>
          <w:sz w:val="24"/>
        </w:rPr>
        <w:t xml:space="preserve"> dans le cas d’une personne physique exerçant une profession libérale ou autre activité d’indépendant, le CIP du débiteur se situe au lieu d’activité principal. Dans les autres cas, le CIP se situe généralement au lieu de sa résidence habituelle.</w:t>
      </w:r>
    </w:p>
    <w:p w:rsidR="00CE3674" w:rsidRPr="00CE3674" w:rsidRDefault="00CE3674" w:rsidP="00CE3674">
      <w:pPr>
        <w:jc w:val="both"/>
        <w:rPr>
          <w:rFonts w:ascii="Times New Roman" w:hAnsi="Times New Roman" w:cs="Times New Roman"/>
          <w:sz w:val="24"/>
        </w:rPr>
      </w:pPr>
      <w:r w:rsidRPr="00D30A24">
        <w:rPr>
          <w:rFonts w:ascii="Times New Roman" w:hAnsi="Times New Roman" w:cs="Times New Roman"/>
          <w:sz w:val="24"/>
        </w:rPr>
        <w:t>Une affaire de Gibraltar (</w:t>
      </w:r>
      <w:r w:rsidRPr="00D30A24">
        <w:rPr>
          <w:rFonts w:ascii="Times New Roman" w:hAnsi="Times New Roman" w:cs="Times New Roman"/>
          <w:i/>
          <w:sz w:val="24"/>
        </w:rPr>
        <w:t>Re Advalorem Value Asset Fund Limited</w:t>
      </w:r>
      <w:r w:rsidRPr="00D30A24">
        <w:rPr>
          <w:rFonts w:ascii="Times New Roman" w:hAnsi="Times New Roman" w:cs="Times New Roman"/>
          <w:sz w:val="24"/>
        </w:rPr>
        <w:t xml:space="preserve">) a souligné </w:t>
      </w:r>
      <w:r>
        <w:rPr>
          <w:rFonts w:ascii="Times New Roman" w:hAnsi="Times New Roman" w:cs="Times New Roman"/>
          <w:sz w:val="24"/>
        </w:rPr>
        <w:t>à quel point il était important</w:t>
      </w:r>
      <w:r w:rsidRPr="00D30A24">
        <w:rPr>
          <w:rFonts w:ascii="Times New Roman" w:hAnsi="Times New Roman" w:cs="Times New Roman"/>
          <w:sz w:val="24"/>
        </w:rPr>
        <w:t xml:space="preserve"> de déterminer si une personne physique exerçait une profession libérale ou autre activité d’indépendant au titre de l’article 3(1) de la refonte du REI.</w:t>
      </w:r>
      <w:r w:rsidRPr="00CE3674">
        <w:rPr>
          <w:rFonts w:ascii="Times New Roman" w:hAnsi="Times New Roman" w:cs="Times New Roman"/>
          <w:sz w:val="24"/>
        </w:rPr>
        <w:t xml:space="preserve"> </w:t>
      </w:r>
      <w:r w:rsidRPr="00D30A24">
        <w:rPr>
          <w:rFonts w:ascii="Times New Roman" w:hAnsi="Times New Roman" w:cs="Times New Roman"/>
          <w:sz w:val="24"/>
        </w:rPr>
        <w:t xml:space="preserve">La question était </w:t>
      </w:r>
      <w:r>
        <w:rPr>
          <w:rFonts w:ascii="Times New Roman" w:hAnsi="Times New Roman" w:cs="Times New Roman"/>
          <w:sz w:val="24"/>
        </w:rPr>
        <w:t>cruciale</w:t>
      </w:r>
      <w:r w:rsidRPr="00D30A24">
        <w:rPr>
          <w:rFonts w:ascii="Times New Roman" w:hAnsi="Times New Roman" w:cs="Times New Roman"/>
          <w:sz w:val="24"/>
        </w:rPr>
        <w:t>, étant donné que le CIP du débiteur se serait situé à Gibraltar s’il entrait dans cette catégorie, et en Espagne dans le cas contraire.</w:t>
      </w:r>
    </w:p>
    <w:p w:rsidR="00CE3674" w:rsidRPr="00CE3674" w:rsidRDefault="00CE3674" w:rsidP="00CE3674">
      <w:pPr>
        <w:jc w:val="both"/>
        <w:rPr>
          <w:rFonts w:ascii="Times New Roman" w:hAnsi="Times New Roman" w:cs="Times New Roman"/>
          <w:sz w:val="24"/>
        </w:rPr>
      </w:pPr>
      <w:r w:rsidRPr="00D30A24">
        <w:rPr>
          <w:rFonts w:ascii="Times New Roman" w:hAnsi="Times New Roman" w:cs="Times New Roman"/>
          <w:sz w:val="24"/>
        </w:rPr>
        <w:t>Dans une autre affaire (</w:t>
      </w:r>
      <w:r w:rsidRPr="00D30A24">
        <w:rPr>
          <w:rFonts w:ascii="Times New Roman" w:hAnsi="Times New Roman" w:cs="Times New Roman"/>
          <w:i/>
          <w:sz w:val="24"/>
        </w:rPr>
        <w:t>R.L. Bezuijen Holding B.V.</w:t>
      </w:r>
      <w:r w:rsidRPr="00D30A24">
        <w:rPr>
          <w:rFonts w:ascii="Times New Roman" w:hAnsi="Times New Roman" w:cs="Times New Roman"/>
          <w:sz w:val="24"/>
        </w:rPr>
        <w:t xml:space="preserve">) des Pays-Bas, il a été </w:t>
      </w:r>
      <w:r>
        <w:rPr>
          <w:rFonts w:ascii="Times New Roman" w:hAnsi="Times New Roman" w:cs="Times New Roman"/>
          <w:sz w:val="24"/>
        </w:rPr>
        <w:t xml:space="preserve">souligné </w:t>
      </w:r>
      <w:r w:rsidRPr="00D30A24">
        <w:rPr>
          <w:rFonts w:ascii="Times New Roman" w:hAnsi="Times New Roman" w:cs="Times New Roman"/>
          <w:sz w:val="24"/>
        </w:rPr>
        <w:t xml:space="preserve">que le fait qu’une personne physique débitrice était membre du conseil d’administration et actionnaire d’une société possédant des biens immobiliers dans un autre État membre dans lequel vivait sa famille ne suffisait pas pour </w:t>
      </w:r>
      <w:r>
        <w:rPr>
          <w:rFonts w:ascii="Times New Roman" w:hAnsi="Times New Roman" w:cs="Times New Roman"/>
          <w:sz w:val="24"/>
        </w:rPr>
        <w:t>renverser</w:t>
      </w:r>
      <w:r w:rsidRPr="00D30A24">
        <w:rPr>
          <w:rFonts w:ascii="Times New Roman" w:hAnsi="Times New Roman" w:cs="Times New Roman"/>
          <w:sz w:val="24"/>
        </w:rPr>
        <w:t xml:space="preserve"> la présomption en faveur du lieu de sa résidence habituelle.</w:t>
      </w:r>
    </w:p>
    <w:p w:rsidR="00CE3674" w:rsidRPr="00CE3674" w:rsidRDefault="00CE3674" w:rsidP="00CE3674">
      <w:pPr>
        <w:jc w:val="both"/>
        <w:rPr>
          <w:rFonts w:ascii="Times New Roman" w:hAnsi="Times New Roman" w:cs="Times New Roman"/>
          <w:sz w:val="24"/>
        </w:rPr>
      </w:pPr>
      <w:r w:rsidRPr="00D324E4">
        <w:rPr>
          <w:rFonts w:ascii="Times New Roman" w:hAnsi="Times New Roman" w:cs="Times New Roman"/>
          <w:sz w:val="24"/>
        </w:rPr>
        <w:t>Dans le cas d’une société ou d’une personne morale, le CIP du débiteur est présumé (comme auparavant) être situé à son siège social, en l’absence de toute preuve contraire.</w:t>
      </w:r>
      <w:r w:rsidRPr="00CE3674">
        <w:rPr>
          <w:rFonts w:ascii="Times New Roman" w:hAnsi="Times New Roman" w:cs="Times New Roman"/>
          <w:sz w:val="24"/>
        </w:rPr>
        <w:t xml:space="preserve"> </w:t>
      </w:r>
      <w:r w:rsidRPr="00D324E4">
        <w:rPr>
          <w:rFonts w:ascii="Times New Roman" w:hAnsi="Times New Roman" w:cs="Times New Roman"/>
          <w:sz w:val="24"/>
        </w:rPr>
        <w:t>La refonte du REI ajoute que cette présomption ne s’applique que si le siège social n’a pas été transféré dans un autre État membre au cours des trois mois précédant la demande d’ouverture de la procédure d’insolvabilité.</w:t>
      </w:r>
    </w:p>
    <w:p w:rsidR="00CE3674" w:rsidRPr="00CE3674" w:rsidRDefault="00CE3674" w:rsidP="00CE3674">
      <w:pPr>
        <w:jc w:val="both"/>
        <w:rPr>
          <w:rFonts w:ascii="Times New Roman" w:hAnsi="Times New Roman" w:cs="Times New Roman"/>
          <w:sz w:val="24"/>
        </w:rPr>
      </w:pPr>
      <w:r w:rsidRPr="00D324E4">
        <w:rPr>
          <w:rFonts w:ascii="Times New Roman" w:hAnsi="Times New Roman" w:cs="Times New Roman"/>
          <w:sz w:val="24"/>
        </w:rPr>
        <w:t>Il était légitime de s’attendre à ce que ces dispositions mettent fin à la bataille procédurale concernant le lieu du CIP d’une entreprise débitrice.</w:t>
      </w:r>
      <w:r w:rsidRPr="00CE3674">
        <w:rPr>
          <w:rFonts w:ascii="Times New Roman" w:hAnsi="Times New Roman" w:cs="Times New Roman"/>
          <w:sz w:val="24"/>
        </w:rPr>
        <w:t xml:space="preserve"> </w:t>
      </w:r>
      <w:r w:rsidRPr="00D324E4">
        <w:rPr>
          <w:rFonts w:ascii="Times New Roman" w:hAnsi="Times New Roman" w:cs="Times New Roman"/>
          <w:sz w:val="24"/>
        </w:rPr>
        <w:t>Ce n’est pourtant pas du tout le cas !</w:t>
      </w:r>
      <w:r w:rsidRPr="00CE3674">
        <w:rPr>
          <w:rFonts w:ascii="Times New Roman" w:hAnsi="Times New Roman" w:cs="Times New Roman"/>
          <w:sz w:val="24"/>
        </w:rPr>
        <w:t xml:space="preserve"> </w:t>
      </w:r>
      <w:r w:rsidRPr="00D324E4">
        <w:rPr>
          <w:rFonts w:ascii="Times New Roman" w:hAnsi="Times New Roman" w:cs="Times New Roman"/>
          <w:sz w:val="24"/>
        </w:rPr>
        <w:t xml:space="preserve">De fait, quatre décisions allemandes prononcées dans le cadre de la « saga » </w:t>
      </w:r>
      <w:r w:rsidRPr="00D324E4">
        <w:rPr>
          <w:rFonts w:ascii="Times New Roman" w:hAnsi="Times New Roman" w:cs="Times New Roman"/>
          <w:i/>
          <w:sz w:val="24"/>
        </w:rPr>
        <w:t>NIKI Luftfahrt GmbH</w:t>
      </w:r>
      <w:r w:rsidRPr="00D324E4">
        <w:rPr>
          <w:rFonts w:ascii="Times New Roman" w:hAnsi="Times New Roman" w:cs="Times New Roman"/>
          <w:sz w:val="24"/>
        </w:rPr>
        <w:t xml:space="preserve"> prouvent le contraire.</w:t>
      </w:r>
    </w:p>
    <w:p w:rsidR="00CE3674" w:rsidRPr="00CE3674" w:rsidRDefault="00CE3674" w:rsidP="00CE3674">
      <w:pPr>
        <w:jc w:val="both"/>
        <w:rPr>
          <w:rFonts w:ascii="Times New Roman" w:hAnsi="Times New Roman" w:cs="Times New Roman"/>
          <w:sz w:val="24"/>
        </w:rPr>
      </w:pPr>
      <w:r w:rsidRPr="00D324E4">
        <w:rPr>
          <w:rFonts w:ascii="Times New Roman" w:hAnsi="Times New Roman" w:cs="Times New Roman"/>
          <w:sz w:val="24"/>
        </w:rPr>
        <w:lastRenderedPageBreak/>
        <w:t>Dans cette affaire, il a été décidé en dernier ressort que les tribunaux allemands n’avaient pas compétence internationale en vertu de l’article 3(1) de la refonte du REI, parce que le CIP du débiteur était situé en Autriche.</w:t>
      </w:r>
      <w:r w:rsidRPr="00CE3674">
        <w:rPr>
          <w:rFonts w:ascii="Times New Roman" w:hAnsi="Times New Roman" w:cs="Times New Roman"/>
          <w:sz w:val="24"/>
        </w:rPr>
        <w:t xml:space="preserve"> </w:t>
      </w:r>
      <w:r w:rsidRPr="00D324E4">
        <w:rPr>
          <w:rFonts w:ascii="Times New Roman" w:hAnsi="Times New Roman" w:cs="Times New Roman"/>
          <w:sz w:val="24"/>
        </w:rPr>
        <w:t xml:space="preserve">Plus important, ces décisions soulignent clairement les difficultés qui </w:t>
      </w:r>
      <w:r>
        <w:rPr>
          <w:rFonts w:ascii="Times New Roman" w:hAnsi="Times New Roman" w:cs="Times New Roman"/>
          <w:sz w:val="24"/>
        </w:rPr>
        <w:t>continuent de se poser</w:t>
      </w:r>
      <w:r w:rsidRPr="00D324E4">
        <w:rPr>
          <w:rFonts w:ascii="Times New Roman" w:hAnsi="Times New Roman" w:cs="Times New Roman"/>
          <w:sz w:val="24"/>
        </w:rPr>
        <w:t xml:space="preserve"> en </w:t>
      </w:r>
      <w:r>
        <w:rPr>
          <w:rFonts w:ascii="Times New Roman" w:hAnsi="Times New Roman" w:cs="Times New Roman"/>
          <w:sz w:val="24"/>
        </w:rPr>
        <w:t>rapport</w:t>
      </w:r>
      <w:r w:rsidRPr="00D324E4">
        <w:rPr>
          <w:rFonts w:ascii="Times New Roman" w:hAnsi="Times New Roman" w:cs="Times New Roman"/>
          <w:sz w:val="24"/>
        </w:rPr>
        <w:t xml:space="preserve"> avec la détermination des facteurs décisifs devant être pris en compte par les juges saisis d’une demande d’ouverture de procédure d’insolvabilité à l’encontre d’une entreprise débitrice pour renverser dans chaque cas la présomption en faveur du siège social.</w:t>
      </w:r>
    </w:p>
    <w:p w:rsidR="00CE3674" w:rsidRPr="009A1930" w:rsidRDefault="00CE3674" w:rsidP="00CE3674">
      <w:pPr>
        <w:jc w:val="both"/>
        <w:rPr>
          <w:rFonts w:ascii="Times New Roman" w:hAnsi="Times New Roman" w:cs="Times New Roman"/>
          <w:sz w:val="24"/>
        </w:rPr>
      </w:pPr>
      <w:r w:rsidRPr="00D324E4">
        <w:rPr>
          <w:rFonts w:ascii="Times New Roman" w:hAnsi="Times New Roman" w:cs="Times New Roman"/>
          <w:b/>
          <w:i/>
          <w:sz w:val="24"/>
        </w:rPr>
        <w:t>Conclusion</w:t>
      </w:r>
      <w:r w:rsidRPr="009A1930">
        <w:rPr>
          <w:rFonts w:ascii="Times New Roman" w:hAnsi="Times New Roman" w:cs="Times New Roman"/>
          <w:sz w:val="24"/>
        </w:rPr>
        <w:t xml:space="preserve"> </w:t>
      </w:r>
    </w:p>
    <w:p w:rsidR="00CE3674" w:rsidRPr="00E348B8" w:rsidRDefault="00CE3674" w:rsidP="00E348B8">
      <w:pPr>
        <w:jc w:val="both"/>
        <w:rPr>
          <w:rFonts w:ascii="Times New Roman" w:hAnsi="Times New Roman" w:cs="Times New Roman"/>
          <w:sz w:val="24"/>
        </w:rPr>
      </w:pPr>
      <w:r w:rsidRPr="00D324E4">
        <w:rPr>
          <w:rFonts w:ascii="Times New Roman" w:hAnsi="Times New Roman" w:cs="Times New Roman"/>
          <w:sz w:val="24"/>
        </w:rPr>
        <w:t>Pour conclure, le registre d’affaires LexisNexis INSOL Europe d’affaires fondées sur le REI permet à tous les professionnels de l’insolvabilité de connaître les récents développements en lien avec l’application de la refonte du REI par les juridictions nationales.</w:t>
      </w:r>
      <w:r w:rsidRPr="00CE3674">
        <w:rPr>
          <w:rFonts w:ascii="Times New Roman" w:hAnsi="Times New Roman" w:cs="Times New Roman"/>
          <w:sz w:val="24"/>
        </w:rPr>
        <w:t xml:space="preserve"> </w:t>
      </w:r>
      <w:r w:rsidRPr="00D324E4">
        <w:rPr>
          <w:rFonts w:ascii="Times New Roman" w:hAnsi="Times New Roman" w:cs="Times New Roman"/>
          <w:sz w:val="24"/>
        </w:rPr>
        <w:t>C’est sans conteste un outil très utile dans la vie quotidienne des PI !</w:t>
      </w:r>
    </w:p>
    <w:p w:rsidR="00CE3674" w:rsidRPr="00224EEF" w:rsidRDefault="00CE3674" w:rsidP="00224EEF">
      <w:pPr>
        <w:jc w:val="center"/>
        <w:rPr>
          <w:rFonts w:ascii="Times New Roman" w:hAnsi="Times New Roman" w:cs="Times New Roman"/>
          <w:b/>
          <w:sz w:val="24"/>
        </w:rPr>
      </w:pPr>
      <w:r w:rsidRPr="00D324E4">
        <w:rPr>
          <w:rFonts w:ascii="Times New Roman" w:hAnsi="Times New Roman" w:cs="Times New Roman"/>
          <w:b/>
          <w:sz w:val="24"/>
        </w:rPr>
        <w:t>Pour connaître le nouveau contenu technique récemment publié sur le site d’INSOL Europe, consultez www.insol-europe.org/technical-content/introduction ou contactez Myriam Mailly par courrier électronique à l’adresse technical@insol-europe.org</w:t>
      </w:r>
    </w:p>
    <w:p w:rsidR="003B5B5D" w:rsidRPr="00E348B8" w:rsidRDefault="00224EEF" w:rsidP="00E348B8">
      <w:pPr>
        <w:jc w:val="both"/>
        <w:rPr>
          <w:rFonts w:ascii="Arial Narrow" w:hAnsi="Arial Narrow" w:cs="Times New Roman"/>
          <w:i/>
          <w:sz w:val="20"/>
        </w:rPr>
      </w:pPr>
      <w:r>
        <w:rPr>
          <w:rFonts w:ascii="Arial Narrow" w:hAnsi="Arial Narrow" w:cs="Times New Roman"/>
          <w:i/>
          <w:sz w:val="20"/>
        </w:rPr>
        <w:t xml:space="preserve">                                                                                                            </w:t>
      </w:r>
      <w:r w:rsidR="00CE3674" w:rsidRPr="00D324E4">
        <w:rPr>
          <w:rFonts w:ascii="Arial Narrow" w:hAnsi="Arial Narrow" w:cs="Times New Roman"/>
          <w:i/>
          <w:sz w:val="20"/>
        </w:rPr>
        <w:t>*Myriam Mailly, coresponsable technique d’INSOL Europe</w:t>
      </w:r>
    </w:p>
    <w:p w:rsidR="002C5EDC" w:rsidRPr="003B5B5D" w:rsidRDefault="002C5EDC" w:rsidP="003B5B5D">
      <w:pPr>
        <w:suppressAutoHyphens/>
        <w:spacing w:after="0" w:line="240" w:lineRule="auto"/>
        <w:rPr>
          <w:rFonts w:ascii="Times New Roman" w:eastAsia="Times New Roman" w:hAnsi="Times New Roman" w:cs="Times New Roman"/>
          <w:b/>
          <w:sz w:val="24"/>
          <w:szCs w:val="24"/>
          <w:lang w:eastAsia="ar-SA"/>
        </w:rPr>
      </w:pPr>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center"/>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Liens utiles</w:t>
      </w:r>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r w:rsidRPr="00E348B8">
        <w:rPr>
          <w:rFonts w:ascii="Times New Roman" w:eastAsia="Times New Roman" w:hAnsi="Times New Roman" w:cs="Times New Roman"/>
          <w:b/>
          <w:sz w:val="20"/>
          <w:szCs w:val="20"/>
          <w:lang w:eastAsia="ar-SA"/>
        </w:rPr>
        <w:t>Courriel :</w:t>
      </w:r>
      <w:r w:rsidRPr="00E348B8">
        <w:rPr>
          <w:rFonts w:ascii="Times New Roman" w:eastAsia="Times New Roman" w:hAnsi="Times New Roman" w:cs="Times New Roman"/>
          <w:sz w:val="20"/>
          <w:szCs w:val="20"/>
          <w:lang w:eastAsia="ar-SA"/>
        </w:rPr>
        <w:t xml:space="preserve"> </w:t>
      </w:r>
      <w:hyperlink r:id="rId78" w:history="1">
        <w:r w:rsidRPr="00E348B8">
          <w:rPr>
            <w:rFonts w:ascii="Times New Roman" w:eastAsia="Times New Roman" w:hAnsi="Times New Roman" w:cs="Times New Roman"/>
            <w:color w:val="0000FF"/>
            <w:sz w:val="20"/>
            <w:szCs w:val="20"/>
            <w:u w:val="single"/>
            <w:lang w:eastAsia="ar-SA"/>
          </w:rPr>
          <w:t>technical@insol-europe.org</w:t>
        </w:r>
      </w:hyperlink>
      <w:r w:rsidRPr="00E348B8">
        <w:rPr>
          <w:rFonts w:ascii="Times New Roman" w:eastAsia="Times New Roman" w:hAnsi="Times New Roman" w:cs="Times New Roman"/>
          <w:sz w:val="20"/>
          <w:szCs w:val="20"/>
          <w:lang w:eastAsia="ar-SA"/>
        </w:rPr>
        <w:t>.</w:t>
      </w:r>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val="en-US" w:eastAsia="ar-SA"/>
        </w:rPr>
      </w:pPr>
      <w:r w:rsidRPr="00E348B8">
        <w:rPr>
          <w:rFonts w:ascii="Times New Roman" w:eastAsia="Times New Roman" w:hAnsi="Times New Roman" w:cs="Times New Roman"/>
          <w:b/>
          <w:sz w:val="20"/>
          <w:szCs w:val="20"/>
          <w:lang w:val="en-US" w:eastAsia="ar-SA"/>
        </w:rPr>
        <w:t>LinkedIn :</w:t>
      </w:r>
      <w:r w:rsidRPr="00E348B8">
        <w:rPr>
          <w:rFonts w:ascii="Times New Roman" w:eastAsia="Times New Roman" w:hAnsi="Times New Roman" w:cs="Times New Roman"/>
          <w:sz w:val="20"/>
          <w:szCs w:val="20"/>
          <w:lang w:val="en-GB" w:eastAsia="ar-SA"/>
        </w:rPr>
        <w:t xml:space="preserve"> </w:t>
      </w:r>
      <w:hyperlink r:id="rId79" w:history="1">
        <w:r w:rsidRPr="00E348B8">
          <w:rPr>
            <w:rFonts w:ascii="Times New Roman" w:eastAsia="Times New Roman" w:hAnsi="Times New Roman" w:cs="Times New Roman"/>
            <w:color w:val="0000FF"/>
            <w:sz w:val="20"/>
            <w:szCs w:val="20"/>
            <w:u w:val="single"/>
            <w:lang w:val="en-US" w:eastAsia="ar-SA"/>
          </w:rPr>
          <w:t>www.linkedin.com</w:t>
        </w:r>
      </w:hyperlink>
      <w:r w:rsidRPr="00E348B8">
        <w:rPr>
          <w:rFonts w:ascii="Times New Roman" w:eastAsia="Times New Roman" w:hAnsi="Times New Roman" w:cs="Times New Roman"/>
          <w:sz w:val="20"/>
          <w:szCs w:val="20"/>
          <w:lang w:val="en-US" w:eastAsia="ar-SA"/>
        </w:rPr>
        <w:t xml:space="preserve"> </w:t>
      </w:r>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val="en-US" w:eastAsia="ar-SA"/>
        </w:rPr>
      </w:pPr>
      <w:r w:rsidRPr="00E348B8">
        <w:rPr>
          <w:rFonts w:ascii="Times New Roman" w:eastAsia="Times New Roman" w:hAnsi="Times New Roman" w:cs="Times New Roman"/>
          <w:b/>
          <w:sz w:val="20"/>
          <w:szCs w:val="20"/>
          <w:lang w:val="en-US" w:eastAsia="ar-SA"/>
        </w:rPr>
        <w:t>Twitter :</w:t>
      </w:r>
      <w:r w:rsidRPr="00E348B8">
        <w:rPr>
          <w:rFonts w:ascii="Times New Roman" w:eastAsia="Times New Roman" w:hAnsi="Times New Roman" w:cs="Times New Roman"/>
          <w:sz w:val="20"/>
          <w:szCs w:val="20"/>
          <w:lang w:val="en-GB" w:eastAsia="ar-SA"/>
        </w:rPr>
        <w:t xml:space="preserve"> </w:t>
      </w:r>
      <w:r w:rsidRPr="00E348B8">
        <w:rPr>
          <w:rFonts w:ascii="Times New Roman" w:eastAsia="Times New Roman" w:hAnsi="Times New Roman" w:cs="Times New Roman"/>
          <w:sz w:val="20"/>
          <w:szCs w:val="20"/>
          <w:lang w:val="en-US" w:eastAsia="ar-SA"/>
        </w:rPr>
        <w:t>@INSOLEurope</w:t>
      </w:r>
    </w:p>
    <w:p w:rsidR="003B5B5D" w:rsidRPr="00E348B8" w:rsidRDefault="003B5B5D" w:rsidP="00377C4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 xml:space="preserve">Glossaires </w:t>
      </w:r>
      <w:hyperlink r:id="rId80" w:history="1">
        <w:r w:rsidRPr="00E348B8">
          <w:rPr>
            <w:rFonts w:ascii="Times New Roman" w:eastAsia="Times New Roman" w:hAnsi="Times New Roman" w:cs="Times New Roman"/>
            <w:color w:val="0000FF"/>
            <w:sz w:val="20"/>
            <w:szCs w:val="20"/>
            <w:u w:val="single"/>
            <w:lang w:eastAsia="ar-SA"/>
          </w:rPr>
          <w:t>http://www.insol-europe.org/technical-content/glossaries/</w:t>
        </w:r>
      </w:hyperlink>
      <w:r w:rsidRPr="00E348B8">
        <w:rPr>
          <w:rFonts w:ascii="Times New Roman" w:eastAsia="Times New Roman" w:hAnsi="Times New Roman" w:cs="Times New Roman"/>
          <w:sz w:val="20"/>
          <w:szCs w:val="20"/>
          <w:lang w:eastAsia="ar-SA"/>
        </w:rPr>
        <w:t xml:space="preserve"> </w:t>
      </w:r>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r w:rsidRPr="00E348B8">
        <w:rPr>
          <w:rFonts w:ascii="Times New Roman" w:eastAsia="Times New Roman" w:hAnsi="Times New Roman" w:cs="Times New Roman"/>
          <w:b/>
          <w:sz w:val="20"/>
          <w:szCs w:val="20"/>
          <w:lang w:eastAsia="ar-SA"/>
        </w:rPr>
        <w:t>Resourses</w:t>
      </w:r>
      <w:r w:rsidRPr="00E348B8">
        <w:rPr>
          <w:rFonts w:ascii="Times New Roman" w:eastAsia="Times New Roman" w:hAnsi="Times New Roman" w:cs="Times New Roman"/>
          <w:sz w:val="20"/>
          <w:szCs w:val="20"/>
          <w:lang w:eastAsia="ar-SA"/>
        </w:rPr>
        <w:t xml:space="preserve"> </w:t>
      </w:r>
      <w:hyperlink r:id="rId81" w:history="1">
        <w:r w:rsidRPr="00E348B8">
          <w:rPr>
            <w:rFonts w:ascii="Times New Roman" w:eastAsia="Times New Roman" w:hAnsi="Times New Roman" w:cs="Times New Roman"/>
            <w:color w:val="0000FF"/>
            <w:sz w:val="20"/>
            <w:szCs w:val="20"/>
            <w:u w:val="single"/>
            <w:lang w:eastAsia="ar-SA"/>
          </w:rPr>
          <w:t>www.insol-europe.org/resources</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rPr>
          <w:rFonts w:ascii="Times New Roman" w:eastAsia="Times New Roman" w:hAnsi="Times New Roman" w:cs="Times New Roman"/>
          <w:sz w:val="20"/>
          <w:szCs w:val="20"/>
          <w:lang w:eastAsia="ar-SA"/>
        </w:rPr>
      </w:pPr>
      <w:r w:rsidRPr="00E348B8">
        <w:rPr>
          <w:rFonts w:ascii="Times New Roman" w:eastAsia="Times New Roman" w:hAnsi="Times New Roman" w:cs="Times New Roman"/>
          <w:b/>
          <w:sz w:val="20"/>
          <w:szCs w:val="20"/>
          <w:lang w:eastAsia="ar-SA"/>
        </w:rPr>
        <w:t xml:space="preserve">Nouvelles lois sur l’insolvabilité </w:t>
      </w:r>
      <w:r w:rsidRPr="00E348B8">
        <w:rPr>
          <w:rFonts w:ascii="Times New Roman" w:eastAsia="Times New Roman" w:hAnsi="Times New Roman" w:cs="Times New Roman"/>
          <w:b/>
          <w:sz w:val="20"/>
          <w:szCs w:val="20"/>
          <w:lang w:eastAsia="ar-SA"/>
        </w:rPr>
        <w:br/>
      </w:r>
      <w:hyperlink r:id="rId82" w:history="1">
        <w:r w:rsidRPr="00E348B8">
          <w:rPr>
            <w:rFonts w:ascii="Times New Roman" w:eastAsia="Times New Roman" w:hAnsi="Times New Roman" w:cs="Times New Roman"/>
            <w:color w:val="0000FF"/>
            <w:sz w:val="20"/>
            <w:szCs w:val="20"/>
            <w:u w:val="single"/>
            <w:lang w:eastAsia="ar-SA"/>
          </w:rPr>
          <w:t>www.insol-europe.org/technical-content/updated-insolvency-laws</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 xml:space="preserve">Rapports nationaux </w:t>
      </w:r>
    </w:p>
    <w:p w:rsidR="003B5B5D" w:rsidRPr="00E348B8"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hyperlink r:id="rId83" w:history="1">
        <w:r w:rsidR="003B5B5D" w:rsidRPr="00E348B8">
          <w:rPr>
            <w:rFonts w:ascii="Times New Roman" w:eastAsia="Times New Roman" w:hAnsi="Times New Roman" w:cs="Times New Roman"/>
            <w:color w:val="0000FF"/>
            <w:sz w:val="20"/>
            <w:szCs w:val="20"/>
            <w:u w:val="single"/>
            <w:lang w:eastAsia="ar-SA"/>
          </w:rPr>
          <w:t>www.insol-europe.org/technical-content/state-reports</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 xml:space="preserve">Comment devenir praticien de l’insolvabilité en Europe ? </w:t>
      </w:r>
    </w:p>
    <w:p w:rsidR="003B5B5D" w:rsidRPr="00E348B8"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hyperlink r:id="rId84" w:history="1">
        <w:r w:rsidR="003B5B5D" w:rsidRPr="00E348B8">
          <w:rPr>
            <w:rFonts w:ascii="Times New Roman" w:eastAsia="Times New Roman" w:hAnsi="Times New Roman" w:cs="Times New Roman"/>
            <w:color w:val="0000FF"/>
            <w:sz w:val="20"/>
            <w:szCs w:val="20"/>
            <w:u w:val="single"/>
            <w:lang w:eastAsia="ar-SA"/>
          </w:rPr>
          <w:t>www.insol-europe.org/technical-content/how-to-become-an-insolvency-practitioner-across-europe</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 xml:space="preserve">Statistiques nationales en matière d’insolvabilité </w:t>
      </w:r>
    </w:p>
    <w:p w:rsidR="003B5B5D" w:rsidRPr="00E348B8"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hyperlink r:id="rId85" w:history="1">
        <w:r w:rsidR="003B5B5D" w:rsidRPr="00E348B8">
          <w:rPr>
            <w:rFonts w:ascii="Times New Roman" w:eastAsia="Times New Roman" w:hAnsi="Times New Roman" w:cs="Times New Roman"/>
            <w:color w:val="0000FF"/>
            <w:sz w:val="20"/>
            <w:szCs w:val="20"/>
            <w:u w:val="single"/>
            <w:lang w:eastAsia="ar-SA"/>
          </w:rPr>
          <w:t>www.insol-europe.org/technical-content/national-insolvency-statistics</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 xml:space="preserve">Jurisprudence nationale </w:t>
      </w:r>
    </w:p>
    <w:p w:rsidR="003B5B5D" w:rsidRPr="00E348B8"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hyperlink r:id="rId86" w:history="1">
        <w:r w:rsidR="003B5B5D" w:rsidRPr="00E348B8">
          <w:rPr>
            <w:rFonts w:ascii="Times New Roman" w:eastAsia="Times New Roman" w:hAnsi="Times New Roman" w:cs="Times New Roman"/>
            <w:color w:val="0000FF"/>
            <w:sz w:val="20"/>
            <w:szCs w:val="20"/>
            <w:u w:val="single"/>
            <w:lang w:eastAsia="ar-SA"/>
          </w:rPr>
          <w:t>www.insol-europe.org/technical-content/national-case-law</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 xml:space="preserve">Processus de réforme du REI </w:t>
      </w:r>
    </w:p>
    <w:p w:rsidR="003B5B5D" w:rsidRPr="00E348B8"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hyperlink r:id="rId87" w:history="1">
        <w:r w:rsidR="003B5B5D" w:rsidRPr="00E348B8">
          <w:rPr>
            <w:rFonts w:ascii="Times New Roman" w:eastAsia="Times New Roman" w:hAnsi="Times New Roman" w:cs="Times New Roman"/>
            <w:color w:val="0000FF"/>
            <w:sz w:val="20"/>
            <w:szCs w:val="20"/>
            <w:u w:val="single"/>
            <w:lang w:eastAsia="ar-SA"/>
          </w:rPr>
          <w:t>www.insol-europe.org/technical-content/eir-reform-process</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 xml:space="preserve">Registre des affaires fondées sur le règlement européen sur l’insolvabilité </w:t>
      </w:r>
    </w:p>
    <w:p w:rsidR="003B5B5D"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hAnsi="Times New Roman" w:cs="Times New Roman"/>
          <w:sz w:val="20"/>
          <w:szCs w:val="20"/>
        </w:rPr>
      </w:pPr>
      <w:hyperlink r:id="rId88" w:history="1">
        <w:r w:rsidR="003B5B5D" w:rsidRPr="00E348B8">
          <w:rPr>
            <w:rFonts w:ascii="Times New Roman" w:eastAsia="Times New Roman" w:hAnsi="Times New Roman" w:cs="Times New Roman"/>
            <w:color w:val="0000FF"/>
            <w:sz w:val="20"/>
            <w:szCs w:val="20"/>
            <w:u w:val="single"/>
            <w:lang w:eastAsia="ar-SA"/>
          </w:rPr>
          <w:t>www.insolvencycases.eu</w:t>
        </w:r>
      </w:hyperlink>
      <w:r w:rsidR="00E348B8">
        <w:rPr>
          <w:rFonts w:ascii="Times New Roman" w:eastAsia="Times New Roman" w:hAnsi="Times New Roman" w:cs="Times New Roman"/>
          <w:color w:val="0000FF"/>
          <w:sz w:val="20"/>
          <w:szCs w:val="20"/>
          <w:u w:val="single"/>
          <w:lang w:eastAsia="ar-SA"/>
        </w:rPr>
        <w:t xml:space="preserve">; </w:t>
      </w:r>
      <w:hyperlink r:id="rId89" w:history="1">
        <w:r w:rsidR="00E348B8" w:rsidRPr="006E480C">
          <w:rPr>
            <w:rStyle w:val="Lienhypertexte"/>
            <w:rFonts w:ascii="Times New Roman" w:hAnsi="Times New Roman" w:cs="Times New Roman"/>
            <w:sz w:val="20"/>
            <w:szCs w:val="20"/>
          </w:rPr>
          <w:t>http://tinyurl.com/y7tf2zc4</w:t>
        </w:r>
      </w:hyperlink>
    </w:p>
    <w:p w:rsidR="00E348B8" w:rsidRPr="00E348B8" w:rsidRDefault="00E348B8"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Etudes INSOL-Europe</w:t>
      </w:r>
    </w:p>
    <w:p w:rsidR="003B5B5D" w:rsidRPr="00E348B8"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hyperlink r:id="rId90" w:history="1">
        <w:r w:rsidR="003B5B5D" w:rsidRPr="00E348B8">
          <w:rPr>
            <w:rFonts w:ascii="Times New Roman" w:eastAsia="Times New Roman" w:hAnsi="Times New Roman" w:cs="Times New Roman"/>
            <w:color w:val="0000FF"/>
            <w:sz w:val="20"/>
            <w:szCs w:val="20"/>
            <w:u w:val="single"/>
            <w:lang w:eastAsia="ar-SA"/>
          </w:rPr>
          <w:t>www.insol-europe.org/technical-content/insol-europe-studies</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b/>
          <w:sz w:val="20"/>
          <w:szCs w:val="20"/>
          <w:lang w:eastAsia="ar-SA"/>
        </w:rPr>
      </w:pPr>
      <w:r w:rsidRPr="00E348B8">
        <w:rPr>
          <w:rFonts w:ascii="Times New Roman" w:eastAsia="Times New Roman" w:hAnsi="Times New Roman" w:cs="Times New Roman"/>
          <w:b/>
          <w:sz w:val="20"/>
          <w:szCs w:val="20"/>
          <w:lang w:eastAsia="ar-SA"/>
        </w:rPr>
        <w:t>Groupes de travail</w:t>
      </w:r>
    </w:p>
    <w:p w:rsidR="003B5B5D" w:rsidRPr="00E348B8" w:rsidRDefault="009A1930" w:rsidP="003B5B5D">
      <w:pPr>
        <w:pBdr>
          <w:top w:val="single" w:sz="4" w:space="1" w:color="auto"/>
          <w:left w:val="single" w:sz="4" w:space="4" w:color="auto"/>
          <w:bottom w:val="single" w:sz="4" w:space="1" w:color="auto"/>
          <w:right w:val="single" w:sz="4" w:space="4" w:color="auto"/>
        </w:pBdr>
        <w:suppressAutoHyphens/>
        <w:spacing w:after="0" w:line="260" w:lineRule="auto"/>
        <w:jc w:val="both"/>
        <w:rPr>
          <w:rFonts w:ascii="Times New Roman" w:eastAsia="Times New Roman" w:hAnsi="Times New Roman" w:cs="Times New Roman"/>
          <w:sz w:val="20"/>
          <w:szCs w:val="20"/>
          <w:lang w:eastAsia="ar-SA"/>
        </w:rPr>
      </w:pPr>
      <w:hyperlink r:id="rId91" w:history="1">
        <w:r w:rsidR="003B5B5D" w:rsidRPr="00E348B8">
          <w:rPr>
            <w:rFonts w:ascii="Times New Roman" w:eastAsia="Times New Roman" w:hAnsi="Times New Roman" w:cs="Times New Roman"/>
            <w:color w:val="0000FF"/>
            <w:sz w:val="20"/>
            <w:szCs w:val="20"/>
            <w:u w:val="single"/>
            <w:lang w:eastAsia="ar-SA"/>
          </w:rPr>
          <w:t>www.insol-europe.org/about-us/about-our-working-groups</w:t>
        </w:r>
      </w:hyperlink>
    </w:p>
    <w:p w:rsidR="003B5B5D" w:rsidRPr="00E348B8" w:rsidRDefault="003B5B5D" w:rsidP="003B5B5D">
      <w:pPr>
        <w:pBdr>
          <w:top w:val="single" w:sz="4" w:space="1" w:color="auto"/>
          <w:left w:val="single" w:sz="4" w:space="4" w:color="auto"/>
          <w:bottom w:val="single" w:sz="4" w:space="1" w:color="auto"/>
          <w:right w:val="single" w:sz="4" w:space="4" w:color="auto"/>
        </w:pBdr>
        <w:suppressAutoHyphens/>
        <w:spacing w:after="0" w:line="260" w:lineRule="auto"/>
        <w:jc w:val="center"/>
        <w:rPr>
          <w:rFonts w:ascii="Times New Roman" w:eastAsia="Times New Roman" w:hAnsi="Times New Roman" w:cs="Times New Roman"/>
          <w:sz w:val="20"/>
          <w:szCs w:val="20"/>
          <w:lang w:eastAsia="ar-SA"/>
        </w:rPr>
      </w:pPr>
    </w:p>
    <w:p w:rsidR="00900169" w:rsidRPr="004E062C" w:rsidRDefault="00900169" w:rsidP="00900169">
      <w:pPr>
        <w:jc w:val="both"/>
        <w:rPr>
          <w:rFonts w:ascii="Arial Narrow" w:hAnsi="Arial Narrow" w:cs="Times New Roman"/>
          <w:caps/>
          <w:sz w:val="24"/>
        </w:rPr>
      </w:pPr>
    </w:p>
    <w:p w:rsidR="004E062C" w:rsidRPr="004E062C" w:rsidRDefault="004E062C" w:rsidP="004E062C">
      <w:pPr>
        <w:rPr>
          <w:rFonts w:ascii="Arial Narrow" w:hAnsi="Arial Narrow" w:cs="Times New Roman"/>
          <w:b/>
          <w:sz w:val="32"/>
          <w:szCs w:val="32"/>
        </w:rPr>
      </w:pPr>
      <w:r w:rsidRPr="004E062C">
        <w:rPr>
          <w:rFonts w:ascii="Arial Narrow" w:hAnsi="Arial Narrow" w:cs="Times New Roman"/>
          <w:b/>
          <w:sz w:val="32"/>
          <w:szCs w:val="32"/>
        </w:rPr>
        <w:lastRenderedPageBreak/>
        <w:t>Nouvelles publications</w:t>
      </w:r>
    </w:p>
    <w:p w:rsidR="00900169" w:rsidRPr="004E062C" w:rsidRDefault="00900169" w:rsidP="004E062C">
      <w:pPr>
        <w:rPr>
          <w:rFonts w:ascii="Times New Roman" w:hAnsi="Times New Roman" w:cs="Times New Roman"/>
          <w:b/>
          <w:sz w:val="40"/>
          <w:szCs w:val="40"/>
        </w:rPr>
      </w:pPr>
      <w:r w:rsidRPr="004E062C">
        <w:rPr>
          <w:rFonts w:ascii="Times New Roman" w:hAnsi="Times New Roman" w:cs="Times New Roman"/>
          <w:b/>
          <w:sz w:val="40"/>
          <w:szCs w:val="40"/>
        </w:rPr>
        <w:t>McPherson et Keay : Le droit de la liquidation d’entreprises (</w:t>
      </w:r>
      <w:r w:rsidRPr="004E062C">
        <w:rPr>
          <w:rFonts w:ascii="Times New Roman" w:hAnsi="Times New Roman" w:cs="Times New Roman"/>
          <w:b/>
          <w:i/>
          <w:sz w:val="40"/>
          <w:szCs w:val="40"/>
        </w:rPr>
        <w:t>The Law of Company Liquidation</w:t>
      </w:r>
      <w:r w:rsidRPr="004E062C">
        <w:rPr>
          <w:rFonts w:ascii="Times New Roman" w:hAnsi="Times New Roman" w:cs="Times New Roman"/>
          <w:b/>
          <w:sz w:val="40"/>
          <w:szCs w:val="40"/>
        </w:rPr>
        <w:t>)</w:t>
      </w:r>
    </w:p>
    <w:p w:rsidR="00900169" w:rsidRPr="004E062C" w:rsidRDefault="00900169" w:rsidP="003517A7">
      <w:pPr>
        <w:rPr>
          <w:rFonts w:ascii="Arial Narrow" w:hAnsi="Arial Narrow" w:cs="Times New Roman"/>
          <w:sz w:val="24"/>
          <w:lang w:val="en-US"/>
        </w:rPr>
      </w:pPr>
      <w:r w:rsidRPr="00900169">
        <w:rPr>
          <w:rFonts w:ascii="Arial Narrow" w:hAnsi="Arial Narrow" w:cs="Times New Roman"/>
          <w:sz w:val="24"/>
          <w:lang w:val="en-US"/>
        </w:rPr>
        <w:t>Andrew Keay (4</w:t>
      </w:r>
      <w:r w:rsidRPr="00900169">
        <w:rPr>
          <w:rFonts w:ascii="Arial Narrow" w:hAnsi="Arial Narrow" w:cs="Times New Roman"/>
          <w:sz w:val="24"/>
          <w:vertAlign w:val="superscript"/>
          <w:lang w:val="en-US"/>
        </w:rPr>
        <w:t>e</w:t>
      </w:r>
      <w:r w:rsidRPr="00900169">
        <w:rPr>
          <w:rFonts w:ascii="Arial Narrow" w:hAnsi="Arial Narrow" w:cs="Times New Roman"/>
          <w:sz w:val="24"/>
          <w:lang w:val="en-US"/>
        </w:rPr>
        <w:t xml:space="preserve"> éd.), 2017, Sweet &amp; Maxwell, Londres, 240 GBP, ISBN 978-0-414-06151-4</w:t>
      </w:r>
    </w:p>
    <w:p w:rsidR="00900169" w:rsidRPr="00900169" w:rsidRDefault="00900169" w:rsidP="00900169">
      <w:pPr>
        <w:jc w:val="both"/>
        <w:rPr>
          <w:rFonts w:ascii="Times New Roman" w:hAnsi="Times New Roman" w:cs="Times New Roman"/>
          <w:sz w:val="24"/>
        </w:rPr>
      </w:pPr>
      <w:r w:rsidRPr="00511B05">
        <w:rPr>
          <w:rFonts w:ascii="Times New Roman" w:hAnsi="Times New Roman" w:cs="Times New Roman"/>
          <w:sz w:val="24"/>
        </w:rPr>
        <w:t>Le McPherson &amp; Keay est tout simplement indispensable à un cercle toujours plus grands de praticiens du droit, juges, fonctionnaires, praticiens de l’insolvabilité et universitaires.</w:t>
      </w:r>
      <w:r w:rsidRPr="00900169">
        <w:rPr>
          <w:rFonts w:ascii="Times New Roman" w:hAnsi="Times New Roman" w:cs="Times New Roman"/>
          <w:sz w:val="24"/>
        </w:rPr>
        <w:t xml:space="preserve"> </w:t>
      </w:r>
      <w:r w:rsidRPr="00511B05">
        <w:rPr>
          <w:rFonts w:ascii="Times New Roman" w:hAnsi="Times New Roman" w:cs="Times New Roman"/>
          <w:sz w:val="24"/>
        </w:rPr>
        <w:t xml:space="preserve">Ce que l’on considérait généralement, il y a moins de deux générations de cela, comme un domaine ennuyeux, voire méprisé, de la pratique juridique, ne présentant aucun intérêt intellectuel et traité intégralement par le biais de textes rédigés par des praticiens </w:t>
      </w:r>
      <w:r>
        <w:rPr>
          <w:rFonts w:ascii="Times New Roman" w:hAnsi="Times New Roman" w:cs="Times New Roman"/>
          <w:sz w:val="24"/>
        </w:rPr>
        <w:t xml:space="preserve">et </w:t>
      </w:r>
      <w:r w:rsidRPr="00511B05">
        <w:rPr>
          <w:rFonts w:ascii="Times New Roman" w:hAnsi="Times New Roman" w:cs="Times New Roman"/>
          <w:sz w:val="24"/>
        </w:rPr>
        <w:t xml:space="preserve">relégués à la fin des ouvrages consacrés au droit des sociétés, s’est développé de manière florissante au-delà de tout ce que l’on </w:t>
      </w:r>
      <w:r>
        <w:rPr>
          <w:rFonts w:ascii="Times New Roman" w:hAnsi="Times New Roman" w:cs="Times New Roman"/>
          <w:sz w:val="24"/>
        </w:rPr>
        <w:t>aurait pu</w:t>
      </w:r>
      <w:r w:rsidRPr="00511B05">
        <w:rPr>
          <w:rFonts w:ascii="Times New Roman" w:hAnsi="Times New Roman" w:cs="Times New Roman"/>
          <w:sz w:val="24"/>
        </w:rPr>
        <w:t xml:space="preserve"> imaginer.</w:t>
      </w:r>
      <w:r w:rsidRPr="00900169">
        <w:rPr>
          <w:rFonts w:ascii="Times New Roman" w:hAnsi="Times New Roman" w:cs="Times New Roman"/>
          <w:sz w:val="24"/>
        </w:rPr>
        <w:t xml:space="preserve"> </w:t>
      </w:r>
      <w:r w:rsidRPr="00511B05">
        <w:rPr>
          <w:rFonts w:ascii="Times New Roman" w:hAnsi="Times New Roman" w:cs="Times New Roman"/>
          <w:sz w:val="24"/>
        </w:rPr>
        <w:t xml:space="preserve">Les praticiens anglais qui souhaitaient ou avaient besoin d’avoir plus de conseils sur les textes législatifs revêches qui régissaient leurs mondes ont </w:t>
      </w:r>
      <w:r>
        <w:rPr>
          <w:rFonts w:ascii="Times New Roman" w:hAnsi="Times New Roman" w:cs="Times New Roman"/>
          <w:sz w:val="24"/>
        </w:rPr>
        <w:t>eu la chance de découvrir</w:t>
      </w:r>
      <w:r w:rsidRPr="00511B05">
        <w:rPr>
          <w:rFonts w:ascii="Times New Roman" w:hAnsi="Times New Roman" w:cs="Times New Roman"/>
          <w:sz w:val="24"/>
        </w:rPr>
        <w:t xml:space="preserve"> le premier ouvrage de </w:t>
      </w:r>
      <w:r w:rsidRPr="00511B05">
        <w:rPr>
          <w:rFonts w:ascii="Times New Roman" w:hAnsi="Times New Roman" w:cs="Times New Roman"/>
          <w:i/>
          <w:sz w:val="24"/>
        </w:rPr>
        <w:t>common law</w:t>
      </w:r>
      <w:r w:rsidRPr="00511B05">
        <w:rPr>
          <w:rFonts w:ascii="Times New Roman" w:hAnsi="Times New Roman" w:cs="Times New Roman"/>
          <w:sz w:val="24"/>
        </w:rPr>
        <w:t xml:space="preserve"> traitant exclusivement de liquidation, Australian Law of Company Liquidation, par </w:t>
      </w:r>
      <w:r w:rsidRPr="004E062C">
        <w:rPr>
          <w:rFonts w:ascii="Times New Roman" w:hAnsi="Times New Roman" w:cs="Times New Roman"/>
          <w:b/>
          <w:sz w:val="24"/>
        </w:rPr>
        <w:t>Bruce McPherson</w:t>
      </w:r>
      <w:r w:rsidRPr="00511B05">
        <w:rPr>
          <w:rFonts w:ascii="Times New Roman" w:hAnsi="Times New Roman" w:cs="Times New Roman"/>
          <w:sz w:val="24"/>
        </w:rPr>
        <w:t>, dont la première édition date de 1968.</w:t>
      </w:r>
    </w:p>
    <w:p w:rsidR="00900169" w:rsidRPr="00900169" w:rsidRDefault="00900169" w:rsidP="00900169">
      <w:pPr>
        <w:jc w:val="both"/>
        <w:rPr>
          <w:rFonts w:ascii="Times New Roman" w:hAnsi="Times New Roman" w:cs="Times New Roman"/>
          <w:sz w:val="24"/>
        </w:rPr>
      </w:pPr>
      <w:r w:rsidRPr="00511B05">
        <w:rPr>
          <w:rFonts w:ascii="Times New Roman" w:hAnsi="Times New Roman" w:cs="Times New Roman"/>
          <w:sz w:val="24"/>
        </w:rPr>
        <w:t xml:space="preserve">Heureusement pour les praticiens anglais, cette publication révolutionnaire était à la fois remarquable et applicable au monde de la </w:t>
      </w:r>
      <w:r w:rsidRPr="00511B05">
        <w:rPr>
          <w:rFonts w:ascii="Times New Roman" w:hAnsi="Times New Roman" w:cs="Times New Roman"/>
          <w:i/>
          <w:sz w:val="24"/>
        </w:rPr>
        <w:t>common law</w:t>
      </w:r>
      <w:r w:rsidRPr="00511B05">
        <w:rPr>
          <w:rFonts w:ascii="Times New Roman" w:hAnsi="Times New Roman" w:cs="Times New Roman"/>
          <w:sz w:val="24"/>
        </w:rPr>
        <w:t xml:space="preserve"> dans son ensemble.</w:t>
      </w:r>
      <w:r w:rsidRPr="00900169">
        <w:rPr>
          <w:rFonts w:ascii="Times New Roman" w:hAnsi="Times New Roman" w:cs="Times New Roman"/>
          <w:sz w:val="24"/>
        </w:rPr>
        <w:t xml:space="preserve"> </w:t>
      </w:r>
      <w:r w:rsidRPr="00511B05">
        <w:rPr>
          <w:rFonts w:ascii="Times New Roman" w:hAnsi="Times New Roman" w:cs="Times New Roman"/>
          <w:sz w:val="24"/>
        </w:rPr>
        <w:t xml:space="preserve">Tout aussi heureusement, </w:t>
      </w:r>
      <w:r w:rsidRPr="004E062C">
        <w:rPr>
          <w:rFonts w:ascii="Times New Roman" w:hAnsi="Times New Roman" w:cs="Times New Roman"/>
          <w:b/>
          <w:sz w:val="24"/>
        </w:rPr>
        <w:t>Andrew Keay</w:t>
      </w:r>
      <w:r w:rsidRPr="00511B05">
        <w:rPr>
          <w:rFonts w:ascii="Times New Roman" w:hAnsi="Times New Roman" w:cs="Times New Roman"/>
          <w:sz w:val="24"/>
        </w:rPr>
        <w:t xml:space="preserve">, formé de manière approfondie à la pratique et à la recherche en Australie et au </w:t>
      </w:r>
      <w:r>
        <w:rPr>
          <w:rFonts w:ascii="Times New Roman" w:hAnsi="Times New Roman" w:cs="Times New Roman"/>
          <w:sz w:val="24"/>
        </w:rPr>
        <w:t>Royaume-Uni,</w:t>
      </w:r>
      <w:r w:rsidRPr="00511B05">
        <w:rPr>
          <w:rFonts w:ascii="Times New Roman" w:hAnsi="Times New Roman" w:cs="Times New Roman"/>
          <w:sz w:val="24"/>
        </w:rPr>
        <w:t xml:space="preserve"> était là pour </w:t>
      </w:r>
      <w:r>
        <w:rPr>
          <w:rFonts w:ascii="Times New Roman" w:hAnsi="Times New Roman" w:cs="Times New Roman"/>
          <w:sz w:val="24"/>
        </w:rPr>
        <w:t>transférer et compléter d’une main de maître</w:t>
      </w:r>
      <w:r w:rsidRPr="00511B05">
        <w:rPr>
          <w:rFonts w:ascii="Times New Roman" w:hAnsi="Times New Roman" w:cs="Times New Roman"/>
          <w:sz w:val="24"/>
        </w:rPr>
        <w:t xml:space="preserve"> la publication de McPherson au Royaume-Uni.</w:t>
      </w:r>
      <w:r w:rsidRPr="00900169">
        <w:rPr>
          <w:rFonts w:ascii="Times New Roman" w:hAnsi="Times New Roman" w:cs="Times New Roman"/>
          <w:sz w:val="24"/>
        </w:rPr>
        <w:t xml:space="preserve"> </w:t>
      </w:r>
      <w:r w:rsidRPr="00511B05">
        <w:rPr>
          <w:rFonts w:ascii="Times New Roman" w:hAnsi="Times New Roman" w:cs="Times New Roman"/>
          <w:sz w:val="24"/>
        </w:rPr>
        <w:t xml:space="preserve">Ce n’était pas mince affaire et il s’en est sorti avec brio, comme en témoigne </w:t>
      </w:r>
      <w:r>
        <w:rPr>
          <w:rFonts w:ascii="Times New Roman" w:hAnsi="Times New Roman" w:cs="Times New Roman"/>
          <w:sz w:val="24"/>
        </w:rPr>
        <w:t>l</w:t>
      </w:r>
      <w:r w:rsidRPr="00511B05">
        <w:rPr>
          <w:rFonts w:ascii="Times New Roman" w:hAnsi="Times New Roman" w:cs="Times New Roman"/>
          <w:sz w:val="24"/>
        </w:rPr>
        <w:t xml:space="preserve">a remarquable </w:t>
      </w:r>
      <w:r>
        <w:rPr>
          <w:rFonts w:ascii="Times New Roman" w:hAnsi="Times New Roman" w:cs="Times New Roman"/>
          <w:sz w:val="24"/>
        </w:rPr>
        <w:t>diffusion de l’ouvrage au sein du</w:t>
      </w:r>
      <w:r w:rsidRPr="00511B05">
        <w:rPr>
          <w:rFonts w:ascii="Times New Roman" w:hAnsi="Times New Roman" w:cs="Times New Roman"/>
          <w:sz w:val="24"/>
        </w:rPr>
        <w:t xml:space="preserve"> cercle des personnes qui s’intéressent à ce domaine</w:t>
      </w:r>
      <w:r>
        <w:rPr>
          <w:rFonts w:ascii="Times New Roman" w:hAnsi="Times New Roman" w:cs="Times New Roman"/>
          <w:sz w:val="24"/>
        </w:rPr>
        <w:t>,</w:t>
      </w:r>
      <w:r w:rsidRPr="00900169">
        <w:rPr>
          <w:rFonts w:ascii="Times New Roman" w:hAnsi="Times New Roman" w:cs="Times New Roman"/>
          <w:sz w:val="24"/>
        </w:rPr>
        <w:t xml:space="preserve"> </w:t>
      </w:r>
      <w:r>
        <w:rPr>
          <w:rFonts w:ascii="Times New Roman" w:hAnsi="Times New Roman" w:cs="Times New Roman"/>
          <w:sz w:val="24"/>
        </w:rPr>
        <w:t xml:space="preserve">qui </w:t>
      </w:r>
      <w:r w:rsidRPr="00511B05">
        <w:rPr>
          <w:rFonts w:ascii="Times New Roman" w:hAnsi="Times New Roman" w:cs="Times New Roman"/>
          <w:sz w:val="24"/>
        </w:rPr>
        <w:t xml:space="preserve">n’est </w:t>
      </w:r>
      <w:r>
        <w:rPr>
          <w:rFonts w:ascii="Times New Roman" w:hAnsi="Times New Roman" w:cs="Times New Roman"/>
          <w:sz w:val="24"/>
        </w:rPr>
        <w:t xml:space="preserve">d’ailleurs </w:t>
      </w:r>
      <w:r w:rsidRPr="00511B05">
        <w:rPr>
          <w:rFonts w:ascii="Times New Roman" w:hAnsi="Times New Roman" w:cs="Times New Roman"/>
          <w:sz w:val="24"/>
        </w:rPr>
        <w:t>plus réservé aux praticiens.</w:t>
      </w:r>
      <w:r w:rsidRPr="00900169">
        <w:rPr>
          <w:rFonts w:ascii="Times New Roman" w:hAnsi="Times New Roman" w:cs="Times New Roman"/>
          <w:sz w:val="24"/>
        </w:rPr>
        <w:t xml:space="preserve"> </w:t>
      </w:r>
      <w:r w:rsidRPr="00511B05">
        <w:rPr>
          <w:rFonts w:ascii="Times New Roman" w:hAnsi="Times New Roman" w:cs="Times New Roman"/>
          <w:sz w:val="24"/>
        </w:rPr>
        <w:t>Les universitaires se sont saisi d’un domaine de recherche qui s’est avéré riche en approches internationales, comparatives et socio-scientifiques.</w:t>
      </w:r>
      <w:r w:rsidRPr="00900169">
        <w:rPr>
          <w:rFonts w:ascii="Times New Roman" w:hAnsi="Times New Roman" w:cs="Times New Roman"/>
          <w:sz w:val="24"/>
        </w:rPr>
        <w:t xml:space="preserve"> </w:t>
      </w:r>
      <w:r w:rsidRPr="00511B05">
        <w:rPr>
          <w:rFonts w:ascii="Times New Roman" w:hAnsi="Times New Roman" w:cs="Times New Roman"/>
          <w:sz w:val="24"/>
        </w:rPr>
        <w:t>Il n’est pas exagéré de dire que cette publication et ces démarches sont à l’origine d’une autre révolution : universitaires et praticiens travaillent ensemble, chaque groupe bénéficiant de manière palpable des travaux de l’autre.</w:t>
      </w:r>
    </w:p>
    <w:p w:rsidR="00900169" w:rsidRPr="00900169" w:rsidRDefault="00900169" w:rsidP="00900169">
      <w:pPr>
        <w:jc w:val="both"/>
        <w:rPr>
          <w:rFonts w:ascii="Times New Roman" w:hAnsi="Times New Roman" w:cs="Times New Roman"/>
          <w:sz w:val="24"/>
        </w:rPr>
      </w:pPr>
      <w:r w:rsidRPr="00511B05">
        <w:rPr>
          <w:rFonts w:ascii="Times New Roman" w:hAnsi="Times New Roman" w:cs="Times New Roman"/>
          <w:sz w:val="24"/>
        </w:rPr>
        <w:t>Ainsi est né ce volume absolument indispensable, méticuleusement présenté (coopération entre auteur et éditeur à une échelle sans précédent) et parfaitement d’actualité.</w:t>
      </w:r>
      <w:r w:rsidRPr="00900169">
        <w:rPr>
          <w:rFonts w:ascii="Times New Roman" w:hAnsi="Times New Roman" w:cs="Times New Roman"/>
          <w:sz w:val="24"/>
        </w:rPr>
        <w:t xml:space="preserve"> </w:t>
      </w:r>
      <w:r w:rsidRPr="00511B05">
        <w:rPr>
          <w:rFonts w:ascii="Times New Roman" w:hAnsi="Times New Roman" w:cs="Times New Roman"/>
          <w:sz w:val="24"/>
        </w:rPr>
        <w:t>Il fournit les meilleurs instruments pour rechercher les nouveaux matériels à venir, en attendant que ceux-ci, eux aussi, soient certainement intégrés à la prochaine édition.</w:t>
      </w:r>
    </w:p>
    <w:p w:rsidR="002C5EDC" w:rsidRPr="00F52D53" w:rsidRDefault="00900169" w:rsidP="00900169">
      <w:pPr>
        <w:jc w:val="both"/>
        <w:rPr>
          <w:rFonts w:ascii="Arial Narrow" w:hAnsi="Arial Narrow" w:cs="Times New Roman"/>
          <w:i/>
          <w:sz w:val="24"/>
          <w:lang w:val="en-US"/>
        </w:rPr>
      </w:pPr>
      <w:r w:rsidRPr="00900169">
        <w:rPr>
          <w:rFonts w:ascii="Arial Narrow" w:hAnsi="Arial Narrow" w:cs="Times New Roman"/>
          <w:i/>
          <w:sz w:val="24"/>
          <w:lang w:val="en-US"/>
        </w:rPr>
        <w:t>Harry Rajak, professeur émérite, Sussex Law Sc</w:t>
      </w:r>
      <w:r w:rsidR="00F52D53">
        <w:rPr>
          <w:rFonts w:ascii="Arial Narrow" w:hAnsi="Arial Narrow" w:cs="Times New Roman"/>
          <w:i/>
          <w:sz w:val="24"/>
          <w:lang w:val="en-US"/>
        </w:rPr>
        <w:t>hool</w:t>
      </w:r>
    </w:p>
    <w:tbl>
      <w:tblPr>
        <w:tblStyle w:val="Grilledutableau"/>
        <w:tblW w:w="0" w:type="auto"/>
        <w:tblLook w:val="04A0" w:firstRow="1" w:lastRow="0" w:firstColumn="1" w:lastColumn="0" w:noHBand="0" w:noVBand="1"/>
      </w:tblPr>
      <w:tblGrid>
        <w:gridCol w:w="9687"/>
      </w:tblGrid>
      <w:tr w:rsidR="00D21ACD" w:rsidRPr="00D21ACD" w:rsidTr="00D21ACD">
        <w:tc>
          <w:tcPr>
            <w:tcW w:w="9687" w:type="dxa"/>
          </w:tcPr>
          <w:p w:rsidR="00D21ACD" w:rsidRPr="00D21ACD" w:rsidRDefault="00D21ACD" w:rsidP="0023188F">
            <w:pPr>
              <w:jc w:val="center"/>
              <w:rPr>
                <w:b/>
                <w:sz w:val="24"/>
              </w:rPr>
            </w:pPr>
            <w:r w:rsidRPr="00D21ACD">
              <w:rPr>
                <w:b/>
                <w:sz w:val="24"/>
              </w:rPr>
              <w:t>Vous souhaitez présenter un nouvel ouvrage ou en faire la critique ?</w:t>
            </w:r>
          </w:p>
        </w:tc>
      </w:tr>
      <w:tr w:rsidR="00D21ACD" w:rsidRPr="00D21ACD" w:rsidTr="00D21ACD">
        <w:tc>
          <w:tcPr>
            <w:tcW w:w="9687" w:type="dxa"/>
          </w:tcPr>
          <w:p w:rsidR="00D21ACD" w:rsidRPr="00D21ACD" w:rsidRDefault="00D21ACD" w:rsidP="0023188F">
            <w:pPr>
              <w:jc w:val="both"/>
              <w:rPr>
                <w:sz w:val="24"/>
              </w:rPr>
            </w:pPr>
            <w:r w:rsidRPr="00D21ACD">
              <w:rPr>
                <w:sz w:val="24"/>
              </w:rPr>
              <w:t>Contactez-nous pour que nous puissions l’envisager pour un futur numéro. Pour de plus amples renseignements, écrivez à Paul Newson à l’adresse paulnewson@insol-europe.co.uk</w:t>
            </w:r>
          </w:p>
        </w:tc>
      </w:tr>
    </w:tbl>
    <w:p w:rsidR="00D21ACD" w:rsidRDefault="00D21ACD" w:rsidP="004E062C">
      <w:pPr>
        <w:rPr>
          <w:rFonts w:ascii="Times New Roman" w:hAnsi="Times New Roman" w:cs="Times New Roman"/>
          <w:sz w:val="24"/>
        </w:rPr>
      </w:pPr>
    </w:p>
    <w:p w:rsidR="00900169" w:rsidRPr="004E062C" w:rsidRDefault="00900169" w:rsidP="004E062C">
      <w:pPr>
        <w:rPr>
          <w:rFonts w:ascii="Times New Roman" w:hAnsi="Times New Roman" w:cs="Times New Roman"/>
          <w:b/>
          <w:sz w:val="40"/>
          <w:szCs w:val="40"/>
          <w:lang w:val="en-GB"/>
        </w:rPr>
      </w:pPr>
      <w:r w:rsidRPr="004E062C">
        <w:rPr>
          <w:rFonts w:ascii="Times New Roman" w:hAnsi="Times New Roman" w:cs="Times New Roman"/>
          <w:b/>
          <w:sz w:val="40"/>
          <w:szCs w:val="40"/>
          <w:lang w:val="en-GB"/>
        </w:rPr>
        <w:lastRenderedPageBreak/>
        <w:t>Le droit de l’insolvabilité (</w:t>
      </w:r>
      <w:r w:rsidRPr="004E062C">
        <w:rPr>
          <w:rFonts w:ascii="Times New Roman" w:hAnsi="Times New Roman" w:cs="Times New Roman"/>
          <w:b/>
          <w:i/>
          <w:sz w:val="40"/>
          <w:szCs w:val="40"/>
          <w:lang w:val="en-GB"/>
        </w:rPr>
        <w:t>The Law of Insolvency</w:t>
      </w:r>
      <w:r w:rsidRPr="004E062C">
        <w:rPr>
          <w:rFonts w:ascii="Times New Roman" w:hAnsi="Times New Roman" w:cs="Times New Roman"/>
          <w:b/>
          <w:sz w:val="40"/>
          <w:szCs w:val="40"/>
          <w:lang w:val="en-GB"/>
        </w:rPr>
        <w:t>)</w:t>
      </w:r>
    </w:p>
    <w:p w:rsidR="00900169" w:rsidRPr="009A1930" w:rsidRDefault="00900169" w:rsidP="003517A7">
      <w:pPr>
        <w:rPr>
          <w:rFonts w:ascii="Arial Narrow" w:hAnsi="Arial Narrow" w:cs="Times New Roman"/>
          <w:sz w:val="24"/>
          <w:lang w:val="en-GB"/>
        </w:rPr>
      </w:pPr>
      <w:r w:rsidRPr="009A1930">
        <w:rPr>
          <w:rFonts w:ascii="Arial Narrow" w:hAnsi="Arial Narrow" w:cs="Times New Roman"/>
          <w:sz w:val="24"/>
          <w:lang w:val="en-GB"/>
        </w:rPr>
        <w:t>Ian Fletcher (5</w:t>
      </w:r>
      <w:r w:rsidRPr="009A1930">
        <w:rPr>
          <w:rFonts w:ascii="Arial Narrow" w:hAnsi="Arial Narrow" w:cs="Times New Roman"/>
          <w:sz w:val="24"/>
          <w:vertAlign w:val="superscript"/>
          <w:lang w:val="en-GB"/>
        </w:rPr>
        <w:t>e</w:t>
      </w:r>
      <w:r w:rsidRPr="009A1930">
        <w:rPr>
          <w:rFonts w:ascii="Arial Narrow" w:hAnsi="Arial Narrow" w:cs="Times New Roman"/>
          <w:sz w:val="24"/>
          <w:lang w:val="en-GB"/>
        </w:rPr>
        <w:t xml:space="preserve"> éd.), 2017, Sweet &amp; Maxwell, Londres, cxliii et 1098 pages, 295 GBP, ISBN 978-0-414-02842-5</w:t>
      </w:r>
    </w:p>
    <w:p w:rsidR="00900169" w:rsidRPr="00900169" w:rsidRDefault="00900169" w:rsidP="00900169">
      <w:pPr>
        <w:jc w:val="both"/>
        <w:rPr>
          <w:rFonts w:ascii="Times New Roman" w:hAnsi="Times New Roman" w:cs="Times New Roman"/>
          <w:sz w:val="24"/>
        </w:rPr>
      </w:pPr>
      <w:r w:rsidRPr="009A0EE3">
        <w:rPr>
          <w:rFonts w:ascii="Times New Roman" w:hAnsi="Times New Roman" w:cs="Times New Roman"/>
          <w:sz w:val="24"/>
        </w:rPr>
        <w:t>L</w:t>
      </w:r>
      <w:r>
        <w:rPr>
          <w:rFonts w:ascii="Times New Roman" w:hAnsi="Times New Roman" w:cs="Times New Roman"/>
          <w:sz w:val="24"/>
        </w:rPr>
        <w:t>’</w:t>
      </w:r>
      <w:r>
        <w:rPr>
          <w:rFonts w:ascii="Times New Roman" w:hAnsi="Times New Roman" w:cs="Times New Roman"/>
          <w:i/>
          <w:sz w:val="24"/>
        </w:rPr>
        <w:t xml:space="preserve">Insolvency Act </w:t>
      </w:r>
      <w:r w:rsidRPr="009A0EE3">
        <w:rPr>
          <w:rFonts w:ascii="Times New Roman" w:hAnsi="Times New Roman" w:cs="Times New Roman"/>
          <w:sz w:val="24"/>
        </w:rPr>
        <w:t xml:space="preserve">de 1986 </w:t>
      </w:r>
      <w:r>
        <w:rPr>
          <w:rFonts w:ascii="Times New Roman" w:hAnsi="Times New Roman" w:cs="Times New Roman"/>
          <w:sz w:val="24"/>
        </w:rPr>
        <w:t xml:space="preserve">(loi </w:t>
      </w:r>
      <w:r w:rsidRPr="009A0EE3">
        <w:rPr>
          <w:rFonts w:ascii="Times New Roman" w:hAnsi="Times New Roman" w:cs="Times New Roman"/>
          <w:sz w:val="24"/>
        </w:rPr>
        <w:t>sur l’insolvabilité</w:t>
      </w:r>
      <w:r>
        <w:rPr>
          <w:rFonts w:ascii="Times New Roman" w:hAnsi="Times New Roman" w:cs="Times New Roman"/>
          <w:sz w:val="24"/>
        </w:rPr>
        <w:t>)</w:t>
      </w:r>
      <w:r w:rsidRPr="009A0EE3">
        <w:rPr>
          <w:rFonts w:ascii="Times New Roman" w:hAnsi="Times New Roman" w:cs="Times New Roman"/>
          <w:sz w:val="24"/>
        </w:rPr>
        <w:t xml:space="preserve">, fruit des travaux du Comité de Cork, a été le point culminant d’un </w:t>
      </w:r>
      <w:r>
        <w:rPr>
          <w:rFonts w:ascii="Times New Roman" w:hAnsi="Times New Roman" w:cs="Times New Roman"/>
          <w:sz w:val="24"/>
        </w:rPr>
        <w:t>raz-de-</w:t>
      </w:r>
      <w:r w:rsidRPr="009A0EE3">
        <w:rPr>
          <w:rFonts w:ascii="Times New Roman" w:hAnsi="Times New Roman" w:cs="Times New Roman"/>
          <w:sz w:val="24"/>
        </w:rPr>
        <w:t>marée de réformes du droit de l’insolvabilité qui a vu naître le concept de sauvegarde au Royaume-Uni.</w:t>
      </w:r>
      <w:r w:rsidRPr="00900169">
        <w:rPr>
          <w:rFonts w:ascii="Times New Roman" w:hAnsi="Times New Roman" w:cs="Times New Roman"/>
          <w:sz w:val="24"/>
        </w:rPr>
        <w:t xml:space="preserve"> </w:t>
      </w:r>
      <w:r w:rsidRPr="009A0EE3">
        <w:rPr>
          <w:rFonts w:ascii="Times New Roman" w:hAnsi="Times New Roman" w:cs="Times New Roman"/>
          <w:sz w:val="24"/>
        </w:rPr>
        <w:t xml:space="preserve">Peu après l’entrée en vigueur de la loi, des commentaires sont arrivés, en 1989, sous la forme de la première édition du </w:t>
      </w:r>
      <w:r w:rsidRPr="009A0EE3">
        <w:rPr>
          <w:rFonts w:ascii="Times New Roman" w:hAnsi="Times New Roman" w:cs="Times New Roman"/>
          <w:i/>
          <w:sz w:val="24"/>
        </w:rPr>
        <w:t xml:space="preserve">Droit de l’insolvabilité </w:t>
      </w:r>
      <w:r w:rsidRPr="009A0EE3">
        <w:rPr>
          <w:rFonts w:ascii="Times New Roman" w:hAnsi="Times New Roman" w:cs="Times New Roman"/>
          <w:sz w:val="24"/>
        </w:rPr>
        <w:t>(</w:t>
      </w:r>
      <w:r w:rsidRPr="009A0EE3">
        <w:rPr>
          <w:rFonts w:ascii="Times New Roman" w:hAnsi="Times New Roman" w:cs="Times New Roman"/>
          <w:i/>
          <w:sz w:val="24"/>
        </w:rPr>
        <w:t>The Law of Insolvency</w:t>
      </w:r>
      <w:r w:rsidRPr="009A0EE3">
        <w:rPr>
          <w:rFonts w:ascii="Times New Roman" w:hAnsi="Times New Roman" w:cs="Times New Roman"/>
          <w:sz w:val="24"/>
        </w:rPr>
        <w:t>) de Fletcher.</w:t>
      </w:r>
      <w:r w:rsidRPr="00900169">
        <w:rPr>
          <w:rFonts w:ascii="Times New Roman" w:hAnsi="Times New Roman" w:cs="Times New Roman"/>
          <w:sz w:val="24"/>
        </w:rPr>
        <w:t xml:space="preserve"> </w:t>
      </w:r>
      <w:r w:rsidRPr="009A0EE3">
        <w:rPr>
          <w:rFonts w:ascii="Times New Roman" w:hAnsi="Times New Roman" w:cs="Times New Roman"/>
          <w:sz w:val="24"/>
        </w:rPr>
        <w:t>Dans la préface, l’ouvrage présente sa quête</w:t>
      </w:r>
      <w:r>
        <w:rPr>
          <w:rFonts w:ascii="Times New Roman" w:hAnsi="Times New Roman" w:cs="Times New Roman"/>
          <w:sz w:val="24"/>
        </w:rPr>
        <w:t xml:space="preserve">, qui est </w:t>
      </w:r>
      <w:r w:rsidRPr="009A0EE3">
        <w:rPr>
          <w:rFonts w:ascii="Times New Roman" w:hAnsi="Times New Roman" w:cs="Times New Roman"/>
          <w:sz w:val="24"/>
        </w:rPr>
        <w:t xml:space="preserve">de « rénover le manuel traditionnel » </w:t>
      </w:r>
      <w:r>
        <w:rPr>
          <w:rFonts w:ascii="Times New Roman" w:hAnsi="Times New Roman" w:cs="Times New Roman"/>
          <w:sz w:val="24"/>
        </w:rPr>
        <w:t xml:space="preserve">traitant </w:t>
      </w:r>
      <w:r w:rsidRPr="009A0EE3">
        <w:rPr>
          <w:rFonts w:ascii="Times New Roman" w:hAnsi="Times New Roman" w:cs="Times New Roman"/>
          <w:sz w:val="24"/>
        </w:rPr>
        <w:t>de l’insolvabilité, afin de réunir sous une même jaquette ce qui avait auparavant fait l’objet d’ouvrages traitant séparément de la faillite (insolvabilité des personnes physiques) et de l’insolvabilité des entreprises.</w:t>
      </w:r>
      <w:r w:rsidRPr="00900169">
        <w:rPr>
          <w:rFonts w:ascii="Times New Roman" w:hAnsi="Times New Roman" w:cs="Times New Roman"/>
          <w:sz w:val="24"/>
        </w:rPr>
        <w:t xml:space="preserve"> </w:t>
      </w:r>
      <w:r w:rsidRPr="009A0EE3">
        <w:rPr>
          <w:rFonts w:ascii="Times New Roman" w:hAnsi="Times New Roman" w:cs="Times New Roman"/>
          <w:sz w:val="24"/>
        </w:rPr>
        <w:t>La concrétisation de ce souhait se traduit par la grande estime dont bénéficie c</w:t>
      </w:r>
      <w:r>
        <w:rPr>
          <w:rFonts w:ascii="Times New Roman" w:hAnsi="Times New Roman" w:cs="Times New Roman"/>
          <w:sz w:val="24"/>
        </w:rPr>
        <w:t>et ouvrage</w:t>
      </w:r>
      <w:r w:rsidRPr="009A0EE3">
        <w:rPr>
          <w:rFonts w:ascii="Times New Roman" w:hAnsi="Times New Roman" w:cs="Times New Roman"/>
          <w:sz w:val="24"/>
        </w:rPr>
        <w:t>.</w:t>
      </w:r>
    </w:p>
    <w:p w:rsidR="00900169" w:rsidRPr="00900169" w:rsidRDefault="00900169" w:rsidP="00900169">
      <w:pPr>
        <w:jc w:val="both"/>
        <w:rPr>
          <w:rFonts w:ascii="Times New Roman" w:hAnsi="Times New Roman" w:cs="Times New Roman"/>
          <w:sz w:val="24"/>
        </w:rPr>
      </w:pPr>
      <w:r w:rsidRPr="009A0EE3">
        <w:rPr>
          <w:rFonts w:ascii="Times New Roman" w:hAnsi="Times New Roman" w:cs="Times New Roman"/>
          <w:sz w:val="24"/>
        </w:rPr>
        <w:t xml:space="preserve">Pour sa cinquième édition, on </w:t>
      </w:r>
      <w:r>
        <w:rPr>
          <w:rFonts w:ascii="Times New Roman" w:hAnsi="Times New Roman" w:cs="Times New Roman"/>
          <w:sz w:val="24"/>
        </w:rPr>
        <w:t xml:space="preserve">y </w:t>
      </w:r>
      <w:r w:rsidRPr="009A0EE3">
        <w:rPr>
          <w:rFonts w:ascii="Times New Roman" w:hAnsi="Times New Roman" w:cs="Times New Roman"/>
          <w:sz w:val="24"/>
        </w:rPr>
        <w:t>retrouve de nombreux éléments familiers : sa division en trois grandes parties (faillite, insolvabilité des entreprises et insolvabilité internationale) ; les nombreuses références à la jurisprudence et à la riche littérature en la matière ; la façon dont les opinions de l’auteur sont formées à partir de discussions portant sur les tendances positives ou négatives du droit ; enfin, le détail des informations contextuelles visant à expliquer la situation et le fonctionnement des procédures examinées en détail, en particulier les deux chapitres préliminaires consacrés à la nature de l’insolvabilité et à l’évolution de sa machinerie administrative.</w:t>
      </w:r>
    </w:p>
    <w:p w:rsidR="00900169" w:rsidRPr="00900169" w:rsidRDefault="00900169" w:rsidP="00900169">
      <w:pPr>
        <w:jc w:val="both"/>
        <w:rPr>
          <w:rFonts w:ascii="Times New Roman" w:hAnsi="Times New Roman" w:cs="Times New Roman"/>
          <w:sz w:val="24"/>
        </w:rPr>
      </w:pPr>
      <w:r w:rsidRPr="009A0EE3">
        <w:rPr>
          <w:rFonts w:ascii="Times New Roman" w:hAnsi="Times New Roman" w:cs="Times New Roman"/>
          <w:sz w:val="24"/>
        </w:rPr>
        <w:t xml:space="preserve">La préface de cette dernière édition souligne ses nouveautés, dont la préparation avait débuté presque dès la parution de la quatrième édition, anticipant la révision du règlement européen sur l’insolvabilité de 2000 et les </w:t>
      </w:r>
      <w:r w:rsidRPr="009A0EE3">
        <w:rPr>
          <w:rFonts w:ascii="Times New Roman" w:hAnsi="Times New Roman" w:cs="Times New Roman"/>
          <w:i/>
          <w:sz w:val="24"/>
        </w:rPr>
        <w:t>Insolvency Rules</w:t>
      </w:r>
      <w:r w:rsidRPr="009A0EE3">
        <w:rPr>
          <w:rFonts w:ascii="Times New Roman" w:hAnsi="Times New Roman" w:cs="Times New Roman"/>
          <w:sz w:val="24"/>
        </w:rPr>
        <w:t xml:space="preserve"> </w:t>
      </w:r>
      <w:r>
        <w:rPr>
          <w:rFonts w:ascii="Times New Roman" w:hAnsi="Times New Roman" w:cs="Times New Roman"/>
          <w:sz w:val="24"/>
        </w:rPr>
        <w:t xml:space="preserve">(règles sur l’insolvabilité) </w:t>
      </w:r>
      <w:r w:rsidRPr="009A0EE3">
        <w:rPr>
          <w:rFonts w:ascii="Times New Roman" w:hAnsi="Times New Roman" w:cs="Times New Roman"/>
          <w:sz w:val="24"/>
        </w:rPr>
        <w:t>de 1986.</w:t>
      </w:r>
      <w:r w:rsidRPr="00900169">
        <w:rPr>
          <w:rFonts w:ascii="Times New Roman" w:hAnsi="Times New Roman" w:cs="Times New Roman"/>
          <w:sz w:val="24"/>
        </w:rPr>
        <w:t xml:space="preserve"> </w:t>
      </w:r>
      <w:r w:rsidRPr="009A0EE3">
        <w:rPr>
          <w:rFonts w:ascii="Times New Roman" w:hAnsi="Times New Roman" w:cs="Times New Roman"/>
          <w:sz w:val="24"/>
        </w:rPr>
        <w:t xml:space="preserve">Le retard pris par ces deux projets, qui ne se sont concrétisés qu’en 2015 et 2016, respectivement, explique le grand laps de temps </w:t>
      </w:r>
      <w:r>
        <w:rPr>
          <w:rFonts w:ascii="Times New Roman" w:hAnsi="Times New Roman" w:cs="Times New Roman"/>
          <w:sz w:val="24"/>
        </w:rPr>
        <w:t>qui sépare</w:t>
      </w:r>
      <w:r w:rsidRPr="009A0EE3">
        <w:rPr>
          <w:rFonts w:ascii="Times New Roman" w:hAnsi="Times New Roman" w:cs="Times New Roman"/>
          <w:sz w:val="24"/>
        </w:rPr>
        <w:t xml:space="preserve"> les deux </w:t>
      </w:r>
      <w:r>
        <w:rPr>
          <w:rFonts w:ascii="Times New Roman" w:hAnsi="Times New Roman" w:cs="Times New Roman"/>
          <w:sz w:val="24"/>
        </w:rPr>
        <w:t xml:space="preserve">dernières </w:t>
      </w:r>
      <w:r w:rsidRPr="009A0EE3">
        <w:rPr>
          <w:rFonts w:ascii="Times New Roman" w:hAnsi="Times New Roman" w:cs="Times New Roman"/>
          <w:sz w:val="24"/>
        </w:rPr>
        <w:t>éditions.</w:t>
      </w:r>
      <w:r w:rsidRPr="00900169">
        <w:rPr>
          <w:rFonts w:ascii="Times New Roman" w:hAnsi="Times New Roman" w:cs="Times New Roman"/>
          <w:sz w:val="24"/>
        </w:rPr>
        <w:t xml:space="preserve"> </w:t>
      </w:r>
      <w:r w:rsidRPr="009A0EE3">
        <w:rPr>
          <w:rFonts w:ascii="Times New Roman" w:hAnsi="Times New Roman" w:cs="Times New Roman"/>
          <w:sz w:val="24"/>
        </w:rPr>
        <w:t>Néanmoins, l’intégration de changements</w:t>
      </w:r>
      <w:r w:rsidR="003517A7">
        <w:rPr>
          <w:rFonts w:ascii="Times New Roman" w:hAnsi="Times New Roman" w:cs="Times New Roman"/>
          <w:sz w:val="24"/>
        </w:rPr>
        <w:t>,</w:t>
      </w:r>
      <w:r w:rsidRPr="009A0EE3">
        <w:rPr>
          <w:rFonts w:ascii="Times New Roman" w:hAnsi="Times New Roman" w:cs="Times New Roman"/>
          <w:sz w:val="24"/>
        </w:rPr>
        <w:t xml:space="preserve"> même une fois </w:t>
      </w:r>
      <w:r>
        <w:rPr>
          <w:rFonts w:ascii="Times New Roman" w:hAnsi="Times New Roman" w:cs="Times New Roman"/>
          <w:sz w:val="24"/>
        </w:rPr>
        <w:t>son</w:t>
      </w:r>
      <w:r w:rsidRPr="009A0EE3">
        <w:rPr>
          <w:rFonts w:ascii="Times New Roman" w:hAnsi="Times New Roman" w:cs="Times New Roman"/>
          <w:sz w:val="24"/>
        </w:rPr>
        <w:t xml:space="preserve"> processus de production bien avancé</w:t>
      </w:r>
      <w:r w:rsidR="003517A7">
        <w:rPr>
          <w:rFonts w:ascii="Times New Roman" w:hAnsi="Times New Roman" w:cs="Times New Roman"/>
          <w:sz w:val="24"/>
        </w:rPr>
        <w:t>,</w:t>
      </w:r>
      <w:r w:rsidRPr="009A0EE3">
        <w:rPr>
          <w:rFonts w:ascii="Times New Roman" w:hAnsi="Times New Roman" w:cs="Times New Roman"/>
          <w:sz w:val="24"/>
        </w:rPr>
        <w:t xml:space="preserve"> signifie que cet ouvrage est aussi d’actualité qu’il peut l’être, couvrant ces réformes et d’autres réformes de moindre importance survenues entre les deux dernières éditions.</w:t>
      </w:r>
      <w:r w:rsidRPr="00900169">
        <w:rPr>
          <w:rFonts w:ascii="Times New Roman" w:hAnsi="Times New Roman" w:cs="Times New Roman"/>
          <w:sz w:val="24"/>
        </w:rPr>
        <w:t xml:space="preserve"> </w:t>
      </w:r>
      <w:r w:rsidRPr="009A0EE3">
        <w:rPr>
          <w:rFonts w:ascii="Times New Roman" w:hAnsi="Times New Roman" w:cs="Times New Roman"/>
          <w:sz w:val="24"/>
        </w:rPr>
        <w:t>D’autres modifications sont présentes sous la forme d’un volume de nouvelles affaires que contient cette édition, regroupant quelque trois cents affaires au total, dont la liste s’égrène comme une histoire de l’insolvabilité, en particulier de récentes restructurations et affaires transfrontalières importantes.</w:t>
      </w:r>
    </w:p>
    <w:p w:rsidR="00900169" w:rsidRDefault="00900169" w:rsidP="00900169">
      <w:pPr>
        <w:jc w:val="both"/>
        <w:rPr>
          <w:rFonts w:ascii="Times New Roman" w:hAnsi="Times New Roman" w:cs="Times New Roman"/>
          <w:sz w:val="24"/>
        </w:rPr>
      </w:pPr>
      <w:r w:rsidRPr="00244350">
        <w:rPr>
          <w:rFonts w:ascii="Times New Roman" w:hAnsi="Times New Roman" w:cs="Times New Roman"/>
          <w:sz w:val="24"/>
        </w:rPr>
        <w:t>En résumé, il s’agit d’un ouvrage sans lequel toute bibliothèque de droit de l’insolvabilité serait incomplète.</w:t>
      </w:r>
      <w:r w:rsidRPr="00900169">
        <w:rPr>
          <w:rFonts w:ascii="Times New Roman" w:hAnsi="Times New Roman" w:cs="Times New Roman"/>
          <w:sz w:val="24"/>
        </w:rPr>
        <w:t xml:space="preserve"> </w:t>
      </w:r>
      <w:r w:rsidRPr="00244350">
        <w:rPr>
          <w:rFonts w:ascii="Times New Roman" w:hAnsi="Times New Roman" w:cs="Times New Roman"/>
          <w:sz w:val="24"/>
        </w:rPr>
        <w:t>De lecture facile, ce livre est accessible aux néophytes, chercheurs expérimentés, juges, décideurs politiques et législateurs, qui le trouveront tous plus qu’utile.</w:t>
      </w:r>
    </w:p>
    <w:p w:rsidR="002C5EDC" w:rsidRPr="00900169" w:rsidRDefault="002C5EDC" w:rsidP="00900169">
      <w:pPr>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900169" w:rsidRPr="003517A7" w:rsidRDefault="00900169" w:rsidP="003517A7">
      <w:pPr>
        <w:rPr>
          <w:rFonts w:ascii="Times New Roman" w:hAnsi="Times New Roman" w:cs="Times New Roman"/>
          <w:b/>
          <w:sz w:val="40"/>
          <w:szCs w:val="40"/>
          <w:lang w:val="en-GB"/>
        </w:rPr>
      </w:pPr>
      <w:r w:rsidRPr="003517A7">
        <w:rPr>
          <w:rFonts w:ascii="Times New Roman" w:hAnsi="Times New Roman" w:cs="Times New Roman"/>
          <w:b/>
          <w:i/>
          <w:sz w:val="40"/>
          <w:szCs w:val="40"/>
          <w:lang w:val="en-US"/>
        </w:rPr>
        <w:lastRenderedPageBreak/>
        <w:t>Goode and Gullifer on Legal Problems of Credit and Security</w:t>
      </w:r>
    </w:p>
    <w:p w:rsidR="00900169" w:rsidRPr="00900169" w:rsidRDefault="00900169" w:rsidP="003517A7">
      <w:pPr>
        <w:rPr>
          <w:rFonts w:ascii="Arial Narrow" w:hAnsi="Arial Narrow" w:cs="Times New Roman"/>
          <w:sz w:val="24"/>
        </w:rPr>
      </w:pPr>
      <w:r w:rsidRPr="00244350">
        <w:rPr>
          <w:rFonts w:ascii="Arial Narrow" w:hAnsi="Arial Narrow" w:cs="Times New Roman"/>
          <w:sz w:val="24"/>
        </w:rPr>
        <w:t>Roy Goode et Louise Gullifer (6</w:t>
      </w:r>
      <w:r w:rsidRPr="00244350">
        <w:rPr>
          <w:rFonts w:ascii="Arial Narrow" w:hAnsi="Arial Narrow" w:cs="Times New Roman"/>
          <w:sz w:val="24"/>
          <w:vertAlign w:val="superscript"/>
        </w:rPr>
        <w:t>e</w:t>
      </w:r>
      <w:r w:rsidRPr="00244350">
        <w:rPr>
          <w:rFonts w:ascii="Arial Narrow" w:hAnsi="Arial Narrow" w:cs="Times New Roman"/>
          <w:sz w:val="24"/>
        </w:rPr>
        <w:t xml:space="preserve"> éd.), 2017</w:t>
      </w:r>
      <w:r>
        <w:rPr>
          <w:rFonts w:ascii="Arial Narrow" w:hAnsi="Arial Narrow" w:cs="Times New Roman"/>
          <w:sz w:val="24"/>
        </w:rPr>
        <w:t xml:space="preserve">, </w:t>
      </w:r>
      <w:r w:rsidRPr="00244350">
        <w:rPr>
          <w:rFonts w:ascii="Arial Narrow" w:hAnsi="Arial Narrow" w:cs="Times New Roman"/>
          <w:sz w:val="24"/>
        </w:rPr>
        <w:t>Sweet &amp; Maxwell, Londres, lxxvii et 441 pages, 195 GBP, ISBN 978-0-414-06442-3</w:t>
      </w:r>
    </w:p>
    <w:p w:rsidR="00900169" w:rsidRPr="00900169" w:rsidRDefault="00900169" w:rsidP="00900169">
      <w:pPr>
        <w:jc w:val="both"/>
        <w:rPr>
          <w:rFonts w:ascii="Times New Roman" w:hAnsi="Times New Roman" w:cs="Times New Roman"/>
          <w:sz w:val="24"/>
        </w:rPr>
      </w:pPr>
      <w:r w:rsidRPr="00244350">
        <w:rPr>
          <w:rFonts w:ascii="Times New Roman" w:hAnsi="Times New Roman" w:cs="Times New Roman"/>
          <w:sz w:val="24"/>
        </w:rPr>
        <w:t xml:space="preserve">Voici la sixième édition d’un ouvrage </w:t>
      </w:r>
      <w:r>
        <w:rPr>
          <w:rFonts w:ascii="Times New Roman" w:hAnsi="Times New Roman" w:cs="Times New Roman"/>
          <w:sz w:val="24"/>
        </w:rPr>
        <w:t>qu’on ne présente plus</w:t>
      </w:r>
      <w:r w:rsidRPr="00244350">
        <w:rPr>
          <w:rFonts w:ascii="Times New Roman" w:hAnsi="Times New Roman" w:cs="Times New Roman"/>
          <w:sz w:val="24"/>
        </w:rPr>
        <w:t>.</w:t>
      </w:r>
      <w:r w:rsidRPr="00900169">
        <w:rPr>
          <w:rFonts w:ascii="Times New Roman" w:hAnsi="Times New Roman" w:cs="Times New Roman"/>
          <w:sz w:val="24"/>
        </w:rPr>
        <w:t xml:space="preserve"> </w:t>
      </w:r>
      <w:r w:rsidRPr="00244350">
        <w:rPr>
          <w:rFonts w:ascii="Times New Roman" w:hAnsi="Times New Roman" w:cs="Times New Roman"/>
          <w:sz w:val="24"/>
        </w:rPr>
        <w:t xml:space="preserve">Commencé par Roy Goode, doyen de droit commercial et expert, en particulier, des questions de crédit et de sûretés sur actifs, à partir de la troisième édition, la responsabilité éditoriale </w:t>
      </w:r>
      <w:r>
        <w:rPr>
          <w:rFonts w:ascii="Times New Roman" w:hAnsi="Times New Roman" w:cs="Times New Roman"/>
          <w:sz w:val="24"/>
        </w:rPr>
        <w:t xml:space="preserve">en </w:t>
      </w:r>
      <w:r w:rsidRPr="00244350">
        <w:rPr>
          <w:rFonts w:ascii="Times New Roman" w:hAnsi="Times New Roman" w:cs="Times New Roman"/>
          <w:sz w:val="24"/>
        </w:rPr>
        <w:t>a été confiée à Louise Gullifer, qui co-signe avec lui cette dernière édition.</w:t>
      </w:r>
      <w:r w:rsidRPr="00900169">
        <w:rPr>
          <w:rFonts w:ascii="Times New Roman" w:hAnsi="Times New Roman" w:cs="Times New Roman"/>
          <w:sz w:val="24"/>
        </w:rPr>
        <w:t xml:space="preserve"> </w:t>
      </w:r>
      <w:r w:rsidRPr="00244350">
        <w:rPr>
          <w:rFonts w:ascii="Times New Roman" w:hAnsi="Times New Roman" w:cs="Times New Roman"/>
          <w:sz w:val="24"/>
        </w:rPr>
        <w:t xml:space="preserve">L’ouvrage commence logiquement par une présentation de la nature et des types de sûretés </w:t>
      </w:r>
      <w:r>
        <w:rPr>
          <w:rFonts w:ascii="Times New Roman" w:hAnsi="Times New Roman" w:cs="Times New Roman"/>
          <w:sz w:val="24"/>
        </w:rPr>
        <w:t>contractuelles</w:t>
      </w:r>
      <w:r w:rsidRPr="00244350">
        <w:rPr>
          <w:rFonts w:ascii="Times New Roman" w:hAnsi="Times New Roman" w:cs="Times New Roman"/>
          <w:sz w:val="24"/>
        </w:rPr>
        <w:t>, suivie d’une description des étapes nécessaires pour créer des droits de sûreté.</w:t>
      </w:r>
      <w:r w:rsidRPr="00900169">
        <w:rPr>
          <w:rFonts w:ascii="Times New Roman" w:hAnsi="Times New Roman" w:cs="Times New Roman"/>
          <w:sz w:val="24"/>
        </w:rPr>
        <w:t xml:space="preserve"> </w:t>
      </w:r>
      <w:r w:rsidRPr="00244350">
        <w:rPr>
          <w:rFonts w:ascii="Times New Roman" w:hAnsi="Times New Roman" w:cs="Times New Roman"/>
          <w:sz w:val="24"/>
        </w:rPr>
        <w:t>La différence entre le régime général de rattachement et d’opposabilité et celui applicable aux créances non documentaires fait l’objet du troisième chapitre, qui couvre également les obstacles juridiques à la constitution d’une sûreté.</w:t>
      </w:r>
      <w:r w:rsidRPr="00900169">
        <w:rPr>
          <w:rFonts w:ascii="Times New Roman" w:hAnsi="Times New Roman" w:cs="Times New Roman"/>
          <w:sz w:val="24"/>
        </w:rPr>
        <w:t xml:space="preserve"> </w:t>
      </w:r>
      <w:r w:rsidRPr="00244350">
        <w:rPr>
          <w:rFonts w:ascii="Times New Roman" w:hAnsi="Times New Roman" w:cs="Times New Roman"/>
          <w:sz w:val="24"/>
        </w:rPr>
        <w:t>Le quatrième chapitre ramène le lecteur à l’institution de la sûreté (</w:t>
      </w:r>
      <w:r>
        <w:rPr>
          <w:rFonts w:ascii="Times New Roman" w:hAnsi="Times New Roman" w:cs="Times New Roman"/>
          <w:sz w:val="24"/>
        </w:rPr>
        <w:t>« </w:t>
      </w:r>
      <w:r w:rsidRPr="00244350">
        <w:rPr>
          <w:rFonts w:ascii="Times New Roman" w:hAnsi="Times New Roman" w:cs="Times New Roman"/>
          <w:sz w:val="24"/>
        </w:rPr>
        <w:t>charge flottante</w:t>
      </w:r>
      <w:r>
        <w:rPr>
          <w:rFonts w:ascii="Times New Roman" w:hAnsi="Times New Roman" w:cs="Times New Roman"/>
          <w:sz w:val="24"/>
        </w:rPr>
        <w:t> »</w:t>
      </w:r>
      <w:r w:rsidRPr="00244350">
        <w:rPr>
          <w:rFonts w:ascii="Times New Roman" w:hAnsi="Times New Roman" w:cs="Times New Roman"/>
          <w:sz w:val="24"/>
        </w:rPr>
        <w:t>), tandis que le cinquième présente une exégèse assez longue des règles de priorité. Les droits relatifs aux garanties financières, la compensation et la compensation globale sont abordés dans les deux chapitres suivants.</w:t>
      </w:r>
      <w:r w:rsidRPr="00900169">
        <w:rPr>
          <w:rFonts w:ascii="Times New Roman" w:hAnsi="Times New Roman" w:cs="Times New Roman"/>
          <w:sz w:val="24"/>
        </w:rPr>
        <w:t xml:space="preserve"> </w:t>
      </w:r>
      <w:r w:rsidRPr="00244350">
        <w:rPr>
          <w:rFonts w:ascii="Times New Roman" w:hAnsi="Times New Roman" w:cs="Times New Roman"/>
          <w:sz w:val="24"/>
        </w:rPr>
        <w:t>En guise de conclusion de l’ensemble, une discussion sur les cautionnements étudie l’effet que les principes de droit des contrats et de l’insolvabilité peuvent avoir sur la validité et l’efficacité des dispositifs que l’on retrouve fréquemment dans la pratique.</w:t>
      </w:r>
    </w:p>
    <w:p w:rsidR="00900169" w:rsidRPr="00900169" w:rsidRDefault="00900169" w:rsidP="00900169">
      <w:pPr>
        <w:jc w:val="both"/>
        <w:rPr>
          <w:rFonts w:ascii="Times New Roman" w:hAnsi="Times New Roman" w:cs="Times New Roman"/>
          <w:sz w:val="24"/>
        </w:rPr>
      </w:pPr>
      <w:r w:rsidRPr="00BD59B2">
        <w:rPr>
          <w:rFonts w:ascii="Times New Roman" w:hAnsi="Times New Roman" w:cs="Times New Roman"/>
          <w:sz w:val="24"/>
        </w:rPr>
        <w:t>Cet ouvrage ne s’écarte pas trop de la progression instaurée dans les éditions précédentes, qui s’est renforcée au fil des ans.</w:t>
      </w:r>
      <w:r w:rsidRPr="00900169">
        <w:rPr>
          <w:rFonts w:ascii="Times New Roman" w:hAnsi="Times New Roman" w:cs="Times New Roman"/>
          <w:sz w:val="24"/>
        </w:rPr>
        <w:t xml:space="preserve"> </w:t>
      </w:r>
      <w:r w:rsidRPr="00BD59B2">
        <w:rPr>
          <w:rFonts w:ascii="Times New Roman" w:hAnsi="Times New Roman" w:cs="Times New Roman"/>
          <w:sz w:val="24"/>
        </w:rPr>
        <w:t xml:space="preserve">Chaque chapitre comprend une description détaillée des institutions et structures pertinentes, une analyse approfondie des questions importantes et de la façon dont elles sont tranchées par le droit dur, </w:t>
      </w:r>
      <w:r>
        <w:rPr>
          <w:rFonts w:ascii="Times New Roman" w:hAnsi="Times New Roman" w:cs="Times New Roman"/>
          <w:sz w:val="24"/>
        </w:rPr>
        <w:t>mais</w:t>
      </w:r>
      <w:r w:rsidRPr="00BD59B2">
        <w:rPr>
          <w:rFonts w:ascii="Times New Roman" w:hAnsi="Times New Roman" w:cs="Times New Roman"/>
          <w:sz w:val="24"/>
        </w:rPr>
        <w:t xml:space="preserve"> essentiellement </w:t>
      </w:r>
      <w:r>
        <w:rPr>
          <w:rFonts w:ascii="Times New Roman" w:hAnsi="Times New Roman" w:cs="Times New Roman"/>
          <w:sz w:val="24"/>
        </w:rPr>
        <w:t>par</w:t>
      </w:r>
      <w:r w:rsidRPr="00BD59B2">
        <w:rPr>
          <w:rFonts w:ascii="Times New Roman" w:hAnsi="Times New Roman" w:cs="Times New Roman"/>
          <w:sz w:val="24"/>
        </w:rPr>
        <w:t xml:space="preserve"> la jurisprudence, celle-ci étant exceptionnellement bien analysée.</w:t>
      </w:r>
      <w:r w:rsidRPr="00900169">
        <w:rPr>
          <w:rFonts w:ascii="Times New Roman" w:hAnsi="Times New Roman" w:cs="Times New Roman"/>
          <w:sz w:val="24"/>
        </w:rPr>
        <w:t xml:space="preserve"> </w:t>
      </w:r>
      <w:r w:rsidRPr="00BD59B2">
        <w:rPr>
          <w:rFonts w:ascii="Times New Roman" w:hAnsi="Times New Roman" w:cs="Times New Roman"/>
          <w:sz w:val="24"/>
        </w:rPr>
        <w:t>Outre l</w:t>
      </w:r>
      <w:r>
        <w:rPr>
          <w:rFonts w:ascii="Times New Roman" w:hAnsi="Times New Roman" w:cs="Times New Roman"/>
          <w:sz w:val="24"/>
        </w:rPr>
        <w:t>es nombreux précédents</w:t>
      </w:r>
      <w:r w:rsidRPr="00BD59B2">
        <w:rPr>
          <w:rFonts w:ascii="Times New Roman" w:hAnsi="Times New Roman" w:cs="Times New Roman"/>
          <w:sz w:val="24"/>
        </w:rPr>
        <w:t xml:space="preserve"> </w:t>
      </w:r>
      <w:r>
        <w:rPr>
          <w:rFonts w:ascii="Times New Roman" w:hAnsi="Times New Roman" w:cs="Times New Roman"/>
          <w:sz w:val="24"/>
        </w:rPr>
        <w:t xml:space="preserve">cités </w:t>
      </w:r>
      <w:r w:rsidRPr="00BD59B2">
        <w:rPr>
          <w:rFonts w:ascii="Times New Roman" w:hAnsi="Times New Roman" w:cs="Times New Roman"/>
          <w:sz w:val="24"/>
        </w:rPr>
        <w:t xml:space="preserve">dans la préface, les modifications mises en avant incluent la ratification de la Convention de 2001 du Cap, les changements apportés par la </w:t>
      </w:r>
      <w:r w:rsidRPr="00BD59B2">
        <w:rPr>
          <w:rFonts w:ascii="Times New Roman" w:hAnsi="Times New Roman" w:cs="Times New Roman"/>
          <w:i/>
          <w:sz w:val="24"/>
        </w:rPr>
        <w:t xml:space="preserve">Small Business, Enterprise and Employment Act </w:t>
      </w:r>
      <w:r w:rsidRPr="00BD59B2">
        <w:rPr>
          <w:rFonts w:ascii="Times New Roman" w:hAnsi="Times New Roman" w:cs="Times New Roman"/>
          <w:sz w:val="24"/>
        </w:rPr>
        <w:t>de 2015</w:t>
      </w:r>
      <w:r>
        <w:rPr>
          <w:rFonts w:ascii="Times New Roman" w:hAnsi="Times New Roman" w:cs="Times New Roman"/>
          <w:sz w:val="24"/>
        </w:rPr>
        <w:t xml:space="preserve"> (loi sur les petites entreprises, l’entrepreneuriat et l’emploi)</w:t>
      </w:r>
      <w:r w:rsidRPr="00BD59B2">
        <w:rPr>
          <w:rFonts w:ascii="Times New Roman" w:hAnsi="Times New Roman" w:cs="Times New Roman"/>
          <w:sz w:val="24"/>
        </w:rPr>
        <w:t xml:space="preserve"> et les évolutions plus récentes de la pratique en lien avec les garanties financières.</w:t>
      </w:r>
      <w:r w:rsidRPr="00900169">
        <w:rPr>
          <w:rFonts w:ascii="Times New Roman" w:hAnsi="Times New Roman" w:cs="Times New Roman"/>
          <w:sz w:val="24"/>
        </w:rPr>
        <w:t xml:space="preserve"> </w:t>
      </w:r>
      <w:r>
        <w:rPr>
          <w:rFonts w:ascii="Times New Roman" w:hAnsi="Times New Roman" w:cs="Times New Roman"/>
          <w:sz w:val="24"/>
        </w:rPr>
        <w:t xml:space="preserve">Faisant preuve </w:t>
      </w:r>
      <w:r w:rsidRPr="00BD59B2">
        <w:rPr>
          <w:rFonts w:ascii="Times New Roman" w:hAnsi="Times New Roman" w:cs="Times New Roman"/>
          <w:sz w:val="24"/>
        </w:rPr>
        <w:t>d’anticipation, cet ouvrage étudie également les propositions de réforme des sûretés et l’impact éventuel des nouvelles technologies sur la création et la constitution de droits de sûreté.</w:t>
      </w:r>
    </w:p>
    <w:p w:rsidR="00900169" w:rsidRPr="00900169" w:rsidRDefault="00900169" w:rsidP="00900169">
      <w:pPr>
        <w:jc w:val="both"/>
        <w:rPr>
          <w:rFonts w:ascii="Times New Roman" w:hAnsi="Times New Roman" w:cs="Times New Roman"/>
          <w:sz w:val="24"/>
        </w:rPr>
      </w:pPr>
      <w:r w:rsidRPr="00BD59B2">
        <w:rPr>
          <w:rFonts w:ascii="Times New Roman" w:hAnsi="Times New Roman" w:cs="Times New Roman"/>
          <w:sz w:val="24"/>
        </w:rPr>
        <w:t xml:space="preserve">En bref, il s’agit </w:t>
      </w:r>
      <w:r>
        <w:rPr>
          <w:rFonts w:ascii="Times New Roman" w:hAnsi="Times New Roman" w:cs="Times New Roman"/>
          <w:sz w:val="24"/>
        </w:rPr>
        <w:t xml:space="preserve">encore une fois </w:t>
      </w:r>
      <w:r w:rsidRPr="00BD59B2">
        <w:rPr>
          <w:rFonts w:ascii="Times New Roman" w:hAnsi="Times New Roman" w:cs="Times New Roman"/>
          <w:sz w:val="24"/>
        </w:rPr>
        <w:t>d’un ouvrage indispensable.</w:t>
      </w:r>
      <w:r w:rsidRPr="00900169">
        <w:rPr>
          <w:rFonts w:ascii="Times New Roman" w:hAnsi="Times New Roman" w:cs="Times New Roman"/>
          <w:sz w:val="24"/>
        </w:rPr>
        <w:t xml:space="preserve"> </w:t>
      </w:r>
      <w:r w:rsidRPr="00BD59B2">
        <w:rPr>
          <w:rFonts w:ascii="Times New Roman" w:hAnsi="Times New Roman" w:cs="Times New Roman"/>
          <w:sz w:val="24"/>
        </w:rPr>
        <w:t>Ce n’est pas seulement une référence pour le droit et la pratique en matière de crédit et de sûretés, mais aussi l’ouvrage universitaire le plus important en la matière.</w:t>
      </w:r>
      <w:r w:rsidRPr="00900169">
        <w:rPr>
          <w:rFonts w:ascii="Times New Roman" w:hAnsi="Times New Roman" w:cs="Times New Roman"/>
          <w:sz w:val="24"/>
        </w:rPr>
        <w:t xml:space="preserve"> </w:t>
      </w:r>
      <w:r w:rsidRPr="00BD59B2">
        <w:rPr>
          <w:rFonts w:ascii="Times New Roman" w:hAnsi="Times New Roman" w:cs="Times New Roman"/>
          <w:sz w:val="24"/>
        </w:rPr>
        <w:t>Peu d’ouvrages arrivent à de tels sommets, mais celui-ci fait partie</w:t>
      </w:r>
      <w:r>
        <w:rPr>
          <w:rFonts w:ascii="Times New Roman" w:hAnsi="Times New Roman" w:cs="Times New Roman"/>
          <w:sz w:val="24"/>
        </w:rPr>
        <w:t xml:space="preserve"> de cette élite</w:t>
      </w:r>
      <w:r w:rsidRPr="00BD59B2">
        <w:rPr>
          <w:rFonts w:ascii="Times New Roman" w:hAnsi="Times New Roman" w:cs="Times New Roman"/>
          <w:sz w:val="24"/>
        </w:rPr>
        <w:t>.</w:t>
      </w:r>
      <w:r w:rsidRPr="00900169">
        <w:rPr>
          <w:rFonts w:ascii="Times New Roman" w:hAnsi="Times New Roman" w:cs="Times New Roman"/>
          <w:sz w:val="24"/>
        </w:rPr>
        <w:t xml:space="preserve"> </w:t>
      </w:r>
      <w:r w:rsidRPr="00BD59B2">
        <w:rPr>
          <w:rFonts w:ascii="Times New Roman" w:hAnsi="Times New Roman" w:cs="Times New Roman"/>
          <w:sz w:val="24"/>
        </w:rPr>
        <w:t>Ainsi, cet ouvrage est une première étape utile pour toute personne qui explore ce domaine du droit et il peut être recommandé à tous ceux qui veulent mieux connaître ce domaine complexe et stimulant.</w:t>
      </w:r>
    </w:p>
    <w:p w:rsidR="003B5B5D" w:rsidRPr="00F31E17" w:rsidRDefault="00900169" w:rsidP="00F31E17">
      <w:pPr>
        <w:jc w:val="both"/>
        <w:rPr>
          <w:rFonts w:ascii="Arial Narrow" w:hAnsi="Arial Narrow" w:cs="Times New Roman"/>
          <w:i/>
          <w:sz w:val="24"/>
        </w:rPr>
      </w:pPr>
      <w:r w:rsidRPr="00BD59B2">
        <w:rPr>
          <w:rFonts w:ascii="Arial Narrow" w:hAnsi="Arial Narrow" w:cs="Times New Roman"/>
          <w:i/>
          <w:sz w:val="24"/>
        </w:rPr>
        <w:t>Paul J. Omar, Coordinateur des recherches techniques, INSOL Europe</w:t>
      </w:r>
    </w:p>
    <w:p w:rsidR="003B5B5D" w:rsidRPr="003B5B5D" w:rsidRDefault="003B5B5D" w:rsidP="003B5B5D">
      <w:pPr>
        <w:tabs>
          <w:tab w:val="left" w:pos="3045"/>
        </w:tabs>
        <w:suppressAutoHyphens/>
        <w:spacing w:after="0" w:line="240" w:lineRule="auto"/>
        <w:jc w:val="both"/>
        <w:rPr>
          <w:rFonts w:ascii="Times New Roman" w:eastAsia="Courier 10cpi" w:hAnsi="Times New Roman" w:cs="Times New Roman"/>
          <w:color w:val="0000FF"/>
          <w:sz w:val="24"/>
          <w:szCs w:val="24"/>
          <w:u w:val="single"/>
          <w:lang w:eastAsia="ar-SA"/>
        </w:rPr>
      </w:pPr>
      <w:r w:rsidRPr="003B5B5D">
        <w:rPr>
          <w:rFonts w:ascii="Arial Narrow" w:eastAsia="Courier 10cpi" w:hAnsi="Arial Narrow" w:cs="Courier 10cpi"/>
          <w:b/>
          <w:sz w:val="28"/>
          <w:szCs w:val="28"/>
          <w:lang w:eastAsia="ar-SA"/>
        </w:rPr>
        <w:lastRenderedPageBreak/>
        <w:t xml:space="preserve">Dates pour votre calendrier                             Informez-vous sur : </w:t>
      </w:r>
      <w:hyperlink r:id="rId92" w:history="1">
        <w:r w:rsidRPr="003B5B5D">
          <w:rPr>
            <w:rFonts w:ascii="Times New Roman" w:eastAsia="Courier 10cpi" w:hAnsi="Times New Roman" w:cs="Times New Roman"/>
            <w:color w:val="0000FF"/>
            <w:sz w:val="24"/>
            <w:szCs w:val="24"/>
            <w:u w:val="single"/>
            <w:lang w:eastAsia="ar-SA"/>
          </w:rPr>
          <w:t>www.insol-europe.org</w:t>
        </w:r>
      </w:hyperlink>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40"/>
          <w:szCs w:val="40"/>
          <w:lang w:eastAsia="ar-SA"/>
        </w:rPr>
      </w:pPr>
      <w:r w:rsidRPr="003B5B5D">
        <w:rPr>
          <w:rFonts w:ascii="Times New Roman" w:eastAsia="Courier 10cpi" w:hAnsi="Times New Roman" w:cs="Courier 10cpi"/>
          <w:b/>
          <w:sz w:val="40"/>
          <w:szCs w:val="40"/>
          <w:lang w:eastAsia="ar-SA"/>
        </w:rPr>
        <w:t>2018</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31 Mai – 1 Juin 2018</w:t>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INSOL Europe/Comité des Pays de l’Europe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ind w:left="3045" w:hanging="3045"/>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 xml:space="preserve">           Orientale </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Conférence Annuelle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i/>
          <w:sz w:val="24"/>
          <w:szCs w:val="24"/>
          <w:lang w:eastAsia="ar-SA"/>
        </w:rPr>
        <w:t>Riga /Létonie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ind w:left="2124" w:hanging="2124"/>
        <w:jc w:val="both"/>
        <w:rPr>
          <w:rFonts w:ascii="Times New Roman" w:eastAsia="Times New Roman" w:hAnsi="Times New Roman" w:cs="Times New Roman"/>
          <w:b/>
          <w:sz w:val="24"/>
          <w:szCs w:val="24"/>
          <w:lang w:eastAsia="ar-SA"/>
        </w:rPr>
      </w:pPr>
      <w:r w:rsidRPr="003B5B5D">
        <w:rPr>
          <w:rFonts w:ascii="Times New Roman" w:eastAsia="Courier 10cpi" w:hAnsi="Times New Roman" w:cs="Courier 10cpi"/>
          <w:b/>
          <w:sz w:val="24"/>
          <w:szCs w:val="24"/>
          <w:lang w:eastAsia="ar-SA"/>
        </w:rPr>
        <w:t>28 &amp; 29 Juin 2018</w:t>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 xml:space="preserve">         </w:t>
      </w:r>
      <w:r w:rsidRPr="003B5B5D">
        <w:rPr>
          <w:rFonts w:ascii="Times New Roman" w:eastAsia="Courier 10cpi" w:hAnsi="Times New Roman" w:cs="Courier 10cpi"/>
          <w:b/>
          <w:sz w:val="24"/>
          <w:szCs w:val="24"/>
          <w:lang w:eastAsia="ar-SA"/>
        </w:rPr>
        <w:tab/>
        <w:t>INSOL Europe/DAV(</w:t>
      </w:r>
      <w:r w:rsidRPr="003B5B5D">
        <w:rPr>
          <w:rFonts w:ascii="Times New Roman" w:eastAsia="Times New Roman" w:hAnsi="Times New Roman" w:cs="Times New Roman"/>
          <w:b/>
          <w:sz w:val="24"/>
          <w:szCs w:val="24"/>
          <w:lang w:eastAsia="ar-SA"/>
        </w:rPr>
        <w:t xml:space="preserve">Association du barreau </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ind w:left="2124" w:hanging="2124"/>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 xml:space="preserve">                                                                </w:t>
      </w:r>
      <w:r w:rsidRPr="003B5B5D">
        <w:rPr>
          <w:rFonts w:ascii="Times New Roman" w:eastAsia="Courier 10cpi" w:hAnsi="Times New Roman" w:cs="Courier 10cpi"/>
          <w:b/>
          <w:sz w:val="24"/>
          <w:szCs w:val="24"/>
          <w:lang w:eastAsia="ar-SA"/>
        </w:rPr>
        <w:tab/>
      </w:r>
      <w:r w:rsidRPr="003B5B5D">
        <w:rPr>
          <w:rFonts w:ascii="Times New Roman" w:eastAsia="Times New Roman" w:hAnsi="Times New Roman" w:cs="Times New Roman"/>
          <w:b/>
          <w:sz w:val="24"/>
          <w:szCs w:val="24"/>
          <w:lang w:eastAsia="ar-SA"/>
        </w:rPr>
        <w:t>allemand)</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 xml:space="preserve">Conférence conjointe  </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i/>
          <w:sz w:val="24"/>
          <w:szCs w:val="24"/>
          <w:lang w:eastAsia="ar-SA"/>
        </w:rPr>
        <w:t>Bruxelles/Belgique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3 &amp; 4 Octobre</w:t>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b/>
          <w:sz w:val="24"/>
          <w:szCs w:val="24"/>
          <w:lang w:eastAsia="ar-SA"/>
        </w:rPr>
        <w:t>INSOL Europe/Forum Universitaire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Conférence Annuelle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i/>
          <w:sz w:val="24"/>
          <w:szCs w:val="24"/>
          <w:lang w:eastAsia="ar-SA"/>
        </w:rPr>
        <w:t>Athène/Grèce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b/>
          <w:sz w:val="24"/>
          <w:szCs w:val="24"/>
          <w:lang w:eastAsia="ar-SA"/>
        </w:rPr>
        <w:t>4 – 7 Octobre</w:t>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b/>
          <w:sz w:val="24"/>
          <w:szCs w:val="24"/>
          <w:lang w:eastAsia="ar-SA"/>
        </w:rPr>
        <w:t>INSOL Europe – Congrès annuel</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i/>
          <w:sz w:val="24"/>
          <w:szCs w:val="24"/>
          <w:lang w:eastAsia="ar-SA"/>
        </w:rPr>
        <w:t>Athène/Grèce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40"/>
          <w:szCs w:val="40"/>
          <w:lang w:eastAsia="ar-SA"/>
        </w:rPr>
      </w:pPr>
      <w:r w:rsidRPr="003B5B5D">
        <w:rPr>
          <w:rFonts w:ascii="Times New Roman" w:eastAsia="Courier 10cpi" w:hAnsi="Times New Roman" w:cs="Courier 10cpi"/>
          <w:b/>
          <w:sz w:val="40"/>
          <w:szCs w:val="40"/>
          <w:lang w:eastAsia="ar-SA"/>
        </w:rPr>
        <w:t>2019</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sz w:val="24"/>
          <w:szCs w:val="24"/>
          <w:lang w:eastAsia="ar-SA"/>
        </w:rPr>
      </w:pP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25 &amp; 26 Septembre</w:t>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b/>
          <w:sz w:val="24"/>
          <w:szCs w:val="24"/>
          <w:lang w:eastAsia="ar-SA"/>
        </w:rPr>
        <w:t>INSOL Europe/Forum Universitaire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Conférence Annuelle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i/>
          <w:sz w:val="24"/>
          <w:szCs w:val="24"/>
          <w:lang w:eastAsia="ar-SA"/>
        </w:rPr>
        <w:t>Copenhague, Danemark</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26-29 Septembre</w:t>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b/>
          <w:sz w:val="24"/>
          <w:szCs w:val="24"/>
          <w:lang w:eastAsia="ar-SA"/>
        </w:rPr>
        <w:t>INSOL Europe – Congrès annuel</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i/>
          <w:sz w:val="24"/>
          <w:szCs w:val="24"/>
          <w:lang w:eastAsia="ar-SA"/>
        </w:rPr>
        <w:t>Copenhague/Danemark</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40"/>
          <w:szCs w:val="40"/>
          <w:lang w:eastAsia="ar-SA"/>
        </w:rPr>
      </w:pPr>
      <w:r w:rsidRPr="003B5B5D">
        <w:rPr>
          <w:rFonts w:ascii="Times New Roman" w:eastAsia="Courier 10cpi" w:hAnsi="Times New Roman" w:cs="Courier 10cpi"/>
          <w:b/>
          <w:sz w:val="40"/>
          <w:szCs w:val="40"/>
          <w:lang w:eastAsia="ar-SA"/>
        </w:rPr>
        <w:t>2020</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sz w:val="24"/>
          <w:szCs w:val="24"/>
          <w:lang w:eastAsia="ar-SA"/>
        </w:rPr>
      </w:pP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30 Septembre &amp; 1</w:t>
      </w:r>
      <w:r w:rsidRPr="003B5B5D">
        <w:rPr>
          <w:rFonts w:ascii="Times New Roman" w:eastAsia="Courier 10cpi" w:hAnsi="Times New Roman" w:cs="Courier 10cpi"/>
          <w:b/>
          <w:sz w:val="24"/>
          <w:szCs w:val="24"/>
          <w:vertAlign w:val="superscript"/>
          <w:lang w:eastAsia="ar-SA"/>
        </w:rPr>
        <w:t>er</w:t>
      </w:r>
      <w:r w:rsidRPr="003B5B5D">
        <w:rPr>
          <w:rFonts w:ascii="Times New Roman" w:eastAsia="Courier 10cpi" w:hAnsi="Times New Roman" w:cs="Courier 10cpi"/>
          <w:b/>
          <w:sz w:val="24"/>
          <w:szCs w:val="24"/>
          <w:lang w:eastAsia="ar-SA"/>
        </w:rPr>
        <w:t xml:space="preserve"> octobre</w:t>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b/>
          <w:sz w:val="24"/>
          <w:szCs w:val="24"/>
          <w:lang w:eastAsia="ar-SA"/>
        </w:rPr>
        <w:t>INSOL Europe/Forum Universitaire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t>Conférence Annuelle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b/>
          <w:sz w:val="24"/>
          <w:szCs w:val="24"/>
          <w:lang w:eastAsia="ar-SA"/>
        </w:rPr>
        <w:tab/>
      </w:r>
      <w:r w:rsidRPr="003B5B5D">
        <w:rPr>
          <w:rFonts w:ascii="Times New Roman" w:eastAsia="Courier 10cpi" w:hAnsi="Times New Roman" w:cs="Courier 10cpi"/>
          <w:i/>
          <w:sz w:val="24"/>
          <w:szCs w:val="24"/>
          <w:lang w:eastAsia="ar-SA"/>
        </w:rPr>
        <w:t>Sorrento/Italie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b/>
          <w:sz w:val="24"/>
          <w:szCs w:val="24"/>
          <w:lang w:eastAsia="ar-SA"/>
        </w:rPr>
      </w:pPr>
      <w:r w:rsidRPr="003B5B5D">
        <w:rPr>
          <w:rFonts w:ascii="Times New Roman" w:eastAsia="Courier 10cpi" w:hAnsi="Times New Roman" w:cs="Courier 10cpi"/>
          <w:b/>
          <w:sz w:val="24"/>
          <w:szCs w:val="24"/>
          <w:lang w:eastAsia="ar-SA"/>
        </w:rPr>
        <w:t>1 – 4 Octobre</w:t>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b/>
          <w:sz w:val="24"/>
          <w:szCs w:val="24"/>
          <w:lang w:eastAsia="ar-SA"/>
        </w:rPr>
        <w:t>INSOL Europe – Congrès annuel</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sz w:val="24"/>
          <w:szCs w:val="24"/>
          <w:lang w:eastAsia="ar-SA"/>
        </w:rPr>
        <w:tab/>
      </w:r>
      <w:r w:rsidRPr="003B5B5D">
        <w:rPr>
          <w:rFonts w:ascii="Times New Roman" w:eastAsia="Courier 10cpi" w:hAnsi="Times New Roman" w:cs="Courier 10cpi"/>
          <w:i/>
          <w:sz w:val="24"/>
          <w:szCs w:val="24"/>
          <w:lang w:eastAsia="ar-SA"/>
        </w:rPr>
        <w:t>Sorrento/Italie</w:t>
      </w:r>
    </w:p>
    <w:p w:rsidR="003B5B5D" w:rsidRPr="003B5B5D" w:rsidRDefault="003B5B5D" w:rsidP="003B5B5D">
      <w:pPr>
        <w:pBdr>
          <w:top w:val="single" w:sz="4" w:space="1" w:color="000000"/>
          <w:left w:val="single" w:sz="4" w:space="4" w:color="000000"/>
          <w:bottom w:val="single" w:sz="4" w:space="1" w:color="000000"/>
          <w:right w:val="single" w:sz="4" w:space="4" w:color="000000"/>
        </w:pBdr>
        <w:tabs>
          <w:tab w:val="left" w:pos="3045"/>
        </w:tabs>
        <w:suppressAutoHyphens/>
        <w:spacing w:after="0" w:line="240" w:lineRule="auto"/>
        <w:jc w:val="both"/>
        <w:rPr>
          <w:rFonts w:ascii="Times New Roman" w:eastAsia="Courier 10cpi" w:hAnsi="Times New Roman" w:cs="Courier 10cpi"/>
          <w:i/>
          <w:sz w:val="24"/>
          <w:szCs w:val="24"/>
          <w:lang w:eastAsia="ar-SA"/>
        </w:rPr>
      </w:pPr>
    </w:p>
    <w:p w:rsidR="003B5B5D" w:rsidRDefault="003B5B5D" w:rsidP="003B5B5D">
      <w:pPr>
        <w:tabs>
          <w:tab w:val="left" w:pos="3045"/>
        </w:tabs>
        <w:suppressAutoHyphens/>
        <w:spacing w:after="0" w:line="240" w:lineRule="auto"/>
        <w:rPr>
          <w:rFonts w:ascii="Arial Narrow" w:eastAsia="Courier 10cpi" w:hAnsi="Arial Narrow" w:cs="Courier 10cpi"/>
          <w:b/>
          <w:sz w:val="28"/>
          <w:szCs w:val="28"/>
          <w:lang w:eastAsia="ar-SA"/>
        </w:rPr>
      </w:pPr>
    </w:p>
    <w:p w:rsidR="002C5EDC" w:rsidRDefault="002C5EDC" w:rsidP="003B5B5D">
      <w:pPr>
        <w:tabs>
          <w:tab w:val="left" w:pos="3045"/>
        </w:tabs>
        <w:suppressAutoHyphens/>
        <w:spacing w:after="0" w:line="240" w:lineRule="auto"/>
        <w:rPr>
          <w:rFonts w:ascii="Arial Narrow" w:eastAsia="Courier 10cpi" w:hAnsi="Arial Narrow" w:cs="Courier 10cpi"/>
          <w:b/>
          <w:sz w:val="28"/>
          <w:szCs w:val="28"/>
          <w:lang w:eastAsia="ar-SA"/>
        </w:rPr>
      </w:pPr>
    </w:p>
    <w:p w:rsidR="002C5EDC" w:rsidRPr="003B5B5D" w:rsidRDefault="002C5EDC" w:rsidP="003B5B5D">
      <w:pPr>
        <w:tabs>
          <w:tab w:val="left" w:pos="3045"/>
        </w:tabs>
        <w:suppressAutoHyphens/>
        <w:spacing w:after="0" w:line="240" w:lineRule="auto"/>
        <w:rPr>
          <w:rFonts w:ascii="Arial Narrow" w:eastAsia="Courier 10cpi" w:hAnsi="Arial Narrow" w:cs="Courier 10cpi"/>
          <w:b/>
          <w:sz w:val="28"/>
          <w:szCs w:val="28"/>
          <w:lang w:eastAsia="ar-SA"/>
        </w:rPr>
      </w:pPr>
    </w:p>
    <w:p w:rsidR="003B5B5D" w:rsidRPr="003B5B5D" w:rsidRDefault="003B5B5D" w:rsidP="003B5B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Times New Roman" w:eastAsia="Times New Roman" w:hAnsi="Times New Roman" w:cs="Times New Roman"/>
          <w:b/>
          <w:i/>
          <w:iCs/>
          <w:sz w:val="20"/>
          <w:szCs w:val="20"/>
          <w:lang w:eastAsia="fr-FR"/>
        </w:rPr>
      </w:pPr>
      <w:r w:rsidRPr="003B5B5D">
        <w:rPr>
          <w:rFonts w:ascii="Times New Roman" w:eastAsia="Times New Roman" w:hAnsi="Times New Roman" w:cs="Times New Roman"/>
          <w:b/>
          <w:sz w:val="20"/>
          <w:szCs w:val="20"/>
          <w:lang w:eastAsia="fr-FR"/>
        </w:rPr>
        <w:t>Vous souhaitez participer au prochain numéro d’</w:t>
      </w:r>
      <w:r w:rsidRPr="003B5B5D">
        <w:rPr>
          <w:rFonts w:ascii="Times New Roman" w:eastAsia="Times New Roman" w:hAnsi="Times New Roman" w:cs="Times New Roman"/>
          <w:b/>
          <w:i/>
          <w:iCs/>
          <w:sz w:val="20"/>
          <w:szCs w:val="20"/>
          <w:lang w:eastAsia="fr-FR"/>
        </w:rPr>
        <w:t>eurofenix </w:t>
      </w:r>
      <w:r w:rsidRPr="003B5B5D">
        <w:rPr>
          <w:rFonts w:ascii="Times New Roman" w:eastAsia="Times New Roman" w:hAnsi="Times New Roman" w:cs="Times New Roman"/>
          <w:b/>
          <w:iCs/>
          <w:sz w:val="20"/>
          <w:szCs w:val="20"/>
          <w:lang w:eastAsia="fr-FR"/>
        </w:rPr>
        <w:t>?</w:t>
      </w:r>
    </w:p>
    <w:p w:rsidR="003B5B5D" w:rsidRPr="003B5B5D" w:rsidRDefault="003B5B5D" w:rsidP="003B5B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b/>
          <w:sz w:val="20"/>
          <w:szCs w:val="20"/>
          <w:lang w:eastAsia="fr-FR"/>
        </w:rPr>
      </w:pPr>
      <w:r w:rsidRPr="003B5B5D">
        <w:rPr>
          <w:rFonts w:ascii="Times New Roman" w:eastAsia="Times New Roman" w:hAnsi="Times New Roman" w:cs="Times New Roman"/>
          <w:b/>
          <w:sz w:val="20"/>
          <w:szCs w:val="20"/>
          <w:lang w:eastAsia="fr-FR"/>
        </w:rPr>
        <w:t xml:space="preserve">Nous accueillons volontiers les propositions d’articles et d’actualités. Pour en savoir plus sur les modalités de rédaction et sur le calendrier de remise des articles pour le numéro d’hiver et pour l’année prochaine, veuillez contacter Paul Newson, directeur de publication, à l’adresse </w:t>
      </w:r>
      <w:hyperlink r:id="rId93" w:history="1">
        <w:r w:rsidRPr="003B5B5D">
          <w:rPr>
            <w:rFonts w:ascii="Times New Roman" w:eastAsia="Times New Roman" w:hAnsi="Times New Roman" w:cs="Times New Roman"/>
            <w:b/>
            <w:color w:val="0000FF"/>
            <w:sz w:val="20"/>
            <w:szCs w:val="20"/>
            <w:u w:val="single"/>
            <w:lang w:eastAsia="fr-FR"/>
          </w:rPr>
          <w:t>paulnewson@insol-europe.org</w:t>
        </w:r>
      </w:hyperlink>
      <w:r w:rsidRPr="003B5B5D">
        <w:rPr>
          <w:rFonts w:ascii="Times New Roman" w:eastAsia="Times New Roman" w:hAnsi="Times New Roman" w:cs="Times New Roman"/>
          <w:b/>
          <w:sz w:val="20"/>
          <w:szCs w:val="20"/>
          <w:lang w:eastAsia="fr-FR"/>
        </w:rPr>
        <w:t xml:space="preserve">. </w:t>
      </w:r>
    </w:p>
    <w:p w:rsidR="003B5B5D" w:rsidRPr="003B5B5D" w:rsidRDefault="003B5B5D" w:rsidP="003B5B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eastAsia="Times New Roman" w:hAnsi="Times New Roman" w:cs="Times New Roman"/>
          <w:b/>
          <w:sz w:val="20"/>
          <w:szCs w:val="20"/>
          <w:lang w:eastAsia="fr-FR"/>
        </w:rPr>
      </w:pPr>
      <w:r w:rsidRPr="003B5B5D">
        <w:rPr>
          <w:rFonts w:ascii="Times New Roman" w:eastAsia="Times New Roman" w:hAnsi="Times New Roman" w:cs="Times New Roman"/>
          <w:b/>
          <w:sz w:val="20"/>
          <w:szCs w:val="20"/>
          <w:lang w:eastAsia="fr-FR"/>
        </w:rPr>
        <w:t xml:space="preserve">Pour la France, Florica Sincu :  </w:t>
      </w:r>
      <w:hyperlink r:id="rId94" w:history="1">
        <w:r w:rsidRPr="003B5B5D">
          <w:rPr>
            <w:rFonts w:ascii="Times New Roman" w:eastAsia="Times New Roman" w:hAnsi="Times New Roman" w:cs="Times New Roman"/>
            <w:b/>
            <w:color w:val="0000FF"/>
            <w:sz w:val="20"/>
            <w:szCs w:val="20"/>
            <w:u w:val="single"/>
            <w:lang w:eastAsia="fr-FR"/>
          </w:rPr>
          <w:t>floricasincu@insol-europe.org</w:t>
        </w:r>
      </w:hyperlink>
    </w:p>
    <w:p w:rsidR="00F31E17" w:rsidRDefault="00F31E17" w:rsidP="00F31E17">
      <w:pPr>
        <w:tabs>
          <w:tab w:val="left" w:pos="3045"/>
        </w:tabs>
        <w:suppressAutoHyphens/>
        <w:spacing w:after="0" w:line="240" w:lineRule="auto"/>
        <w:jc w:val="center"/>
        <w:rPr>
          <w:rFonts w:ascii="Arial Narrow" w:eastAsia="Courier 10cpi" w:hAnsi="Arial Narrow" w:cs="Courier 10cpi"/>
          <w:b/>
          <w:sz w:val="28"/>
          <w:szCs w:val="28"/>
          <w:lang w:eastAsia="ar-SA"/>
        </w:rPr>
      </w:pPr>
    </w:p>
    <w:p w:rsidR="00F31E17" w:rsidRDefault="003B5B5D" w:rsidP="00F31E17">
      <w:pPr>
        <w:tabs>
          <w:tab w:val="left" w:pos="3045"/>
        </w:tabs>
        <w:suppressAutoHyphens/>
        <w:spacing w:after="0" w:line="240" w:lineRule="auto"/>
        <w:jc w:val="center"/>
        <w:rPr>
          <w:rFonts w:ascii="Arial Narrow" w:eastAsia="Courier 10cpi" w:hAnsi="Arial Narrow" w:cs="Courier 10cpi"/>
          <w:b/>
          <w:sz w:val="28"/>
          <w:szCs w:val="28"/>
          <w:lang w:eastAsia="ar-SA"/>
        </w:rPr>
      </w:pPr>
      <w:r w:rsidRPr="003B5B5D">
        <w:rPr>
          <w:rFonts w:ascii="Arial Narrow" w:eastAsia="Courier 10cpi" w:hAnsi="Arial Narrow" w:cs="Courier 10cpi"/>
          <w:b/>
          <w:sz w:val="28"/>
          <w:szCs w:val="28"/>
          <w:lang w:eastAsia="ar-SA"/>
        </w:rPr>
        <w:t>Pour opportunités de parrainage contactez Hannah Denney</w:t>
      </w:r>
      <w:r w:rsidR="00F31E17">
        <w:rPr>
          <w:rFonts w:ascii="Arial Narrow" w:eastAsia="Courier 10cpi" w:hAnsi="Arial Narrow" w:cs="Courier 10cpi"/>
          <w:b/>
          <w:sz w:val="28"/>
          <w:szCs w:val="28"/>
          <w:lang w:eastAsia="ar-SA"/>
        </w:rPr>
        <w:t xml:space="preserve"> </w:t>
      </w:r>
    </w:p>
    <w:p w:rsidR="003B5B5D" w:rsidRPr="003B5B5D" w:rsidRDefault="003B5B5D" w:rsidP="00F31E17">
      <w:pPr>
        <w:tabs>
          <w:tab w:val="left" w:pos="3045"/>
        </w:tabs>
        <w:suppressAutoHyphens/>
        <w:spacing w:after="0" w:line="240" w:lineRule="auto"/>
        <w:jc w:val="center"/>
        <w:rPr>
          <w:rFonts w:ascii="Arial Narrow" w:eastAsia="Courier 10cpi" w:hAnsi="Arial Narrow" w:cs="Courier 10cpi"/>
          <w:b/>
          <w:sz w:val="28"/>
          <w:szCs w:val="28"/>
          <w:lang w:eastAsia="ar-SA"/>
        </w:rPr>
      </w:pPr>
      <w:r w:rsidRPr="003B5B5D">
        <w:rPr>
          <w:rFonts w:ascii="Arial Narrow" w:eastAsia="Courier 10cpi" w:hAnsi="Arial Narrow" w:cs="Courier 10cpi"/>
          <w:b/>
          <w:sz w:val="28"/>
          <w:szCs w:val="28"/>
          <w:lang w:eastAsia="ar-SA"/>
        </w:rPr>
        <w:t>(</w:t>
      </w:r>
      <w:hyperlink r:id="rId95" w:history="1">
        <w:r w:rsidRPr="003B5B5D">
          <w:rPr>
            <w:rFonts w:ascii="Arial Narrow" w:eastAsia="Courier 10cpi" w:hAnsi="Arial Narrow" w:cs="Courier 10cpi"/>
            <w:b/>
            <w:color w:val="0000FF"/>
            <w:sz w:val="28"/>
            <w:szCs w:val="28"/>
            <w:u w:val="single"/>
            <w:lang w:eastAsia="ar-SA"/>
          </w:rPr>
          <w:t>hannahdenney@insol-europe.org</w:t>
        </w:r>
      </w:hyperlink>
      <w:r w:rsidRPr="003B5B5D">
        <w:rPr>
          <w:rFonts w:ascii="Arial Narrow" w:eastAsia="Courier 10cpi" w:hAnsi="Arial Narrow" w:cs="Courier 10cpi"/>
          <w:b/>
          <w:sz w:val="28"/>
          <w:szCs w:val="28"/>
          <w:lang w:eastAsia="ar-SA"/>
        </w:rPr>
        <w:t xml:space="preserve"> )</w:t>
      </w:r>
    </w:p>
    <w:p w:rsidR="0052658C" w:rsidRDefault="0052658C"/>
    <w:sectPr w:rsidR="0052658C" w:rsidSect="0052658C">
      <w:headerReference w:type="even" r:id="rId96"/>
      <w:headerReference w:type="default" r:id="rId97"/>
      <w:pgSz w:w="12240" w:h="15840"/>
      <w:pgMar w:top="1417" w:right="1417" w:bottom="1417"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AB" w:rsidRDefault="006058AB" w:rsidP="003B5B5D">
      <w:pPr>
        <w:spacing w:after="0" w:line="240" w:lineRule="auto"/>
      </w:pPr>
      <w:r>
        <w:separator/>
      </w:r>
    </w:p>
  </w:endnote>
  <w:endnote w:type="continuationSeparator" w:id="0">
    <w:p w:rsidR="006058AB" w:rsidRDefault="006058AB" w:rsidP="003B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Lato">
    <w:altName w:val="Calibri"/>
    <w:panose1 w:val="00000000000000000000"/>
    <w:charset w:val="00"/>
    <w:family w:val="swiss"/>
    <w:notTrueType/>
    <w:pitch w:val="default"/>
    <w:sig w:usb0="00000003" w:usb1="00000000" w:usb2="00000000" w:usb3="00000000" w:csb0="00000001" w:csb1="00000000"/>
  </w:font>
  <w:font w:name="AvantGarde-Demi">
    <w:panose1 w:val="00000000000000000000"/>
    <w:charset w:val="00"/>
    <w:family w:val="roman"/>
    <w:notTrueType/>
    <w:pitch w:val="default"/>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ourier 10cpi">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AB" w:rsidRDefault="006058AB" w:rsidP="003B5B5D">
      <w:pPr>
        <w:spacing w:after="0" w:line="240" w:lineRule="auto"/>
      </w:pPr>
      <w:r>
        <w:separator/>
      </w:r>
    </w:p>
  </w:footnote>
  <w:footnote w:type="continuationSeparator" w:id="0">
    <w:p w:rsidR="006058AB" w:rsidRDefault="006058AB" w:rsidP="003B5B5D">
      <w:pPr>
        <w:spacing w:after="0" w:line="240" w:lineRule="auto"/>
      </w:pPr>
      <w:r>
        <w:continuationSeparator/>
      </w:r>
    </w:p>
  </w:footnote>
  <w:footnote w:id="1">
    <w:p w:rsidR="0023188F" w:rsidRPr="009C44E1" w:rsidRDefault="0023188F" w:rsidP="003B5B5D">
      <w:pPr>
        <w:pStyle w:val="Notedebasdepage"/>
      </w:pPr>
      <w:r w:rsidRPr="009C44E1">
        <w:rPr>
          <w:rStyle w:val="Appelnotedebasdep"/>
        </w:rPr>
        <w:footnoteRef/>
      </w:r>
      <w:r w:rsidRPr="009C44E1">
        <w:t xml:space="preserve"> </w:t>
      </w:r>
      <w:r w:rsidRPr="00D40DB2">
        <w:rPr>
          <w:i/>
        </w:rPr>
        <w:t>LegalTech</w:t>
      </w:r>
      <w:r w:rsidRPr="009C44E1">
        <w:t> : la technologie au service du droit, c’est-à-dire l’utilisation de technologies et de logiciels informatiques pour offrir des services juridiques (N. de la T.).</w:t>
      </w:r>
    </w:p>
  </w:footnote>
  <w:footnote w:id="2">
    <w:p w:rsidR="0023188F" w:rsidRPr="00805BD8" w:rsidRDefault="0023188F" w:rsidP="003B5B5D">
      <w:pPr>
        <w:pStyle w:val="Notedebasdepage"/>
      </w:pPr>
      <w:r w:rsidRPr="00805BD8">
        <w:rPr>
          <w:rStyle w:val="Appelnotedebasdep"/>
        </w:rPr>
        <w:footnoteRef/>
      </w:r>
      <w:r w:rsidRPr="00805BD8">
        <w:t xml:space="preserve"> </w:t>
      </w:r>
      <w:r w:rsidRPr="00D97650">
        <w:t>https://papers.ssrn.com/sol3/papers.cfm?abstract_id=2620309</w:t>
      </w:r>
    </w:p>
  </w:footnote>
  <w:footnote w:id="3">
    <w:p w:rsidR="0023188F" w:rsidRPr="00805BD8" w:rsidRDefault="0023188F" w:rsidP="003B5B5D">
      <w:pPr>
        <w:pStyle w:val="Notedebasdepage"/>
      </w:pPr>
      <w:r w:rsidRPr="00805BD8">
        <w:rPr>
          <w:rStyle w:val="Appelnotedebasdep"/>
        </w:rPr>
        <w:footnoteRef/>
      </w:r>
      <w:r w:rsidRPr="00805BD8">
        <w:t xml:space="preserve"> </w:t>
      </w:r>
      <w:r w:rsidRPr="00D97650">
        <w:t>https://coinmarketcap.com/</w:t>
      </w:r>
    </w:p>
  </w:footnote>
  <w:footnote w:id="4">
    <w:p w:rsidR="0023188F" w:rsidRPr="00805BD8" w:rsidRDefault="0023188F" w:rsidP="00007A92">
      <w:pPr>
        <w:pStyle w:val="Notedebasdepage"/>
      </w:pPr>
      <w:r w:rsidRPr="00805BD8">
        <w:rPr>
          <w:rStyle w:val="Appelnotedebasdep"/>
        </w:rPr>
        <w:footnoteRef/>
      </w:r>
      <w:r w:rsidRPr="00805BD8">
        <w:t xml:space="preserve"> </w:t>
      </w:r>
      <w:r w:rsidRPr="00D97650">
        <w:t>http://www.legalalignment.com/blog/blockchain-for-lawyers-101-parti# http://scet.berkeley.edu/wpcontent/uploads/BlockchainPaper.pdf</w:t>
      </w:r>
    </w:p>
  </w:footnote>
  <w:footnote w:id="5">
    <w:p w:rsidR="0023188F" w:rsidRPr="00805BD8" w:rsidRDefault="0023188F" w:rsidP="00007A92">
      <w:pPr>
        <w:pStyle w:val="Notedebasdepage"/>
      </w:pPr>
      <w:r w:rsidRPr="00805BD8">
        <w:rPr>
          <w:rStyle w:val="Appelnotedebasdep"/>
        </w:rPr>
        <w:footnoteRef/>
      </w:r>
      <w:r w:rsidRPr="00805BD8">
        <w:t xml:space="preserve"> </w:t>
      </w:r>
      <w:r w:rsidRPr="00D97650">
        <w:t>http://www.blockchainstudies.org/</w:t>
      </w:r>
    </w:p>
  </w:footnote>
  <w:footnote w:id="6">
    <w:p w:rsidR="0023188F" w:rsidRPr="00805BD8" w:rsidRDefault="0023188F" w:rsidP="003B5B5D">
      <w:pPr>
        <w:pStyle w:val="Notedebasdepage"/>
      </w:pPr>
      <w:r w:rsidRPr="00805BD8">
        <w:rPr>
          <w:rStyle w:val="Appelnotedebasdep"/>
        </w:rPr>
        <w:footnoteRef/>
      </w:r>
      <w:r w:rsidRPr="00805BD8">
        <w:t xml:space="preserve"> </w:t>
      </w:r>
      <w:r w:rsidRPr="00D97650">
        <w:t>https://www.sec.gov/oiea/investor-alerts-and-bulletins/ib_coinofferings</w:t>
      </w:r>
    </w:p>
  </w:footnote>
  <w:footnote w:id="7">
    <w:p w:rsidR="0023188F" w:rsidRPr="00805BD8" w:rsidRDefault="0023188F" w:rsidP="003B5B5D">
      <w:pPr>
        <w:pStyle w:val="Notedebasdepage"/>
      </w:pPr>
      <w:r w:rsidRPr="00805BD8">
        <w:rPr>
          <w:rStyle w:val="Appelnotedebasdep"/>
        </w:rPr>
        <w:footnoteRef/>
      </w:r>
      <w:r w:rsidRPr="00805BD8">
        <w:t xml:space="preserve"> </w:t>
      </w:r>
      <w:r w:rsidRPr="00D97650">
        <w:t>https://www.davispolk.com/files/bitcoin-def-brief.pdf</w:t>
      </w:r>
    </w:p>
  </w:footnote>
  <w:footnote w:id="8">
    <w:p w:rsidR="0023188F" w:rsidRPr="00805BD8" w:rsidRDefault="0023188F" w:rsidP="003B5B5D">
      <w:pPr>
        <w:pStyle w:val="Notedebasdepage"/>
      </w:pPr>
      <w:r w:rsidRPr="00805BD8">
        <w:rPr>
          <w:rStyle w:val="Appelnotedebasdep"/>
        </w:rPr>
        <w:footnoteRef/>
      </w:r>
      <w:r w:rsidRPr="00805BD8">
        <w:t xml:space="preserve"> </w:t>
      </w:r>
      <w:r w:rsidRPr="00D97650">
        <w:t>http://assaslegalinnovation.com/2018/03/26/la-reglementation-des-icos-un-defi-crucial-pour-le-legislateur-francais/</w:t>
      </w:r>
    </w:p>
  </w:footnote>
  <w:footnote w:id="9">
    <w:p w:rsidR="0023188F" w:rsidRPr="00805BD8" w:rsidRDefault="0023188F" w:rsidP="003B5B5D">
      <w:pPr>
        <w:pStyle w:val="Notedebasdepage"/>
      </w:pPr>
      <w:r w:rsidRPr="00805BD8">
        <w:rPr>
          <w:rStyle w:val="Appelnotedebasdep"/>
        </w:rPr>
        <w:footnoteRef/>
      </w:r>
      <w:r w:rsidRPr="00805BD8">
        <w:t xml:space="preserve"> </w:t>
      </w:r>
      <w:r w:rsidRPr="00D97650">
        <w:t>https://medium.com/@wulfkaal/initial-coin-offerings-the-top-25-jurisdictions-and-their-comparative-regulatory-responses-4b8c9ae7e8e8</w:t>
      </w:r>
    </w:p>
  </w:footnote>
  <w:footnote w:id="10">
    <w:p w:rsidR="0023188F" w:rsidRPr="00805BD8" w:rsidRDefault="0023188F" w:rsidP="003B5B5D">
      <w:pPr>
        <w:pStyle w:val="Notedebasdepage"/>
      </w:pPr>
      <w:r w:rsidRPr="00805BD8">
        <w:rPr>
          <w:rStyle w:val="Appelnotedebasdep"/>
        </w:rPr>
        <w:footnoteRef/>
      </w:r>
      <w:r w:rsidRPr="00805BD8">
        <w:t xml:space="preserve"> </w:t>
      </w:r>
      <w:r w:rsidRPr="00D97650">
        <w:t>http://www.fusions-acquisitions.fr/article/dossiers-5/blockchain-et-procedure-collective-du-partage-aux-interrogations-2743</w:t>
      </w:r>
    </w:p>
  </w:footnote>
  <w:footnote w:id="11">
    <w:p w:rsidR="0023188F" w:rsidRPr="00805BD8" w:rsidRDefault="0023188F" w:rsidP="003B5B5D">
      <w:pPr>
        <w:pStyle w:val="Notedebasdepage"/>
      </w:pPr>
      <w:r w:rsidRPr="00805BD8">
        <w:rPr>
          <w:rStyle w:val="Appelnotedebasdep"/>
        </w:rPr>
        <w:footnoteRef/>
      </w:r>
      <w:r w:rsidRPr="00805BD8">
        <w:t xml:space="preserve"> </w:t>
      </w:r>
      <w:r w:rsidRPr="00D97650">
        <w:t>http://leidenlawblog.nl/articles/the-end-of-comi-as-we-know-it-insolvency-rules-in-the-era-of-decentralisati</w:t>
      </w:r>
    </w:p>
  </w:footnote>
  <w:footnote w:id="12">
    <w:p w:rsidR="0023188F" w:rsidRPr="00805BD8" w:rsidRDefault="0023188F" w:rsidP="003B5B5D">
      <w:pPr>
        <w:pStyle w:val="Notedebasdepage"/>
      </w:pPr>
      <w:r w:rsidRPr="00805BD8">
        <w:rPr>
          <w:rStyle w:val="Appelnotedebasdep"/>
        </w:rPr>
        <w:footnoteRef/>
      </w:r>
      <w:r w:rsidRPr="00805BD8">
        <w:t xml:space="preserve"> </w:t>
      </w:r>
      <w:r w:rsidRPr="00D97650">
        <w:t>https://news.bitcoin.com/russian-bankruptcy-court-orders-debtor-disclose-cryptocurrency-holdings/</w:t>
      </w:r>
    </w:p>
  </w:footnote>
  <w:footnote w:id="13">
    <w:p w:rsidR="0023188F" w:rsidRPr="00D97650" w:rsidRDefault="0023188F" w:rsidP="003B5B5D">
      <w:pPr>
        <w:pStyle w:val="Notedebasdepage"/>
        <w:rPr>
          <w:lang w:val="en-US"/>
        </w:rPr>
      </w:pPr>
      <w:r w:rsidRPr="00805BD8">
        <w:rPr>
          <w:rStyle w:val="Appelnotedebasdep"/>
        </w:rPr>
        <w:footnoteRef/>
      </w:r>
      <w:r w:rsidRPr="00D97650">
        <w:rPr>
          <w:lang w:val="en-US"/>
        </w:rPr>
        <w:t xml:space="preserve"> </w:t>
      </w:r>
      <w:r w:rsidRPr="00805BD8">
        <w:rPr>
          <w:lang w:val="en-GB"/>
        </w:rPr>
        <w:t>http://www.rapsinews.com/judicial_news/ 20180312/282170768.html</w:t>
      </w:r>
    </w:p>
  </w:footnote>
  <w:footnote w:id="14">
    <w:p w:rsidR="0023188F" w:rsidRPr="00D97650" w:rsidRDefault="0023188F" w:rsidP="003B5B5D">
      <w:pPr>
        <w:pStyle w:val="Notedebasdepage"/>
        <w:rPr>
          <w:lang w:val="en-US"/>
        </w:rPr>
      </w:pPr>
      <w:r w:rsidRPr="00805BD8">
        <w:rPr>
          <w:rStyle w:val="Appelnotedebasdep"/>
        </w:rPr>
        <w:footnoteRef/>
      </w:r>
      <w:r w:rsidRPr="00D97650">
        <w:rPr>
          <w:lang w:val="en-US"/>
        </w:rPr>
        <w:t xml:space="preserve"> </w:t>
      </w:r>
      <w:r w:rsidRPr="00805BD8">
        <w:rPr>
          <w:lang w:val="en-GB"/>
        </w:rPr>
        <w:t>http://www.ldjcapital.com/singlepost/2018/02/15/Crypto-Regulation-France-and-Germany-Want-Issue-Included-in-G20-Summit-Agenda</w:t>
      </w:r>
    </w:p>
  </w:footnote>
  <w:footnote w:id="15">
    <w:p w:rsidR="0023188F" w:rsidRPr="009A356F"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 xml:space="preserve">Voir Frank Heemann et Karolina Gasparke, « Tirage au sort et responsabilité », </w:t>
      </w:r>
      <w:r w:rsidRPr="009A356F">
        <w:rPr>
          <w:rFonts w:ascii="Times New Roman" w:hAnsi="Times New Roman" w:cs="Times New Roman"/>
          <w:i/>
          <w:sz w:val="20"/>
          <w:szCs w:val="20"/>
        </w:rPr>
        <w:t>eurofenix</w:t>
      </w:r>
      <w:r w:rsidRPr="009A356F">
        <w:rPr>
          <w:rFonts w:ascii="Times New Roman" w:hAnsi="Times New Roman" w:cs="Times New Roman"/>
          <w:sz w:val="20"/>
          <w:szCs w:val="20"/>
        </w:rPr>
        <w:t xml:space="preserve"> n° 59, printemps 2015.</w:t>
      </w:r>
    </w:p>
  </w:footnote>
  <w:footnote w:id="16">
    <w:p w:rsidR="0023188F" w:rsidRPr="009A356F"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Il existe également des formes simplifiées de procédures d’insolvabilité et de restructuration en Lituanie.</w:t>
      </w:r>
    </w:p>
  </w:footnote>
  <w:footnote w:id="17">
    <w:p w:rsidR="0023188F" w:rsidRPr="009A356F"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Depuis 2005 pour les procédures d’insolvabilité, depuis 20</w:t>
      </w:r>
      <w:r>
        <w:rPr>
          <w:rFonts w:ascii="Times New Roman" w:hAnsi="Times New Roman" w:cs="Times New Roman"/>
          <w:sz w:val="20"/>
          <w:szCs w:val="20"/>
        </w:rPr>
        <w:t>1</w:t>
      </w:r>
      <w:r w:rsidRPr="009A356F">
        <w:rPr>
          <w:rFonts w:ascii="Times New Roman" w:hAnsi="Times New Roman" w:cs="Times New Roman"/>
          <w:sz w:val="20"/>
          <w:szCs w:val="20"/>
        </w:rPr>
        <w:t>7 également pour les procédures de restructuration.</w:t>
      </w:r>
    </w:p>
  </w:footnote>
  <w:footnote w:id="18">
    <w:p w:rsidR="0023188F" w:rsidRPr="00C7111E"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 xml:space="preserve">Parmi les autres objectifs, citons la protection des petits créanciers, la répartition équitable </w:t>
      </w:r>
      <w:r>
        <w:rPr>
          <w:rFonts w:ascii="Times New Roman" w:hAnsi="Times New Roman" w:cs="Times New Roman"/>
          <w:sz w:val="20"/>
          <w:szCs w:val="20"/>
        </w:rPr>
        <w:t>de la charge de</w:t>
      </w:r>
      <w:r w:rsidRPr="009A356F">
        <w:rPr>
          <w:rFonts w:ascii="Times New Roman" w:hAnsi="Times New Roman" w:cs="Times New Roman"/>
          <w:sz w:val="20"/>
          <w:szCs w:val="20"/>
        </w:rPr>
        <w:t xml:space="preserve"> travail entre PI, le soutien à l’installation des nouveaux PI.</w:t>
      </w:r>
    </w:p>
  </w:footnote>
  <w:footnote w:id="19">
    <w:p w:rsidR="0023188F" w:rsidRPr="009A356F" w:rsidRDefault="0023188F" w:rsidP="006C79CB">
      <w:pPr>
        <w:pStyle w:val="Notedebasdepage"/>
      </w:pPr>
      <w:r w:rsidRPr="00DC6AF1">
        <w:rPr>
          <w:rStyle w:val="Appelnotedebasdep"/>
        </w:rPr>
        <w:footnoteRef/>
      </w:r>
      <w:r w:rsidRPr="00DC6AF1">
        <w:t xml:space="preserve"> </w:t>
      </w:r>
      <w:r w:rsidRPr="009A356F">
        <w:t xml:space="preserve">Pour de plus amples renseignements, voir Frank Heemann et Karolina Gasparke, « Tirage au sort et responsabilité », </w:t>
      </w:r>
      <w:r w:rsidRPr="009A356F">
        <w:rPr>
          <w:i/>
        </w:rPr>
        <w:t>eurofenix</w:t>
      </w:r>
      <w:r w:rsidRPr="009A356F">
        <w:t xml:space="preserve"> n° 59, printemps 2015.</w:t>
      </w:r>
    </w:p>
  </w:footnote>
  <w:footnote w:id="20">
    <w:p w:rsidR="0023188F" w:rsidRPr="009A356F"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Une autre méthode de sélection s’applique aux insolvabilités de personnes physiques.</w:t>
      </w:r>
      <w:r w:rsidRPr="00C7111E">
        <w:rPr>
          <w:rFonts w:ascii="Times New Roman" w:hAnsi="Times New Roman" w:cs="Times New Roman"/>
          <w:sz w:val="20"/>
          <w:szCs w:val="20"/>
        </w:rPr>
        <w:t xml:space="preserve"> </w:t>
      </w:r>
      <w:r w:rsidRPr="009A356F">
        <w:rPr>
          <w:rFonts w:ascii="Times New Roman" w:hAnsi="Times New Roman" w:cs="Times New Roman"/>
          <w:sz w:val="20"/>
          <w:szCs w:val="20"/>
        </w:rPr>
        <w:t>Essentiellement, l’un des créanciers principaux assume les fonctions de PI.</w:t>
      </w:r>
    </w:p>
  </w:footnote>
  <w:footnote w:id="21">
    <w:p w:rsidR="0023188F" w:rsidRPr="009A356F"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Loi XLIX de 1991 sur les procédures de restructuration et d’insolvabilité.</w:t>
      </w:r>
    </w:p>
  </w:footnote>
  <w:footnote w:id="22">
    <w:p w:rsidR="0023188F" w:rsidRPr="009A356F"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Loi 7/2005 Coll. sur l’insolvabilité et la restructuration.</w:t>
      </w:r>
    </w:p>
  </w:footnote>
  <w:footnote w:id="23">
    <w:p w:rsidR="0023188F" w:rsidRPr="009A356F"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 xml:space="preserve">Les PI peuvent être des personnes physiques ou morales agréées. Le nombre de cabinets de PI agréés pouvant être établis par une personne physique possédant un certificat </w:t>
      </w:r>
      <w:r>
        <w:rPr>
          <w:rFonts w:ascii="Times New Roman" w:hAnsi="Times New Roman" w:cs="Times New Roman"/>
          <w:sz w:val="20"/>
          <w:szCs w:val="20"/>
        </w:rPr>
        <w:t>individuel</w:t>
      </w:r>
      <w:r w:rsidRPr="009A356F">
        <w:rPr>
          <w:rFonts w:ascii="Times New Roman" w:hAnsi="Times New Roman" w:cs="Times New Roman"/>
          <w:sz w:val="20"/>
          <w:szCs w:val="20"/>
        </w:rPr>
        <w:t xml:space="preserve"> de PI n’est soumis à aucune limite.</w:t>
      </w:r>
    </w:p>
  </w:footnote>
  <w:footnote w:id="24">
    <w:p w:rsidR="0023188F" w:rsidRPr="00DC6AF1"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Entre janvier 2015 et octobre 2015, 114 agréments ont été délivrés à de nouveaux cabinets, tandis que le nombre total de cabinets agréés avant la mise en œuvre du système était de 522.</w:t>
      </w:r>
      <w:r w:rsidRPr="00C7111E">
        <w:rPr>
          <w:rFonts w:ascii="Times New Roman" w:hAnsi="Times New Roman" w:cs="Times New Roman"/>
          <w:sz w:val="20"/>
          <w:szCs w:val="20"/>
        </w:rPr>
        <w:t xml:space="preserve"> </w:t>
      </w:r>
      <w:r w:rsidRPr="009A356F">
        <w:rPr>
          <w:rFonts w:ascii="Times New Roman" w:hAnsi="Times New Roman" w:cs="Times New Roman"/>
          <w:sz w:val="20"/>
          <w:szCs w:val="20"/>
        </w:rPr>
        <w:t>(http://www.bankrotodep.lt/veiklossritys/nemokumas-2/administratoriai/bankroto-administratoriai/#Juridiniai)</w:t>
      </w:r>
      <w:r w:rsidRPr="00C7111E">
        <w:rPr>
          <w:rFonts w:ascii="Times New Roman" w:hAnsi="Times New Roman" w:cs="Times New Roman"/>
          <w:sz w:val="20"/>
          <w:szCs w:val="20"/>
        </w:rPr>
        <w:t xml:space="preserve"> </w:t>
      </w:r>
    </w:p>
  </w:footnote>
  <w:footnote w:id="25">
    <w:p w:rsidR="0023188F" w:rsidRPr="00C7111E" w:rsidRDefault="0023188F" w:rsidP="006C79CB">
      <w:pPr>
        <w:spacing w:after="0" w:line="240" w:lineRule="auto"/>
        <w:rPr>
          <w:rFonts w:ascii="Times New Roman" w:hAnsi="Times New Roman" w:cs="Times New Roman"/>
          <w:sz w:val="20"/>
          <w:szCs w:val="20"/>
        </w:rPr>
      </w:pPr>
      <w:r w:rsidRPr="00DC6AF1">
        <w:rPr>
          <w:rStyle w:val="Appelnotedebasdep"/>
          <w:sz w:val="20"/>
          <w:szCs w:val="20"/>
        </w:rPr>
        <w:footnoteRef/>
      </w:r>
      <w:r w:rsidRPr="00DC6AF1">
        <w:rPr>
          <w:rFonts w:ascii="Times New Roman" w:hAnsi="Times New Roman" w:cs="Times New Roman"/>
          <w:sz w:val="20"/>
          <w:szCs w:val="20"/>
        </w:rPr>
        <w:t xml:space="preserve"> </w:t>
      </w:r>
      <w:r w:rsidRPr="009A356F">
        <w:rPr>
          <w:rFonts w:ascii="Times New Roman" w:hAnsi="Times New Roman" w:cs="Times New Roman"/>
          <w:sz w:val="20"/>
          <w:szCs w:val="20"/>
        </w:rPr>
        <w:t>En Lituanie, il n’existe pas de tribunaux ou juges spécialisés en matière d’insolvabilité.</w:t>
      </w:r>
    </w:p>
  </w:footnote>
  <w:footnote w:id="26">
    <w:p w:rsidR="0023188F" w:rsidRPr="009A356F" w:rsidRDefault="0023188F" w:rsidP="006C79CB">
      <w:pPr>
        <w:pStyle w:val="Notedebasdepage"/>
      </w:pPr>
      <w:r w:rsidRPr="00DC6AF1">
        <w:rPr>
          <w:rStyle w:val="Appelnotedebasdep"/>
        </w:rPr>
        <w:footnoteRef/>
      </w:r>
      <w:r w:rsidRPr="00DC6AF1">
        <w:t xml:space="preserve"> </w:t>
      </w:r>
      <w:r w:rsidRPr="009A356F">
        <w:t>Page 5 de l’étude du 7 février 2018 pour 2017 portant sur les procédures d’insolvabilité et de restructuration des entreprises, etc., préparée par la direction Audit, Comptabilité, Évaluation patrimoniale et Gestion de l’insolvabilité du ministère des Finances.</w:t>
      </w:r>
    </w:p>
  </w:footnote>
  <w:footnote w:id="27">
    <w:p w:rsidR="0023188F" w:rsidRPr="004E544A" w:rsidRDefault="0023188F" w:rsidP="00CB0492">
      <w:pPr>
        <w:pStyle w:val="Notedebasdepage"/>
      </w:pPr>
      <w:r w:rsidRPr="004E544A">
        <w:rPr>
          <w:rStyle w:val="Appelnotedebasdep"/>
        </w:rPr>
        <w:footnoteRef/>
      </w:r>
      <w:r w:rsidRPr="004E544A">
        <w:t xml:space="preserve"> </w:t>
      </w:r>
      <w:r w:rsidRPr="00CB0492">
        <w:t>www.orange-business.com/fr/blogs/securite/actualites/infographie-barometre-cybersecurite-2017-ou-en-est-l-industrie-francaise-</w:t>
      </w:r>
    </w:p>
  </w:footnote>
  <w:footnote w:id="28">
    <w:p w:rsidR="0023188F" w:rsidRPr="004E544A" w:rsidRDefault="0023188F" w:rsidP="00CB0492">
      <w:pPr>
        <w:pStyle w:val="Notedebasdepage"/>
      </w:pPr>
      <w:r w:rsidRPr="004E544A">
        <w:rPr>
          <w:rStyle w:val="Appelnotedebasdep"/>
        </w:rPr>
        <w:footnoteRef/>
      </w:r>
      <w:r w:rsidRPr="004E544A">
        <w:t xml:space="preserve"> </w:t>
      </w:r>
      <w:r w:rsidRPr="00A867E1">
        <w:t>www.inc.com/thomas-koulopoulos/the-biggest-risk-to-your-business-cant-be-eliminated-heres-how-you-can-survive-i.html</w:t>
      </w:r>
    </w:p>
  </w:footnote>
  <w:footnote w:id="29">
    <w:p w:rsidR="0023188F" w:rsidRPr="004E544A" w:rsidRDefault="0023188F" w:rsidP="00CB0492">
      <w:pPr>
        <w:pStyle w:val="Notedebasdepage"/>
      </w:pPr>
      <w:r w:rsidRPr="004E544A">
        <w:rPr>
          <w:rStyle w:val="Appelnotedebasdep"/>
        </w:rPr>
        <w:footnoteRef/>
      </w:r>
      <w:r w:rsidRPr="004E544A">
        <w:t xml:space="preserve"> </w:t>
      </w:r>
      <w:r w:rsidRPr="00A867E1">
        <w:t>https://cofense.com/wp-content/uploads/2017/10/PhishMe_Malware_Review_2016_Q3.pdf</w:t>
      </w:r>
    </w:p>
  </w:footnote>
  <w:footnote w:id="30">
    <w:p w:rsidR="0023188F" w:rsidRPr="004E544A" w:rsidRDefault="0023188F" w:rsidP="00CB0492">
      <w:pPr>
        <w:pStyle w:val="Notedebasdepage"/>
      </w:pPr>
      <w:r w:rsidRPr="004E544A">
        <w:rPr>
          <w:rStyle w:val="Appelnotedebasdep"/>
        </w:rPr>
        <w:footnoteRef/>
      </w:r>
      <w:r w:rsidRPr="004E544A">
        <w:t xml:space="preserve"> </w:t>
      </w:r>
      <w:r w:rsidRPr="00A867E1">
        <w:t>www.privacy-regulation.eu/en/article-83-general-conditions-for-imposing-administrative-fines-GDPR.htm</w:t>
      </w:r>
    </w:p>
  </w:footnote>
  <w:footnote w:id="31">
    <w:p w:rsidR="0023188F" w:rsidRPr="002C1D49" w:rsidRDefault="0023188F" w:rsidP="00035770">
      <w:pPr>
        <w:pStyle w:val="Notedebasdepage"/>
        <w:rPr>
          <w:sz w:val="24"/>
        </w:rPr>
      </w:pPr>
      <w:r w:rsidRPr="00D34D37">
        <w:rPr>
          <w:rStyle w:val="Appelnotedebasdep"/>
        </w:rPr>
        <w:footnoteRef/>
      </w:r>
      <w:r w:rsidRPr="00D34D37">
        <w:t xml:space="preserve"> </w:t>
      </w:r>
      <w:r w:rsidRPr="002C1D49">
        <w:rPr>
          <w:sz w:val="24"/>
          <w:szCs w:val="24"/>
        </w:rPr>
        <w:t xml:space="preserve">Voir </w:t>
      </w:r>
      <w:r w:rsidRPr="002C1D49">
        <w:rPr>
          <w:i/>
          <w:sz w:val="24"/>
          <w:szCs w:val="24"/>
        </w:rPr>
        <w:t>Gestion de l’insolvabilité stratégique et sécurité nationale</w:t>
      </w:r>
      <w:r w:rsidRPr="002C1D49">
        <w:rPr>
          <w:sz w:val="24"/>
          <w:szCs w:val="24"/>
        </w:rPr>
        <w:t>, thèse de doctorat présentée au public le 27 septembre 2017 par l’auteur de cet article.</w:t>
      </w:r>
    </w:p>
  </w:footnote>
  <w:footnote w:id="32">
    <w:p w:rsidR="0023188F" w:rsidRPr="002C1D49" w:rsidRDefault="0023188F" w:rsidP="00035770">
      <w:pPr>
        <w:pStyle w:val="Notedebasdepage"/>
        <w:rPr>
          <w:sz w:val="24"/>
        </w:rPr>
      </w:pPr>
      <w:r w:rsidRPr="00D34D37">
        <w:rPr>
          <w:rStyle w:val="Appelnotedebasdep"/>
        </w:rPr>
        <w:footnoteRef/>
      </w:r>
      <w:r w:rsidRPr="00D34D37">
        <w:t xml:space="preserve"> </w:t>
      </w:r>
      <w:r w:rsidRPr="002C1D49">
        <w:rPr>
          <w:sz w:val="24"/>
          <w:szCs w:val="24"/>
        </w:rPr>
        <w:t>Infrastructure critique nationale.</w:t>
      </w:r>
    </w:p>
  </w:footnote>
  <w:footnote w:id="33">
    <w:p w:rsidR="0023188F" w:rsidRPr="002C1D49" w:rsidRDefault="0023188F" w:rsidP="00035770">
      <w:pPr>
        <w:pStyle w:val="Notedebasdepage"/>
        <w:rPr>
          <w:sz w:val="24"/>
        </w:rPr>
      </w:pPr>
      <w:r w:rsidRPr="00D34D37">
        <w:rPr>
          <w:rStyle w:val="Appelnotedebasdep"/>
        </w:rPr>
        <w:footnoteRef/>
      </w:r>
      <w:r w:rsidRPr="00D34D37">
        <w:t xml:space="preserve"> </w:t>
      </w:r>
      <w:r w:rsidRPr="002C1D49">
        <w:rPr>
          <w:sz w:val="24"/>
          <w:szCs w:val="24"/>
        </w:rPr>
        <w:t>En Roumanie, par le CSAT (Conseil supérieur de la défense nationale).</w:t>
      </w:r>
    </w:p>
  </w:footnote>
  <w:footnote w:id="34">
    <w:p w:rsidR="0023188F" w:rsidRPr="002C1D49" w:rsidRDefault="0023188F" w:rsidP="00035770">
      <w:pPr>
        <w:pStyle w:val="Notedebasdepage"/>
        <w:rPr>
          <w:sz w:val="24"/>
        </w:rPr>
      </w:pPr>
      <w:r w:rsidRPr="00D34D37">
        <w:rPr>
          <w:rStyle w:val="Appelnotedebasdep"/>
        </w:rPr>
        <w:footnoteRef/>
      </w:r>
      <w:r w:rsidRPr="00D34D37">
        <w:t xml:space="preserve"> </w:t>
      </w:r>
      <w:r w:rsidRPr="002C1D49">
        <w:rPr>
          <w:sz w:val="24"/>
          <w:szCs w:val="24"/>
        </w:rPr>
        <w:t>Contactez l’auteur pour en savoir plus.</w:t>
      </w:r>
    </w:p>
  </w:footnote>
  <w:footnote w:id="35">
    <w:p w:rsidR="0023188F" w:rsidRPr="002C1D49" w:rsidRDefault="0023188F" w:rsidP="00035770">
      <w:pPr>
        <w:pStyle w:val="Notedebasdepage"/>
        <w:rPr>
          <w:sz w:val="24"/>
        </w:rPr>
      </w:pPr>
      <w:r w:rsidRPr="00D34D37">
        <w:rPr>
          <w:rStyle w:val="Appelnotedebasdep"/>
        </w:rPr>
        <w:footnoteRef/>
      </w:r>
      <w:r w:rsidRPr="00D34D37">
        <w:t xml:space="preserve"> </w:t>
      </w:r>
      <w:r w:rsidRPr="002C1D49">
        <w:rPr>
          <w:sz w:val="24"/>
          <w:szCs w:val="24"/>
        </w:rPr>
        <w:t>Premier producteur d’électricité hydraulique en Roumanie.</w:t>
      </w:r>
    </w:p>
  </w:footnote>
  <w:footnote w:id="36">
    <w:p w:rsidR="0023188F" w:rsidRPr="001A50F1" w:rsidRDefault="0023188F" w:rsidP="00C44D1B">
      <w:pPr>
        <w:pStyle w:val="Notedebasdepage"/>
      </w:pPr>
      <w:r w:rsidRPr="00077A19">
        <w:rPr>
          <w:rStyle w:val="Appelnotedebasdep"/>
        </w:rPr>
        <w:footnoteRef/>
      </w:r>
      <w:r w:rsidRPr="00077A19">
        <w:t xml:space="preserve"> </w:t>
      </w:r>
      <w:r w:rsidRPr="001A50F1">
        <w:t>Voir la consultation publique publiée le 10 juillet 2017 :</w:t>
      </w:r>
      <w:r w:rsidRPr="00AE58AA">
        <w:t xml:space="preserve"> </w:t>
      </w:r>
      <w:r w:rsidRPr="001A50F1">
        <w:t>&lt;https://ec.europa.eu/info/consultations/finance-2017-non-performing-loans_en&gt;.</w:t>
      </w:r>
    </w:p>
  </w:footnote>
  <w:footnote w:id="37">
    <w:p w:rsidR="0023188F" w:rsidRPr="00682956" w:rsidRDefault="0023188F" w:rsidP="0076748B">
      <w:pPr>
        <w:pStyle w:val="Notedebasdepage"/>
      </w:pPr>
      <w:r w:rsidRPr="00607AC6">
        <w:rPr>
          <w:rStyle w:val="Appelnotedebasdep"/>
        </w:rPr>
        <w:footnoteRef/>
      </w:r>
      <w:r w:rsidRPr="00607AC6">
        <w:t xml:space="preserve"> </w:t>
      </w:r>
      <w:r>
        <w:t>(i) M</w:t>
      </w:r>
      <w:r w:rsidRPr="00682956">
        <w:t>athieu Plane, économiste à l’Observatoire français de la conjoncture économique</w:t>
      </w:r>
      <w:r>
        <w:t> ;</w:t>
      </w:r>
      <w:r w:rsidRPr="00E564C8">
        <w:t xml:space="preserve"> </w:t>
      </w:r>
      <w:r w:rsidRPr="00682956">
        <w:t>(ii) Europe 1 – « L’économie » – 30 janvier 2018</w:t>
      </w:r>
    </w:p>
  </w:footnote>
  <w:footnote w:id="38">
    <w:p w:rsidR="0023188F" w:rsidRPr="00682956" w:rsidRDefault="0023188F" w:rsidP="0076748B">
      <w:pPr>
        <w:pStyle w:val="Notedebasdepage"/>
      </w:pPr>
      <w:r w:rsidRPr="00607AC6">
        <w:rPr>
          <w:rStyle w:val="Appelnotedebasdep"/>
        </w:rPr>
        <w:footnoteRef/>
      </w:r>
      <w:r w:rsidRPr="00607AC6">
        <w:t xml:space="preserve"> </w:t>
      </w:r>
      <w:r w:rsidRPr="00682956">
        <w:t>Données publiées par la Banque de France le 16 mars 2018.</w:t>
      </w:r>
    </w:p>
  </w:footnote>
  <w:footnote w:id="39">
    <w:p w:rsidR="0023188F" w:rsidRPr="00682956" w:rsidRDefault="0023188F" w:rsidP="0076748B">
      <w:pPr>
        <w:pStyle w:val="Notedebasdepage"/>
      </w:pPr>
      <w:r w:rsidRPr="00607AC6">
        <w:rPr>
          <w:rStyle w:val="Appelnotedebasdep"/>
        </w:rPr>
        <w:footnoteRef/>
      </w:r>
      <w:r w:rsidRPr="00607AC6">
        <w:t xml:space="preserve"> </w:t>
      </w:r>
      <w:r w:rsidRPr="00682956">
        <w:t>Stat’ags – n° 19 – janvier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8F" w:rsidRDefault="0023188F" w:rsidP="0052658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3188F" w:rsidRDefault="0023188F" w:rsidP="0052658C">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8F" w:rsidRDefault="0023188F" w:rsidP="0052658C">
    <w:pPr>
      <w:pStyle w:val="En-tte"/>
      <w:framePr w:wrap="around" w:vAnchor="text" w:hAnchor="margin" w:xAlign="right" w:y="1"/>
      <w:rPr>
        <w:rStyle w:val="Numrodepage"/>
      </w:rPr>
    </w:pPr>
    <w:r>
      <w:rPr>
        <w:noProof/>
        <w:lang w:eastAsia="fr-FR"/>
      </w:rPr>
      <mc:AlternateContent>
        <mc:Choice Requires="wps">
          <w:drawing>
            <wp:anchor distT="0" distB="0" distL="114300" distR="114300" simplePos="0" relativeHeight="251659264" behindDoc="0" locked="0" layoutInCell="0" allowOverlap="1" wp14:anchorId="00A4809A" wp14:editId="41E63D88">
              <wp:simplePos x="0" y="0"/>
              <wp:positionH relativeFrom="page">
                <wp:posOffset>6941185</wp:posOffset>
              </wp:positionH>
              <wp:positionV relativeFrom="page">
                <wp:posOffset>4581525</wp:posOffset>
              </wp:positionV>
              <wp:extent cx="762000" cy="8953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3188F" w:rsidRPr="008B14DF" w:rsidRDefault="0023188F">
                          <w:pPr>
                            <w:jc w:val="center"/>
                            <w:rPr>
                              <w:rFonts w:ascii="Cambria" w:hAnsi="Cambria"/>
                              <w:sz w:val="72"/>
                              <w:szCs w:val="72"/>
                            </w:rPr>
                          </w:pPr>
                          <w:r w:rsidRPr="008B14DF">
                            <w:rPr>
                              <w:rFonts w:ascii="Calibri" w:hAnsi="Calibri"/>
                            </w:rPr>
                            <w:fldChar w:fldCharType="begin"/>
                          </w:r>
                          <w:r>
                            <w:instrText>PAGE  \* MERGEFORMAT</w:instrText>
                          </w:r>
                          <w:r w:rsidRPr="008B14DF">
                            <w:rPr>
                              <w:rFonts w:ascii="Calibri" w:hAnsi="Calibri"/>
                            </w:rPr>
                            <w:fldChar w:fldCharType="separate"/>
                          </w:r>
                          <w:r w:rsidR="00A00A44" w:rsidRPr="00A00A44">
                            <w:rPr>
                              <w:rFonts w:ascii="Cambria" w:hAnsi="Cambria"/>
                              <w:noProof/>
                              <w:sz w:val="48"/>
                              <w:szCs w:val="48"/>
                            </w:rPr>
                            <w:t>66</w:t>
                          </w:r>
                          <w:r w:rsidRPr="008B14DF">
                            <w:rPr>
                              <w:rFonts w:ascii="Cambria" w:hAnsi="Cambria"/>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46.55pt;margin-top:360.75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" o:allowincell="f" stroked="f">
              <v:textbox>
                <w:txbxContent>
                  <w:p w:rsidR="0023188F" w:rsidRPr="008B14DF" w:rsidRDefault="0023188F">
                    <w:pPr>
                      <w:jc w:val="center"/>
                      <w:rPr>
                        <w:rFonts w:ascii="Cambria" w:hAnsi="Cambria"/>
                        <w:sz w:val="72"/>
                        <w:szCs w:val="72"/>
                      </w:rPr>
                    </w:pPr>
                    <w:r w:rsidRPr="008B14DF">
                      <w:rPr>
                        <w:rFonts w:ascii="Calibri" w:hAnsi="Calibri"/>
                      </w:rPr>
                      <w:fldChar w:fldCharType="begin"/>
                    </w:r>
                    <w:r>
                      <w:instrText>PAGE  \* MERGEFORMAT</w:instrText>
                    </w:r>
                    <w:r w:rsidRPr="008B14DF">
                      <w:rPr>
                        <w:rFonts w:ascii="Calibri" w:hAnsi="Calibri"/>
                      </w:rPr>
                      <w:fldChar w:fldCharType="separate"/>
                    </w:r>
                    <w:r w:rsidR="00A00A44" w:rsidRPr="00A00A44">
                      <w:rPr>
                        <w:rFonts w:ascii="Cambria" w:hAnsi="Cambria"/>
                        <w:noProof/>
                        <w:sz w:val="48"/>
                        <w:szCs w:val="48"/>
                      </w:rPr>
                      <w:t>66</w:t>
                    </w:r>
                    <w:r w:rsidRPr="008B14DF">
                      <w:rPr>
                        <w:rFonts w:ascii="Cambria" w:hAnsi="Cambria"/>
                        <w:sz w:val="48"/>
                        <w:szCs w:val="48"/>
                      </w:rPr>
                      <w:fldChar w:fldCharType="end"/>
                    </w:r>
                  </w:p>
                </w:txbxContent>
              </v:textbox>
              <w10:wrap anchorx="page" anchory="page"/>
            </v:rect>
          </w:pict>
        </mc:Fallback>
      </mc:AlternateContent>
    </w:r>
    <w:r>
      <w:rPr>
        <w:rStyle w:val="Numrodepage"/>
      </w:rPr>
      <w:fldChar w:fldCharType="begin"/>
    </w:r>
    <w:r>
      <w:rPr>
        <w:rStyle w:val="Numrodepage"/>
      </w:rPr>
      <w:instrText xml:space="preserve">PAGE  </w:instrText>
    </w:r>
    <w:r>
      <w:rPr>
        <w:rStyle w:val="Numrodepage"/>
      </w:rPr>
      <w:fldChar w:fldCharType="separate"/>
    </w:r>
    <w:r w:rsidR="00A00A44">
      <w:rPr>
        <w:rStyle w:val="Numrodepage"/>
        <w:noProof/>
      </w:rPr>
      <w:t>66</w:t>
    </w:r>
    <w:r>
      <w:rPr>
        <w:rStyle w:val="Numrodepage"/>
      </w:rPr>
      <w:fldChar w:fldCharType="end"/>
    </w:r>
  </w:p>
  <w:p w:rsidR="0023188F" w:rsidRDefault="0023188F" w:rsidP="0052658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2DEEAA2"/>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decimal"/>
      <w:pStyle w:val="Titre3"/>
      <w:lvlText w:val="%3."/>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70CBC"/>
    <w:multiLevelType w:val="hybridMultilevel"/>
    <w:tmpl w:val="67BE65B8"/>
    <w:lvl w:ilvl="0" w:tplc="166A55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BE0D31"/>
    <w:multiLevelType w:val="hybridMultilevel"/>
    <w:tmpl w:val="9C38A074"/>
    <w:lvl w:ilvl="0" w:tplc="8F80AA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D45DF"/>
    <w:multiLevelType w:val="hybridMultilevel"/>
    <w:tmpl w:val="3A3A2AFE"/>
    <w:lvl w:ilvl="0" w:tplc="82D0C56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865CFA"/>
    <w:multiLevelType w:val="hybridMultilevel"/>
    <w:tmpl w:val="F1A6ED00"/>
    <w:lvl w:ilvl="0" w:tplc="283AC4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897C85"/>
    <w:multiLevelType w:val="hybridMultilevel"/>
    <w:tmpl w:val="C1EAC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687AF7"/>
    <w:multiLevelType w:val="hybridMultilevel"/>
    <w:tmpl w:val="E7506BA8"/>
    <w:lvl w:ilvl="0" w:tplc="4ECAF2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07635A"/>
    <w:multiLevelType w:val="hybridMultilevel"/>
    <w:tmpl w:val="AC049FBE"/>
    <w:lvl w:ilvl="0" w:tplc="481814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D45BEA"/>
    <w:multiLevelType w:val="hybridMultilevel"/>
    <w:tmpl w:val="9C90EBE2"/>
    <w:lvl w:ilvl="0" w:tplc="496AB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422904"/>
    <w:multiLevelType w:val="hybridMultilevel"/>
    <w:tmpl w:val="F1FCF326"/>
    <w:lvl w:ilvl="0" w:tplc="9564C6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A36960"/>
    <w:multiLevelType w:val="hybridMultilevel"/>
    <w:tmpl w:val="6736F3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4F18A2"/>
    <w:multiLevelType w:val="hybridMultilevel"/>
    <w:tmpl w:val="FF3A10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CF3F79"/>
    <w:multiLevelType w:val="hybridMultilevel"/>
    <w:tmpl w:val="C0C8445A"/>
    <w:lvl w:ilvl="0" w:tplc="040C0001">
      <w:start w:val="3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825CD8"/>
    <w:multiLevelType w:val="hybridMultilevel"/>
    <w:tmpl w:val="A9F6B1E6"/>
    <w:lvl w:ilvl="0" w:tplc="BFACE2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0858D3"/>
    <w:multiLevelType w:val="hybridMultilevel"/>
    <w:tmpl w:val="42121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E170397"/>
    <w:multiLevelType w:val="hybridMultilevel"/>
    <w:tmpl w:val="2CCCF48A"/>
    <w:lvl w:ilvl="0" w:tplc="D09CA00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FC4847"/>
    <w:multiLevelType w:val="hybridMultilevel"/>
    <w:tmpl w:val="2AE271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06876A9"/>
    <w:multiLevelType w:val="hybridMultilevel"/>
    <w:tmpl w:val="EAFC8C44"/>
    <w:lvl w:ilvl="0" w:tplc="E0D025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9C12C3"/>
    <w:multiLevelType w:val="hybridMultilevel"/>
    <w:tmpl w:val="B0CE704C"/>
    <w:lvl w:ilvl="0" w:tplc="FFC6DE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F040E7"/>
    <w:multiLevelType w:val="hybridMultilevel"/>
    <w:tmpl w:val="E676DE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58D4A72"/>
    <w:multiLevelType w:val="hybridMultilevel"/>
    <w:tmpl w:val="B1A80C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CAB5653"/>
    <w:multiLevelType w:val="hybridMultilevel"/>
    <w:tmpl w:val="CBC01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DCB124A"/>
    <w:multiLevelType w:val="hybridMultilevel"/>
    <w:tmpl w:val="B63A507C"/>
    <w:lvl w:ilvl="0" w:tplc="33A0DC0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EDC7049"/>
    <w:multiLevelType w:val="hybridMultilevel"/>
    <w:tmpl w:val="B5A87894"/>
    <w:lvl w:ilvl="0" w:tplc="2864CBC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0211332"/>
    <w:multiLevelType w:val="hybridMultilevel"/>
    <w:tmpl w:val="41FE395E"/>
    <w:lvl w:ilvl="0" w:tplc="DE82B79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1E132A1"/>
    <w:multiLevelType w:val="hybridMultilevel"/>
    <w:tmpl w:val="B4BC1F16"/>
    <w:lvl w:ilvl="0" w:tplc="2864CBC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3EA4D7C"/>
    <w:multiLevelType w:val="hybridMultilevel"/>
    <w:tmpl w:val="A18278AC"/>
    <w:lvl w:ilvl="0" w:tplc="33A0DC0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B0A30F6"/>
    <w:multiLevelType w:val="hybridMultilevel"/>
    <w:tmpl w:val="D630A78C"/>
    <w:lvl w:ilvl="0" w:tplc="588C829A">
      <w:start w:val="1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924788"/>
    <w:multiLevelType w:val="hybridMultilevel"/>
    <w:tmpl w:val="CD18C394"/>
    <w:lvl w:ilvl="0" w:tplc="D09CA0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45507C"/>
    <w:multiLevelType w:val="hybridMultilevel"/>
    <w:tmpl w:val="A302EC54"/>
    <w:lvl w:ilvl="0" w:tplc="DE82B79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0CC20DF"/>
    <w:multiLevelType w:val="hybridMultilevel"/>
    <w:tmpl w:val="914EFE14"/>
    <w:lvl w:ilvl="0" w:tplc="D8D4BC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1E70B8D"/>
    <w:multiLevelType w:val="hybridMultilevel"/>
    <w:tmpl w:val="17429876"/>
    <w:lvl w:ilvl="0" w:tplc="5B149F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2AE525E"/>
    <w:multiLevelType w:val="hybridMultilevel"/>
    <w:tmpl w:val="B69275BA"/>
    <w:lvl w:ilvl="0" w:tplc="6004FA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3A837E4"/>
    <w:multiLevelType w:val="hybridMultilevel"/>
    <w:tmpl w:val="34FE6780"/>
    <w:lvl w:ilvl="0" w:tplc="ECC01D9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A392629"/>
    <w:multiLevelType w:val="hybridMultilevel"/>
    <w:tmpl w:val="C53622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0BA3629"/>
    <w:multiLevelType w:val="hybridMultilevel"/>
    <w:tmpl w:val="ADAE7D74"/>
    <w:lvl w:ilvl="0" w:tplc="B87013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285719A"/>
    <w:multiLevelType w:val="hybridMultilevel"/>
    <w:tmpl w:val="C13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2E5B18"/>
    <w:multiLevelType w:val="hybridMultilevel"/>
    <w:tmpl w:val="A34C048A"/>
    <w:lvl w:ilvl="0" w:tplc="01661F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AF83429"/>
    <w:multiLevelType w:val="hybridMultilevel"/>
    <w:tmpl w:val="47B2F6C8"/>
    <w:lvl w:ilvl="0" w:tplc="280010F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B8A0AB0"/>
    <w:multiLevelType w:val="hybridMultilevel"/>
    <w:tmpl w:val="84EA6A6A"/>
    <w:lvl w:ilvl="0" w:tplc="5F66455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08C2412"/>
    <w:multiLevelType w:val="hybridMultilevel"/>
    <w:tmpl w:val="3FC4CEE0"/>
    <w:lvl w:ilvl="0" w:tplc="BC9E98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1263E8A"/>
    <w:multiLevelType w:val="hybridMultilevel"/>
    <w:tmpl w:val="EF4E33AE"/>
    <w:lvl w:ilvl="0" w:tplc="FF38C1A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7CA7A53"/>
    <w:multiLevelType w:val="hybridMultilevel"/>
    <w:tmpl w:val="482AE23A"/>
    <w:lvl w:ilvl="0" w:tplc="937A4D2E">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AC547EB"/>
    <w:multiLevelType w:val="hybridMultilevel"/>
    <w:tmpl w:val="9CB8EC8E"/>
    <w:lvl w:ilvl="0" w:tplc="3D86B1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59A7368"/>
    <w:multiLevelType w:val="hybridMultilevel"/>
    <w:tmpl w:val="5712DA46"/>
    <w:lvl w:ilvl="0" w:tplc="CBC4D83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F0156E"/>
    <w:multiLevelType w:val="hybridMultilevel"/>
    <w:tmpl w:val="C7DA937E"/>
    <w:lvl w:ilvl="0" w:tplc="4ECAF2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D115853"/>
    <w:multiLevelType w:val="hybridMultilevel"/>
    <w:tmpl w:val="4EF0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7"/>
  </w:num>
  <w:num w:numId="4">
    <w:abstractNumId w:val="37"/>
  </w:num>
  <w:num w:numId="5">
    <w:abstractNumId w:val="42"/>
  </w:num>
  <w:num w:numId="6">
    <w:abstractNumId w:val="30"/>
  </w:num>
  <w:num w:numId="7">
    <w:abstractNumId w:val="17"/>
  </w:num>
  <w:num w:numId="8">
    <w:abstractNumId w:val="7"/>
  </w:num>
  <w:num w:numId="9">
    <w:abstractNumId w:val="20"/>
  </w:num>
  <w:num w:numId="10">
    <w:abstractNumId w:val="15"/>
  </w:num>
  <w:num w:numId="11">
    <w:abstractNumId w:val="41"/>
  </w:num>
  <w:num w:numId="12">
    <w:abstractNumId w:val="32"/>
  </w:num>
  <w:num w:numId="13">
    <w:abstractNumId w:val="28"/>
  </w:num>
  <w:num w:numId="14">
    <w:abstractNumId w:val="46"/>
  </w:num>
  <w:num w:numId="15">
    <w:abstractNumId w:val="36"/>
  </w:num>
  <w:num w:numId="16">
    <w:abstractNumId w:val="21"/>
  </w:num>
  <w:num w:numId="17">
    <w:abstractNumId w:val="2"/>
  </w:num>
  <w:num w:numId="18">
    <w:abstractNumId w:val="19"/>
  </w:num>
  <w:num w:numId="19">
    <w:abstractNumId w:val="26"/>
  </w:num>
  <w:num w:numId="20">
    <w:abstractNumId w:val="23"/>
  </w:num>
  <w:num w:numId="21">
    <w:abstractNumId w:val="11"/>
  </w:num>
  <w:num w:numId="22">
    <w:abstractNumId w:val="25"/>
  </w:num>
  <w:num w:numId="23">
    <w:abstractNumId w:val="22"/>
  </w:num>
  <w:num w:numId="24">
    <w:abstractNumId w:val="1"/>
  </w:num>
  <w:num w:numId="25">
    <w:abstractNumId w:val="33"/>
  </w:num>
  <w:num w:numId="26">
    <w:abstractNumId w:val="35"/>
  </w:num>
  <w:num w:numId="27">
    <w:abstractNumId w:val="44"/>
  </w:num>
  <w:num w:numId="28">
    <w:abstractNumId w:val="9"/>
  </w:num>
  <w:num w:numId="29">
    <w:abstractNumId w:val="8"/>
  </w:num>
  <w:num w:numId="30">
    <w:abstractNumId w:val="18"/>
  </w:num>
  <w:num w:numId="31">
    <w:abstractNumId w:val="13"/>
  </w:num>
  <w:num w:numId="32">
    <w:abstractNumId w:val="40"/>
  </w:num>
  <w:num w:numId="33">
    <w:abstractNumId w:val="34"/>
  </w:num>
  <w:num w:numId="34">
    <w:abstractNumId w:val="38"/>
  </w:num>
  <w:num w:numId="35">
    <w:abstractNumId w:val="31"/>
  </w:num>
  <w:num w:numId="36">
    <w:abstractNumId w:val="14"/>
  </w:num>
  <w:num w:numId="37">
    <w:abstractNumId w:val="12"/>
  </w:num>
  <w:num w:numId="38">
    <w:abstractNumId w:val="16"/>
  </w:num>
  <w:num w:numId="39">
    <w:abstractNumId w:val="39"/>
  </w:num>
  <w:num w:numId="40">
    <w:abstractNumId w:val="29"/>
  </w:num>
  <w:num w:numId="41">
    <w:abstractNumId w:val="10"/>
  </w:num>
  <w:num w:numId="42">
    <w:abstractNumId w:val="45"/>
  </w:num>
  <w:num w:numId="43">
    <w:abstractNumId w:val="6"/>
  </w:num>
  <w:num w:numId="44">
    <w:abstractNumId w:val="5"/>
  </w:num>
  <w:num w:numId="45">
    <w:abstractNumId w:val="24"/>
  </w:num>
  <w:num w:numId="46">
    <w:abstractNumId w:val="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5D"/>
    <w:rsid w:val="00007A92"/>
    <w:rsid w:val="00020502"/>
    <w:rsid w:val="00035770"/>
    <w:rsid w:val="000D634D"/>
    <w:rsid w:val="000E4227"/>
    <w:rsid w:val="000F5BC7"/>
    <w:rsid w:val="00113CF4"/>
    <w:rsid w:val="001251E8"/>
    <w:rsid w:val="001D0A9C"/>
    <w:rsid w:val="001E5D43"/>
    <w:rsid w:val="00224EEF"/>
    <w:rsid w:val="002275A1"/>
    <w:rsid w:val="0023188F"/>
    <w:rsid w:val="00231F32"/>
    <w:rsid w:val="00241560"/>
    <w:rsid w:val="002901FA"/>
    <w:rsid w:val="002B3085"/>
    <w:rsid w:val="002C5EDC"/>
    <w:rsid w:val="002F1A96"/>
    <w:rsid w:val="003517A7"/>
    <w:rsid w:val="00357DC4"/>
    <w:rsid w:val="00377C4B"/>
    <w:rsid w:val="003B5B5D"/>
    <w:rsid w:val="003E0617"/>
    <w:rsid w:val="003E307D"/>
    <w:rsid w:val="00456860"/>
    <w:rsid w:val="004623E2"/>
    <w:rsid w:val="004E062C"/>
    <w:rsid w:val="00504A3B"/>
    <w:rsid w:val="0052658C"/>
    <w:rsid w:val="005759EE"/>
    <w:rsid w:val="005D78E1"/>
    <w:rsid w:val="006058AB"/>
    <w:rsid w:val="00627CD5"/>
    <w:rsid w:val="00640BDB"/>
    <w:rsid w:val="006A5AC6"/>
    <w:rsid w:val="006C79CB"/>
    <w:rsid w:val="006E05A9"/>
    <w:rsid w:val="006E34EB"/>
    <w:rsid w:val="0076748B"/>
    <w:rsid w:val="0077507B"/>
    <w:rsid w:val="0079702A"/>
    <w:rsid w:val="007F24D0"/>
    <w:rsid w:val="008563A8"/>
    <w:rsid w:val="008A4AB2"/>
    <w:rsid w:val="008D04BF"/>
    <w:rsid w:val="00900169"/>
    <w:rsid w:val="00955A29"/>
    <w:rsid w:val="00960A0E"/>
    <w:rsid w:val="009942E5"/>
    <w:rsid w:val="009A1930"/>
    <w:rsid w:val="00A00A44"/>
    <w:rsid w:val="00A2033A"/>
    <w:rsid w:val="00A21260"/>
    <w:rsid w:val="00AD2382"/>
    <w:rsid w:val="00B240FB"/>
    <w:rsid w:val="00BD2829"/>
    <w:rsid w:val="00BD6EB1"/>
    <w:rsid w:val="00C03DD6"/>
    <w:rsid w:val="00C16376"/>
    <w:rsid w:val="00C42590"/>
    <w:rsid w:val="00C42672"/>
    <w:rsid w:val="00C44D1B"/>
    <w:rsid w:val="00CB0492"/>
    <w:rsid w:val="00CB28A0"/>
    <w:rsid w:val="00CC4377"/>
    <w:rsid w:val="00CE3674"/>
    <w:rsid w:val="00D21ACD"/>
    <w:rsid w:val="00D71EAC"/>
    <w:rsid w:val="00D85DB7"/>
    <w:rsid w:val="00DC3C27"/>
    <w:rsid w:val="00E348B8"/>
    <w:rsid w:val="00E43386"/>
    <w:rsid w:val="00E839FE"/>
    <w:rsid w:val="00EB197C"/>
    <w:rsid w:val="00ED42FE"/>
    <w:rsid w:val="00EE3652"/>
    <w:rsid w:val="00F12C62"/>
    <w:rsid w:val="00F31E17"/>
    <w:rsid w:val="00F52D53"/>
    <w:rsid w:val="00FA36A2"/>
    <w:rsid w:val="00FC3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B5B5D"/>
    <w:pPr>
      <w:keepNext/>
      <w:numPr>
        <w:numId w:val="1"/>
      </w:numPr>
      <w:suppressAutoHyphens/>
      <w:spacing w:after="0" w:line="240" w:lineRule="auto"/>
      <w:outlineLvl w:val="0"/>
    </w:pPr>
    <w:rPr>
      <w:rFonts w:ascii="Times New Roman" w:eastAsia="Times New Roman" w:hAnsi="Times New Roman" w:cs="Times New Roman"/>
      <w:b/>
      <w:bCs/>
      <w:sz w:val="32"/>
      <w:szCs w:val="24"/>
      <w:lang w:eastAsia="he-IL" w:bidi="he-IL"/>
    </w:rPr>
  </w:style>
  <w:style w:type="paragraph" w:styleId="Titre2">
    <w:name w:val="heading 2"/>
    <w:basedOn w:val="Normal"/>
    <w:next w:val="Normal"/>
    <w:link w:val="Titre2Car"/>
    <w:qFormat/>
    <w:rsid w:val="003B5B5D"/>
    <w:pPr>
      <w:keepNext/>
      <w:numPr>
        <w:ilvl w:val="1"/>
        <w:numId w:val="1"/>
      </w:numPr>
      <w:suppressAutoHyphens/>
      <w:spacing w:after="0" w:line="240" w:lineRule="auto"/>
      <w:outlineLvl w:val="1"/>
    </w:pPr>
    <w:rPr>
      <w:rFonts w:ascii="Times New Roman" w:eastAsia="Times New Roman" w:hAnsi="Times New Roman" w:cs="Times New Roman"/>
      <w:b/>
      <w:bCs/>
      <w:sz w:val="24"/>
      <w:szCs w:val="24"/>
      <w:lang w:eastAsia="he-IL" w:bidi="he-IL"/>
    </w:rPr>
  </w:style>
  <w:style w:type="paragraph" w:styleId="Titre3">
    <w:name w:val="heading 3"/>
    <w:basedOn w:val="Normal"/>
    <w:next w:val="Normal"/>
    <w:link w:val="Titre3Car"/>
    <w:qFormat/>
    <w:rsid w:val="003B5B5D"/>
    <w:pPr>
      <w:keepNext/>
      <w:numPr>
        <w:ilvl w:val="2"/>
        <w:numId w:val="1"/>
      </w:numPr>
      <w:suppressAutoHyphens/>
      <w:spacing w:after="0" w:line="240" w:lineRule="auto"/>
      <w:jc w:val="both"/>
      <w:outlineLvl w:val="2"/>
    </w:pPr>
    <w:rPr>
      <w:rFonts w:ascii="Times New Roman" w:eastAsia="Times New Roman" w:hAnsi="Times New Roman" w:cs="Times New Roman"/>
      <w:b/>
      <w:bCs/>
      <w:sz w:val="24"/>
      <w:szCs w:val="24"/>
      <w:lang w:eastAsia="he-IL" w:bidi="he-IL"/>
    </w:rPr>
  </w:style>
  <w:style w:type="paragraph" w:styleId="Titre4">
    <w:name w:val="heading 4"/>
    <w:basedOn w:val="Normal"/>
    <w:next w:val="Normal"/>
    <w:link w:val="Titre4Car"/>
    <w:qFormat/>
    <w:rsid w:val="003B5B5D"/>
    <w:pPr>
      <w:keepNext/>
      <w:numPr>
        <w:ilvl w:val="3"/>
        <w:numId w:val="1"/>
      </w:numPr>
      <w:suppressAutoHyphens/>
      <w:spacing w:after="0" w:line="240" w:lineRule="auto"/>
      <w:jc w:val="both"/>
      <w:outlineLvl w:val="3"/>
    </w:pPr>
    <w:rPr>
      <w:rFonts w:ascii="Times New Roman" w:eastAsia="Times New Roman" w:hAnsi="Times New Roman" w:cs="Times New Roman"/>
      <w:b/>
      <w:bCs/>
      <w:sz w:val="28"/>
      <w:szCs w:val="24"/>
      <w:lang w:eastAsia="he-IL" w:bidi="he-IL"/>
    </w:rPr>
  </w:style>
  <w:style w:type="paragraph" w:styleId="Titre5">
    <w:name w:val="heading 5"/>
    <w:basedOn w:val="Normal"/>
    <w:next w:val="Normal"/>
    <w:link w:val="Titre5Car"/>
    <w:qFormat/>
    <w:rsid w:val="003B5B5D"/>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5B5D"/>
    <w:rPr>
      <w:rFonts w:ascii="Times New Roman" w:eastAsia="Times New Roman" w:hAnsi="Times New Roman" w:cs="Times New Roman"/>
      <w:b/>
      <w:bCs/>
      <w:sz w:val="32"/>
      <w:szCs w:val="24"/>
      <w:lang w:eastAsia="he-IL" w:bidi="he-IL"/>
    </w:rPr>
  </w:style>
  <w:style w:type="character" w:customStyle="1" w:styleId="Titre2Car">
    <w:name w:val="Titre 2 Car"/>
    <w:basedOn w:val="Policepardfaut"/>
    <w:link w:val="Titre2"/>
    <w:rsid w:val="003B5B5D"/>
    <w:rPr>
      <w:rFonts w:ascii="Times New Roman" w:eastAsia="Times New Roman" w:hAnsi="Times New Roman" w:cs="Times New Roman"/>
      <w:b/>
      <w:bCs/>
      <w:sz w:val="24"/>
      <w:szCs w:val="24"/>
      <w:lang w:eastAsia="he-IL" w:bidi="he-IL"/>
    </w:rPr>
  </w:style>
  <w:style w:type="character" w:customStyle="1" w:styleId="Titre3Car">
    <w:name w:val="Titre 3 Car"/>
    <w:basedOn w:val="Policepardfaut"/>
    <w:link w:val="Titre3"/>
    <w:rsid w:val="003B5B5D"/>
    <w:rPr>
      <w:rFonts w:ascii="Times New Roman" w:eastAsia="Times New Roman" w:hAnsi="Times New Roman" w:cs="Times New Roman"/>
      <w:b/>
      <w:bCs/>
      <w:sz w:val="24"/>
      <w:szCs w:val="24"/>
      <w:lang w:eastAsia="he-IL" w:bidi="he-IL"/>
    </w:rPr>
  </w:style>
  <w:style w:type="character" w:customStyle="1" w:styleId="Titre4Car">
    <w:name w:val="Titre 4 Car"/>
    <w:basedOn w:val="Policepardfaut"/>
    <w:link w:val="Titre4"/>
    <w:rsid w:val="003B5B5D"/>
    <w:rPr>
      <w:rFonts w:ascii="Times New Roman" w:eastAsia="Times New Roman" w:hAnsi="Times New Roman" w:cs="Times New Roman"/>
      <w:b/>
      <w:bCs/>
      <w:sz w:val="28"/>
      <w:szCs w:val="24"/>
      <w:lang w:eastAsia="he-IL" w:bidi="he-IL"/>
    </w:rPr>
  </w:style>
  <w:style w:type="character" w:customStyle="1" w:styleId="Titre5Car">
    <w:name w:val="Titre 5 Car"/>
    <w:basedOn w:val="Policepardfaut"/>
    <w:link w:val="Titre5"/>
    <w:rsid w:val="003B5B5D"/>
    <w:rPr>
      <w:rFonts w:ascii="Times New Roman" w:eastAsia="Times New Roman" w:hAnsi="Times New Roman" w:cs="Times New Roman"/>
      <w:b/>
      <w:bCs/>
      <w:i/>
      <w:iCs/>
      <w:sz w:val="26"/>
      <w:szCs w:val="26"/>
      <w:lang w:eastAsia="ar-SA"/>
    </w:rPr>
  </w:style>
  <w:style w:type="numbering" w:customStyle="1" w:styleId="Aucuneliste1">
    <w:name w:val="Aucune liste1"/>
    <w:next w:val="Aucuneliste"/>
    <w:uiPriority w:val="99"/>
    <w:semiHidden/>
    <w:unhideWhenUsed/>
    <w:rsid w:val="003B5B5D"/>
  </w:style>
  <w:style w:type="character" w:customStyle="1" w:styleId="WW8Num2z0">
    <w:name w:val="WW8Num2z0"/>
    <w:rsid w:val="003B5B5D"/>
    <w:rPr>
      <w:rFonts w:ascii="Symbol" w:hAnsi="Symbol"/>
    </w:rPr>
  </w:style>
  <w:style w:type="character" w:customStyle="1" w:styleId="WW8Num4z0">
    <w:name w:val="WW8Num4z0"/>
    <w:rsid w:val="003B5B5D"/>
    <w:rPr>
      <w:rFonts w:ascii="Symbol" w:hAnsi="Symbol"/>
    </w:rPr>
  </w:style>
  <w:style w:type="character" w:customStyle="1" w:styleId="WW8Num5z0">
    <w:name w:val="WW8Num5z0"/>
    <w:rsid w:val="003B5B5D"/>
    <w:rPr>
      <w:rFonts w:ascii="Symbol" w:hAnsi="Symbol"/>
    </w:rPr>
  </w:style>
  <w:style w:type="character" w:customStyle="1" w:styleId="WW8Num6z1">
    <w:name w:val="WW8Num6z1"/>
    <w:rsid w:val="003B5B5D"/>
    <w:rPr>
      <w:rFonts w:ascii="Symbol" w:hAnsi="Symbol"/>
    </w:rPr>
  </w:style>
  <w:style w:type="character" w:customStyle="1" w:styleId="WW8Num9z0">
    <w:name w:val="WW8Num9z0"/>
    <w:rsid w:val="003B5B5D"/>
    <w:rPr>
      <w:rFonts w:ascii="Symbol" w:hAnsi="Symbol"/>
    </w:rPr>
  </w:style>
  <w:style w:type="character" w:customStyle="1" w:styleId="WW8Num13z0">
    <w:name w:val="WW8Num13z0"/>
    <w:rsid w:val="003B5B5D"/>
    <w:rPr>
      <w:rFonts w:ascii="Symbol" w:hAnsi="Symbol"/>
    </w:rPr>
  </w:style>
  <w:style w:type="character" w:customStyle="1" w:styleId="WW8Num15z0">
    <w:name w:val="WW8Num15z0"/>
    <w:rsid w:val="003B5B5D"/>
    <w:rPr>
      <w:rFonts w:ascii="Symbol" w:hAnsi="Symbol"/>
    </w:rPr>
  </w:style>
  <w:style w:type="character" w:customStyle="1" w:styleId="WW8Num17z0">
    <w:name w:val="WW8Num17z0"/>
    <w:rsid w:val="003B5B5D"/>
    <w:rPr>
      <w:rFonts w:ascii="Symbol" w:hAnsi="Symbol"/>
    </w:rPr>
  </w:style>
  <w:style w:type="character" w:customStyle="1" w:styleId="WW8Num17z1">
    <w:name w:val="WW8Num17z1"/>
    <w:rsid w:val="003B5B5D"/>
    <w:rPr>
      <w:rFonts w:ascii="Courier New" w:hAnsi="Courier New" w:cs="Courier New"/>
    </w:rPr>
  </w:style>
  <w:style w:type="character" w:customStyle="1" w:styleId="WW8Num17z2">
    <w:name w:val="WW8Num17z2"/>
    <w:rsid w:val="003B5B5D"/>
    <w:rPr>
      <w:rFonts w:ascii="Wingdings" w:hAnsi="Wingdings"/>
    </w:rPr>
  </w:style>
  <w:style w:type="character" w:customStyle="1" w:styleId="WW8Num19z0">
    <w:name w:val="WW8Num19z0"/>
    <w:rsid w:val="003B5B5D"/>
    <w:rPr>
      <w:rFonts w:ascii="Symbol" w:hAnsi="Symbol"/>
    </w:rPr>
  </w:style>
  <w:style w:type="character" w:customStyle="1" w:styleId="WW8Num19z1">
    <w:name w:val="WW8Num19z1"/>
    <w:rsid w:val="003B5B5D"/>
    <w:rPr>
      <w:rFonts w:ascii="Courier New" w:hAnsi="Courier New" w:cs="Courier New"/>
    </w:rPr>
  </w:style>
  <w:style w:type="character" w:customStyle="1" w:styleId="WW8Num19z2">
    <w:name w:val="WW8Num19z2"/>
    <w:rsid w:val="003B5B5D"/>
    <w:rPr>
      <w:rFonts w:ascii="Wingdings" w:hAnsi="Wingdings"/>
    </w:rPr>
  </w:style>
  <w:style w:type="character" w:customStyle="1" w:styleId="WW8Num20z0">
    <w:name w:val="WW8Num20z0"/>
    <w:rsid w:val="003B5B5D"/>
    <w:rPr>
      <w:rFonts w:ascii="Symbol" w:hAnsi="Symbol"/>
    </w:rPr>
  </w:style>
  <w:style w:type="character" w:customStyle="1" w:styleId="WW8Num20z1">
    <w:name w:val="WW8Num20z1"/>
    <w:rsid w:val="003B5B5D"/>
    <w:rPr>
      <w:rFonts w:ascii="Courier New" w:hAnsi="Courier New" w:cs="Courier New"/>
    </w:rPr>
  </w:style>
  <w:style w:type="character" w:customStyle="1" w:styleId="WW8Num20z2">
    <w:name w:val="WW8Num20z2"/>
    <w:rsid w:val="003B5B5D"/>
    <w:rPr>
      <w:rFonts w:ascii="Wingdings" w:hAnsi="Wingdings"/>
    </w:rPr>
  </w:style>
  <w:style w:type="character" w:customStyle="1" w:styleId="WW8Num21z0">
    <w:name w:val="WW8Num21z0"/>
    <w:rsid w:val="003B5B5D"/>
    <w:rPr>
      <w:rFonts w:ascii="Symbol" w:hAnsi="Symbol"/>
    </w:rPr>
  </w:style>
  <w:style w:type="character" w:customStyle="1" w:styleId="WW8Num21z1">
    <w:name w:val="WW8Num21z1"/>
    <w:rsid w:val="003B5B5D"/>
    <w:rPr>
      <w:rFonts w:ascii="Courier New" w:hAnsi="Courier New" w:cs="Courier New"/>
    </w:rPr>
  </w:style>
  <w:style w:type="character" w:customStyle="1" w:styleId="WW8Num21z2">
    <w:name w:val="WW8Num21z2"/>
    <w:rsid w:val="003B5B5D"/>
    <w:rPr>
      <w:rFonts w:ascii="Wingdings" w:hAnsi="Wingdings"/>
    </w:rPr>
  </w:style>
  <w:style w:type="character" w:customStyle="1" w:styleId="WW8Num22z0">
    <w:name w:val="WW8Num22z0"/>
    <w:rsid w:val="003B5B5D"/>
    <w:rPr>
      <w:rFonts w:ascii="Symbol" w:hAnsi="Symbol"/>
    </w:rPr>
  </w:style>
  <w:style w:type="character" w:customStyle="1" w:styleId="WW8Num22z1">
    <w:name w:val="WW8Num22z1"/>
    <w:rsid w:val="003B5B5D"/>
    <w:rPr>
      <w:rFonts w:ascii="Courier New" w:hAnsi="Courier New" w:cs="Courier New"/>
    </w:rPr>
  </w:style>
  <w:style w:type="character" w:customStyle="1" w:styleId="WW8Num22z2">
    <w:name w:val="WW8Num22z2"/>
    <w:rsid w:val="003B5B5D"/>
    <w:rPr>
      <w:rFonts w:ascii="Wingdings" w:hAnsi="Wingdings"/>
    </w:rPr>
  </w:style>
  <w:style w:type="character" w:customStyle="1" w:styleId="WW8Num23z0">
    <w:name w:val="WW8Num23z0"/>
    <w:rsid w:val="003B5B5D"/>
    <w:rPr>
      <w:rFonts w:ascii="Symbol" w:hAnsi="Symbol"/>
    </w:rPr>
  </w:style>
  <w:style w:type="character" w:customStyle="1" w:styleId="WW8Num23z1">
    <w:name w:val="WW8Num23z1"/>
    <w:rsid w:val="003B5B5D"/>
    <w:rPr>
      <w:rFonts w:ascii="Courier New" w:hAnsi="Courier New" w:cs="Courier New"/>
    </w:rPr>
  </w:style>
  <w:style w:type="character" w:customStyle="1" w:styleId="WW8Num23z2">
    <w:name w:val="WW8Num23z2"/>
    <w:rsid w:val="003B5B5D"/>
    <w:rPr>
      <w:rFonts w:ascii="Wingdings" w:hAnsi="Wingdings"/>
    </w:rPr>
  </w:style>
  <w:style w:type="character" w:customStyle="1" w:styleId="WW8Num24z0">
    <w:name w:val="WW8Num24z0"/>
    <w:rsid w:val="003B5B5D"/>
    <w:rPr>
      <w:rFonts w:ascii="Symbol" w:hAnsi="Symbol"/>
      <w:sz w:val="20"/>
    </w:rPr>
  </w:style>
  <w:style w:type="character" w:customStyle="1" w:styleId="WW8Num24z2">
    <w:name w:val="WW8Num24z2"/>
    <w:rsid w:val="003B5B5D"/>
    <w:rPr>
      <w:rFonts w:ascii="Wingdings" w:hAnsi="Wingdings"/>
      <w:sz w:val="20"/>
    </w:rPr>
  </w:style>
  <w:style w:type="character" w:customStyle="1" w:styleId="Policepardfaut2">
    <w:name w:val="Police par défaut2"/>
    <w:rsid w:val="003B5B5D"/>
  </w:style>
  <w:style w:type="character" w:customStyle="1" w:styleId="WW8Num1z0">
    <w:name w:val="WW8Num1z0"/>
    <w:rsid w:val="003B5B5D"/>
    <w:rPr>
      <w:rFonts w:ascii="Symbol" w:hAnsi="Symbol"/>
    </w:rPr>
  </w:style>
  <w:style w:type="character" w:customStyle="1" w:styleId="WW8Num1z1">
    <w:name w:val="WW8Num1z1"/>
    <w:rsid w:val="003B5B5D"/>
    <w:rPr>
      <w:rFonts w:ascii="Courier New" w:hAnsi="Courier New" w:cs="Courier New"/>
    </w:rPr>
  </w:style>
  <w:style w:type="character" w:customStyle="1" w:styleId="WW8Num1z2">
    <w:name w:val="WW8Num1z2"/>
    <w:rsid w:val="003B5B5D"/>
    <w:rPr>
      <w:rFonts w:ascii="Wingdings" w:hAnsi="Wingdings"/>
    </w:rPr>
  </w:style>
  <w:style w:type="character" w:customStyle="1" w:styleId="WW8Num4z1">
    <w:name w:val="WW8Num4z1"/>
    <w:rsid w:val="003B5B5D"/>
    <w:rPr>
      <w:rFonts w:ascii="Courier New" w:hAnsi="Courier New" w:cs="Courier New"/>
    </w:rPr>
  </w:style>
  <w:style w:type="character" w:customStyle="1" w:styleId="WW8Num4z2">
    <w:name w:val="WW8Num4z2"/>
    <w:rsid w:val="003B5B5D"/>
    <w:rPr>
      <w:rFonts w:ascii="Wingdings" w:hAnsi="Wingdings"/>
    </w:rPr>
  </w:style>
  <w:style w:type="character" w:customStyle="1" w:styleId="WW8Num5z1">
    <w:name w:val="WW8Num5z1"/>
    <w:rsid w:val="003B5B5D"/>
    <w:rPr>
      <w:rFonts w:ascii="Courier New" w:hAnsi="Courier New" w:cs="Courier New"/>
    </w:rPr>
  </w:style>
  <w:style w:type="character" w:customStyle="1" w:styleId="WW8Num5z2">
    <w:name w:val="WW8Num5z2"/>
    <w:rsid w:val="003B5B5D"/>
    <w:rPr>
      <w:rFonts w:ascii="Wingdings" w:hAnsi="Wingdings"/>
    </w:rPr>
  </w:style>
  <w:style w:type="character" w:customStyle="1" w:styleId="WW8Num7z0">
    <w:name w:val="WW8Num7z0"/>
    <w:rsid w:val="003B5B5D"/>
    <w:rPr>
      <w:rFonts w:ascii="Symbol" w:hAnsi="Symbol"/>
    </w:rPr>
  </w:style>
  <w:style w:type="character" w:customStyle="1" w:styleId="WW8Num7z1">
    <w:name w:val="WW8Num7z1"/>
    <w:rsid w:val="003B5B5D"/>
    <w:rPr>
      <w:rFonts w:ascii="Courier New" w:hAnsi="Courier New" w:cs="Courier New"/>
    </w:rPr>
  </w:style>
  <w:style w:type="character" w:customStyle="1" w:styleId="WW8Num7z2">
    <w:name w:val="WW8Num7z2"/>
    <w:rsid w:val="003B5B5D"/>
    <w:rPr>
      <w:rFonts w:ascii="Wingdings" w:hAnsi="Wingdings"/>
    </w:rPr>
  </w:style>
  <w:style w:type="character" w:customStyle="1" w:styleId="WW8Num8z0">
    <w:name w:val="WW8Num8z0"/>
    <w:rsid w:val="003B5B5D"/>
    <w:rPr>
      <w:rFonts w:ascii="Symbol" w:hAnsi="Symbol"/>
    </w:rPr>
  </w:style>
  <w:style w:type="character" w:customStyle="1" w:styleId="WW8Num8z1">
    <w:name w:val="WW8Num8z1"/>
    <w:rsid w:val="003B5B5D"/>
    <w:rPr>
      <w:rFonts w:ascii="Courier New" w:hAnsi="Courier New" w:cs="Courier New"/>
    </w:rPr>
  </w:style>
  <w:style w:type="character" w:customStyle="1" w:styleId="WW8Num8z2">
    <w:name w:val="WW8Num8z2"/>
    <w:rsid w:val="003B5B5D"/>
    <w:rPr>
      <w:rFonts w:ascii="Wingdings" w:hAnsi="Wingdings"/>
    </w:rPr>
  </w:style>
  <w:style w:type="character" w:customStyle="1" w:styleId="WW8Num9z1">
    <w:name w:val="WW8Num9z1"/>
    <w:rsid w:val="003B5B5D"/>
    <w:rPr>
      <w:rFonts w:ascii="Courier New" w:hAnsi="Courier New" w:cs="Courier New"/>
    </w:rPr>
  </w:style>
  <w:style w:type="character" w:customStyle="1" w:styleId="WW8Num9z2">
    <w:name w:val="WW8Num9z2"/>
    <w:rsid w:val="003B5B5D"/>
    <w:rPr>
      <w:rFonts w:ascii="Wingdings" w:hAnsi="Wingdings"/>
    </w:rPr>
  </w:style>
  <w:style w:type="character" w:customStyle="1" w:styleId="WW8Num11z1">
    <w:name w:val="WW8Num11z1"/>
    <w:rsid w:val="003B5B5D"/>
    <w:rPr>
      <w:rFonts w:ascii="Symbol" w:hAnsi="Symbol"/>
    </w:rPr>
  </w:style>
  <w:style w:type="character" w:customStyle="1" w:styleId="WW8Num14z0">
    <w:name w:val="WW8Num14z0"/>
    <w:rsid w:val="003B5B5D"/>
    <w:rPr>
      <w:rFonts w:ascii="Symbol" w:hAnsi="Symbol"/>
    </w:rPr>
  </w:style>
  <w:style w:type="character" w:customStyle="1" w:styleId="WW8Num14z1">
    <w:name w:val="WW8Num14z1"/>
    <w:rsid w:val="003B5B5D"/>
    <w:rPr>
      <w:rFonts w:ascii="Courier New" w:hAnsi="Courier New" w:cs="Courier New"/>
    </w:rPr>
  </w:style>
  <w:style w:type="character" w:customStyle="1" w:styleId="WW8Num14z2">
    <w:name w:val="WW8Num14z2"/>
    <w:rsid w:val="003B5B5D"/>
    <w:rPr>
      <w:rFonts w:ascii="Wingdings" w:hAnsi="Wingdings"/>
    </w:rPr>
  </w:style>
  <w:style w:type="character" w:customStyle="1" w:styleId="WW8Num15z1">
    <w:name w:val="WW8Num15z1"/>
    <w:rsid w:val="003B5B5D"/>
    <w:rPr>
      <w:rFonts w:ascii="Courier New" w:hAnsi="Courier New" w:cs="Courier New"/>
    </w:rPr>
  </w:style>
  <w:style w:type="character" w:customStyle="1" w:styleId="WW8Num15z2">
    <w:name w:val="WW8Num15z2"/>
    <w:rsid w:val="003B5B5D"/>
    <w:rPr>
      <w:rFonts w:ascii="Wingdings" w:hAnsi="Wingdings"/>
    </w:rPr>
  </w:style>
  <w:style w:type="character" w:customStyle="1" w:styleId="Policepardfaut1">
    <w:name w:val="Police par défaut1"/>
    <w:rsid w:val="003B5B5D"/>
  </w:style>
  <w:style w:type="character" w:styleId="Lienhypertexte">
    <w:name w:val="Hyperlink"/>
    <w:uiPriority w:val="99"/>
    <w:rsid w:val="003B5B5D"/>
    <w:rPr>
      <w:color w:val="0000FF"/>
      <w:u w:val="single"/>
    </w:rPr>
  </w:style>
  <w:style w:type="character" w:customStyle="1" w:styleId="Caractresdenotedebasdepage">
    <w:name w:val="Caractères de note de bas de page"/>
    <w:rsid w:val="003B5B5D"/>
    <w:rPr>
      <w:vertAlign w:val="superscript"/>
    </w:rPr>
  </w:style>
  <w:style w:type="character" w:styleId="Accentuation">
    <w:name w:val="Emphasis"/>
    <w:uiPriority w:val="20"/>
    <w:qFormat/>
    <w:rsid w:val="003B5B5D"/>
    <w:rPr>
      <w:i/>
      <w:iCs/>
    </w:rPr>
  </w:style>
  <w:style w:type="character" w:styleId="Numrodepage">
    <w:name w:val="page number"/>
    <w:basedOn w:val="Policepardfaut1"/>
    <w:rsid w:val="003B5B5D"/>
  </w:style>
  <w:style w:type="character" w:customStyle="1" w:styleId="bold">
    <w:name w:val="bold"/>
    <w:basedOn w:val="Policepardfaut1"/>
    <w:rsid w:val="003B5B5D"/>
  </w:style>
  <w:style w:type="character" w:customStyle="1" w:styleId="Appelnotedebasdep1">
    <w:name w:val="Appel note de bas de p.1"/>
    <w:rsid w:val="003B5B5D"/>
    <w:rPr>
      <w:vertAlign w:val="superscript"/>
    </w:rPr>
  </w:style>
  <w:style w:type="character" w:customStyle="1" w:styleId="Caractresdenotedefin">
    <w:name w:val="Caractères de note de fin"/>
    <w:rsid w:val="003B5B5D"/>
    <w:rPr>
      <w:vertAlign w:val="superscript"/>
    </w:rPr>
  </w:style>
  <w:style w:type="character" w:customStyle="1" w:styleId="WW-Caractresdenotedefin">
    <w:name w:val="WW-Caractères de note de fin"/>
    <w:rsid w:val="003B5B5D"/>
  </w:style>
  <w:style w:type="character" w:customStyle="1" w:styleId="NotedebasdepageCar">
    <w:name w:val="Note de bas de page Car"/>
    <w:uiPriority w:val="99"/>
    <w:rsid w:val="003B5B5D"/>
  </w:style>
  <w:style w:type="character" w:styleId="Lienhypertextesuivivisit">
    <w:name w:val="FollowedHyperlink"/>
    <w:rsid w:val="003B5B5D"/>
    <w:rPr>
      <w:color w:val="800080"/>
      <w:u w:val="single"/>
    </w:rPr>
  </w:style>
  <w:style w:type="character" w:styleId="Appelnotedebasdep">
    <w:name w:val="footnote reference"/>
    <w:uiPriority w:val="99"/>
    <w:rsid w:val="003B5B5D"/>
    <w:rPr>
      <w:vertAlign w:val="superscript"/>
    </w:rPr>
  </w:style>
  <w:style w:type="character" w:customStyle="1" w:styleId="Caractresdenumrotation">
    <w:name w:val="Caractères de numérotation"/>
    <w:rsid w:val="003B5B5D"/>
  </w:style>
  <w:style w:type="character" w:styleId="Appeldenotedefin">
    <w:name w:val="endnote reference"/>
    <w:rsid w:val="003B5B5D"/>
    <w:rPr>
      <w:vertAlign w:val="superscript"/>
    </w:rPr>
  </w:style>
  <w:style w:type="paragraph" w:customStyle="1" w:styleId="Titre20">
    <w:name w:val="Titre2"/>
    <w:basedOn w:val="Normal"/>
    <w:next w:val="Corpsdetexte"/>
    <w:rsid w:val="003B5B5D"/>
    <w:pPr>
      <w:keepNext/>
      <w:suppressAutoHyphens/>
      <w:spacing w:before="240" w:after="120" w:line="240" w:lineRule="auto"/>
    </w:pPr>
    <w:rPr>
      <w:rFonts w:ascii="Arial" w:eastAsia="SimSun" w:hAnsi="Arial" w:cs="Mangal"/>
      <w:sz w:val="28"/>
      <w:szCs w:val="28"/>
      <w:lang w:eastAsia="ar-SA"/>
    </w:rPr>
  </w:style>
  <w:style w:type="paragraph" w:styleId="Corpsdetexte">
    <w:name w:val="Body Text"/>
    <w:basedOn w:val="Normal"/>
    <w:link w:val="CorpsdetexteCar"/>
    <w:rsid w:val="003B5B5D"/>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3B5B5D"/>
    <w:rPr>
      <w:rFonts w:ascii="Times New Roman" w:eastAsia="Times New Roman" w:hAnsi="Times New Roman" w:cs="Times New Roman"/>
      <w:sz w:val="24"/>
      <w:szCs w:val="24"/>
      <w:lang w:eastAsia="ar-SA"/>
    </w:rPr>
  </w:style>
  <w:style w:type="paragraph" w:styleId="Liste">
    <w:name w:val="List"/>
    <w:basedOn w:val="Corpsdetexte"/>
    <w:rsid w:val="003B5B5D"/>
    <w:rPr>
      <w:rFonts w:cs="Mangal"/>
    </w:rPr>
  </w:style>
  <w:style w:type="paragraph" w:customStyle="1" w:styleId="Lgende2">
    <w:name w:val="Légende2"/>
    <w:basedOn w:val="Normal"/>
    <w:rsid w:val="003B5B5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3B5B5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itre10">
    <w:name w:val="Titre1"/>
    <w:basedOn w:val="Normal"/>
    <w:next w:val="Corpsdetexte"/>
    <w:rsid w:val="003B5B5D"/>
    <w:pPr>
      <w:keepNext/>
      <w:suppressAutoHyphens/>
      <w:spacing w:before="240" w:after="120" w:line="240" w:lineRule="auto"/>
    </w:pPr>
    <w:rPr>
      <w:rFonts w:ascii="Arial" w:eastAsia="SimSun" w:hAnsi="Arial" w:cs="Mangal"/>
      <w:sz w:val="28"/>
      <w:szCs w:val="28"/>
      <w:lang w:eastAsia="ar-SA"/>
    </w:rPr>
  </w:style>
  <w:style w:type="paragraph" w:customStyle="1" w:styleId="Lgende1">
    <w:name w:val="Légende1"/>
    <w:basedOn w:val="Normal"/>
    <w:rsid w:val="003B5B5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Notedebasdepage">
    <w:name w:val="footnote text"/>
    <w:basedOn w:val="Normal"/>
    <w:link w:val="NotedebasdepageCar1"/>
    <w:uiPriority w:val="99"/>
    <w:rsid w:val="003B5B5D"/>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1">
    <w:name w:val="Note de bas de page Car1"/>
    <w:basedOn w:val="Policepardfaut"/>
    <w:link w:val="Notedebasdepage"/>
    <w:uiPriority w:val="99"/>
    <w:rsid w:val="003B5B5D"/>
    <w:rPr>
      <w:rFonts w:ascii="Times New Roman" w:eastAsia="Times New Roman" w:hAnsi="Times New Roman" w:cs="Times New Roman"/>
      <w:sz w:val="20"/>
      <w:szCs w:val="20"/>
      <w:lang w:eastAsia="ar-SA"/>
    </w:rPr>
  </w:style>
  <w:style w:type="paragraph" w:styleId="Retraitcorpsdetexte">
    <w:name w:val="Body Text Indent"/>
    <w:basedOn w:val="Normal"/>
    <w:link w:val="RetraitcorpsdetexteCar"/>
    <w:rsid w:val="003B5B5D"/>
    <w:pPr>
      <w:suppressAutoHyphens/>
      <w:spacing w:after="0" w:line="240" w:lineRule="auto"/>
      <w:ind w:left="720"/>
    </w:pPr>
    <w:rPr>
      <w:rFonts w:ascii="Times New Roman" w:eastAsia="Times New Roman" w:hAnsi="Times New Roman" w:cs="Times New Roman"/>
      <w:sz w:val="24"/>
      <w:szCs w:val="24"/>
      <w:lang w:eastAsia="he-IL" w:bidi="he-IL"/>
    </w:rPr>
  </w:style>
  <w:style w:type="character" w:customStyle="1" w:styleId="RetraitcorpsdetexteCar">
    <w:name w:val="Retrait corps de texte Car"/>
    <w:basedOn w:val="Policepardfaut"/>
    <w:link w:val="Retraitcorpsdetexte"/>
    <w:rsid w:val="003B5B5D"/>
    <w:rPr>
      <w:rFonts w:ascii="Times New Roman" w:eastAsia="Times New Roman" w:hAnsi="Times New Roman" w:cs="Times New Roman"/>
      <w:sz w:val="24"/>
      <w:szCs w:val="24"/>
      <w:lang w:eastAsia="he-IL" w:bidi="he-IL"/>
    </w:rPr>
  </w:style>
  <w:style w:type="paragraph" w:styleId="Pieddepage">
    <w:name w:val="footer"/>
    <w:basedOn w:val="Normal"/>
    <w:link w:val="PieddepageCar"/>
    <w:rsid w:val="003B5B5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rsid w:val="003B5B5D"/>
    <w:rPr>
      <w:rFonts w:ascii="Times New Roman" w:eastAsia="Times New Roman" w:hAnsi="Times New Roman" w:cs="Times New Roman"/>
      <w:sz w:val="24"/>
      <w:szCs w:val="24"/>
      <w:lang w:eastAsia="ar-SA"/>
    </w:rPr>
  </w:style>
  <w:style w:type="paragraph" w:customStyle="1" w:styleId="Contenudetableau">
    <w:name w:val="Contenu de tableau"/>
    <w:basedOn w:val="Normal"/>
    <w:rsid w:val="003B5B5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3B5B5D"/>
    <w:pPr>
      <w:jc w:val="center"/>
    </w:pPr>
    <w:rPr>
      <w:b/>
      <w:bCs/>
    </w:rPr>
  </w:style>
  <w:style w:type="paragraph" w:customStyle="1" w:styleId="Contenuducadre">
    <w:name w:val="Contenu du cadre"/>
    <w:basedOn w:val="Corpsdetexte"/>
    <w:rsid w:val="003B5B5D"/>
  </w:style>
  <w:style w:type="paragraph" w:styleId="En-tte">
    <w:name w:val="header"/>
    <w:basedOn w:val="Normal"/>
    <w:link w:val="En-tteCar"/>
    <w:rsid w:val="003B5B5D"/>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rsid w:val="003B5B5D"/>
    <w:rPr>
      <w:rFonts w:ascii="Times New Roman" w:eastAsia="Times New Roman" w:hAnsi="Times New Roman" w:cs="Times New Roman"/>
      <w:sz w:val="24"/>
      <w:szCs w:val="24"/>
      <w:lang w:eastAsia="ar-SA"/>
    </w:rPr>
  </w:style>
  <w:style w:type="paragraph" w:customStyle="1" w:styleId="Body1">
    <w:name w:val="Body 1"/>
    <w:rsid w:val="003B5B5D"/>
    <w:pPr>
      <w:suppressAutoHyphens/>
      <w:spacing w:after="0" w:line="240" w:lineRule="auto"/>
    </w:pPr>
    <w:rPr>
      <w:rFonts w:ascii="Helvetica" w:eastAsia="ヒラギノ角ゴ Pro W3" w:hAnsi="Helvetica" w:cs="Times New Roman"/>
      <w:color w:val="000000"/>
      <w:sz w:val="24"/>
      <w:szCs w:val="20"/>
      <w:lang w:val="en-US" w:eastAsia="ar-SA"/>
    </w:rPr>
  </w:style>
  <w:style w:type="paragraph" w:styleId="Paragraphedeliste">
    <w:name w:val="List Paragraph"/>
    <w:basedOn w:val="Normal"/>
    <w:uiPriority w:val="34"/>
    <w:qFormat/>
    <w:rsid w:val="003B5B5D"/>
    <w:pPr>
      <w:suppressAutoHyphens/>
      <w:spacing w:after="0" w:line="240" w:lineRule="auto"/>
      <w:ind w:left="708"/>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3B5B5D"/>
    <w:pPr>
      <w:suppressAutoHyphens/>
      <w:spacing w:after="0" w:line="240" w:lineRule="auto"/>
    </w:pPr>
    <w:rPr>
      <w:rFonts w:ascii="Tahoma" w:eastAsia="Times New Roman" w:hAnsi="Tahoma" w:cs="Tahoma"/>
      <w:sz w:val="16"/>
      <w:szCs w:val="16"/>
      <w:lang w:eastAsia="ar-SA"/>
    </w:rPr>
  </w:style>
  <w:style w:type="character" w:customStyle="1" w:styleId="TextedebullesCar">
    <w:name w:val="Texte de bulles Car"/>
    <w:basedOn w:val="Policepardfaut"/>
    <w:link w:val="Textedebulles"/>
    <w:uiPriority w:val="99"/>
    <w:semiHidden/>
    <w:rsid w:val="003B5B5D"/>
    <w:rPr>
      <w:rFonts w:ascii="Tahoma" w:eastAsia="Times New Roman" w:hAnsi="Tahoma" w:cs="Tahoma"/>
      <w:sz w:val="16"/>
      <w:szCs w:val="16"/>
      <w:lang w:eastAsia="ar-SA"/>
    </w:rPr>
  </w:style>
  <w:style w:type="character" w:styleId="Marquedecommentaire">
    <w:name w:val="annotation reference"/>
    <w:basedOn w:val="Policepardfaut"/>
    <w:uiPriority w:val="99"/>
    <w:semiHidden/>
    <w:rsid w:val="003B5B5D"/>
    <w:rPr>
      <w:sz w:val="16"/>
      <w:szCs w:val="16"/>
    </w:rPr>
  </w:style>
  <w:style w:type="paragraph" w:styleId="Commentaire">
    <w:name w:val="annotation text"/>
    <w:basedOn w:val="Normal"/>
    <w:link w:val="CommentaireCar"/>
    <w:uiPriority w:val="99"/>
    <w:semiHidden/>
    <w:rsid w:val="003B5B5D"/>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3B5B5D"/>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3B5B5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traitcorpsdetexte2Car">
    <w:name w:val="Retrait corps de texte 2 Car"/>
    <w:basedOn w:val="Policepardfaut"/>
    <w:link w:val="Retraitcorpsdetexte2"/>
    <w:uiPriority w:val="99"/>
    <w:semiHidden/>
    <w:rsid w:val="003B5B5D"/>
    <w:rPr>
      <w:rFonts w:ascii="Times New Roman" w:eastAsia="Times New Roman" w:hAnsi="Times New Roman" w:cs="Times New Roman"/>
      <w:sz w:val="24"/>
      <w:szCs w:val="24"/>
      <w:lang w:eastAsia="ar-SA"/>
    </w:rPr>
  </w:style>
  <w:style w:type="table" w:styleId="Grilledutableau">
    <w:name w:val="Table Grid"/>
    <w:basedOn w:val="TableauNormal"/>
    <w:uiPriority w:val="59"/>
    <w:rsid w:val="003B5B5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6">
    <w:name w:val="Medium Shading 1 Accent 6"/>
    <w:basedOn w:val="TableauNormal"/>
    <w:uiPriority w:val="63"/>
    <w:rsid w:val="003B5B5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3B5B5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B5B5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ev">
    <w:name w:val="Strong"/>
    <w:basedOn w:val="Policepardfaut"/>
    <w:uiPriority w:val="22"/>
    <w:qFormat/>
    <w:rsid w:val="003B5B5D"/>
    <w:rPr>
      <w:b/>
      <w:bCs/>
    </w:rPr>
  </w:style>
  <w:style w:type="character" w:customStyle="1" w:styleId="at1">
    <w:name w:val="a__t1"/>
    <w:basedOn w:val="Policepardfaut"/>
    <w:rsid w:val="003B5B5D"/>
  </w:style>
  <w:style w:type="character" w:customStyle="1" w:styleId="italic">
    <w:name w:val="italic"/>
    <w:basedOn w:val="Policepardfaut"/>
    <w:rsid w:val="003B5B5D"/>
  </w:style>
  <w:style w:type="paragraph" w:styleId="NormalWeb">
    <w:name w:val="Normal (Web)"/>
    <w:basedOn w:val="Normal"/>
    <w:uiPriority w:val="99"/>
    <w:unhideWhenUsed/>
    <w:rsid w:val="003B5B5D"/>
    <w:pPr>
      <w:spacing w:before="100" w:beforeAutospacing="1" w:after="100" w:afterAutospacing="1" w:line="375" w:lineRule="atLeast"/>
      <w:jc w:val="both"/>
    </w:pPr>
    <w:rPr>
      <w:rFonts w:ascii="Times New Roman" w:eastAsia="Times New Roman" w:hAnsi="Times New Roman" w:cs="Times New Roman"/>
      <w:color w:val="53575A"/>
      <w:sz w:val="24"/>
      <w:szCs w:val="24"/>
      <w:lang w:eastAsia="fr-FR"/>
    </w:rPr>
  </w:style>
  <w:style w:type="character" w:customStyle="1" w:styleId="tw4winMark">
    <w:name w:val="tw4winMark"/>
    <w:basedOn w:val="Policepardfaut"/>
    <w:rsid w:val="003B5B5D"/>
    <w:rPr>
      <w:rFonts w:ascii="Courier New" w:hAnsi="Courier New" w:cs="Courier New"/>
      <w:b w:val="0"/>
      <w:i w:val="0"/>
      <w:dstrike w:val="0"/>
      <w:noProof/>
      <w:vanish/>
      <w:color w:val="800080"/>
      <w:spacing w:val="0"/>
      <w:kern w:val="30"/>
      <w:sz w:val="18"/>
      <w:effect w:val="none"/>
      <w:vertAlign w:val="subscript"/>
      <w:lang w:val="en-GB"/>
    </w:rPr>
  </w:style>
  <w:style w:type="table" w:customStyle="1" w:styleId="TableauGrille5Fonc-Accentuation11">
    <w:name w:val="Tableau Grille 5 Foncé - Accentuation 11"/>
    <w:basedOn w:val="TableauNormal"/>
    <w:uiPriority w:val="50"/>
    <w:rsid w:val="003B5B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3B5B5D"/>
    <w:pPr>
      <w:autoSpaceDE w:val="0"/>
      <w:autoSpaceDN w:val="0"/>
      <w:adjustRightInd w:val="0"/>
      <w:spacing w:after="0" w:line="240" w:lineRule="auto"/>
    </w:pPr>
    <w:rPr>
      <w:rFonts w:ascii="Lato" w:hAnsi="Lato" w:cs="Lato"/>
      <w:color w:val="000000"/>
      <w:sz w:val="24"/>
      <w:szCs w:val="24"/>
      <w:lang w:val="en-GB"/>
    </w:rPr>
  </w:style>
  <w:style w:type="paragraph" w:styleId="Sansinterligne">
    <w:name w:val="No Spacing"/>
    <w:uiPriority w:val="1"/>
    <w:qFormat/>
    <w:rsid w:val="003E06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B5B5D"/>
    <w:pPr>
      <w:keepNext/>
      <w:numPr>
        <w:numId w:val="1"/>
      </w:numPr>
      <w:suppressAutoHyphens/>
      <w:spacing w:after="0" w:line="240" w:lineRule="auto"/>
      <w:outlineLvl w:val="0"/>
    </w:pPr>
    <w:rPr>
      <w:rFonts w:ascii="Times New Roman" w:eastAsia="Times New Roman" w:hAnsi="Times New Roman" w:cs="Times New Roman"/>
      <w:b/>
      <w:bCs/>
      <w:sz w:val="32"/>
      <w:szCs w:val="24"/>
      <w:lang w:eastAsia="he-IL" w:bidi="he-IL"/>
    </w:rPr>
  </w:style>
  <w:style w:type="paragraph" w:styleId="Titre2">
    <w:name w:val="heading 2"/>
    <w:basedOn w:val="Normal"/>
    <w:next w:val="Normal"/>
    <w:link w:val="Titre2Car"/>
    <w:qFormat/>
    <w:rsid w:val="003B5B5D"/>
    <w:pPr>
      <w:keepNext/>
      <w:numPr>
        <w:ilvl w:val="1"/>
        <w:numId w:val="1"/>
      </w:numPr>
      <w:suppressAutoHyphens/>
      <w:spacing w:after="0" w:line="240" w:lineRule="auto"/>
      <w:outlineLvl w:val="1"/>
    </w:pPr>
    <w:rPr>
      <w:rFonts w:ascii="Times New Roman" w:eastAsia="Times New Roman" w:hAnsi="Times New Roman" w:cs="Times New Roman"/>
      <w:b/>
      <w:bCs/>
      <w:sz w:val="24"/>
      <w:szCs w:val="24"/>
      <w:lang w:eastAsia="he-IL" w:bidi="he-IL"/>
    </w:rPr>
  </w:style>
  <w:style w:type="paragraph" w:styleId="Titre3">
    <w:name w:val="heading 3"/>
    <w:basedOn w:val="Normal"/>
    <w:next w:val="Normal"/>
    <w:link w:val="Titre3Car"/>
    <w:qFormat/>
    <w:rsid w:val="003B5B5D"/>
    <w:pPr>
      <w:keepNext/>
      <w:numPr>
        <w:ilvl w:val="2"/>
        <w:numId w:val="1"/>
      </w:numPr>
      <w:suppressAutoHyphens/>
      <w:spacing w:after="0" w:line="240" w:lineRule="auto"/>
      <w:jc w:val="both"/>
      <w:outlineLvl w:val="2"/>
    </w:pPr>
    <w:rPr>
      <w:rFonts w:ascii="Times New Roman" w:eastAsia="Times New Roman" w:hAnsi="Times New Roman" w:cs="Times New Roman"/>
      <w:b/>
      <w:bCs/>
      <w:sz w:val="24"/>
      <w:szCs w:val="24"/>
      <w:lang w:eastAsia="he-IL" w:bidi="he-IL"/>
    </w:rPr>
  </w:style>
  <w:style w:type="paragraph" w:styleId="Titre4">
    <w:name w:val="heading 4"/>
    <w:basedOn w:val="Normal"/>
    <w:next w:val="Normal"/>
    <w:link w:val="Titre4Car"/>
    <w:qFormat/>
    <w:rsid w:val="003B5B5D"/>
    <w:pPr>
      <w:keepNext/>
      <w:numPr>
        <w:ilvl w:val="3"/>
        <w:numId w:val="1"/>
      </w:numPr>
      <w:suppressAutoHyphens/>
      <w:spacing w:after="0" w:line="240" w:lineRule="auto"/>
      <w:jc w:val="both"/>
      <w:outlineLvl w:val="3"/>
    </w:pPr>
    <w:rPr>
      <w:rFonts w:ascii="Times New Roman" w:eastAsia="Times New Roman" w:hAnsi="Times New Roman" w:cs="Times New Roman"/>
      <w:b/>
      <w:bCs/>
      <w:sz w:val="28"/>
      <w:szCs w:val="24"/>
      <w:lang w:eastAsia="he-IL" w:bidi="he-IL"/>
    </w:rPr>
  </w:style>
  <w:style w:type="paragraph" w:styleId="Titre5">
    <w:name w:val="heading 5"/>
    <w:basedOn w:val="Normal"/>
    <w:next w:val="Normal"/>
    <w:link w:val="Titre5Car"/>
    <w:qFormat/>
    <w:rsid w:val="003B5B5D"/>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5B5D"/>
    <w:rPr>
      <w:rFonts w:ascii="Times New Roman" w:eastAsia="Times New Roman" w:hAnsi="Times New Roman" w:cs="Times New Roman"/>
      <w:b/>
      <w:bCs/>
      <w:sz w:val="32"/>
      <w:szCs w:val="24"/>
      <w:lang w:eastAsia="he-IL" w:bidi="he-IL"/>
    </w:rPr>
  </w:style>
  <w:style w:type="character" w:customStyle="1" w:styleId="Titre2Car">
    <w:name w:val="Titre 2 Car"/>
    <w:basedOn w:val="Policepardfaut"/>
    <w:link w:val="Titre2"/>
    <w:rsid w:val="003B5B5D"/>
    <w:rPr>
      <w:rFonts w:ascii="Times New Roman" w:eastAsia="Times New Roman" w:hAnsi="Times New Roman" w:cs="Times New Roman"/>
      <w:b/>
      <w:bCs/>
      <w:sz w:val="24"/>
      <w:szCs w:val="24"/>
      <w:lang w:eastAsia="he-IL" w:bidi="he-IL"/>
    </w:rPr>
  </w:style>
  <w:style w:type="character" w:customStyle="1" w:styleId="Titre3Car">
    <w:name w:val="Titre 3 Car"/>
    <w:basedOn w:val="Policepardfaut"/>
    <w:link w:val="Titre3"/>
    <w:rsid w:val="003B5B5D"/>
    <w:rPr>
      <w:rFonts w:ascii="Times New Roman" w:eastAsia="Times New Roman" w:hAnsi="Times New Roman" w:cs="Times New Roman"/>
      <w:b/>
      <w:bCs/>
      <w:sz w:val="24"/>
      <w:szCs w:val="24"/>
      <w:lang w:eastAsia="he-IL" w:bidi="he-IL"/>
    </w:rPr>
  </w:style>
  <w:style w:type="character" w:customStyle="1" w:styleId="Titre4Car">
    <w:name w:val="Titre 4 Car"/>
    <w:basedOn w:val="Policepardfaut"/>
    <w:link w:val="Titre4"/>
    <w:rsid w:val="003B5B5D"/>
    <w:rPr>
      <w:rFonts w:ascii="Times New Roman" w:eastAsia="Times New Roman" w:hAnsi="Times New Roman" w:cs="Times New Roman"/>
      <w:b/>
      <w:bCs/>
      <w:sz w:val="28"/>
      <w:szCs w:val="24"/>
      <w:lang w:eastAsia="he-IL" w:bidi="he-IL"/>
    </w:rPr>
  </w:style>
  <w:style w:type="character" w:customStyle="1" w:styleId="Titre5Car">
    <w:name w:val="Titre 5 Car"/>
    <w:basedOn w:val="Policepardfaut"/>
    <w:link w:val="Titre5"/>
    <w:rsid w:val="003B5B5D"/>
    <w:rPr>
      <w:rFonts w:ascii="Times New Roman" w:eastAsia="Times New Roman" w:hAnsi="Times New Roman" w:cs="Times New Roman"/>
      <w:b/>
      <w:bCs/>
      <w:i/>
      <w:iCs/>
      <w:sz w:val="26"/>
      <w:szCs w:val="26"/>
      <w:lang w:eastAsia="ar-SA"/>
    </w:rPr>
  </w:style>
  <w:style w:type="numbering" w:customStyle="1" w:styleId="Aucuneliste1">
    <w:name w:val="Aucune liste1"/>
    <w:next w:val="Aucuneliste"/>
    <w:uiPriority w:val="99"/>
    <w:semiHidden/>
    <w:unhideWhenUsed/>
    <w:rsid w:val="003B5B5D"/>
  </w:style>
  <w:style w:type="character" w:customStyle="1" w:styleId="WW8Num2z0">
    <w:name w:val="WW8Num2z0"/>
    <w:rsid w:val="003B5B5D"/>
    <w:rPr>
      <w:rFonts w:ascii="Symbol" w:hAnsi="Symbol"/>
    </w:rPr>
  </w:style>
  <w:style w:type="character" w:customStyle="1" w:styleId="WW8Num4z0">
    <w:name w:val="WW8Num4z0"/>
    <w:rsid w:val="003B5B5D"/>
    <w:rPr>
      <w:rFonts w:ascii="Symbol" w:hAnsi="Symbol"/>
    </w:rPr>
  </w:style>
  <w:style w:type="character" w:customStyle="1" w:styleId="WW8Num5z0">
    <w:name w:val="WW8Num5z0"/>
    <w:rsid w:val="003B5B5D"/>
    <w:rPr>
      <w:rFonts w:ascii="Symbol" w:hAnsi="Symbol"/>
    </w:rPr>
  </w:style>
  <w:style w:type="character" w:customStyle="1" w:styleId="WW8Num6z1">
    <w:name w:val="WW8Num6z1"/>
    <w:rsid w:val="003B5B5D"/>
    <w:rPr>
      <w:rFonts w:ascii="Symbol" w:hAnsi="Symbol"/>
    </w:rPr>
  </w:style>
  <w:style w:type="character" w:customStyle="1" w:styleId="WW8Num9z0">
    <w:name w:val="WW8Num9z0"/>
    <w:rsid w:val="003B5B5D"/>
    <w:rPr>
      <w:rFonts w:ascii="Symbol" w:hAnsi="Symbol"/>
    </w:rPr>
  </w:style>
  <w:style w:type="character" w:customStyle="1" w:styleId="WW8Num13z0">
    <w:name w:val="WW8Num13z0"/>
    <w:rsid w:val="003B5B5D"/>
    <w:rPr>
      <w:rFonts w:ascii="Symbol" w:hAnsi="Symbol"/>
    </w:rPr>
  </w:style>
  <w:style w:type="character" w:customStyle="1" w:styleId="WW8Num15z0">
    <w:name w:val="WW8Num15z0"/>
    <w:rsid w:val="003B5B5D"/>
    <w:rPr>
      <w:rFonts w:ascii="Symbol" w:hAnsi="Symbol"/>
    </w:rPr>
  </w:style>
  <w:style w:type="character" w:customStyle="1" w:styleId="WW8Num17z0">
    <w:name w:val="WW8Num17z0"/>
    <w:rsid w:val="003B5B5D"/>
    <w:rPr>
      <w:rFonts w:ascii="Symbol" w:hAnsi="Symbol"/>
    </w:rPr>
  </w:style>
  <w:style w:type="character" w:customStyle="1" w:styleId="WW8Num17z1">
    <w:name w:val="WW8Num17z1"/>
    <w:rsid w:val="003B5B5D"/>
    <w:rPr>
      <w:rFonts w:ascii="Courier New" w:hAnsi="Courier New" w:cs="Courier New"/>
    </w:rPr>
  </w:style>
  <w:style w:type="character" w:customStyle="1" w:styleId="WW8Num17z2">
    <w:name w:val="WW8Num17z2"/>
    <w:rsid w:val="003B5B5D"/>
    <w:rPr>
      <w:rFonts w:ascii="Wingdings" w:hAnsi="Wingdings"/>
    </w:rPr>
  </w:style>
  <w:style w:type="character" w:customStyle="1" w:styleId="WW8Num19z0">
    <w:name w:val="WW8Num19z0"/>
    <w:rsid w:val="003B5B5D"/>
    <w:rPr>
      <w:rFonts w:ascii="Symbol" w:hAnsi="Symbol"/>
    </w:rPr>
  </w:style>
  <w:style w:type="character" w:customStyle="1" w:styleId="WW8Num19z1">
    <w:name w:val="WW8Num19z1"/>
    <w:rsid w:val="003B5B5D"/>
    <w:rPr>
      <w:rFonts w:ascii="Courier New" w:hAnsi="Courier New" w:cs="Courier New"/>
    </w:rPr>
  </w:style>
  <w:style w:type="character" w:customStyle="1" w:styleId="WW8Num19z2">
    <w:name w:val="WW8Num19z2"/>
    <w:rsid w:val="003B5B5D"/>
    <w:rPr>
      <w:rFonts w:ascii="Wingdings" w:hAnsi="Wingdings"/>
    </w:rPr>
  </w:style>
  <w:style w:type="character" w:customStyle="1" w:styleId="WW8Num20z0">
    <w:name w:val="WW8Num20z0"/>
    <w:rsid w:val="003B5B5D"/>
    <w:rPr>
      <w:rFonts w:ascii="Symbol" w:hAnsi="Symbol"/>
    </w:rPr>
  </w:style>
  <w:style w:type="character" w:customStyle="1" w:styleId="WW8Num20z1">
    <w:name w:val="WW8Num20z1"/>
    <w:rsid w:val="003B5B5D"/>
    <w:rPr>
      <w:rFonts w:ascii="Courier New" w:hAnsi="Courier New" w:cs="Courier New"/>
    </w:rPr>
  </w:style>
  <w:style w:type="character" w:customStyle="1" w:styleId="WW8Num20z2">
    <w:name w:val="WW8Num20z2"/>
    <w:rsid w:val="003B5B5D"/>
    <w:rPr>
      <w:rFonts w:ascii="Wingdings" w:hAnsi="Wingdings"/>
    </w:rPr>
  </w:style>
  <w:style w:type="character" w:customStyle="1" w:styleId="WW8Num21z0">
    <w:name w:val="WW8Num21z0"/>
    <w:rsid w:val="003B5B5D"/>
    <w:rPr>
      <w:rFonts w:ascii="Symbol" w:hAnsi="Symbol"/>
    </w:rPr>
  </w:style>
  <w:style w:type="character" w:customStyle="1" w:styleId="WW8Num21z1">
    <w:name w:val="WW8Num21z1"/>
    <w:rsid w:val="003B5B5D"/>
    <w:rPr>
      <w:rFonts w:ascii="Courier New" w:hAnsi="Courier New" w:cs="Courier New"/>
    </w:rPr>
  </w:style>
  <w:style w:type="character" w:customStyle="1" w:styleId="WW8Num21z2">
    <w:name w:val="WW8Num21z2"/>
    <w:rsid w:val="003B5B5D"/>
    <w:rPr>
      <w:rFonts w:ascii="Wingdings" w:hAnsi="Wingdings"/>
    </w:rPr>
  </w:style>
  <w:style w:type="character" w:customStyle="1" w:styleId="WW8Num22z0">
    <w:name w:val="WW8Num22z0"/>
    <w:rsid w:val="003B5B5D"/>
    <w:rPr>
      <w:rFonts w:ascii="Symbol" w:hAnsi="Symbol"/>
    </w:rPr>
  </w:style>
  <w:style w:type="character" w:customStyle="1" w:styleId="WW8Num22z1">
    <w:name w:val="WW8Num22z1"/>
    <w:rsid w:val="003B5B5D"/>
    <w:rPr>
      <w:rFonts w:ascii="Courier New" w:hAnsi="Courier New" w:cs="Courier New"/>
    </w:rPr>
  </w:style>
  <w:style w:type="character" w:customStyle="1" w:styleId="WW8Num22z2">
    <w:name w:val="WW8Num22z2"/>
    <w:rsid w:val="003B5B5D"/>
    <w:rPr>
      <w:rFonts w:ascii="Wingdings" w:hAnsi="Wingdings"/>
    </w:rPr>
  </w:style>
  <w:style w:type="character" w:customStyle="1" w:styleId="WW8Num23z0">
    <w:name w:val="WW8Num23z0"/>
    <w:rsid w:val="003B5B5D"/>
    <w:rPr>
      <w:rFonts w:ascii="Symbol" w:hAnsi="Symbol"/>
    </w:rPr>
  </w:style>
  <w:style w:type="character" w:customStyle="1" w:styleId="WW8Num23z1">
    <w:name w:val="WW8Num23z1"/>
    <w:rsid w:val="003B5B5D"/>
    <w:rPr>
      <w:rFonts w:ascii="Courier New" w:hAnsi="Courier New" w:cs="Courier New"/>
    </w:rPr>
  </w:style>
  <w:style w:type="character" w:customStyle="1" w:styleId="WW8Num23z2">
    <w:name w:val="WW8Num23z2"/>
    <w:rsid w:val="003B5B5D"/>
    <w:rPr>
      <w:rFonts w:ascii="Wingdings" w:hAnsi="Wingdings"/>
    </w:rPr>
  </w:style>
  <w:style w:type="character" w:customStyle="1" w:styleId="WW8Num24z0">
    <w:name w:val="WW8Num24z0"/>
    <w:rsid w:val="003B5B5D"/>
    <w:rPr>
      <w:rFonts w:ascii="Symbol" w:hAnsi="Symbol"/>
      <w:sz w:val="20"/>
    </w:rPr>
  </w:style>
  <w:style w:type="character" w:customStyle="1" w:styleId="WW8Num24z2">
    <w:name w:val="WW8Num24z2"/>
    <w:rsid w:val="003B5B5D"/>
    <w:rPr>
      <w:rFonts w:ascii="Wingdings" w:hAnsi="Wingdings"/>
      <w:sz w:val="20"/>
    </w:rPr>
  </w:style>
  <w:style w:type="character" w:customStyle="1" w:styleId="Policepardfaut2">
    <w:name w:val="Police par défaut2"/>
    <w:rsid w:val="003B5B5D"/>
  </w:style>
  <w:style w:type="character" w:customStyle="1" w:styleId="WW8Num1z0">
    <w:name w:val="WW8Num1z0"/>
    <w:rsid w:val="003B5B5D"/>
    <w:rPr>
      <w:rFonts w:ascii="Symbol" w:hAnsi="Symbol"/>
    </w:rPr>
  </w:style>
  <w:style w:type="character" w:customStyle="1" w:styleId="WW8Num1z1">
    <w:name w:val="WW8Num1z1"/>
    <w:rsid w:val="003B5B5D"/>
    <w:rPr>
      <w:rFonts w:ascii="Courier New" w:hAnsi="Courier New" w:cs="Courier New"/>
    </w:rPr>
  </w:style>
  <w:style w:type="character" w:customStyle="1" w:styleId="WW8Num1z2">
    <w:name w:val="WW8Num1z2"/>
    <w:rsid w:val="003B5B5D"/>
    <w:rPr>
      <w:rFonts w:ascii="Wingdings" w:hAnsi="Wingdings"/>
    </w:rPr>
  </w:style>
  <w:style w:type="character" w:customStyle="1" w:styleId="WW8Num4z1">
    <w:name w:val="WW8Num4z1"/>
    <w:rsid w:val="003B5B5D"/>
    <w:rPr>
      <w:rFonts w:ascii="Courier New" w:hAnsi="Courier New" w:cs="Courier New"/>
    </w:rPr>
  </w:style>
  <w:style w:type="character" w:customStyle="1" w:styleId="WW8Num4z2">
    <w:name w:val="WW8Num4z2"/>
    <w:rsid w:val="003B5B5D"/>
    <w:rPr>
      <w:rFonts w:ascii="Wingdings" w:hAnsi="Wingdings"/>
    </w:rPr>
  </w:style>
  <w:style w:type="character" w:customStyle="1" w:styleId="WW8Num5z1">
    <w:name w:val="WW8Num5z1"/>
    <w:rsid w:val="003B5B5D"/>
    <w:rPr>
      <w:rFonts w:ascii="Courier New" w:hAnsi="Courier New" w:cs="Courier New"/>
    </w:rPr>
  </w:style>
  <w:style w:type="character" w:customStyle="1" w:styleId="WW8Num5z2">
    <w:name w:val="WW8Num5z2"/>
    <w:rsid w:val="003B5B5D"/>
    <w:rPr>
      <w:rFonts w:ascii="Wingdings" w:hAnsi="Wingdings"/>
    </w:rPr>
  </w:style>
  <w:style w:type="character" w:customStyle="1" w:styleId="WW8Num7z0">
    <w:name w:val="WW8Num7z0"/>
    <w:rsid w:val="003B5B5D"/>
    <w:rPr>
      <w:rFonts w:ascii="Symbol" w:hAnsi="Symbol"/>
    </w:rPr>
  </w:style>
  <w:style w:type="character" w:customStyle="1" w:styleId="WW8Num7z1">
    <w:name w:val="WW8Num7z1"/>
    <w:rsid w:val="003B5B5D"/>
    <w:rPr>
      <w:rFonts w:ascii="Courier New" w:hAnsi="Courier New" w:cs="Courier New"/>
    </w:rPr>
  </w:style>
  <w:style w:type="character" w:customStyle="1" w:styleId="WW8Num7z2">
    <w:name w:val="WW8Num7z2"/>
    <w:rsid w:val="003B5B5D"/>
    <w:rPr>
      <w:rFonts w:ascii="Wingdings" w:hAnsi="Wingdings"/>
    </w:rPr>
  </w:style>
  <w:style w:type="character" w:customStyle="1" w:styleId="WW8Num8z0">
    <w:name w:val="WW8Num8z0"/>
    <w:rsid w:val="003B5B5D"/>
    <w:rPr>
      <w:rFonts w:ascii="Symbol" w:hAnsi="Symbol"/>
    </w:rPr>
  </w:style>
  <w:style w:type="character" w:customStyle="1" w:styleId="WW8Num8z1">
    <w:name w:val="WW8Num8z1"/>
    <w:rsid w:val="003B5B5D"/>
    <w:rPr>
      <w:rFonts w:ascii="Courier New" w:hAnsi="Courier New" w:cs="Courier New"/>
    </w:rPr>
  </w:style>
  <w:style w:type="character" w:customStyle="1" w:styleId="WW8Num8z2">
    <w:name w:val="WW8Num8z2"/>
    <w:rsid w:val="003B5B5D"/>
    <w:rPr>
      <w:rFonts w:ascii="Wingdings" w:hAnsi="Wingdings"/>
    </w:rPr>
  </w:style>
  <w:style w:type="character" w:customStyle="1" w:styleId="WW8Num9z1">
    <w:name w:val="WW8Num9z1"/>
    <w:rsid w:val="003B5B5D"/>
    <w:rPr>
      <w:rFonts w:ascii="Courier New" w:hAnsi="Courier New" w:cs="Courier New"/>
    </w:rPr>
  </w:style>
  <w:style w:type="character" w:customStyle="1" w:styleId="WW8Num9z2">
    <w:name w:val="WW8Num9z2"/>
    <w:rsid w:val="003B5B5D"/>
    <w:rPr>
      <w:rFonts w:ascii="Wingdings" w:hAnsi="Wingdings"/>
    </w:rPr>
  </w:style>
  <w:style w:type="character" w:customStyle="1" w:styleId="WW8Num11z1">
    <w:name w:val="WW8Num11z1"/>
    <w:rsid w:val="003B5B5D"/>
    <w:rPr>
      <w:rFonts w:ascii="Symbol" w:hAnsi="Symbol"/>
    </w:rPr>
  </w:style>
  <w:style w:type="character" w:customStyle="1" w:styleId="WW8Num14z0">
    <w:name w:val="WW8Num14z0"/>
    <w:rsid w:val="003B5B5D"/>
    <w:rPr>
      <w:rFonts w:ascii="Symbol" w:hAnsi="Symbol"/>
    </w:rPr>
  </w:style>
  <w:style w:type="character" w:customStyle="1" w:styleId="WW8Num14z1">
    <w:name w:val="WW8Num14z1"/>
    <w:rsid w:val="003B5B5D"/>
    <w:rPr>
      <w:rFonts w:ascii="Courier New" w:hAnsi="Courier New" w:cs="Courier New"/>
    </w:rPr>
  </w:style>
  <w:style w:type="character" w:customStyle="1" w:styleId="WW8Num14z2">
    <w:name w:val="WW8Num14z2"/>
    <w:rsid w:val="003B5B5D"/>
    <w:rPr>
      <w:rFonts w:ascii="Wingdings" w:hAnsi="Wingdings"/>
    </w:rPr>
  </w:style>
  <w:style w:type="character" w:customStyle="1" w:styleId="WW8Num15z1">
    <w:name w:val="WW8Num15z1"/>
    <w:rsid w:val="003B5B5D"/>
    <w:rPr>
      <w:rFonts w:ascii="Courier New" w:hAnsi="Courier New" w:cs="Courier New"/>
    </w:rPr>
  </w:style>
  <w:style w:type="character" w:customStyle="1" w:styleId="WW8Num15z2">
    <w:name w:val="WW8Num15z2"/>
    <w:rsid w:val="003B5B5D"/>
    <w:rPr>
      <w:rFonts w:ascii="Wingdings" w:hAnsi="Wingdings"/>
    </w:rPr>
  </w:style>
  <w:style w:type="character" w:customStyle="1" w:styleId="Policepardfaut1">
    <w:name w:val="Police par défaut1"/>
    <w:rsid w:val="003B5B5D"/>
  </w:style>
  <w:style w:type="character" w:styleId="Lienhypertexte">
    <w:name w:val="Hyperlink"/>
    <w:uiPriority w:val="99"/>
    <w:rsid w:val="003B5B5D"/>
    <w:rPr>
      <w:color w:val="0000FF"/>
      <w:u w:val="single"/>
    </w:rPr>
  </w:style>
  <w:style w:type="character" w:customStyle="1" w:styleId="Caractresdenotedebasdepage">
    <w:name w:val="Caractères de note de bas de page"/>
    <w:rsid w:val="003B5B5D"/>
    <w:rPr>
      <w:vertAlign w:val="superscript"/>
    </w:rPr>
  </w:style>
  <w:style w:type="character" w:styleId="Accentuation">
    <w:name w:val="Emphasis"/>
    <w:uiPriority w:val="20"/>
    <w:qFormat/>
    <w:rsid w:val="003B5B5D"/>
    <w:rPr>
      <w:i/>
      <w:iCs/>
    </w:rPr>
  </w:style>
  <w:style w:type="character" w:styleId="Numrodepage">
    <w:name w:val="page number"/>
    <w:basedOn w:val="Policepardfaut1"/>
    <w:rsid w:val="003B5B5D"/>
  </w:style>
  <w:style w:type="character" w:customStyle="1" w:styleId="bold">
    <w:name w:val="bold"/>
    <w:basedOn w:val="Policepardfaut1"/>
    <w:rsid w:val="003B5B5D"/>
  </w:style>
  <w:style w:type="character" w:customStyle="1" w:styleId="Appelnotedebasdep1">
    <w:name w:val="Appel note de bas de p.1"/>
    <w:rsid w:val="003B5B5D"/>
    <w:rPr>
      <w:vertAlign w:val="superscript"/>
    </w:rPr>
  </w:style>
  <w:style w:type="character" w:customStyle="1" w:styleId="Caractresdenotedefin">
    <w:name w:val="Caractères de note de fin"/>
    <w:rsid w:val="003B5B5D"/>
    <w:rPr>
      <w:vertAlign w:val="superscript"/>
    </w:rPr>
  </w:style>
  <w:style w:type="character" w:customStyle="1" w:styleId="WW-Caractresdenotedefin">
    <w:name w:val="WW-Caractères de note de fin"/>
    <w:rsid w:val="003B5B5D"/>
  </w:style>
  <w:style w:type="character" w:customStyle="1" w:styleId="NotedebasdepageCar">
    <w:name w:val="Note de bas de page Car"/>
    <w:uiPriority w:val="99"/>
    <w:rsid w:val="003B5B5D"/>
  </w:style>
  <w:style w:type="character" w:styleId="Lienhypertextesuivivisit">
    <w:name w:val="FollowedHyperlink"/>
    <w:rsid w:val="003B5B5D"/>
    <w:rPr>
      <w:color w:val="800080"/>
      <w:u w:val="single"/>
    </w:rPr>
  </w:style>
  <w:style w:type="character" w:styleId="Appelnotedebasdep">
    <w:name w:val="footnote reference"/>
    <w:uiPriority w:val="99"/>
    <w:rsid w:val="003B5B5D"/>
    <w:rPr>
      <w:vertAlign w:val="superscript"/>
    </w:rPr>
  </w:style>
  <w:style w:type="character" w:customStyle="1" w:styleId="Caractresdenumrotation">
    <w:name w:val="Caractères de numérotation"/>
    <w:rsid w:val="003B5B5D"/>
  </w:style>
  <w:style w:type="character" w:styleId="Appeldenotedefin">
    <w:name w:val="endnote reference"/>
    <w:rsid w:val="003B5B5D"/>
    <w:rPr>
      <w:vertAlign w:val="superscript"/>
    </w:rPr>
  </w:style>
  <w:style w:type="paragraph" w:customStyle="1" w:styleId="Titre20">
    <w:name w:val="Titre2"/>
    <w:basedOn w:val="Normal"/>
    <w:next w:val="Corpsdetexte"/>
    <w:rsid w:val="003B5B5D"/>
    <w:pPr>
      <w:keepNext/>
      <w:suppressAutoHyphens/>
      <w:spacing w:before="240" w:after="120" w:line="240" w:lineRule="auto"/>
    </w:pPr>
    <w:rPr>
      <w:rFonts w:ascii="Arial" w:eastAsia="SimSun" w:hAnsi="Arial" w:cs="Mangal"/>
      <w:sz w:val="28"/>
      <w:szCs w:val="28"/>
      <w:lang w:eastAsia="ar-SA"/>
    </w:rPr>
  </w:style>
  <w:style w:type="paragraph" w:styleId="Corpsdetexte">
    <w:name w:val="Body Text"/>
    <w:basedOn w:val="Normal"/>
    <w:link w:val="CorpsdetexteCar"/>
    <w:rsid w:val="003B5B5D"/>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3B5B5D"/>
    <w:rPr>
      <w:rFonts w:ascii="Times New Roman" w:eastAsia="Times New Roman" w:hAnsi="Times New Roman" w:cs="Times New Roman"/>
      <w:sz w:val="24"/>
      <w:szCs w:val="24"/>
      <w:lang w:eastAsia="ar-SA"/>
    </w:rPr>
  </w:style>
  <w:style w:type="paragraph" w:styleId="Liste">
    <w:name w:val="List"/>
    <w:basedOn w:val="Corpsdetexte"/>
    <w:rsid w:val="003B5B5D"/>
    <w:rPr>
      <w:rFonts w:cs="Mangal"/>
    </w:rPr>
  </w:style>
  <w:style w:type="paragraph" w:customStyle="1" w:styleId="Lgende2">
    <w:name w:val="Légende2"/>
    <w:basedOn w:val="Normal"/>
    <w:rsid w:val="003B5B5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3B5B5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itre10">
    <w:name w:val="Titre1"/>
    <w:basedOn w:val="Normal"/>
    <w:next w:val="Corpsdetexte"/>
    <w:rsid w:val="003B5B5D"/>
    <w:pPr>
      <w:keepNext/>
      <w:suppressAutoHyphens/>
      <w:spacing w:before="240" w:after="120" w:line="240" w:lineRule="auto"/>
    </w:pPr>
    <w:rPr>
      <w:rFonts w:ascii="Arial" w:eastAsia="SimSun" w:hAnsi="Arial" w:cs="Mangal"/>
      <w:sz w:val="28"/>
      <w:szCs w:val="28"/>
      <w:lang w:eastAsia="ar-SA"/>
    </w:rPr>
  </w:style>
  <w:style w:type="paragraph" w:customStyle="1" w:styleId="Lgende1">
    <w:name w:val="Légende1"/>
    <w:basedOn w:val="Normal"/>
    <w:rsid w:val="003B5B5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Notedebasdepage">
    <w:name w:val="footnote text"/>
    <w:basedOn w:val="Normal"/>
    <w:link w:val="NotedebasdepageCar1"/>
    <w:uiPriority w:val="99"/>
    <w:rsid w:val="003B5B5D"/>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1">
    <w:name w:val="Note de bas de page Car1"/>
    <w:basedOn w:val="Policepardfaut"/>
    <w:link w:val="Notedebasdepage"/>
    <w:uiPriority w:val="99"/>
    <w:rsid w:val="003B5B5D"/>
    <w:rPr>
      <w:rFonts w:ascii="Times New Roman" w:eastAsia="Times New Roman" w:hAnsi="Times New Roman" w:cs="Times New Roman"/>
      <w:sz w:val="20"/>
      <w:szCs w:val="20"/>
      <w:lang w:eastAsia="ar-SA"/>
    </w:rPr>
  </w:style>
  <w:style w:type="paragraph" w:styleId="Retraitcorpsdetexte">
    <w:name w:val="Body Text Indent"/>
    <w:basedOn w:val="Normal"/>
    <w:link w:val="RetraitcorpsdetexteCar"/>
    <w:rsid w:val="003B5B5D"/>
    <w:pPr>
      <w:suppressAutoHyphens/>
      <w:spacing w:after="0" w:line="240" w:lineRule="auto"/>
      <w:ind w:left="720"/>
    </w:pPr>
    <w:rPr>
      <w:rFonts w:ascii="Times New Roman" w:eastAsia="Times New Roman" w:hAnsi="Times New Roman" w:cs="Times New Roman"/>
      <w:sz w:val="24"/>
      <w:szCs w:val="24"/>
      <w:lang w:eastAsia="he-IL" w:bidi="he-IL"/>
    </w:rPr>
  </w:style>
  <w:style w:type="character" w:customStyle="1" w:styleId="RetraitcorpsdetexteCar">
    <w:name w:val="Retrait corps de texte Car"/>
    <w:basedOn w:val="Policepardfaut"/>
    <w:link w:val="Retraitcorpsdetexte"/>
    <w:rsid w:val="003B5B5D"/>
    <w:rPr>
      <w:rFonts w:ascii="Times New Roman" w:eastAsia="Times New Roman" w:hAnsi="Times New Roman" w:cs="Times New Roman"/>
      <w:sz w:val="24"/>
      <w:szCs w:val="24"/>
      <w:lang w:eastAsia="he-IL" w:bidi="he-IL"/>
    </w:rPr>
  </w:style>
  <w:style w:type="paragraph" w:styleId="Pieddepage">
    <w:name w:val="footer"/>
    <w:basedOn w:val="Normal"/>
    <w:link w:val="PieddepageCar"/>
    <w:rsid w:val="003B5B5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rsid w:val="003B5B5D"/>
    <w:rPr>
      <w:rFonts w:ascii="Times New Roman" w:eastAsia="Times New Roman" w:hAnsi="Times New Roman" w:cs="Times New Roman"/>
      <w:sz w:val="24"/>
      <w:szCs w:val="24"/>
      <w:lang w:eastAsia="ar-SA"/>
    </w:rPr>
  </w:style>
  <w:style w:type="paragraph" w:customStyle="1" w:styleId="Contenudetableau">
    <w:name w:val="Contenu de tableau"/>
    <w:basedOn w:val="Normal"/>
    <w:rsid w:val="003B5B5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3B5B5D"/>
    <w:pPr>
      <w:jc w:val="center"/>
    </w:pPr>
    <w:rPr>
      <w:b/>
      <w:bCs/>
    </w:rPr>
  </w:style>
  <w:style w:type="paragraph" w:customStyle="1" w:styleId="Contenuducadre">
    <w:name w:val="Contenu du cadre"/>
    <w:basedOn w:val="Corpsdetexte"/>
    <w:rsid w:val="003B5B5D"/>
  </w:style>
  <w:style w:type="paragraph" w:styleId="En-tte">
    <w:name w:val="header"/>
    <w:basedOn w:val="Normal"/>
    <w:link w:val="En-tteCar"/>
    <w:rsid w:val="003B5B5D"/>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rsid w:val="003B5B5D"/>
    <w:rPr>
      <w:rFonts w:ascii="Times New Roman" w:eastAsia="Times New Roman" w:hAnsi="Times New Roman" w:cs="Times New Roman"/>
      <w:sz w:val="24"/>
      <w:szCs w:val="24"/>
      <w:lang w:eastAsia="ar-SA"/>
    </w:rPr>
  </w:style>
  <w:style w:type="paragraph" w:customStyle="1" w:styleId="Body1">
    <w:name w:val="Body 1"/>
    <w:rsid w:val="003B5B5D"/>
    <w:pPr>
      <w:suppressAutoHyphens/>
      <w:spacing w:after="0" w:line="240" w:lineRule="auto"/>
    </w:pPr>
    <w:rPr>
      <w:rFonts w:ascii="Helvetica" w:eastAsia="ヒラギノ角ゴ Pro W3" w:hAnsi="Helvetica" w:cs="Times New Roman"/>
      <w:color w:val="000000"/>
      <w:sz w:val="24"/>
      <w:szCs w:val="20"/>
      <w:lang w:val="en-US" w:eastAsia="ar-SA"/>
    </w:rPr>
  </w:style>
  <w:style w:type="paragraph" w:styleId="Paragraphedeliste">
    <w:name w:val="List Paragraph"/>
    <w:basedOn w:val="Normal"/>
    <w:uiPriority w:val="34"/>
    <w:qFormat/>
    <w:rsid w:val="003B5B5D"/>
    <w:pPr>
      <w:suppressAutoHyphens/>
      <w:spacing w:after="0" w:line="240" w:lineRule="auto"/>
      <w:ind w:left="708"/>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3B5B5D"/>
    <w:pPr>
      <w:suppressAutoHyphens/>
      <w:spacing w:after="0" w:line="240" w:lineRule="auto"/>
    </w:pPr>
    <w:rPr>
      <w:rFonts w:ascii="Tahoma" w:eastAsia="Times New Roman" w:hAnsi="Tahoma" w:cs="Tahoma"/>
      <w:sz w:val="16"/>
      <w:szCs w:val="16"/>
      <w:lang w:eastAsia="ar-SA"/>
    </w:rPr>
  </w:style>
  <w:style w:type="character" w:customStyle="1" w:styleId="TextedebullesCar">
    <w:name w:val="Texte de bulles Car"/>
    <w:basedOn w:val="Policepardfaut"/>
    <w:link w:val="Textedebulles"/>
    <w:uiPriority w:val="99"/>
    <w:semiHidden/>
    <w:rsid w:val="003B5B5D"/>
    <w:rPr>
      <w:rFonts w:ascii="Tahoma" w:eastAsia="Times New Roman" w:hAnsi="Tahoma" w:cs="Tahoma"/>
      <w:sz w:val="16"/>
      <w:szCs w:val="16"/>
      <w:lang w:eastAsia="ar-SA"/>
    </w:rPr>
  </w:style>
  <w:style w:type="character" w:styleId="Marquedecommentaire">
    <w:name w:val="annotation reference"/>
    <w:basedOn w:val="Policepardfaut"/>
    <w:uiPriority w:val="99"/>
    <w:semiHidden/>
    <w:rsid w:val="003B5B5D"/>
    <w:rPr>
      <w:sz w:val="16"/>
      <w:szCs w:val="16"/>
    </w:rPr>
  </w:style>
  <w:style w:type="paragraph" w:styleId="Commentaire">
    <w:name w:val="annotation text"/>
    <w:basedOn w:val="Normal"/>
    <w:link w:val="CommentaireCar"/>
    <w:uiPriority w:val="99"/>
    <w:semiHidden/>
    <w:rsid w:val="003B5B5D"/>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3B5B5D"/>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semiHidden/>
    <w:unhideWhenUsed/>
    <w:rsid w:val="003B5B5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etraitcorpsdetexte2Car">
    <w:name w:val="Retrait corps de texte 2 Car"/>
    <w:basedOn w:val="Policepardfaut"/>
    <w:link w:val="Retraitcorpsdetexte2"/>
    <w:uiPriority w:val="99"/>
    <w:semiHidden/>
    <w:rsid w:val="003B5B5D"/>
    <w:rPr>
      <w:rFonts w:ascii="Times New Roman" w:eastAsia="Times New Roman" w:hAnsi="Times New Roman" w:cs="Times New Roman"/>
      <w:sz w:val="24"/>
      <w:szCs w:val="24"/>
      <w:lang w:eastAsia="ar-SA"/>
    </w:rPr>
  </w:style>
  <w:style w:type="table" w:styleId="Grilledutableau">
    <w:name w:val="Table Grid"/>
    <w:basedOn w:val="TableauNormal"/>
    <w:uiPriority w:val="59"/>
    <w:rsid w:val="003B5B5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6">
    <w:name w:val="Medium Shading 1 Accent 6"/>
    <w:basedOn w:val="TableauNormal"/>
    <w:uiPriority w:val="63"/>
    <w:rsid w:val="003B5B5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3B5B5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B5B5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lev">
    <w:name w:val="Strong"/>
    <w:basedOn w:val="Policepardfaut"/>
    <w:uiPriority w:val="22"/>
    <w:qFormat/>
    <w:rsid w:val="003B5B5D"/>
    <w:rPr>
      <w:b/>
      <w:bCs/>
    </w:rPr>
  </w:style>
  <w:style w:type="character" w:customStyle="1" w:styleId="at1">
    <w:name w:val="a__t1"/>
    <w:basedOn w:val="Policepardfaut"/>
    <w:rsid w:val="003B5B5D"/>
  </w:style>
  <w:style w:type="character" w:customStyle="1" w:styleId="italic">
    <w:name w:val="italic"/>
    <w:basedOn w:val="Policepardfaut"/>
    <w:rsid w:val="003B5B5D"/>
  </w:style>
  <w:style w:type="paragraph" w:styleId="NormalWeb">
    <w:name w:val="Normal (Web)"/>
    <w:basedOn w:val="Normal"/>
    <w:uiPriority w:val="99"/>
    <w:unhideWhenUsed/>
    <w:rsid w:val="003B5B5D"/>
    <w:pPr>
      <w:spacing w:before="100" w:beforeAutospacing="1" w:after="100" w:afterAutospacing="1" w:line="375" w:lineRule="atLeast"/>
      <w:jc w:val="both"/>
    </w:pPr>
    <w:rPr>
      <w:rFonts w:ascii="Times New Roman" w:eastAsia="Times New Roman" w:hAnsi="Times New Roman" w:cs="Times New Roman"/>
      <w:color w:val="53575A"/>
      <w:sz w:val="24"/>
      <w:szCs w:val="24"/>
      <w:lang w:eastAsia="fr-FR"/>
    </w:rPr>
  </w:style>
  <w:style w:type="character" w:customStyle="1" w:styleId="tw4winMark">
    <w:name w:val="tw4winMark"/>
    <w:basedOn w:val="Policepardfaut"/>
    <w:rsid w:val="003B5B5D"/>
    <w:rPr>
      <w:rFonts w:ascii="Courier New" w:hAnsi="Courier New" w:cs="Courier New"/>
      <w:b w:val="0"/>
      <w:i w:val="0"/>
      <w:dstrike w:val="0"/>
      <w:noProof/>
      <w:vanish/>
      <w:color w:val="800080"/>
      <w:spacing w:val="0"/>
      <w:kern w:val="30"/>
      <w:sz w:val="18"/>
      <w:effect w:val="none"/>
      <w:vertAlign w:val="subscript"/>
      <w:lang w:val="en-GB"/>
    </w:rPr>
  </w:style>
  <w:style w:type="table" w:customStyle="1" w:styleId="TableauGrille5Fonc-Accentuation11">
    <w:name w:val="Tableau Grille 5 Foncé - Accentuation 11"/>
    <w:basedOn w:val="TableauNormal"/>
    <w:uiPriority w:val="50"/>
    <w:rsid w:val="003B5B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3B5B5D"/>
    <w:pPr>
      <w:autoSpaceDE w:val="0"/>
      <w:autoSpaceDN w:val="0"/>
      <w:adjustRightInd w:val="0"/>
      <w:spacing w:after="0" w:line="240" w:lineRule="auto"/>
    </w:pPr>
    <w:rPr>
      <w:rFonts w:ascii="Lato" w:hAnsi="Lato" w:cs="Lato"/>
      <w:color w:val="000000"/>
      <w:sz w:val="24"/>
      <w:szCs w:val="24"/>
      <w:lang w:val="en-GB"/>
    </w:rPr>
  </w:style>
  <w:style w:type="paragraph" w:styleId="Sansinterligne">
    <w:name w:val="No Spacing"/>
    <w:uiPriority w:val="1"/>
    <w:qFormat/>
    <w:rsid w:val="003E061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lberto.nunez-lagos@uria.com" TargetMode="External"/><Relationship Id="rId21" Type="http://schemas.openxmlformats.org/officeDocument/2006/relationships/hyperlink" Target="mailto:khaemwaset@yahoo.co.uk" TargetMode="External"/><Relationship Id="rId34" Type="http://schemas.openxmlformats.org/officeDocument/2006/relationships/hyperlink" Target="mailto:mandrelaw@aol.com" TargetMode="External"/><Relationship Id="rId42" Type="http://schemas.openxmlformats.org/officeDocument/2006/relationships/hyperlink" Target="mailto:abeveridge@alixpartners.com" TargetMode="External"/><Relationship Id="rId47" Type="http://schemas.openxmlformats.org/officeDocument/2006/relationships/hyperlink" Target="mailto:ww@onesquareadvisers.com" TargetMode="External"/><Relationship Id="rId50" Type="http://schemas.openxmlformats.org/officeDocument/2006/relationships/hyperlink" Target="mailto:csserra@gmail.com" TargetMode="External"/><Relationship Id="rId55" Type="http://schemas.openxmlformats.org/officeDocument/2006/relationships/hyperlink" Target="mailto:hbusshardt@schubra.de" TargetMode="External"/><Relationship Id="rId63" Type="http://schemas.openxmlformats.org/officeDocument/2006/relationships/hyperlink" Target="mailto:irina.sarcane@sarcane.ro" TargetMode="External"/><Relationship Id="rId68" Type="http://schemas.openxmlformats.org/officeDocument/2006/relationships/hyperlink" Target="mailto:jtv@delacour.dk" TargetMode="External"/><Relationship Id="rId76" Type="http://schemas.openxmlformats.org/officeDocument/2006/relationships/hyperlink" Target="http://www.insol-europe.org/events" TargetMode="External"/><Relationship Id="rId84" Type="http://schemas.openxmlformats.org/officeDocument/2006/relationships/hyperlink" Target="http://www.insol-europe.org/technical-content/how-to-become-an-insolvency-practitioner-across-europe" TargetMode="External"/><Relationship Id="rId89" Type="http://schemas.openxmlformats.org/officeDocument/2006/relationships/hyperlink" Target="http://tinyurl.com/y7tf2zc4"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mailto:Signe.viimsalu@gmail.com" TargetMode="External"/><Relationship Id="rId92" Type="http://schemas.openxmlformats.org/officeDocument/2006/relationships/hyperlink" Target="http://www.insol-europe.org/" TargetMode="External"/><Relationship Id="rId2" Type="http://schemas.openxmlformats.org/officeDocument/2006/relationships/styles" Target="styles.xml"/><Relationship Id="rId16" Type="http://schemas.openxmlformats.org/officeDocument/2006/relationships/hyperlink" Target="mailto:carolinetaylor@insol-europe.org" TargetMode="External"/><Relationship Id="rId29" Type="http://schemas.openxmlformats.org/officeDocument/2006/relationships/hyperlink" Target="mailto:radu.lotrean@citr.ro" TargetMode="External"/><Relationship Id="rId11" Type="http://schemas.openxmlformats.org/officeDocument/2006/relationships/hyperlink" Target="mailto:radu.lotrean@citr.ro" TargetMode="External"/><Relationship Id="rId24" Type="http://schemas.openxmlformats.org/officeDocument/2006/relationships/hyperlink" Target="mailto:eitan@eitan-erez-law.com" TargetMode="External"/><Relationship Id="rId32" Type="http://schemas.openxmlformats.org/officeDocument/2006/relationships/hyperlink" Target="mailto:g.bazinas@bazinas.com" TargetMode="External"/><Relationship Id="rId37" Type="http://schemas.openxmlformats.org/officeDocument/2006/relationships/hyperlink" Target="mailto:sharris@uk.ey.com" TargetMode="External"/><Relationship Id="rId40" Type="http://schemas.openxmlformats.org/officeDocument/2006/relationships/hyperlink" Target="mailto:abach@goerg.de" TargetMode="External"/><Relationship Id="rId45" Type="http://schemas.openxmlformats.org/officeDocument/2006/relationships/hyperlink" Target="mailto:Ftschentscher@schubra.de" TargetMode="External"/><Relationship Id="rId53" Type="http://schemas.openxmlformats.org/officeDocument/2006/relationships/hyperlink" Target="mailto:floricasincu@insol-europe.org" TargetMode="External"/><Relationship Id="rId58" Type="http://schemas.openxmlformats.org/officeDocument/2006/relationships/hyperlink" Target="mailto:donat@gabinetebegur.com" TargetMode="External"/><Relationship Id="rId66" Type="http://schemas.openxmlformats.org/officeDocument/2006/relationships/hyperlink" Target="mailto:carolinetaylor@insol-europe.org" TargetMode="External"/><Relationship Id="rId74" Type="http://schemas.openxmlformats.org/officeDocument/2006/relationships/hyperlink" Target="mailto:eurofenix@mrp.uk.com" TargetMode="External"/><Relationship Id="rId79" Type="http://schemas.openxmlformats.org/officeDocument/2006/relationships/hyperlink" Target="http://www.linkedin.com" TargetMode="External"/><Relationship Id="rId87" Type="http://schemas.openxmlformats.org/officeDocument/2006/relationships/hyperlink" Target="http://www.insol-europe.org/technical-content/eir-reform-process" TargetMode="External"/><Relationship Id="rId5" Type="http://schemas.openxmlformats.org/officeDocument/2006/relationships/webSettings" Target="webSettings.xml"/><Relationship Id="rId61" Type="http://schemas.openxmlformats.org/officeDocument/2006/relationships/hyperlink" Target="mailto:guy.lofalk@lofalk.se" TargetMode="External"/><Relationship Id="rId82" Type="http://schemas.openxmlformats.org/officeDocument/2006/relationships/hyperlink" Target="http://www.insol-europe.org/technical-content/updated-insolvency-laws" TargetMode="External"/><Relationship Id="rId90" Type="http://schemas.openxmlformats.org/officeDocument/2006/relationships/hyperlink" Target="http://www.insol-europe.org/technical-content/insol-europe-studies" TargetMode="External"/><Relationship Id="rId95" Type="http://schemas.openxmlformats.org/officeDocument/2006/relationships/hyperlink" Target="mailto:hannahdenney@insol-europe.org" TargetMode="External"/><Relationship Id="rId19" Type="http://schemas.openxmlformats.org/officeDocument/2006/relationships/hyperlink" Target="mailto:wendycooper@insol-europe.org" TargetMode="External"/><Relationship Id="rId14" Type="http://schemas.openxmlformats.org/officeDocument/2006/relationships/hyperlink" Target="mailto:steffen.koch@hww-kanzlei.de" TargetMode="External"/><Relationship Id="rId22" Type="http://schemas.openxmlformats.org/officeDocument/2006/relationships/hyperlink" Target="mailto:technical@insol-europe.org" TargetMode="External"/><Relationship Id="rId27" Type="http://schemas.openxmlformats.org/officeDocument/2006/relationships/hyperlink" Target="mailto:rgismondi@gop.it" TargetMode="External"/><Relationship Id="rId30" Type="http://schemas.openxmlformats.org/officeDocument/2006/relationships/hyperlink" Target="mailto:evert.verwey@CliffordChance.com" TargetMode="External"/><Relationship Id="rId35" Type="http://schemas.openxmlformats.org/officeDocument/2006/relationships/hyperlink" Target="mailto:Fritz@hermann-law.com" TargetMode="External"/><Relationship Id="rId43" Type="http://schemas.openxmlformats.org/officeDocument/2006/relationships/hyperlink" Target="mailto:ottaway@hocheavocats.com" TargetMode="External"/><Relationship Id="rId48" Type="http://schemas.openxmlformats.org/officeDocument/2006/relationships/hyperlink" Target="mailto:JenniferL.L.Gant@gmail.com" TargetMode="External"/><Relationship Id="rId56" Type="http://schemas.openxmlformats.org/officeDocument/2006/relationships/hyperlink" Target="mailto:Gcherubini@explegal.it" TargetMode="External"/><Relationship Id="rId64" Type="http://schemas.openxmlformats.org/officeDocument/2006/relationships/hyperlink" Target="mailto:Daniel.staehelin@kelerhals-carrard.ch" TargetMode="External"/><Relationship Id="rId69" Type="http://schemas.openxmlformats.org/officeDocument/2006/relationships/hyperlink" Target="mailto:vallensjl@ymail.com" TargetMode="External"/><Relationship Id="rId77" Type="http://schemas.openxmlformats.org/officeDocument/2006/relationships/hyperlink" Target="mailto:jason@insol.ision.co.uk" TargetMode="External"/><Relationship Id="rId8" Type="http://schemas.openxmlformats.org/officeDocument/2006/relationships/image" Target="media/image1.jpeg"/><Relationship Id="rId51" Type="http://schemas.openxmlformats.org/officeDocument/2006/relationships/hyperlink" Target="mailto:technical@insol-europe.org" TargetMode="External"/><Relationship Id="rId72" Type="http://schemas.openxmlformats.org/officeDocument/2006/relationships/hyperlink" Target="mailto:floricasincu@insol-europe.org" TargetMode="External"/><Relationship Id="rId80" Type="http://schemas.openxmlformats.org/officeDocument/2006/relationships/hyperlink" Target="http://www.insol-europe.org/technical-content/glossaries/" TargetMode="External"/><Relationship Id="rId85" Type="http://schemas.openxmlformats.org/officeDocument/2006/relationships/hyperlink" Target="http://www.insol-europe.org/technical-content/national-insolvency-statistics" TargetMode="External"/><Relationship Id="rId93" Type="http://schemas.openxmlformats.org/officeDocument/2006/relationships/hyperlink" Target="mailto:paulnewson@insol-europe.org"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mailto:abeveridge@alixpartners.com" TargetMode="External"/><Relationship Id="rId17" Type="http://schemas.openxmlformats.org/officeDocument/2006/relationships/hyperlink" Target="mailto:floricasincu@insol-europe.org" TargetMode="External"/><Relationship Id="rId25" Type="http://schemas.openxmlformats.org/officeDocument/2006/relationships/hyperlink" Target="mailto:hvallender@t-online.de" TargetMode="External"/><Relationship Id="rId33" Type="http://schemas.openxmlformats.org/officeDocument/2006/relationships/hyperlink" Target="mailto:emmanuelleinacio@insol-europe.org" TargetMode="External"/><Relationship Id="rId38" Type="http://schemas.openxmlformats.org/officeDocument/2006/relationships/hyperlink" Target="mailto:sschellenberg@froriep.ch" TargetMode="External"/><Relationship Id="rId46" Type="http://schemas.openxmlformats.org/officeDocument/2006/relationships/hyperlink" Target="mailto:robert.vangalen@nautadutilh.com" TargetMode="External"/><Relationship Id="rId59" Type="http://schemas.openxmlformats.org/officeDocument/2006/relationships/hyperlink" Target="mailto:edvins.draba@sorainen.com" TargetMode="External"/><Relationship Id="rId67" Type="http://schemas.openxmlformats.org/officeDocument/2006/relationships/hyperlink" Target="mailto:michael.thierhoff@tmpartner.de" TargetMode="External"/><Relationship Id="rId20" Type="http://schemas.openxmlformats.org/officeDocument/2006/relationships/hyperlink" Target="mailto:hannahdenney@insol-europe.org" TargetMode="External"/><Relationship Id="rId41" Type="http://schemas.openxmlformats.org/officeDocument/2006/relationships/hyperlink" Target="mailto:florian.joseph@helaba.de" TargetMode="External"/><Relationship Id="rId54" Type="http://schemas.openxmlformats.org/officeDocument/2006/relationships/hyperlink" Target="mailto:lverrill@brownrudnick.com" TargetMode="External"/><Relationship Id="rId62" Type="http://schemas.openxmlformats.org/officeDocument/2006/relationships/hyperlink" Target="mailto:lowry@mcstayluby@luby.ie" TargetMode="External"/><Relationship Id="rId70" Type="http://schemas.openxmlformats.org/officeDocument/2006/relationships/hyperlink" Target="mailto:evert.verwey@cliffordchance.com" TargetMode="External"/><Relationship Id="rId75" Type="http://schemas.openxmlformats.org/officeDocument/2006/relationships/hyperlink" Target="mailto:pndesign@icloud.com" TargetMode="External"/><Relationship Id="rId83" Type="http://schemas.openxmlformats.org/officeDocument/2006/relationships/hyperlink" Target="http://www.insol-europe.org/technical-content/state-reports" TargetMode="External"/><Relationship Id="rId88" Type="http://schemas.openxmlformats.org/officeDocument/2006/relationships/hyperlink" Target="http://www.insolvencycases.eu" TargetMode="External"/><Relationship Id="rId91" Type="http://schemas.openxmlformats.org/officeDocument/2006/relationships/hyperlink" Target="http://www.insol-europe.org/about-us/about-our-working-groups"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chrislaughton@mercerhole.co.uk" TargetMode="External"/><Relationship Id="rId23" Type="http://schemas.openxmlformats.org/officeDocument/2006/relationships/hyperlink" Target="mailto:david.ingram@uk.gt.com" TargetMode="External"/><Relationship Id="rId28" Type="http://schemas.openxmlformats.org/officeDocument/2006/relationships/hyperlink" Target="mailto:ottaway@hocheavocats.com" TargetMode="External"/><Relationship Id="rId36" Type="http://schemas.openxmlformats.org/officeDocument/2006/relationships/hyperlink" Target="mailto:robert.haenel@anchor.eu" TargetMode="External"/><Relationship Id="rId49" Type="http://schemas.openxmlformats.org/officeDocument/2006/relationships/hyperlink" Target="mailto:frank.heemann@bnt.eu" TargetMode="External"/><Relationship Id="rId57" Type="http://schemas.openxmlformats.org/officeDocument/2006/relationships/hyperlink" Target="mailto:dconaway@slk-law.co" TargetMode="External"/><Relationship Id="rId10" Type="http://schemas.openxmlformats.org/officeDocument/2006/relationships/hyperlink" Target="http://www.insol-europe.org/" TargetMode="External"/><Relationship Id="rId31" Type="http://schemas.openxmlformats.org/officeDocument/2006/relationships/hyperlink" Target="mailto:ftschentscher@schubra.de" TargetMode="External"/><Relationship Id="rId44" Type="http://schemas.openxmlformats.org/officeDocument/2006/relationships/hyperlink" Target="mailto:david@drpartners.com" TargetMode="External"/><Relationship Id="rId52" Type="http://schemas.openxmlformats.org/officeDocument/2006/relationships/hyperlink" Target="mailto:paulnewson@pndesign.co.uk" TargetMode="External"/><Relationship Id="rId60" Type="http://schemas.openxmlformats.org/officeDocument/2006/relationships/hyperlink" Target="mailto:mgerber@opf-partners.com" TargetMode="External"/><Relationship Id="rId65" Type="http://schemas.openxmlformats.org/officeDocument/2006/relationships/hyperlink" Target="mailto:atashiro@schubra.de" TargetMode="External"/><Relationship Id="rId73" Type="http://schemas.openxmlformats.org/officeDocument/2006/relationships/hyperlink" Target="mailto:gamtrad@free.fr" TargetMode="External"/><Relationship Id="rId78" Type="http://schemas.openxmlformats.org/officeDocument/2006/relationships/hyperlink" Target="mailto:technical@insol-europe.org" TargetMode="External"/><Relationship Id="rId81" Type="http://schemas.openxmlformats.org/officeDocument/2006/relationships/hyperlink" Target="http://www.insol-europe.org/resources" TargetMode="External"/><Relationship Id="rId86" Type="http://schemas.openxmlformats.org/officeDocument/2006/relationships/hyperlink" Target="http://www.insol-europe.org/technical-content/national-case-law" TargetMode="External"/><Relationship Id="rId94" Type="http://schemas.openxmlformats.org/officeDocument/2006/relationships/hyperlink" Target="mailto:floricasincu@insol-europe.org"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inetaylor@insol-europe.org" TargetMode="External"/><Relationship Id="rId13" Type="http://schemas.openxmlformats.org/officeDocument/2006/relationships/hyperlink" Target="mailto:pmu@horten.dk" TargetMode="External"/><Relationship Id="rId18" Type="http://schemas.openxmlformats.org/officeDocument/2006/relationships/hyperlink" Target="mailto:paulnewson@insol-europe.org" TargetMode="External"/><Relationship Id="rId39" Type="http://schemas.openxmlformats.org/officeDocument/2006/relationships/hyperlink" Target="mailto:harang@hoch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27600</Words>
  <Characters>151804</Characters>
  <Application>Microsoft Office Word</Application>
  <DocSecurity>0</DocSecurity>
  <Lines>1265</Lines>
  <Paragraphs>358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vt:lpstr>    La revue d’INSOL Europe</vt:lpstr>
      <vt:lpstr>        S O M M A I R E</vt:lpstr>
    </vt:vector>
  </TitlesOfParts>
  <Company>Hewlett-Packard Company</Company>
  <LinksUpToDate>false</LinksUpToDate>
  <CharactersWithSpaces>179046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Florica</dc:creator>
  <cp:lastModifiedBy>Florica</cp:lastModifiedBy>
  <cp:revision>2</cp:revision>
  <dcterms:created xsi:type="dcterms:W3CDTF">2018-04-18T23:14:00Z</dcterms:created>
  <dcterms:modified xsi:type="dcterms:W3CDTF">2018-04-18T23:14:00Z</dcterms:modified>
</cp:coreProperties>
</file>