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B903CC" w:rsidRDefault="005D783E" w:rsidP="003C338F">
      <w:pPr>
        <w:tabs>
          <w:tab w:val="left" w:pos="474"/>
        </w:tabs>
        <w:spacing w:after="0"/>
        <w:contextualSpacing/>
        <w:rPr>
          <w:rFonts w:ascii="Times New Roman" w:hAnsi="Times New Roman"/>
          <w:sz w:val="24"/>
          <w:szCs w:val="24"/>
        </w:rPr>
      </w:pPr>
    </w:p>
    <w:p w14:paraId="39E9118B" w14:textId="561C5F5A" w:rsidR="00617533" w:rsidRPr="00B903CC" w:rsidRDefault="00492065" w:rsidP="008609CB">
      <w:pPr>
        <w:spacing w:after="0"/>
        <w:contextualSpacing/>
        <w:jc w:val="center"/>
        <w:rPr>
          <w:rFonts w:ascii="Times New Roman" w:hAnsi="Times New Roman"/>
          <w:b/>
          <w:sz w:val="24"/>
          <w:szCs w:val="24"/>
        </w:rPr>
      </w:pPr>
      <w:r w:rsidRPr="00B903CC">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903CC" w:rsidRDefault="00617533" w:rsidP="008609CB">
      <w:pPr>
        <w:spacing w:after="0"/>
        <w:contextualSpacing/>
        <w:jc w:val="center"/>
        <w:rPr>
          <w:rFonts w:ascii="Times New Roman" w:hAnsi="Times New Roman"/>
          <w:b/>
          <w:sz w:val="24"/>
          <w:szCs w:val="24"/>
        </w:rPr>
      </w:pPr>
    </w:p>
    <w:p w14:paraId="2C7EFD65" w14:textId="01BCF1F5" w:rsidR="00617533" w:rsidRPr="00B903CC" w:rsidRDefault="00617533" w:rsidP="008609CB">
      <w:pPr>
        <w:spacing w:after="0"/>
        <w:contextualSpacing/>
        <w:jc w:val="center"/>
        <w:rPr>
          <w:rFonts w:ascii="Times New Roman" w:hAnsi="Times New Roman"/>
          <w:b/>
          <w:sz w:val="36"/>
          <w:szCs w:val="36"/>
        </w:rPr>
      </w:pPr>
      <w:r w:rsidRPr="00B903CC">
        <w:rPr>
          <w:rFonts w:ascii="Times New Roman" w:hAnsi="Times New Roman"/>
          <w:b/>
          <w:sz w:val="36"/>
          <w:szCs w:val="36"/>
        </w:rPr>
        <w:t xml:space="preserve">Inside Story – </w:t>
      </w:r>
      <w:r w:rsidR="00183674">
        <w:rPr>
          <w:rFonts w:ascii="Times New Roman" w:hAnsi="Times New Roman"/>
          <w:b/>
          <w:sz w:val="36"/>
          <w:szCs w:val="36"/>
        </w:rPr>
        <w:t>March</w:t>
      </w:r>
      <w:r w:rsidR="00786CA6" w:rsidRPr="00B903CC">
        <w:rPr>
          <w:rFonts w:ascii="Times New Roman" w:hAnsi="Times New Roman"/>
          <w:b/>
          <w:sz w:val="36"/>
          <w:szCs w:val="36"/>
        </w:rPr>
        <w:t xml:space="preserve"> </w:t>
      </w:r>
      <w:r w:rsidRPr="00B903CC">
        <w:rPr>
          <w:rFonts w:ascii="Times New Roman" w:hAnsi="Times New Roman"/>
          <w:b/>
          <w:sz w:val="36"/>
          <w:szCs w:val="36"/>
        </w:rPr>
        <w:t>20</w:t>
      </w:r>
      <w:r w:rsidR="00782731" w:rsidRPr="00B903CC">
        <w:rPr>
          <w:rFonts w:ascii="Times New Roman" w:hAnsi="Times New Roman"/>
          <w:b/>
          <w:sz w:val="36"/>
          <w:szCs w:val="36"/>
        </w:rPr>
        <w:t>2</w:t>
      </w:r>
      <w:r w:rsidR="00183674">
        <w:rPr>
          <w:rFonts w:ascii="Times New Roman" w:hAnsi="Times New Roman"/>
          <w:b/>
          <w:sz w:val="36"/>
          <w:szCs w:val="36"/>
        </w:rPr>
        <w:t>4</w:t>
      </w:r>
    </w:p>
    <w:p w14:paraId="1ECBC4F0" w14:textId="77777777" w:rsidR="00617533" w:rsidRPr="00B903CC" w:rsidRDefault="00617533" w:rsidP="008609CB">
      <w:pPr>
        <w:spacing w:after="0"/>
        <w:contextualSpacing/>
        <w:jc w:val="center"/>
        <w:rPr>
          <w:rFonts w:ascii="Times New Roman" w:hAnsi="Times New Roman"/>
          <w:b/>
          <w:sz w:val="24"/>
          <w:szCs w:val="24"/>
        </w:rPr>
      </w:pPr>
    </w:p>
    <w:p w14:paraId="419043F1" w14:textId="6CC87C7A" w:rsidR="00640EFC" w:rsidRPr="00B903CC" w:rsidRDefault="00E26614" w:rsidP="00640EFC">
      <w:pPr>
        <w:spacing w:after="0"/>
        <w:jc w:val="center"/>
        <w:rPr>
          <w:rFonts w:ascii="Times New Roman" w:hAnsi="Times New Roman"/>
          <w:b/>
          <w:bCs/>
          <w:sz w:val="32"/>
          <w:szCs w:val="32"/>
        </w:rPr>
      </w:pPr>
      <w:r>
        <w:rPr>
          <w:rFonts w:ascii="Times New Roman" w:hAnsi="Times New Roman"/>
          <w:b/>
          <w:bCs/>
          <w:sz w:val="32"/>
          <w:szCs w:val="32"/>
        </w:rPr>
        <w:t>Transposition of the</w:t>
      </w:r>
      <w:r w:rsidR="0016531A">
        <w:rPr>
          <w:rFonts w:ascii="Times New Roman" w:hAnsi="Times New Roman"/>
          <w:b/>
          <w:bCs/>
          <w:sz w:val="32"/>
          <w:szCs w:val="32"/>
        </w:rPr>
        <w:t xml:space="preserve"> </w:t>
      </w:r>
      <w:r>
        <w:rPr>
          <w:rFonts w:ascii="Times New Roman" w:hAnsi="Times New Roman"/>
          <w:b/>
          <w:bCs/>
          <w:sz w:val="32"/>
          <w:szCs w:val="32"/>
        </w:rPr>
        <w:t xml:space="preserve">Preventive Restructuring </w:t>
      </w:r>
      <w:r w:rsidR="0016531A">
        <w:rPr>
          <w:rFonts w:ascii="Times New Roman" w:hAnsi="Times New Roman"/>
          <w:b/>
          <w:bCs/>
          <w:sz w:val="32"/>
          <w:szCs w:val="32"/>
        </w:rPr>
        <w:t xml:space="preserve">Directive </w:t>
      </w:r>
      <w:r>
        <w:rPr>
          <w:rFonts w:ascii="Times New Roman" w:hAnsi="Times New Roman"/>
          <w:b/>
          <w:bCs/>
          <w:sz w:val="32"/>
          <w:szCs w:val="32"/>
        </w:rPr>
        <w:t>into Ukrainian Law</w:t>
      </w:r>
    </w:p>
    <w:p w14:paraId="75DFE654" w14:textId="77777777" w:rsidR="00E71E7B" w:rsidRPr="00B903CC" w:rsidRDefault="00E71E7B" w:rsidP="008609CB">
      <w:pPr>
        <w:spacing w:after="0"/>
        <w:contextualSpacing/>
        <w:jc w:val="center"/>
        <w:rPr>
          <w:rFonts w:ascii="Times New Roman" w:hAnsi="Times New Roman"/>
          <w:sz w:val="24"/>
          <w:szCs w:val="24"/>
        </w:rPr>
      </w:pPr>
    </w:p>
    <w:p w14:paraId="0DAE9D3B" w14:textId="3D5E315B" w:rsidR="0011226B" w:rsidRPr="00B903CC" w:rsidRDefault="00183674" w:rsidP="0011226B">
      <w:pPr>
        <w:pStyle w:val="NoSpacing"/>
        <w:jc w:val="center"/>
        <w:rPr>
          <w:rFonts w:ascii="Times New Roman" w:hAnsi="Times New Roman" w:cs="Times New Roman"/>
          <w:i/>
          <w:iCs/>
          <w:sz w:val="24"/>
          <w:szCs w:val="24"/>
          <w:shd w:val="clear" w:color="auto" w:fill="FFFFFF"/>
          <w:lang w:val="en-GB"/>
        </w:rPr>
      </w:pPr>
      <w:r>
        <w:rPr>
          <w:rFonts w:ascii="Times New Roman" w:hAnsi="Times New Roman" w:cs="Times New Roman"/>
          <w:i/>
          <w:sz w:val="24"/>
          <w:szCs w:val="24"/>
          <w:lang w:val="en-GB"/>
        </w:rPr>
        <w:t xml:space="preserve">Oleksiy Kononov, </w:t>
      </w:r>
      <w:r w:rsidRPr="00F73518">
        <w:rPr>
          <w:rFonts w:ascii="Times New Roman" w:hAnsi="Times New Roman" w:cs="Times New Roman"/>
          <w:i/>
          <w:iCs/>
          <w:sz w:val="24"/>
          <w:szCs w:val="24"/>
          <w:lang w:val="en-GB"/>
        </w:rPr>
        <w:t>MSCA4Ukraine Post-</w:t>
      </w:r>
      <w:r>
        <w:rPr>
          <w:rFonts w:ascii="Times New Roman" w:hAnsi="Times New Roman" w:cs="Times New Roman"/>
          <w:i/>
          <w:iCs/>
          <w:sz w:val="24"/>
          <w:szCs w:val="24"/>
          <w:lang w:val="en-GB"/>
        </w:rPr>
        <w:t>D</w:t>
      </w:r>
      <w:r w:rsidRPr="00F73518">
        <w:rPr>
          <w:rFonts w:ascii="Times New Roman" w:hAnsi="Times New Roman" w:cs="Times New Roman"/>
          <w:i/>
          <w:iCs/>
          <w:sz w:val="24"/>
          <w:szCs w:val="24"/>
          <w:lang w:val="en-GB"/>
        </w:rPr>
        <w:t xml:space="preserve">octoral </w:t>
      </w:r>
      <w:r>
        <w:rPr>
          <w:rFonts w:ascii="Times New Roman" w:hAnsi="Times New Roman" w:cs="Times New Roman"/>
          <w:i/>
          <w:iCs/>
          <w:sz w:val="24"/>
          <w:szCs w:val="24"/>
          <w:lang w:val="en-GB"/>
        </w:rPr>
        <w:t>F</w:t>
      </w:r>
      <w:r w:rsidRPr="00F73518">
        <w:rPr>
          <w:rFonts w:ascii="Times New Roman" w:hAnsi="Times New Roman" w:cs="Times New Roman"/>
          <w:i/>
          <w:iCs/>
          <w:sz w:val="24"/>
          <w:szCs w:val="24"/>
          <w:lang w:val="en-GB"/>
        </w:rPr>
        <w:t>ellow</w:t>
      </w:r>
      <w:r>
        <w:rPr>
          <w:rFonts w:ascii="Times New Roman" w:hAnsi="Times New Roman" w:cs="Times New Roman"/>
          <w:i/>
          <w:iCs/>
          <w:sz w:val="24"/>
          <w:szCs w:val="24"/>
          <w:lang w:val="en-GB"/>
        </w:rPr>
        <w:t>,</w:t>
      </w:r>
      <w:r w:rsidRPr="00F73518">
        <w:rPr>
          <w:rFonts w:ascii="Times New Roman" w:hAnsi="Times New Roman" w:cs="Times New Roman"/>
          <w:i/>
          <w:iCs/>
          <w:sz w:val="24"/>
          <w:szCs w:val="24"/>
          <w:lang w:val="en-GB"/>
        </w:rPr>
        <w:t xml:space="preserve"> Faculty of Law, Economics and Finance (FDEF), University of Luxembourg</w:t>
      </w:r>
      <w:r w:rsidR="00640EFC" w:rsidRPr="00B903CC">
        <w:rPr>
          <w:rFonts w:ascii="Times New Roman" w:hAnsi="Times New Roman" w:cs="Times New Roman"/>
          <w:i/>
          <w:sz w:val="24"/>
          <w:szCs w:val="24"/>
          <w:lang w:val="en-GB"/>
        </w:rPr>
        <w:t xml:space="preserve">. </w:t>
      </w:r>
      <w:r w:rsidR="00640EFC" w:rsidRPr="00B903CC">
        <w:rPr>
          <w:rFonts w:ascii="Times New Roman" w:hAnsi="Times New Roman" w:cs="Times New Roman"/>
          <w:i/>
          <w:iCs/>
          <w:sz w:val="24"/>
          <w:szCs w:val="24"/>
          <w:shd w:val="clear" w:color="auto" w:fill="FFFFFF"/>
          <w:lang w:val="en-GB"/>
        </w:rPr>
        <w:t>Email: &lt;</w:t>
      </w:r>
      <w:r w:rsidR="004D7C11" w:rsidRPr="004D7C11">
        <w:rPr>
          <w:rFonts w:ascii="Times New Roman" w:hAnsi="Times New Roman" w:cs="Times New Roman"/>
          <w:i/>
          <w:iCs/>
          <w:color w:val="000000" w:themeColor="text1"/>
          <w:sz w:val="24"/>
          <w:szCs w:val="24"/>
          <w:lang w:val="en-GB"/>
        </w:rPr>
        <w:t>oleksiy.kononov@uni.lu</w:t>
      </w:r>
      <w:r w:rsidR="00640EFC" w:rsidRPr="00B903CC">
        <w:rPr>
          <w:rFonts w:ascii="Times New Roman" w:hAnsi="Times New Roman" w:cs="Times New Roman"/>
          <w:i/>
          <w:iCs/>
          <w:sz w:val="24"/>
          <w:szCs w:val="24"/>
          <w:shd w:val="clear" w:color="auto" w:fill="FFFFFF"/>
          <w:lang w:val="en-GB"/>
        </w:rPr>
        <w:t>&gt;</w:t>
      </w:r>
      <w:r w:rsidR="0011226B" w:rsidRPr="00B903CC">
        <w:rPr>
          <w:rFonts w:ascii="Times New Roman" w:hAnsi="Times New Roman" w:cs="Times New Roman"/>
          <w:i/>
          <w:iCs/>
          <w:sz w:val="24"/>
          <w:szCs w:val="24"/>
          <w:shd w:val="clear" w:color="auto" w:fill="FFFFFF"/>
          <w:lang w:val="en-GB"/>
        </w:rPr>
        <w:t>.</w:t>
      </w:r>
    </w:p>
    <w:p w14:paraId="716971A7" w14:textId="5C26573A" w:rsidR="00104015" w:rsidRPr="00B903CC" w:rsidRDefault="00104015" w:rsidP="00D90E9D">
      <w:pPr>
        <w:pStyle w:val="NoSpacing"/>
        <w:jc w:val="center"/>
        <w:rPr>
          <w:rFonts w:ascii="Times New Roman" w:hAnsi="Times New Roman" w:cs="Times New Roman"/>
          <w:i/>
          <w:iCs/>
          <w:shd w:val="clear" w:color="auto" w:fill="FFFFFF"/>
          <w:lang w:val="en-GB"/>
        </w:rPr>
      </w:pPr>
    </w:p>
    <w:p w14:paraId="127C267D" w14:textId="77777777" w:rsidR="00E71E7B" w:rsidRPr="000B09D3" w:rsidRDefault="00E71E7B" w:rsidP="001E7A6F">
      <w:pPr>
        <w:spacing w:after="0"/>
        <w:contextualSpacing/>
        <w:rPr>
          <w:rFonts w:ascii="Times New Roman" w:hAnsi="Times New Roman"/>
          <w:i/>
          <w:sz w:val="24"/>
          <w:szCs w:val="24"/>
        </w:rPr>
      </w:pPr>
    </w:p>
    <w:p w14:paraId="72C659A2" w14:textId="1AEB35D4" w:rsidR="00183674" w:rsidRPr="000B09D3" w:rsidRDefault="00E71E7B" w:rsidP="00E26614">
      <w:pPr>
        <w:spacing w:after="0"/>
        <w:contextualSpacing/>
        <w:rPr>
          <w:rFonts w:ascii="Times New Roman" w:hAnsi="Times New Roman"/>
          <w:sz w:val="24"/>
          <w:szCs w:val="24"/>
        </w:rPr>
      </w:pPr>
      <w:r w:rsidRPr="000B09D3">
        <w:rPr>
          <w:rFonts w:ascii="Times New Roman" w:hAnsi="Times New Roman"/>
          <w:i/>
          <w:iCs/>
          <w:sz w:val="24"/>
          <w:szCs w:val="24"/>
        </w:rPr>
        <w:t>Introduction</w:t>
      </w:r>
      <w:r w:rsidR="00183674" w:rsidRPr="000B09D3">
        <w:rPr>
          <w:rStyle w:val="FootnoteReference"/>
          <w:rFonts w:ascii="Times New Roman" w:hAnsi="Times New Roman"/>
          <w:i/>
          <w:iCs/>
          <w:sz w:val="24"/>
          <w:szCs w:val="24"/>
        </w:rPr>
        <w:footnoteReference w:id="2"/>
      </w:r>
    </w:p>
    <w:p w14:paraId="67CDE97A" w14:textId="77777777" w:rsidR="00E26614" w:rsidRPr="000B09D3" w:rsidRDefault="00E26614" w:rsidP="00E26614">
      <w:pPr>
        <w:spacing w:after="0"/>
        <w:rPr>
          <w:rFonts w:ascii="Times New Roman" w:hAnsi="Times New Roman"/>
          <w:sz w:val="24"/>
          <w:szCs w:val="24"/>
        </w:rPr>
      </w:pPr>
    </w:p>
    <w:p w14:paraId="3E6985E0" w14:textId="553F1FE8" w:rsidR="00E26614" w:rsidRPr="000B09D3" w:rsidRDefault="00183674" w:rsidP="00E26614">
      <w:pPr>
        <w:spacing w:after="0"/>
        <w:rPr>
          <w:rFonts w:ascii="Times New Roman" w:hAnsi="Times New Roman"/>
          <w:sz w:val="24"/>
          <w:szCs w:val="24"/>
        </w:rPr>
      </w:pPr>
      <w:r w:rsidRPr="000B09D3">
        <w:rPr>
          <w:rFonts w:ascii="Times New Roman" w:hAnsi="Times New Roman"/>
          <w:sz w:val="24"/>
          <w:szCs w:val="24"/>
        </w:rPr>
        <w:t xml:space="preserve">On 9 November 2023, the </w:t>
      </w:r>
      <w:r w:rsidR="00E26614" w:rsidRPr="000B09D3">
        <w:rPr>
          <w:rFonts w:ascii="Times New Roman" w:hAnsi="Times New Roman"/>
          <w:sz w:val="24"/>
          <w:szCs w:val="24"/>
        </w:rPr>
        <w:t>P</w:t>
      </w:r>
      <w:r w:rsidRPr="000B09D3">
        <w:rPr>
          <w:rFonts w:ascii="Times New Roman" w:hAnsi="Times New Roman"/>
          <w:sz w:val="24"/>
          <w:szCs w:val="24"/>
        </w:rPr>
        <w:t xml:space="preserve">arliamentary </w:t>
      </w:r>
      <w:r w:rsidR="00E26614" w:rsidRPr="000B09D3">
        <w:rPr>
          <w:rFonts w:ascii="Times New Roman" w:hAnsi="Times New Roman"/>
          <w:sz w:val="24"/>
          <w:szCs w:val="24"/>
        </w:rPr>
        <w:t>C</w:t>
      </w:r>
      <w:r w:rsidRPr="000B09D3">
        <w:rPr>
          <w:rFonts w:ascii="Times New Roman" w:hAnsi="Times New Roman"/>
          <w:sz w:val="24"/>
          <w:szCs w:val="24"/>
        </w:rPr>
        <w:t xml:space="preserve">ommittee for </w:t>
      </w:r>
      <w:r w:rsidR="00E26614" w:rsidRPr="000B09D3">
        <w:rPr>
          <w:rFonts w:ascii="Times New Roman" w:hAnsi="Times New Roman"/>
          <w:sz w:val="24"/>
          <w:szCs w:val="24"/>
        </w:rPr>
        <w:t>E</w:t>
      </w:r>
      <w:r w:rsidRPr="000B09D3">
        <w:rPr>
          <w:rFonts w:ascii="Times New Roman" w:hAnsi="Times New Roman"/>
          <w:sz w:val="24"/>
          <w:szCs w:val="24"/>
        </w:rPr>
        <w:t xml:space="preserve">conomic </w:t>
      </w:r>
      <w:r w:rsidR="00E26614" w:rsidRPr="000B09D3">
        <w:rPr>
          <w:rFonts w:ascii="Times New Roman" w:hAnsi="Times New Roman"/>
          <w:sz w:val="24"/>
          <w:szCs w:val="24"/>
        </w:rPr>
        <w:t>D</w:t>
      </w:r>
      <w:r w:rsidRPr="000B09D3">
        <w:rPr>
          <w:rFonts w:ascii="Times New Roman" w:hAnsi="Times New Roman"/>
          <w:sz w:val="24"/>
          <w:szCs w:val="24"/>
        </w:rPr>
        <w:t>evelopment recommended the adoption of the Bill implementing the EU Preventive Restructuring Directive 2019/1023 (</w:t>
      </w:r>
      <w:r w:rsidR="000B09D3">
        <w:rPr>
          <w:rFonts w:ascii="Times New Roman" w:hAnsi="Times New Roman"/>
          <w:sz w:val="24"/>
          <w:szCs w:val="24"/>
        </w:rPr>
        <w:t>“</w:t>
      </w:r>
      <w:r w:rsidRPr="000B09D3">
        <w:rPr>
          <w:rFonts w:ascii="Times New Roman" w:hAnsi="Times New Roman"/>
          <w:sz w:val="24"/>
          <w:szCs w:val="24"/>
        </w:rPr>
        <w:t>Bill #10143</w:t>
      </w:r>
      <w:r w:rsidR="000B09D3">
        <w:rPr>
          <w:rFonts w:ascii="Times New Roman" w:hAnsi="Times New Roman"/>
          <w:sz w:val="24"/>
          <w:szCs w:val="24"/>
        </w:rPr>
        <w:t>”</w:t>
      </w:r>
      <w:r w:rsidRPr="000B09D3">
        <w:rPr>
          <w:rFonts w:ascii="Times New Roman" w:hAnsi="Times New Roman"/>
          <w:sz w:val="24"/>
          <w:szCs w:val="24"/>
        </w:rPr>
        <w:t>)</w:t>
      </w:r>
      <w:r w:rsidR="00E26614" w:rsidRPr="000B09D3">
        <w:rPr>
          <w:rStyle w:val="FootnoteReference"/>
          <w:rFonts w:ascii="Times New Roman" w:hAnsi="Times New Roman"/>
          <w:sz w:val="24"/>
          <w:szCs w:val="24"/>
        </w:rPr>
        <w:footnoteReference w:id="3"/>
      </w:r>
      <w:r w:rsidR="00E26614" w:rsidRPr="000B09D3">
        <w:rPr>
          <w:rFonts w:ascii="Times New Roman" w:hAnsi="Times New Roman"/>
          <w:sz w:val="24"/>
          <w:szCs w:val="24"/>
        </w:rPr>
        <w:t xml:space="preserve"> at the first reading. The next day, the Cabinet of Ministers of Ukraine presented its own (alternative) bill on the same subject (</w:t>
      </w:r>
      <w:r w:rsidR="000B09D3">
        <w:rPr>
          <w:rFonts w:ascii="Times New Roman" w:hAnsi="Times New Roman"/>
          <w:sz w:val="24"/>
          <w:szCs w:val="24"/>
        </w:rPr>
        <w:t>“</w:t>
      </w:r>
      <w:r w:rsidR="00E26614" w:rsidRPr="000B09D3">
        <w:rPr>
          <w:rFonts w:ascii="Times New Roman" w:hAnsi="Times New Roman"/>
          <w:sz w:val="24"/>
          <w:szCs w:val="24"/>
        </w:rPr>
        <w:t>Bill #10228</w:t>
      </w:r>
      <w:r w:rsidR="000B09D3">
        <w:rPr>
          <w:rFonts w:ascii="Times New Roman" w:hAnsi="Times New Roman"/>
          <w:sz w:val="24"/>
          <w:szCs w:val="24"/>
        </w:rPr>
        <w:t>”</w:t>
      </w:r>
      <w:r w:rsidR="00E26614" w:rsidRPr="000B09D3">
        <w:rPr>
          <w:rFonts w:ascii="Times New Roman" w:hAnsi="Times New Roman"/>
          <w:sz w:val="24"/>
          <w:szCs w:val="24"/>
        </w:rPr>
        <w:t>).</w:t>
      </w:r>
      <w:r w:rsidR="00E26614" w:rsidRPr="000B09D3">
        <w:rPr>
          <w:rStyle w:val="FootnoteReference"/>
          <w:rFonts w:ascii="Times New Roman" w:hAnsi="Times New Roman"/>
          <w:sz w:val="24"/>
          <w:szCs w:val="24"/>
        </w:rPr>
        <w:footnoteReference w:id="4"/>
      </w:r>
    </w:p>
    <w:p w14:paraId="0B90C12B" w14:textId="77777777" w:rsidR="00E26614" w:rsidRPr="000B09D3" w:rsidRDefault="00E26614" w:rsidP="00E26614">
      <w:pPr>
        <w:spacing w:after="0"/>
        <w:rPr>
          <w:rFonts w:ascii="Times New Roman" w:hAnsi="Times New Roman"/>
          <w:sz w:val="24"/>
          <w:szCs w:val="24"/>
        </w:rPr>
      </w:pPr>
    </w:p>
    <w:p w14:paraId="7141BD1C" w14:textId="63553B87"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The imminent transposition of Directive 2019/1023 (</w:t>
      </w:r>
      <w:r w:rsidR="000B09D3">
        <w:rPr>
          <w:rFonts w:ascii="Times New Roman" w:hAnsi="Times New Roman"/>
          <w:sz w:val="24"/>
          <w:szCs w:val="24"/>
        </w:rPr>
        <w:t>“</w:t>
      </w:r>
      <w:r w:rsidRPr="000B09D3">
        <w:rPr>
          <w:rFonts w:ascii="Times New Roman" w:hAnsi="Times New Roman"/>
          <w:sz w:val="24"/>
          <w:szCs w:val="24"/>
        </w:rPr>
        <w:t>PRD</w:t>
      </w:r>
      <w:r w:rsidR="000B09D3">
        <w:rPr>
          <w:rFonts w:ascii="Times New Roman" w:hAnsi="Times New Roman"/>
          <w:sz w:val="24"/>
          <w:szCs w:val="24"/>
        </w:rPr>
        <w:t>”</w:t>
      </w:r>
      <w:r w:rsidRPr="000B09D3">
        <w:rPr>
          <w:rFonts w:ascii="Times New Roman" w:hAnsi="Times New Roman"/>
          <w:sz w:val="24"/>
          <w:szCs w:val="24"/>
        </w:rPr>
        <w:t>) into Ukrainian law is driven by several factors:</w:t>
      </w:r>
    </w:p>
    <w:p w14:paraId="3BE0DCA8" w14:textId="77777777" w:rsidR="00E26614" w:rsidRPr="000B09D3" w:rsidRDefault="00E26614" w:rsidP="00E26614">
      <w:pPr>
        <w:spacing w:after="0"/>
        <w:rPr>
          <w:rFonts w:ascii="Times New Roman" w:hAnsi="Times New Roman"/>
          <w:sz w:val="24"/>
          <w:szCs w:val="24"/>
        </w:rPr>
      </w:pPr>
    </w:p>
    <w:p w14:paraId="0200DA1B" w14:textId="49DCB476" w:rsidR="00E26614" w:rsidRPr="000B09D3" w:rsidRDefault="00E26614" w:rsidP="00BA791F">
      <w:pPr>
        <w:pStyle w:val="ListParagraph"/>
        <w:numPr>
          <w:ilvl w:val="0"/>
          <w:numId w:val="7"/>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Ukraine</w:t>
      </w:r>
      <w:r w:rsidR="000B09D3">
        <w:rPr>
          <w:rFonts w:ascii="Times New Roman" w:hAnsi="Times New Roman" w:cs="Times New Roman"/>
          <w:sz w:val="24"/>
          <w:szCs w:val="24"/>
          <w:lang w:val="en-GB"/>
        </w:rPr>
        <w:t>’</w:t>
      </w:r>
      <w:r w:rsidRPr="000B09D3">
        <w:rPr>
          <w:rFonts w:ascii="Times New Roman" w:hAnsi="Times New Roman" w:cs="Times New Roman"/>
          <w:sz w:val="24"/>
          <w:szCs w:val="24"/>
          <w:lang w:val="en-GB"/>
        </w:rPr>
        <w:t xml:space="preserve">s attainment of candidate status for EU membership in June 2023 mandates compliance with the PRD as part of the EU </w:t>
      </w:r>
      <w:r w:rsidRPr="000B09D3">
        <w:rPr>
          <w:rFonts w:ascii="Times New Roman" w:hAnsi="Times New Roman" w:cs="Times New Roman"/>
          <w:i/>
          <w:iCs/>
          <w:sz w:val="24"/>
          <w:szCs w:val="24"/>
          <w:lang w:val="en-GB"/>
        </w:rPr>
        <w:t>acquis</w:t>
      </w:r>
      <w:r w:rsidRPr="000B09D3">
        <w:rPr>
          <w:rFonts w:ascii="Times New Roman" w:hAnsi="Times New Roman" w:cs="Times New Roman"/>
          <w:sz w:val="24"/>
          <w:szCs w:val="24"/>
          <w:lang w:val="en-GB"/>
        </w:rPr>
        <w:t>;</w:t>
      </w:r>
      <w:r w:rsidRPr="000B09D3">
        <w:rPr>
          <w:rStyle w:val="FootnoteReference"/>
          <w:rFonts w:ascii="Times New Roman" w:hAnsi="Times New Roman" w:cs="Times New Roman"/>
          <w:sz w:val="24"/>
          <w:szCs w:val="24"/>
          <w:lang w:val="en-GB"/>
        </w:rPr>
        <w:footnoteReference w:id="5"/>
      </w:r>
    </w:p>
    <w:p w14:paraId="75BBE5E4" w14:textId="77777777" w:rsidR="00E26614" w:rsidRPr="000B09D3" w:rsidRDefault="00E26614" w:rsidP="00BA791F">
      <w:pPr>
        <w:pStyle w:val="ListParagraph"/>
        <w:numPr>
          <w:ilvl w:val="0"/>
          <w:numId w:val="7"/>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lastRenderedPageBreak/>
        <w:t>Fulfilling conditions for micro-financial assistance in 2023, crucial during wartime, necessitates legislation aligning with PRD principles to enhance corporate bankruptcy and insolvency regimes, allowing for full debt discharge;</w:t>
      </w:r>
      <w:r w:rsidRPr="000B09D3">
        <w:rPr>
          <w:rStyle w:val="FootnoteReference"/>
          <w:rFonts w:ascii="Times New Roman" w:hAnsi="Times New Roman" w:cs="Times New Roman"/>
          <w:sz w:val="24"/>
          <w:szCs w:val="24"/>
          <w:lang w:val="en-GB"/>
        </w:rPr>
        <w:footnoteReference w:id="6"/>
      </w:r>
    </w:p>
    <w:p w14:paraId="446F62DA" w14:textId="3BCDA47E" w:rsidR="00E26614" w:rsidRPr="000B09D3" w:rsidRDefault="00E26614" w:rsidP="00BA791F">
      <w:pPr>
        <w:pStyle w:val="ListParagraph"/>
        <w:numPr>
          <w:ilvl w:val="0"/>
          <w:numId w:val="7"/>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Transposition is integral to the Roadmap for Capacity-Building Activities designed to facilitate the implementation of the Code of Ukraine on Bankruptcy Procedures adopted by the Ministry of Justice in September 2023;</w:t>
      </w:r>
      <w:r w:rsidRPr="000B09D3">
        <w:rPr>
          <w:rStyle w:val="FootnoteReference"/>
          <w:rFonts w:ascii="Times New Roman" w:hAnsi="Times New Roman" w:cs="Times New Roman"/>
          <w:sz w:val="24"/>
          <w:szCs w:val="24"/>
          <w:lang w:val="en-GB"/>
        </w:rPr>
        <w:footnoteReference w:id="7"/>
      </w:r>
      <w:r w:rsidR="000B09D3">
        <w:rPr>
          <w:rFonts w:ascii="Times New Roman" w:hAnsi="Times New Roman" w:cs="Times New Roman"/>
          <w:sz w:val="24"/>
          <w:szCs w:val="24"/>
          <w:lang w:val="en-GB"/>
        </w:rPr>
        <w:t xml:space="preserve"> and</w:t>
      </w:r>
    </w:p>
    <w:p w14:paraId="00301BE4" w14:textId="55EE397D" w:rsidR="00E26614" w:rsidRPr="000B09D3" w:rsidRDefault="00E26614" w:rsidP="00BA791F">
      <w:pPr>
        <w:pStyle w:val="ListParagraph"/>
        <w:numPr>
          <w:ilvl w:val="0"/>
          <w:numId w:val="7"/>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The European Commission</w:t>
      </w:r>
      <w:r w:rsidR="000B09D3">
        <w:rPr>
          <w:rFonts w:ascii="Times New Roman" w:hAnsi="Times New Roman" w:cs="Times New Roman"/>
          <w:sz w:val="24"/>
          <w:szCs w:val="24"/>
          <w:lang w:val="en-GB"/>
        </w:rPr>
        <w:t>’</w:t>
      </w:r>
      <w:r w:rsidRPr="000B09D3">
        <w:rPr>
          <w:rFonts w:ascii="Times New Roman" w:hAnsi="Times New Roman" w:cs="Times New Roman"/>
          <w:sz w:val="24"/>
          <w:szCs w:val="24"/>
          <w:lang w:val="en-GB"/>
        </w:rPr>
        <w:t>s November 2023 emphasis on the imperative of enhancing Ukraine</w:t>
      </w:r>
      <w:r w:rsidR="000B09D3">
        <w:rPr>
          <w:rFonts w:ascii="Times New Roman" w:hAnsi="Times New Roman" w:cs="Times New Roman"/>
          <w:sz w:val="24"/>
          <w:szCs w:val="24"/>
          <w:lang w:val="en-GB"/>
        </w:rPr>
        <w:t>’</w:t>
      </w:r>
      <w:r w:rsidRPr="000B09D3">
        <w:rPr>
          <w:rFonts w:ascii="Times New Roman" w:hAnsi="Times New Roman" w:cs="Times New Roman"/>
          <w:sz w:val="24"/>
          <w:szCs w:val="24"/>
          <w:lang w:val="en-GB"/>
        </w:rPr>
        <w:t xml:space="preserve">s bankruptcy legislation further underscores the urgency of </w:t>
      </w:r>
      <w:r w:rsidR="000B09D3">
        <w:rPr>
          <w:rFonts w:ascii="Times New Roman" w:hAnsi="Times New Roman" w:cs="Times New Roman"/>
          <w:sz w:val="24"/>
          <w:szCs w:val="24"/>
          <w:lang w:val="en-GB"/>
        </w:rPr>
        <w:t xml:space="preserve">the </w:t>
      </w:r>
      <w:r w:rsidRPr="000B09D3">
        <w:rPr>
          <w:rFonts w:ascii="Times New Roman" w:hAnsi="Times New Roman" w:cs="Times New Roman"/>
          <w:sz w:val="24"/>
          <w:szCs w:val="24"/>
          <w:lang w:val="en-GB"/>
        </w:rPr>
        <w:t>transposition</w:t>
      </w:r>
      <w:r w:rsidR="000B09D3">
        <w:rPr>
          <w:rFonts w:ascii="Times New Roman" w:hAnsi="Times New Roman" w:cs="Times New Roman"/>
          <w:sz w:val="24"/>
          <w:szCs w:val="24"/>
          <w:lang w:val="en-GB"/>
        </w:rPr>
        <w:t xml:space="preserve"> of the PRD</w:t>
      </w:r>
      <w:r w:rsidRPr="000B09D3">
        <w:rPr>
          <w:rFonts w:ascii="Times New Roman" w:hAnsi="Times New Roman" w:cs="Times New Roman"/>
          <w:sz w:val="24"/>
          <w:szCs w:val="24"/>
          <w:lang w:val="en-GB"/>
        </w:rPr>
        <w:t>.</w:t>
      </w:r>
      <w:r w:rsidRPr="000B09D3">
        <w:rPr>
          <w:rStyle w:val="FootnoteReference"/>
          <w:rFonts w:ascii="Times New Roman" w:hAnsi="Times New Roman" w:cs="Times New Roman"/>
          <w:sz w:val="24"/>
          <w:szCs w:val="24"/>
          <w:lang w:val="en-GB"/>
        </w:rPr>
        <w:footnoteReference w:id="8"/>
      </w:r>
    </w:p>
    <w:p w14:paraId="04BC2A50" w14:textId="77777777" w:rsidR="008034E6" w:rsidRPr="000B09D3" w:rsidRDefault="008034E6" w:rsidP="00E26614">
      <w:pPr>
        <w:spacing w:after="0"/>
        <w:rPr>
          <w:rFonts w:ascii="Times New Roman" w:hAnsi="Times New Roman"/>
          <w:sz w:val="24"/>
          <w:szCs w:val="24"/>
        </w:rPr>
      </w:pPr>
    </w:p>
    <w:p w14:paraId="50AAB35F" w14:textId="2F205F9B"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It is important to keep in mind that the conditions for providing micro-financial assistance for 2023 required Ukraine to implement the PRD by the end of 2023, and it appears that the country failed to meet that deadline. Given the complexity of preventive restructuring and Ukraine</w:t>
      </w:r>
      <w:r w:rsidR="000B09D3">
        <w:rPr>
          <w:rFonts w:ascii="Times New Roman" w:hAnsi="Times New Roman"/>
          <w:sz w:val="24"/>
          <w:szCs w:val="24"/>
        </w:rPr>
        <w:t>’</w:t>
      </w:r>
      <w:r w:rsidRPr="000B09D3">
        <w:rPr>
          <w:rFonts w:ascii="Times New Roman" w:hAnsi="Times New Roman"/>
          <w:sz w:val="24"/>
          <w:szCs w:val="24"/>
        </w:rPr>
        <w:t>s unique situation of having to transpose the PRD during wartime, the failure to meet the deadline is not surprising. What remains clear is that the transposition of the PRD will occur sooner or later, and the bills tabled in Parliament provide a certain idea of how the Ukrainian restructuring procedure may ultimately look.</w:t>
      </w:r>
    </w:p>
    <w:p w14:paraId="3FB03089" w14:textId="77777777" w:rsidR="00E26614" w:rsidRPr="000B09D3" w:rsidRDefault="00E26614" w:rsidP="00E26614">
      <w:pPr>
        <w:spacing w:after="0"/>
        <w:rPr>
          <w:rFonts w:ascii="Segoe UI" w:hAnsi="Segoe UI" w:cs="Segoe UI"/>
          <w:color w:val="374151"/>
        </w:rPr>
      </w:pPr>
    </w:p>
    <w:p w14:paraId="6542C4A5" w14:textId="2280A454" w:rsidR="00E26614" w:rsidRPr="000B09D3" w:rsidRDefault="00E26614" w:rsidP="00E26614">
      <w:pPr>
        <w:spacing w:after="0"/>
        <w:rPr>
          <w:rFonts w:ascii="Times New Roman" w:hAnsi="Times New Roman"/>
          <w:i/>
          <w:iCs/>
          <w:sz w:val="24"/>
          <w:szCs w:val="24"/>
        </w:rPr>
      </w:pPr>
      <w:r w:rsidRPr="000B09D3">
        <w:rPr>
          <w:rFonts w:ascii="Times New Roman" w:hAnsi="Times New Roman"/>
          <w:i/>
          <w:iCs/>
          <w:sz w:val="24"/>
          <w:szCs w:val="24"/>
        </w:rPr>
        <w:t xml:space="preserve">Existing restructuring framework </w:t>
      </w:r>
      <w:r w:rsidR="008034E6" w:rsidRPr="000B09D3">
        <w:rPr>
          <w:rFonts w:ascii="Times New Roman" w:hAnsi="Times New Roman"/>
          <w:i/>
          <w:iCs/>
          <w:sz w:val="24"/>
          <w:szCs w:val="24"/>
        </w:rPr>
        <w:t>and</w:t>
      </w:r>
      <w:r w:rsidRPr="000B09D3">
        <w:rPr>
          <w:rFonts w:ascii="Times New Roman" w:hAnsi="Times New Roman"/>
          <w:i/>
          <w:iCs/>
          <w:sz w:val="24"/>
          <w:szCs w:val="24"/>
        </w:rPr>
        <w:t xml:space="preserve"> problems</w:t>
      </w:r>
    </w:p>
    <w:p w14:paraId="1520D382" w14:textId="77777777" w:rsidR="008034E6" w:rsidRPr="000B09D3" w:rsidRDefault="008034E6" w:rsidP="00E26614">
      <w:pPr>
        <w:spacing w:after="0"/>
        <w:rPr>
          <w:rFonts w:ascii="Times New Roman" w:hAnsi="Times New Roman"/>
          <w:sz w:val="24"/>
          <w:szCs w:val="24"/>
        </w:rPr>
      </w:pPr>
    </w:p>
    <w:p w14:paraId="4D7ED5B7" w14:textId="1723FBF7"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Preventive restructuring is not a new concept for Ukraine. Article 5 of the Bankruptcy Code (</w:t>
      </w:r>
      <w:r w:rsidR="000B09D3">
        <w:rPr>
          <w:rFonts w:ascii="Times New Roman" w:hAnsi="Times New Roman"/>
          <w:sz w:val="24"/>
          <w:szCs w:val="24"/>
        </w:rPr>
        <w:t>“</w:t>
      </w:r>
      <w:r w:rsidRPr="000B09D3">
        <w:rPr>
          <w:rFonts w:ascii="Times New Roman" w:hAnsi="Times New Roman"/>
          <w:sz w:val="24"/>
          <w:szCs w:val="24"/>
        </w:rPr>
        <w:t>BCU</w:t>
      </w:r>
      <w:r w:rsidR="000B09D3">
        <w:rPr>
          <w:rFonts w:ascii="Times New Roman" w:hAnsi="Times New Roman"/>
          <w:sz w:val="24"/>
          <w:szCs w:val="24"/>
        </w:rPr>
        <w:t>”</w:t>
      </w:r>
      <w:r w:rsidRPr="000B09D3">
        <w:rPr>
          <w:rFonts w:ascii="Times New Roman" w:hAnsi="Times New Roman"/>
          <w:sz w:val="24"/>
          <w:szCs w:val="24"/>
        </w:rPr>
        <w:t>)</w:t>
      </w:r>
      <w:r w:rsidRPr="000B09D3">
        <w:rPr>
          <w:rStyle w:val="FootnoteReference"/>
          <w:rFonts w:ascii="Times New Roman" w:hAnsi="Times New Roman"/>
          <w:sz w:val="24"/>
          <w:szCs w:val="24"/>
        </w:rPr>
        <w:footnoteReference w:id="9"/>
      </w:r>
      <w:r w:rsidRPr="000B09D3">
        <w:rPr>
          <w:rFonts w:ascii="Times New Roman" w:hAnsi="Times New Roman"/>
          <w:sz w:val="24"/>
          <w:szCs w:val="24"/>
        </w:rPr>
        <w:t xml:space="preserve"> outlines procedures for the so-called </w:t>
      </w:r>
      <w:r w:rsidR="000B09D3">
        <w:rPr>
          <w:rFonts w:ascii="Times New Roman" w:hAnsi="Times New Roman"/>
          <w:sz w:val="24"/>
          <w:szCs w:val="24"/>
        </w:rPr>
        <w:t>“</w:t>
      </w:r>
      <w:r w:rsidRPr="000B09D3">
        <w:rPr>
          <w:rFonts w:ascii="Times New Roman" w:hAnsi="Times New Roman"/>
          <w:sz w:val="24"/>
          <w:szCs w:val="24"/>
        </w:rPr>
        <w:t>pre-trial rehabilitation</w:t>
      </w:r>
      <w:r w:rsidR="000B09D3">
        <w:rPr>
          <w:rFonts w:ascii="Times New Roman" w:hAnsi="Times New Roman"/>
          <w:sz w:val="24"/>
          <w:szCs w:val="24"/>
        </w:rPr>
        <w:t>”.</w:t>
      </w:r>
      <w:r w:rsidRPr="000B09D3">
        <w:rPr>
          <w:rFonts w:ascii="Times New Roman" w:hAnsi="Times New Roman"/>
          <w:sz w:val="24"/>
          <w:szCs w:val="24"/>
        </w:rPr>
        <w:t xml:space="preserve"> Pre-trial rehabilitation in many respects resembles the English scheme of arrangement,</w:t>
      </w:r>
      <w:r w:rsidRPr="000B09D3">
        <w:rPr>
          <w:rStyle w:val="FootnoteReference"/>
          <w:rFonts w:ascii="Times New Roman" w:hAnsi="Times New Roman"/>
          <w:sz w:val="24"/>
          <w:szCs w:val="24"/>
        </w:rPr>
        <w:footnoteReference w:id="10"/>
      </w:r>
      <w:r w:rsidRPr="000B09D3">
        <w:rPr>
          <w:rFonts w:ascii="Times New Roman" w:hAnsi="Times New Roman"/>
          <w:sz w:val="24"/>
          <w:szCs w:val="24"/>
        </w:rPr>
        <w:t xml:space="preserve"> and involves the development of a rehabilitation plan, its prior approval by creditors, and further sanctioning of the plan by the respective commercial court. In essence, the existing procedure is essentially compelling creditors to adhere to a rehabilitation plan developed by the debtor under the strict supervision of the court.</w:t>
      </w:r>
    </w:p>
    <w:p w14:paraId="20AFBEB0" w14:textId="77777777" w:rsidR="008034E6" w:rsidRPr="000B09D3" w:rsidRDefault="008034E6" w:rsidP="00E26614">
      <w:pPr>
        <w:spacing w:after="0"/>
        <w:rPr>
          <w:rFonts w:ascii="Times New Roman" w:hAnsi="Times New Roman"/>
          <w:sz w:val="24"/>
          <w:szCs w:val="24"/>
        </w:rPr>
      </w:pPr>
    </w:p>
    <w:p w14:paraId="15D9BD47" w14:textId="60A0711C"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According to the drafters of Bill #10143, the existing regulations do not provide clarity for their practical application, contain numerous contradictions with other provisions of the Code, and lack clear guarantees for debtors and creditors, which could have ensured the debtor</w:t>
      </w:r>
      <w:r w:rsidR="000B09D3">
        <w:rPr>
          <w:rFonts w:ascii="Times New Roman" w:hAnsi="Times New Roman"/>
          <w:sz w:val="24"/>
          <w:szCs w:val="24"/>
        </w:rPr>
        <w:t>’</w:t>
      </w:r>
      <w:r w:rsidRPr="000B09D3">
        <w:rPr>
          <w:rFonts w:ascii="Times New Roman" w:hAnsi="Times New Roman"/>
          <w:sz w:val="24"/>
          <w:szCs w:val="24"/>
        </w:rPr>
        <w:t>s rehabilitation before initiating bankruptcy procedures.</w:t>
      </w:r>
      <w:r w:rsidRPr="000B09D3">
        <w:rPr>
          <w:rStyle w:val="FootnoteReference"/>
          <w:rFonts w:ascii="Times New Roman" w:hAnsi="Times New Roman"/>
          <w:sz w:val="24"/>
          <w:szCs w:val="24"/>
        </w:rPr>
        <w:footnoteReference w:id="11"/>
      </w:r>
      <w:r w:rsidRPr="000B09D3">
        <w:rPr>
          <w:rFonts w:ascii="Times New Roman" w:hAnsi="Times New Roman"/>
          <w:sz w:val="24"/>
          <w:szCs w:val="24"/>
        </w:rPr>
        <w:t xml:space="preserve"> Consequently, the existing pre-trial rehabilitation remains unpopular, with only 14 pre-trial rehabilitation plans approved by the courts between 2019 and late 2023.</w:t>
      </w:r>
      <w:r w:rsidRPr="000B09D3">
        <w:rPr>
          <w:rStyle w:val="FootnoteReference"/>
          <w:rFonts w:ascii="Times New Roman" w:hAnsi="Times New Roman"/>
          <w:sz w:val="24"/>
          <w:szCs w:val="24"/>
        </w:rPr>
        <w:footnoteReference w:id="12"/>
      </w:r>
    </w:p>
    <w:p w14:paraId="5D3F0091" w14:textId="77777777" w:rsidR="00E26614" w:rsidRPr="000B09D3" w:rsidRDefault="00E26614" w:rsidP="00E26614">
      <w:pPr>
        <w:spacing w:after="0"/>
        <w:rPr>
          <w:rFonts w:ascii="Segoe UI" w:hAnsi="Segoe UI" w:cs="Segoe UI"/>
          <w:color w:val="374151"/>
        </w:rPr>
      </w:pPr>
    </w:p>
    <w:p w14:paraId="5505A838" w14:textId="75AF8C23" w:rsidR="00E26614" w:rsidRPr="000B09D3" w:rsidRDefault="00E26614" w:rsidP="00E26614">
      <w:pPr>
        <w:spacing w:after="0"/>
        <w:rPr>
          <w:rFonts w:ascii="Times New Roman" w:hAnsi="Times New Roman"/>
          <w:i/>
          <w:iCs/>
          <w:sz w:val="24"/>
          <w:szCs w:val="24"/>
        </w:rPr>
      </w:pPr>
      <w:r w:rsidRPr="000B09D3">
        <w:rPr>
          <w:rFonts w:ascii="Times New Roman" w:hAnsi="Times New Roman"/>
          <w:i/>
          <w:iCs/>
          <w:sz w:val="24"/>
          <w:szCs w:val="24"/>
        </w:rPr>
        <w:t>Different approaches to smaller businesses</w:t>
      </w:r>
    </w:p>
    <w:p w14:paraId="17196A74" w14:textId="77777777" w:rsidR="008034E6" w:rsidRPr="000B09D3" w:rsidRDefault="008034E6" w:rsidP="00E26614">
      <w:pPr>
        <w:spacing w:after="0"/>
        <w:rPr>
          <w:rFonts w:ascii="Times New Roman" w:hAnsi="Times New Roman"/>
          <w:sz w:val="24"/>
          <w:szCs w:val="24"/>
        </w:rPr>
      </w:pPr>
    </w:p>
    <w:p w14:paraId="55135B9C" w14:textId="6A9FFF7E"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Bill #10143 is more radical compared to Bill #10228. It suggests a drastic revision of the BCU by introducing an entirely new section on preventive restructuring, with specific options available for micro and small enterprises, which are the most vulnerable to insolvency. Bill #10228 essentially transposes the minimum requirements of the PRD and offers no special solutions to micro and small enterprises.</w:t>
      </w:r>
    </w:p>
    <w:p w14:paraId="62AE65C2" w14:textId="77777777" w:rsidR="00E26614" w:rsidRPr="000B09D3" w:rsidRDefault="00E26614" w:rsidP="00E26614">
      <w:pPr>
        <w:spacing w:after="0"/>
        <w:rPr>
          <w:rFonts w:ascii="Times New Roman" w:hAnsi="Times New Roman"/>
          <w:sz w:val="24"/>
          <w:szCs w:val="24"/>
        </w:rPr>
      </w:pPr>
    </w:p>
    <w:p w14:paraId="5782A781" w14:textId="660330DC" w:rsidR="00E26614" w:rsidRPr="000B09D3" w:rsidRDefault="00E26614" w:rsidP="00E26614">
      <w:pPr>
        <w:spacing w:after="0"/>
        <w:rPr>
          <w:rFonts w:ascii="Times New Roman" w:hAnsi="Times New Roman"/>
          <w:i/>
          <w:iCs/>
          <w:sz w:val="24"/>
          <w:szCs w:val="24"/>
        </w:rPr>
      </w:pPr>
      <w:r w:rsidRPr="000B09D3">
        <w:rPr>
          <w:rFonts w:ascii="Times New Roman" w:hAnsi="Times New Roman"/>
          <w:i/>
          <w:iCs/>
          <w:sz w:val="24"/>
          <w:szCs w:val="24"/>
        </w:rPr>
        <w:t>Early warning tools</w:t>
      </w:r>
      <w:r w:rsidR="008034E6" w:rsidRPr="000B09D3">
        <w:rPr>
          <w:rFonts w:ascii="Times New Roman" w:hAnsi="Times New Roman"/>
          <w:i/>
          <w:iCs/>
          <w:sz w:val="24"/>
          <w:szCs w:val="24"/>
        </w:rPr>
        <w:t>;</w:t>
      </w:r>
      <w:r w:rsidRPr="000B09D3">
        <w:rPr>
          <w:rFonts w:ascii="Times New Roman" w:hAnsi="Times New Roman"/>
          <w:i/>
          <w:iCs/>
          <w:sz w:val="24"/>
          <w:szCs w:val="24"/>
        </w:rPr>
        <w:t xml:space="preserve"> Internet portal</w:t>
      </w:r>
    </w:p>
    <w:p w14:paraId="211C21A3" w14:textId="77777777" w:rsidR="008034E6" w:rsidRPr="000B09D3" w:rsidRDefault="008034E6" w:rsidP="00E26614">
      <w:pPr>
        <w:spacing w:after="0"/>
        <w:rPr>
          <w:rFonts w:ascii="Times New Roman" w:hAnsi="Times New Roman"/>
          <w:sz w:val="24"/>
          <w:szCs w:val="24"/>
        </w:rPr>
      </w:pPr>
    </w:p>
    <w:p w14:paraId="4A60EC82" w14:textId="518695E9"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Both bills propose detailed obligations for company management to inform equity holders about impending bankruptcy risks, with preventive restructuring as a recommended measure. Bill #10143 requires auditors, accountants, and lawyers to alert debtor management of insolvency indicators. However, neither bill specifies consequences for failing to notify equity holders or the debtor. It</w:t>
      </w:r>
      <w:r w:rsidR="000B09D3">
        <w:rPr>
          <w:rFonts w:ascii="Times New Roman" w:hAnsi="Times New Roman"/>
          <w:sz w:val="24"/>
          <w:szCs w:val="24"/>
        </w:rPr>
        <w:t xml:space="preserve"> is</w:t>
      </w:r>
      <w:r w:rsidRPr="000B09D3">
        <w:rPr>
          <w:rFonts w:ascii="Times New Roman" w:hAnsi="Times New Roman"/>
          <w:sz w:val="24"/>
          <w:szCs w:val="24"/>
        </w:rPr>
        <w:t xml:space="preserve"> unclear if executive agencies and municipal authorities will solely monitor state and municipal enterprises or have broader notification powers. Without clarity, these rules may remain moot in practice.</w:t>
      </w:r>
    </w:p>
    <w:p w14:paraId="4352D26B" w14:textId="77777777" w:rsidR="008034E6" w:rsidRPr="000B09D3" w:rsidRDefault="008034E6" w:rsidP="00E26614">
      <w:pPr>
        <w:spacing w:after="0"/>
        <w:rPr>
          <w:rFonts w:ascii="Times New Roman" w:hAnsi="Times New Roman"/>
          <w:sz w:val="24"/>
          <w:szCs w:val="24"/>
        </w:rPr>
      </w:pPr>
    </w:p>
    <w:p w14:paraId="035E1F9B" w14:textId="6B8867B4"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Another important and undoubtedly very useful novelty suggested by both bills is the extended authority of the Ministry of Justice on matters related to preventive restructuring. In particular, the ministry will be responsible for the development and maintenance of a dedicated web portal focused on preventing insolvency. This portal will offer information on early warning tools provided by public authorities, details about preventive restructuring measures and procedures, and comprehensive guidance.</w:t>
      </w:r>
    </w:p>
    <w:p w14:paraId="6AFF529C" w14:textId="77777777" w:rsidR="008034E6" w:rsidRPr="000B09D3" w:rsidRDefault="008034E6" w:rsidP="00E26614">
      <w:pPr>
        <w:spacing w:after="0"/>
        <w:rPr>
          <w:rFonts w:ascii="Times New Roman" w:hAnsi="Times New Roman"/>
          <w:sz w:val="24"/>
          <w:szCs w:val="24"/>
        </w:rPr>
      </w:pPr>
    </w:p>
    <w:p w14:paraId="4CEF31C2" w14:textId="7EC010BD"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The introduction of the web portal is promising</w:t>
      </w:r>
      <w:r w:rsidR="000B09D3">
        <w:rPr>
          <w:rFonts w:ascii="Times New Roman" w:hAnsi="Times New Roman"/>
          <w:sz w:val="24"/>
          <w:szCs w:val="24"/>
        </w:rPr>
        <w:t>:</w:t>
      </w:r>
      <w:r w:rsidRPr="000B09D3">
        <w:rPr>
          <w:rFonts w:ascii="Times New Roman" w:hAnsi="Times New Roman"/>
          <w:sz w:val="24"/>
          <w:szCs w:val="24"/>
        </w:rPr>
        <w:t xml:space="preserve"> it will provide much-needed assistance to debtors with limited resources and may become a new milestone for Ukrainian authorities in developing new digital tools for those in financial distress. However, the launch of such a portal entails expenditure</w:t>
      </w:r>
      <w:r w:rsidRPr="000B09D3">
        <w:rPr>
          <w:rStyle w:val="FootnoteReference"/>
          <w:rFonts w:ascii="Times New Roman" w:hAnsi="Times New Roman"/>
          <w:sz w:val="24"/>
          <w:szCs w:val="24"/>
        </w:rPr>
        <w:footnoteReference w:id="13"/>
      </w:r>
      <w:r w:rsidRPr="000B09D3">
        <w:rPr>
          <w:rFonts w:ascii="Times New Roman" w:hAnsi="Times New Roman"/>
          <w:sz w:val="24"/>
          <w:szCs w:val="24"/>
        </w:rPr>
        <w:t xml:space="preserve"> that </w:t>
      </w:r>
      <w:r w:rsidR="008034E6" w:rsidRPr="000B09D3">
        <w:rPr>
          <w:rFonts w:ascii="Times New Roman" w:hAnsi="Times New Roman"/>
          <w:sz w:val="24"/>
          <w:szCs w:val="24"/>
        </w:rPr>
        <w:t>is</w:t>
      </w:r>
      <w:r w:rsidRPr="000B09D3">
        <w:rPr>
          <w:rFonts w:ascii="Times New Roman" w:hAnsi="Times New Roman"/>
          <w:sz w:val="24"/>
          <w:szCs w:val="24"/>
        </w:rPr>
        <w:t xml:space="preserve"> hard to come by, given the state budget </w:t>
      </w:r>
      <w:r w:rsidR="008034E6" w:rsidRPr="000B09D3">
        <w:rPr>
          <w:rFonts w:ascii="Times New Roman" w:hAnsi="Times New Roman"/>
          <w:sz w:val="24"/>
          <w:szCs w:val="24"/>
        </w:rPr>
        <w:t xml:space="preserve">has been </w:t>
      </w:r>
      <w:r w:rsidRPr="000B09D3">
        <w:rPr>
          <w:rFonts w:ascii="Times New Roman" w:hAnsi="Times New Roman"/>
          <w:sz w:val="24"/>
          <w:szCs w:val="24"/>
        </w:rPr>
        <w:t>heavily exhausted by the ongoing war. This problem may not only delay the launch of the portal but also the adoption of either of the two bills into law.</w:t>
      </w:r>
    </w:p>
    <w:p w14:paraId="0F54BF03" w14:textId="77777777" w:rsidR="00E26614" w:rsidRPr="000B09D3" w:rsidRDefault="00E26614" w:rsidP="00E26614">
      <w:pPr>
        <w:spacing w:after="0"/>
        <w:rPr>
          <w:rFonts w:ascii="Times New Roman" w:hAnsi="Times New Roman"/>
          <w:sz w:val="24"/>
          <w:szCs w:val="24"/>
        </w:rPr>
      </w:pPr>
    </w:p>
    <w:p w14:paraId="4130A045" w14:textId="60110C01" w:rsidR="00E26614" w:rsidRPr="000B09D3" w:rsidRDefault="00E26614" w:rsidP="00E26614">
      <w:pPr>
        <w:spacing w:after="0"/>
        <w:rPr>
          <w:rFonts w:ascii="Times New Roman" w:hAnsi="Times New Roman"/>
          <w:i/>
          <w:iCs/>
          <w:sz w:val="24"/>
          <w:szCs w:val="24"/>
        </w:rPr>
      </w:pPr>
      <w:r w:rsidRPr="000B09D3">
        <w:rPr>
          <w:rFonts w:ascii="Times New Roman" w:hAnsi="Times New Roman"/>
          <w:i/>
          <w:iCs/>
          <w:sz w:val="24"/>
          <w:szCs w:val="24"/>
        </w:rPr>
        <w:t>Restructuring plans</w:t>
      </w:r>
    </w:p>
    <w:p w14:paraId="53C70BAA" w14:textId="77777777" w:rsidR="008034E6" w:rsidRPr="000B09D3" w:rsidRDefault="008034E6" w:rsidP="00E26614">
      <w:pPr>
        <w:spacing w:after="0"/>
        <w:rPr>
          <w:rFonts w:ascii="Times New Roman" w:hAnsi="Times New Roman"/>
          <w:sz w:val="24"/>
          <w:szCs w:val="24"/>
        </w:rPr>
      </w:pPr>
    </w:p>
    <w:p w14:paraId="01814A2B" w14:textId="294F2B42"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Both bills retain the option to employ procedures resembling the existing pre-trial rehabilitation in cases where the debtor already possesses a restructuring plan approved by creditors before applying to court. However, instead of mandating the submission of a plan pre-approved by creditors to the commercial court to initiate pre-trial rehabilitation, both bills propose that debtors can present a draft restructuring plan which can be meticulously negotiated with creditors and amended after the initiation of preventive restructuring. Both bills provide detailed requirements for creditors</w:t>
      </w:r>
      <w:r w:rsidR="000B09D3">
        <w:rPr>
          <w:rFonts w:ascii="Times New Roman" w:hAnsi="Times New Roman"/>
          <w:sz w:val="24"/>
          <w:szCs w:val="24"/>
        </w:rPr>
        <w:t>’</w:t>
      </w:r>
      <w:r w:rsidRPr="000B09D3">
        <w:rPr>
          <w:rFonts w:ascii="Times New Roman" w:hAnsi="Times New Roman"/>
          <w:sz w:val="24"/>
          <w:szCs w:val="24"/>
        </w:rPr>
        <w:t xml:space="preserve"> voting on the proposed plan and debtor</w:t>
      </w:r>
      <w:r w:rsidR="000B09D3">
        <w:rPr>
          <w:rFonts w:ascii="Times New Roman" w:hAnsi="Times New Roman"/>
          <w:sz w:val="24"/>
          <w:szCs w:val="24"/>
        </w:rPr>
        <w:t>’</w:t>
      </w:r>
      <w:r w:rsidRPr="000B09D3">
        <w:rPr>
          <w:rFonts w:ascii="Times New Roman" w:hAnsi="Times New Roman"/>
          <w:sz w:val="24"/>
          <w:szCs w:val="24"/>
        </w:rPr>
        <w:t>s reporting obligations, which would certainly eliminate problems of the lack of transparency inherent in the existing pre-trial rehabilitation.</w:t>
      </w:r>
    </w:p>
    <w:p w14:paraId="5806F197" w14:textId="77777777" w:rsidR="00E26614" w:rsidRPr="000B09D3" w:rsidRDefault="00E26614" w:rsidP="00E26614">
      <w:pPr>
        <w:spacing w:after="0"/>
        <w:rPr>
          <w:rFonts w:ascii="Times New Roman" w:hAnsi="Times New Roman"/>
          <w:sz w:val="24"/>
          <w:szCs w:val="24"/>
        </w:rPr>
      </w:pPr>
    </w:p>
    <w:p w14:paraId="1D6F20E0" w14:textId="18EC336E" w:rsidR="00E26614" w:rsidRPr="000B09D3" w:rsidRDefault="00E26614" w:rsidP="00E26614">
      <w:pPr>
        <w:spacing w:after="0"/>
        <w:rPr>
          <w:rFonts w:ascii="Times New Roman" w:hAnsi="Times New Roman"/>
          <w:sz w:val="24"/>
          <w:szCs w:val="24"/>
        </w:rPr>
      </w:pPr>
      <w:r w:rsidRPr="000B09D3">
        <w:rPr>
          <w:rFonts w:ascii="Times New Roman" w:hAnsi="Times New Roman"/>
          <w:sz w:val="24"/>
          <w:szCs w:val="24"/>
        </w:rPr>
        <w:t xml:space="preserve">Unlike existing pre-trial rehabilitation procedures, debtors will be able to initiate preventive restructuring without presenting a plan to the court. Instead, a preventive restructuring trustee, chosen from arbitration managers, will be mandatory to assist in plan development. Bill </w:t>
      </w:r>
      <w:r w:rsidRPr="000B09D3">
        <w:rPr>
          <w:rFonts w:ascii="Times New Roman" w:hAnsi="Times New Roman"/>
          <w:sz w:val="24"/>
          <w:szCs w:val="24"/>
        </w:rPr>
        <w:lastRenderedPageBreak/>
        <w:t xml:space="preserve">#10143 allows micro and small enterprises to submit a concise </w:t>
      </w:r>
      <w:r w:rsidR="000B09D3">
        <w:rPr>
          <w:rFonts w:ascii="Times New Roman" w:hAnsi="Times New Roman"/>
          <w:sz w:val="24"/>
          <w:szCs w:val="24"/>
        </w:rPr>
        <w:t>‘</w:t>
      </w:r>
      <w:r w:rsidRPr="000B09D3">
        <w:rPr>
          <w:rFonts w:ascii="Times New Roman" w:hAnsi="Times New Roman"/>
          <w:sz w:val="24"/>
          <w:szCs w:val="24"/>
        </w:rPr>
        <w:t>concept of preventive restructuring</w:t>
      </w:r>
      <w:r w:rsidR="000B09D3">
        <w:rPr>
          <w:rFonts w:ascii="Times New Roman" w:hAnsi="Times New Roman"/>
          <w:sz w:val="24"/>
          <w:szCs w:val="24"/>
        </w:rPr>
        <w:t>’</w:t>
      </w:r>
      <w:r w:rsidRPr="000B09D3">
        <w:rPr>
          <w:rFonts w:ascii="Times New Roman" w:hAnsi="Times New Roman"/>
          <w:sz w:val="24"/>
          <w:szCs w:val="24"/>
        </w:rPr>
        <w:t xml:space="preserve"> as an option. These changes offer advantages by granting debtors with limited resources more flexibility but also increase costs due to mandatory trustee involvement, posing potential financial challenges for micro and small businesses.</w:t>
      </w:r>
    </w:p>
    <w:p w14:paraId="60A0C91B" w14:textId="77777777" w:rsidR="00E26614" w:rsidRPr="000B09D3" w:rsidRDefault="00E26614" w:rsidP="00E26614">
      <w:pPr>
        <w:spacing w:after="0"/>
        <w:rPr>
          <w:rFonts w:ascii="Times New Roman" w:hAnsi="Times New Roman"/>
          <w:sz w:val="24"/>
          <w:szCs w:val="24"/>
        </w:rPr>
      </w:pPr>
    </w:p>
    <w:p w14:paraId="134FFF7B" w14:textId="67856C94" w:rsidR="00E26614" w:rsidRPr="000B09D3" w:rsidRDefault="00E26614" w:rsidP="00E26614">
      <w:pPr>
        <w:spacing w:after="0"/>
        <w:rPr>
          <w:rFonts w:ascii="Times New Roman" w:hAnsi="Times New Roman"/>
          <w:i/>
          <w:iCs/>
          <w:sz w:val="24"/>
          <w:szCs w:val="24"/>
        </w:rPr>
      </w:pPr>
      <w:r w:rsidRPr="000B09D3">
        <w:rPr>
          <w:rFonts w:ascii="Times New Roman" w:hAnsi="Times New Roman"/>
          <w:i/>
          <w:iCs/>
          <w:sz w:val="24"/>
          <w:szCs w:val="24"/>
        </w:rPr>
        <w:t>Stay and protective measures</w:t>
      </w:r>
    </w:p>
    <w:p w14:paraId="0BFA02B5" w14:textId="77777777" w:rsidR="008034E6" w:rsidRPr="000B09D3" w:rsidRDefault="008034E6" w:rsidP="00E26614">
      <w:pPr>
        <w:spacing w:after="0"/>
        <w:rPr>
          <w:rFonts w:ascii="Times New Roman" w:hAnsi="Times New Roman"/>
          <w:sz w:val="24"/>
          <w:szCs w:val="24"/>
        </w:rPr>
      </w:pPr>
    </w:p>
    <w:p w14:paraId="7F08D005" w14:textId="5D3B3B8C" w:rsidR="00183674" w:rsidRPr="000B09D3" w:rsidRDefault="00E26614" w:rsidP="00E26614">
      <w:pPr>
        <w:spacing w:after="0"/>
        <w:rPr>
          <w:rFonts w:ascii="Times New Roman" w:hAnsi="Times New Roman"/>
          <w:sz w:val="24"/>
          <w:szCs w:val="24"/>
        </w:rPr>
      </w:pPr>
      <w:r w:rsidRPr="000B09D3">
        <w:rPr>
          <w:rFonts w:ascii="Times New Roman" w:hAnsi="Times New Roman"/>
          <w:sz w:val="24"/>
          <w:szCs w:val="24"/>
        </w:rPr>
        <w:t>Prohibiting affected creditors from initiating insolvency procedures against the debtor is perhaps the most important novelty proposed by both bills in accordance with the PRD. The existing pre-trial rehabilitation chronically suffers from compelling debtors to hide their plans until the final stages to prevent creditors from instigating bankruptcy proceedings, thereby undermining preventive measures against insolvency.</w:t>
      </w:r>
      <w:r w:rsidRPr="000B09D3">
        <w:rPr>
          <w:rStyle w:val="FootnoteReference"/>
          <w:rFonts w:ascii="Times New Roman" w:hAnsi="Times New Roman"/>
          <w:sz w:val="24"/>
          <w:szCs w:val="24"/>
        </w:rPr>
        <w:footnoteReference w:id="14"/>
      </w:r>
      <w:r w:rsidRPr="000B09D3">
        <w:rPr>
          <w:rFonts w:ascii="Times New Roman" w:hAnsi="Times New Roman"/>
          <w:sz w:val="24"/>
          <w:szCs w:val="24"/>
        </w:rPr>
        <w:t xml:space="preserve"> </w:t>
      </w:r>
      <w:r w:rsidR="00183674" w:rsidRPr="000B09D3">
        <w:rPr>
          <w:rFonts w:ascii="Times New Roman" w:hAnsi="Times New Roman"/>
          <w:sz w:val="24"/>
          <w:szCs w:val="24"/>
        </w:rPr>
        <w:t>The stay will also entail the suspension of financial sanctions against the debtor, suspension of the statute of limitations for affected creditors</w:t>
      </w:r>
      <w:r w:rsidR="000B09D3">
        <w:rPr>
          <w:rFonts w:ascii="Times New Roman" w:hAnsi="Times New Roman"/>
          <w:sz w:val="24"/>
          <w:szCs w:val="24"/>
        </w:rPr>
        <w:t>’</w:t>
      </w:r>
      <w:r w:rsidR="00183674" w:rsidRPr="000B09D3">
        <w:rPr>
          <w:rFonts w:ascii="Times New Roman" w:hAnsi="Times New Roman"/>
          <w:sz w:val="24"/>
          <w:szCs w:val="24"/>
        </w:rPr>
        <w:t xml:space="preserve"> claims, and restrictions on foreclosure on the debtor</w:t>
      </w:r>
      <w:r w:rsidR="000B09D3">
        <w:rPr>
          <w:rFonts w:ascii="Times New Roman" w:hAnsi="Times New Roman"/>
          <w:sz w:val="24"/>
          <w:szCs w:val="24"/>
        </w:rPr>
        <w:t>’</w:t>
      </w:r>
      <w:r w:rsidR="00183674" w:rsidRPr="000B09D3">
        <w:rPr>
          <w:rFonts w:ascii="Times New Roman" w:hAnsi="Times New Roman"/>
          <w:sz w:val="24"/>
          <w:szCs w:val="24"/>
        </w:rPr>
        <w:t>s assets.</w:t>
      </w:r>
    </w:p>
    <w:p w14:paraId="40F3FBA2" w14:textId="77777777" w:rsidR="008034E6" w:rsidRPr="000B09D3" w:rsidRDefault="008034E6" w:rsidP="00E26614">
      <w:pPr>
        <w:spacing w:after="0"/>
        <w:rPr>
          <w:rFonts w:ascii="Times New Roman" w:hAnsi="Times New Roman"/>
          <w:sz w:val="24"/>
          <w:szCs w:val="24"/>
        </w:rPr>
      </w:pPr>
    </w:p>
    <w:p w14:paraId="102154D1" w14:textId="4CD7B550" w:rsidR="00183674" w:rsidRPr="000B09D3" w:rsidRDefault="00183674" w:rsidP="00E26614">
      <w:pPr>
        <w:spacing w:after="0"/>
        <w:rPr>
          <w:rFonts w:ascii="Times New Roman" w:hAnsi="Times New Roman"/>
          <w:sz w:val="24"/>
          <w:szCs w:val="24"/>
        </w:rPr>
      </w:pPr>
      <w:r w:rsidRPr="000B09D3">
        <w:rPr>
          <w:rFonts w:ascii="Times New Roman" w:hAnsi="Times New Roman"/>
          <w:sz w:val="24"/>
          <w:szCs w:val="24"/>
        </w:rPr>
        <w:t>In addition to that, both bills provide for the possibility for a court to apply protective measures, such as prohibiting enforced collection from the debtor based on enforcement documents, except during the stage of distributing proceeds, introduction of a moratorium on satisfying creditors</w:t>
      </w:r>
      <w:r w:rsidR="000B09D3">
        <w:rPr>
          <w:rFonts w:ascii="Times New Roman" w:hAnsi="Times New Roman"/>
          <w:sz w:val="24"/>
          <w:szCs w:val="24"/>
        </w:rPr>
        <w:t>’</w:t>
      </w:r>
      <w:r w:rsidRPr="000B09D3">
        <w:rPr>
          <w:rFonts w:ascii="Times New Roman" w:hAnsi="Times New Roman"/>
          <w:sz w:val="24"/>
          <w:szCs w:val="24"/>
        </w:rPr>
        <w:t xml:space="preserve"> claims, and restrictions on certain transactions by the debtor. It is worth noting that, according to Bill #10143, protective measures can be requested only by the debtor, while under Bill #10228, both the debtor and creditors can petition the court to apply such measures. Under both bills, the application of protective measures cannot exceed the period of six months.</w:t>
      </w:r>
    </w:p>
    <w:p w14:paraId="5D829F25" w14:textId="77777777" w:rsidR="008034E6" w:rsidRPr="000B09D3" w:rsidRDefault="008034E6" w:rsidP="00E26614">
      <w:pPr>
        <w:spacing w:after="0"/>
        <w:rPr>
          <w:rFonts w:ascii="Times New Roman" w:hAnsi="Times New Roman"/>
          <w:sz w:val="24"/>
          <w:szCs w:val="24"/>
        </w:rPr>
      </w:pPr>
    </w:p>
    <w:p w14:paraId="69BF9949" w14:textId="0A53932F" w:rsidR="00183674" w:rsidRPr="000B09D3" w:rsidRDefault="00183674" w:rsidP="00E26614">
      <w:pPr>
        <w:spacing w:after="0"/>
        <w:rPr>
          <w:rFonts w:ascii="Times New Roman" w:hAnsi="Times New Roman"/>
          <w:sz w:val="24"/>
          <w:szCs w:val="24"/>
        </w:rPr>
      </w:pPr>
      <w:r w:rsidRPr="000B09D3">
        <w:rPr>
          <w:rFonts w:ascii="Times New Roman" w:hAnsi="Times New Roman"/>
          <w:sz w:val="24"/>
          <w:szCs w:val="24"/>
        </w:rPr>
        <w:t>Bill #10143 includes safeguards against potential abuses by debtors seeking to prolong insolvency. Protective measures are only instituted</w:t>
      </w:r>
      <w:r w:rsidR="000B09D3">
        <w:rPr>
          <w:rFonts w:ascii="Times New Roman" w:hAnsi="Times New Roman"/>
          <w:sz w:val="24"/>
          <w:szCs w:val="24"/>
        </w:rPr>
        <w:t>,</w:t>
      </w:r>
      <w:r w:rsidRPr="000B09D3">
        <w:rPr>
          <w:rFonts w:ascii="Times New Roman" w:hAnsi="Times New Roman"/>
          <w:sz w:val="24"/>
          <w:szCs w:val="24"/>
        </w:rPr>
        <w:t xml:space="preserve"> if the debtor provides a substantiated plan for preventive restructuring, presents comprehensive financial information, and non-implementation of protective measures would hinder restructuring or lead to insolvency.</w:t>
      </w:r>
    </w:p>
    <w:p w14:paraId="76686AAB" w14:textId="77777777" w:rsidR="00183674" w:rsidRPr="000B09D3" w:rsidRDefault="00183674" w:rsidP="00E26614">
      <w:pPr>
        <w:spacing w:after="0"/>
        <w:rPr>
          <w:rFonts w:ascii="Times New Roman" w:hAnsi="Times New Roman"/>
          <w:sz w:val="24"/>
          <w:szCs w:val="24"/>
        </w:rPr>
      </w:pPr>
    </w:p>
    <w:p w14:paraId="1ED12A91" w14:textId="7720450D" w:rsidR="00183674" w:rsidRPr="000B09D3" w:rsidRDefault="00183674" w:rsidP="00E26614">
      <w:pPr>
        <w:spacing w:after="0"/>
        <w:rPr>
          <w:rFonts w:ascii="Times New Roman" w:hAnsi="Times New Roman"/>
          <w:i/>
          <w:iCs/>
          <w:sz w:val="24"/>
          <w:szCs w:val="24"/>
        </w:rPr>
      </w:pPr>
      <w:r w:rsidRPr="000B09D3">
        <w:rPr>
          <w:rFonts w:ascii="Times New Roman" w:hAnsi="Times New Roman"/>
          <w:i/>
          <w:iCs/>
          <w:sz w:val="24"/>
          <w:szCs w:val="24"/>
        </w:rPr>
        <w:t>Classes of affected creditors</w:t>
      </w:r>
    </w:p>
    <w:p w14:paraId="7B282B91" w14:textId="77777777" w:rsidR="008034E6" w:rsidRPr="000B09D3" w:rsidRDefault="008034E6" w:rsidP="00E26614">
      <w:pPr>
        <w:spacing w:after="0"/>
        <w:rPr>
          <w:rFonts w:ascii="Times New Roman" w:hAnsi="Times New Roman"/>
          <w:sz w:val="24"/>
          <w:szCs w:val="24"/>
        </w:rPr>
      </w:pPr>
    </w:p>
    <w:p w14:paraId="595ACDAC" w14:textId="0C9A0B1C" w:rsidR="00183674" w:rsidRPr="000B09D3" w:rsidRDefault="00183674" w:rsidP="00E26614">
      <w:pPr>
        <w:spacing w:after="0"/>
        <w:rPr>
          <w:rFonts w:ascii="Times New Roman" w:hAnsi="Times New Roman"/>
          <w:sz w:val="24"/>
          <w:szCs w:val="24"/>
        </w:rPr>
      </w:pPr>
      <w:r w:rsidRPr="000B09D3">
        <w:rPr>
          <w:rFonts w:ascii="Times New Roman" w:hAnsi="Times New Roman"/>
          <w:sz w:val="24"/>
          <w:szCs w:val="24"/>
        </w:rPr>
        <w:t>Currently, under the BCU, categorizing creditors into classes for pre-trial rehabilitation plans is optional. Both bills seek to make this mandatory in line with the PRD, with Bill #10143 being more detailed. It requires division into secured creditors, unsecured creditors, unsecured creditors interested in the debtor</w:t>
      </w:r>
      <w:r w:rsidRPr="000B09D3">
        <w:rPr>
          <w:rFonts w:ascii="Times New Roman" w:hAnsi="Times New Roman"/>
          <w:sz w:val="24"/>
          <w:szCs w:val="24"/>
          <w:lang w:val="uk-UA"/>
        </w:rPr>
        <w:t xml:space="preserve"> (</w:t>
      </w:r>
      <w:r w:rsidRPr="000B09D3">
        <w:rPr>
          <w:rFonts w:ascii="Times New Roman" w:hAnsi="Times New Roman"/>
          <w:sz w:val="24"/>
          <w:szCs w:val="24"/>
        </w:rPr>
        <w:t>such as a parent company, affiliated companies, debtor`s managers and executive officers, relatives etc.), and equity holders. Additional classes may be created based on factors like obligation deadlines, claim amounts, and creditor types, with criteria outlined in the preventive restructuring plan.</w:t>
      </w:r>
    </w:p>
    <w:p w14:paraId="0CA8DBE2" w14:textId="77777777" w:rsidR="008034E6" w:rsidRPr="000B09D3" w:rsidRDefault="008034E6" w:rsidP="00E26614">
      <w:pPr>
        <w:spacing w:after="0"/>
        <w:rPr>
          <w:rFonts w:ascii="Times New Roman" w:hAnsi="Times New Roman"/>
          <w:sz w:val="24"/>
          <w:szCs w:val="24"/>
        </w:rPr>
      </w:pPr>
    </w:p>
    <w:p w14:paraId="0B9126E4" w14:textId="6EDADC29" w:rsidR="00183674" w:rsidRPr="000B09D3" w:rsidRDefault="00183674" w:rsidP="00E26614">
      <w:pPr>
        <w:spacing w:after="0"/>
        <w:rPr>
          <w:rFonts w:ascii="Times New Roman" w:hAnsi="Times New Roman"/>
          <w:sz w:val="24"/>
          <w:szCs w:val="24"/>
        </w:rPr>
      </w:pPr>
      <w:r w:rsidRPr="000B09D3">
        <w:rPr>
          <w:rFonts w:ascii="Times New Roman" w:hAnsi="Times New Roman"/>
          <w:sz w:val="24"/>
          <w:szCs w:val="24"/>
          <w:lang w:bidi="bn-BD"/>
        </w:rPr>
        <w:t xml:space="preserve">A </w:t>
      </w:r>
      <w:r w:rsidR="000B09D3">
        <w:rPr>
          <w:rFonts w:ascii="Times New Roman" w:hAnsi="Times New Roman"/>
          <w:sz w:val="24"/>
          <w:szCs w:val="24"/>
          <w:lang w:bidi="bn-BD"/>
        </w:rPr>
        <w:t xml:space="preserve">class of </w:t>
      </w:r>
      <w:r w:rsidRPr="000B09D3">
        <w:rPr>
          <w:rFonts w:ascii="Times New Roman" w:hAnsi="Times New Roman"/>
          <w:sz w:val="24"/>
          <w:szCs w:val="24"/>
          <w:lang w:bidi="bn-BD"/>
        </w:rPr>
        <w:t>employee</w:t>
      </w:r>
      <w:r w:rsidR="000B09D3">
        <w:rPr>
          <w:rFonts w:ascii="Times New Roman" w:hAnsi="Times New Roman"/>
          <w:sz w:val="24"/>
          <w:szCs w:val="24"/>
          <w:lang w:bidi="bn-BD"/>
        </w:rPr>
        <w:t>s</w:t>
      </w:r>
      <w:r w:rsidRPr="000B09D3">
        <w:rPr>
          <w:rFonts w:ascii="Times New Roman" w:hAnsi="Times New Roman"/>
          <w:sz w:val="24"/>
          <w:szCs w:val="24"/>
          <w:lang w:bidi="bn-BD"/>
        </w:rPr>
        <w:t xml:space="preserve"> must be established</w:t>
      </w:r>
      <w:r w:rsidR="000B09D3">
        <w:rPr>
          <w:rFonts w:ascii="Times New Roman" w:hAnsi="Times New Roman"/>
          <w:sz w:val="24"/>
          <w:szCs w:val="24"/>
          <w:lang w:bidi="bn-BD"/>
        </w:rPr>
        <w:t>,</w:t>
      </w:r>
      <w:r w:rsidRPr="000B09D3">
        <w:rPr>
          <w:rFonts w:ascii="Times New Roman" w:hAnsi="Times New Roman"/>
          <w:sz w:val="24"/>
          <w:szCs w:val="24"/>
          <w:lang w:bidi="bn-BD"/>
        </w:rPr>
        <w:t xml:space="preserve"> if the proposed restructuring involves employee claims. The preventive restructuring plan cannot allocate different proportions for satisfying claims within a single class. Any creditors within that class facing a worsened position must unanimously consent in writing to the change.</w:t>
      </w:r>
      <w:r w:rsidRPr="000B09D3">
        <w:rPr>
          <w:rFonts w:ascii="Times New Roman" w:hAnsi="Times New Roman"/>
          <w:sz w:val="24"/>
          <w:szCs w:val="24"/>
        </w:rPr>
        <w:t xml:space="preserve"> Under both bills, affected creditors may contest the formation of classes in court.</w:t>
      </w:r>
    </w:p>
    <w:p w14:paraId="5A73560C" w14:textId="77777777" w:rsidR="008034E6" w:rsidRPr="000B09D3" w:rsidRDefault="008034E6" w:rsidP="00E26614">
      <w:pPr>
        <w:spacing w:after="0"/>
        <w:rPr>
          <w:rFonts w:ascii="Times New Roman" w:hAnsi="Times New Roman"/>
          <w:sz w:val="24"/>
          <w:szCs w:val="24"/>
        </w:rPr>
      </w:pPr>
    </w:p>
    <w:p w14:paraId="5A8D9F6A" w14:textId="77777777" w:rsidR="00183674" w:rsidRPr="000B09D3" w:rsidRDefault="00183674" w:rsidP="00E26614">
      <w:pPr>
        <w:shd w:val="clear" w:color="auto" w:fill="FFFFFF"/>
        <w:spacing w:after="0"/>
        <w:rPr>
          <w:rFonts w:ascii="Times New Roman" w:hAnsi="Times New Roman"/>
          <w:sz w:val="24"/>
          <w:szCs w:val="24"/>
        </w:rPr>
      </w:pPr>
      <w:r w:rsidRPr="000B09D3">
        <w:rPr>
          <w:rFonts w:ascii="Times New Roman" w:hAnsi="Times New Roman"/>
          <w:sz w:val="24"/>
          <w:szCs w:val="24"/>
        </w:rPr>
        <w:lastRenderedPageBreak/>
        <w:t>Unfortunately, neither of the two bills incorporates an opt-out provision available in the PRD, which would allow debtors representing micro and small businesses to forego dividing creditors into classes.</w:t>
      </w:r>
    </w:p>
    <w:p w14:paraId="06299441" w14:textId="77777777" w:rsidR="00183674" w:rsidRPr="000B09D3" w:rsidRDefault="00183674" w:rsidP="00E26614">
      <w:pPr>
        <w:shd w:val="clear" w:color="auto" w:fill="FFFFFF"/>
        <w:spacing w:after="0"/>
        <w:rPr>
          <w:rFonts w:ascii="Times New Roman" w:hAnsi="Times New Roman"/>
          <w:color w:val="374151"/>
          <w:sz w:val="24"/>
          <w:szCs w:val="24"/>
        </w:rPr>
      </w:pPr>
    </w:p>
    <w:p w14:paraId="3E92A640" w14:textId="71335769" w:rsidR="00183674" w:rsidRPr="000B09D3" w:rsidRDefault="00183674" w:rsidP="00E26614">
      <w:pPr>
        <w:shd w:val="clear" w:color="auto" w:fill="FFFFFF"/>
        <w:spacing w:after="0"/>
        <w:rPr>
          <w:rFonts w:ascii="Times New Roman" w:hAnsi="Times New Roman"/>
          <w:i/>
          <w:iCs/>
          <w:sz w:val="24"/>
          <w:szCs w:val="24"/>
        </w:rPr>
      </w:pPr>
      <w:r w:rsidRPr="000B09D3">
        <w:rPr>
          <w:rFonts w:ascii="Times New Roman" w:hAnsi="Times New Roman"/>
          <w:i/>
          <w:iCs/>
          <w:sz w:val="24"/>
          <w:szCs w:val="24"/>
        </w:rPr>
        <w:t>Plan approval</w:t>
      </w:r>
      <w:r w:rsidR="008034E6" w:rsidRPr="000B09D3">
        <w:rPr>
          <w:rFonts w:ascii="Times New Roman" w:hAnsi="Times New Roman"/>
          <w:i/>
          <w:iCs/>
          <w:sz w:val="24"/>
          <w:szCs w:val="24"/>
        </w:rPr>
        <w:t>;</w:t>
      </w:r>
      <w:r w:rsidRPr="000B09D3">
        <w:rPr>
          <w:rFonts w:ascii="Times New Roman" w:hAnsi="Times New Roman"/>
          <w:i/>
          <w:iCs/>
          <w:sz w:val="24"/>
          <w:szCs w:val="24"/>
        </w:rPr>
        <w:t xml:space="preserve"> </w:t>
      </w:r>
      <w:r w:rsidR="008034E6" w:rsidRPr="000B09D3">
        <w:rPr>
          <w:rFonts w:ascii="Times New Roman" w:hAnsi="Times New Roman"/>
          <w:i/>
          <w:iCs/>
          <w:sz w:val="24"/>
          <w:szCs w:val="24"/>
        </w:rPr>
        <w:t>c</w:t>
      </w:r>
      <w:r w:rsidRPr="000B09D3">
        <w:rPr>
          <w:rFonts w:ascii="Times New Roman" w:hAnsi="Times New Roman"/>
          <w:i/>
          <w:iCs/>
          <w:sz w:val="24"/>
          <w:szCs w:val="24"/>
        </w:rPr>
        <w:t>ross-class cram down</w:t>
      </w:r>
    </w:p>
    <w:p w14:paraId="1B00A8EA" w14:textId="77777777" w:rsidR="00183674" w:rsidRPr="000B09D3" w:rsidRDefault="00183674" w:rsidP="00E26614">
      <w:pPr>
        <w:shd w:val="clear" w:color="auto" w:fill="FFFFFF"/>
        <w:spacing w:after="0"/>
        <w:rPr>
          <w:rFonts w:ascii="Times New Roman" w:hAnsi="Times New Roman"/>
          <w:sz w:val="24"/>
          <w:szCs w:val="24"/>
        </w:rPr>
      </w:pPr>
    </w:p>
    <w:p w14:paraId="035CCD50" w14:textId="5D3D0BB3" w:rsidR="00183674" w:rsidRPr="000B09D3" w:rsidRDefault="00183674" w:rsidP="00E26614">
      <w:pPr>
        <w:spacing w:after="0"/>
        <w:rPr>
          <w:rFonts w:ascii="Times New Roman" w:hAnsi="Times New Roman"/>
          <w:sz w:val="24"/>
          <w:szCs w:val="24"/>
        </w:rPr>
      </w:pPr>
      <w:r w:rsidRPr="000B09D3">
        <w:rPr>
          <w:rFonts w:ascii="Times New Roman" w:hAnsi="Times New Roman"/>
          <w:sz w:val="24"/>
          <w:szCs w:val="24"/>
        </w:rPr>
        <w:t>Both bills stipulate that a proposed restructuring plan is deemed approved by the secured creditors</w:t>
      </w:r>
      <w:r w:rsidR="000B09D3">
        <w:rPr>
          <w:rFonts w:ascii="Times New Roman" w:hAnsi="Times New Roman"/>
          <w:sz w:val="24"/>
          <w:szCs w:val="24"/>
        </w:rPr>
        <w:t>’</w:t>
      </w:r>
      <w:r w:rsidRPr="000B09D3">
        <w:rPr>
          <w:rFonts w:ascii="Times New Roman" w:hAnsi="Times New Roman"/>
          <w:sz w:val="24"/>
          <w:szCs w:val="24"/>
        </w:rPr>
        <w:t xml:space="preserve"> class if it garners support from creditors entitled to vote, possessing at least two-thirds of the votes from the total secured claims included in the plan within this class. For unsecured creditors, the plan requires more than 50% of the votes from the total unsecured claims included in each class for approval.</w:t>
      </w:r>
    </w:p>
    <w:p w14:paraId="06AC39AC" w14:textId="77777777" w:rsidR="008034E6" w:rsidRPr="000B09D3" w:rsidRDefault="008034E6" w:rsidP="00E26614">
      <w:pPr>
        <w:spacing w:after="0"/>
        <w:rPr>
          <w:rFonts w:ascii="Times New Roman" w:hAnsi="Times New Roman"/>
          <w:sz w:val="24"/>
          <w:szCs w:val="24"/>
        </w:rPr>
      </w:pPr>
    </w:p>
    <w:p w14:paraId="1A3D214C" w14:textId="182D3256" w:rsidR="00183674" w:rsidRPr="000B09D3" w:rsidRDefault="00183674" w:rsidP="00E26614">
      <w:pPr>
        <w:spacing w:after="0"/>
        <w:rPr>
          <w:rFonts w:ascii="Times New Roman" w:hAnsi="Times New Roman"/>
          <w:sz w:val="24"/>
          <w:szCs w:val="24"/>
        </w:rPr>
      </w:pPr>
      <w:r w:rsidRPr="000B09D3">
        <w:rPr>
          <w:rFonts w:ascii="Times New Roman" w:hAnsi="Times New Roman"/>
          <w:sz w:val="24"/>
          <w:szCs w:val="24"/>
        </w:rPr>
        <w:t>Alongside the stay provision, cross-class cramdown will undoubtedly be a significant addition to Ukrainian insolvency law. Both bills adopt PRD provisions, which mandate the respective court to cram down the plan on dissenting creditors if:</w:t>
      </w:r>
    </w:p>
    <w:p w14:paraId="18F0BF39" w14:textId="77777777" w:rsidR="008034E6" w:rsidRPr="000B09D3" w:rsidRDefault="008034E6" w:rsidP="00E26614">
      <w:pPr>
        <w:spacing w:after="0"/>
        <w:rPr>
          <w:rFonts w:ascii="Times New Roman" w:hAnsi="Times New Roman"/>
          <w:sz w:val="24"/>
          <w:szCs w:val="24"/>
        </w:rPr>
      </w:pPr>
    </w:p>
    <w:p w14:paraId="36333308" w14:textId="6CEB6F87" w:rsidR="00183674" w:rsidRPr="000B09D3" w:rsidRDefault="00183674" w:rsidP="00BA791F">
      <w:pPr>
        <w:pStyle w:val="ListParagraph"/>
        <w:numPr>
          <w:ilvl w:val="0"/>
          <w:numId w:val="8"/>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no grounds exist for rejecting it;</w:t>
      </w:r>
    </w:p>
    <w:p w14:paraId="65398C40" w14:textId="23AF3AF5" w:rsidR="00183674" w:rsidRPr="000B09D3" w:rsidRDefault="00183674" w:rsidP="00BA791F">
      <w:pPr>
        <w:pStyle w:val="ListParagraph"/>
        <w:numPr>
          <w:ilvl w:val="0"/>
          <w:numId w:val="8"/>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the plan is approved by a majority of affected parties</w:t>
      </w:r>
      <w:r w:rsidR="000B09D3">
        <w:rPr>
          <w:rFonts w:ascii="Times New Roman" w:hAnsi="Times New Roman" w:cs="Times New Roman"/>
          <w:sz w:val="24"/>
          <w:szCs w:val="24"/>
          <w:lang w:val="en-GB"/>
        </w:rPr>
        <w:t>’;</w:t>
      </w:r>
      <w:r w:rsidRPr="000B09D3">
        <w:rPr>
          <w:rFonts w:ascii="Times New Roman" w:hAnsi="Times New Roman" w:cs="Times New Roman"/>
          <w:sz w:val="24"/>
          <w:szCs w:val="24"/>
          <w:lang w:val="en-GB"/>
        </w:rPr>
        <w:t xml:space="preserve"> voting classes, with at least one being secured creditors or senior to ordinary unsecured creditors, or by a class other than equity-holders;</w:t>
      </w:r>
    </w:p>
    <w:p w14:paraId="6BC664FD" w14:textId="4ED84538" w:rsidR="00183674" w:rsidRPr="000B09D3" w:rsidRDefault="00183674" w:rsidP="00BA791F">
      <w:pPr>
        <w:pStyle w:val="ListParagraph"/>
        <w:numPr>
          <w:ilvl w:val="0"/>
          <w:numId w:val="8"/>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 xml:space="preserve">dissenting creditor classes are treated equally or better than similar ranks, and more favourably than junior classes; </w:t>
      </w:r>
      <w:r w:rsidR="008034E6" w:rsidRPr="000B09D3">
        <w:rPr>
          <w:rFonts w:ascii="Times New Roman" w:hAnsi="Times New Roman" w:cs="Times New Roman"/>
          <w:sz w:val="24"/>
          <w:szCs w:val="24"/>
          <w:lang w:val="en-GB"/>
        </w:rPr>
        <w:t>and</w:t>
      </w:r>
    </w:p>
    <w:p w14:paraId="351D33C6" w14:textId="77777777" w:rsidR="00183674" w:rsidRPr="000B09D3" w:rsidRDefault="00183674" w:rsidP="00BA791F">
      <w:pPr>
        <w:pStyle w:val="ListParagraph"/>
        <w:numPr>
          <w:ilvl w:val="0"/>
          <w:numId w:val="8"/>
        </w:numPr>
        <w:spacing w:after="0" w:line="240" w:lineRule="auto"/>
        <w:jc w:val="both"/>
        <w:rPr>
          <w:rFonts w:ascii="Times New Roman" w:hAnsi="Times New Roman" w:cs="Times New Roman"/>
          <w:sz w:val="24"/>
          <w:szCs w:val="24"/>
          <w:lang w:val="en-GB"/>
        </w:rPr>
      </w:pPr>
      <w:r w:rsidRPr="000B09D3">
        <w:rPr>
          <w:rFonts w:ascii="Times New Roman" w:hAnsi="Times New Roman" w:cs="Times New Roman"/>
          <w:sz w:val="24"/>
          <w:szCs w:val="24"/>
          <w:lang w:val="en-GB"/>
        </w:rPr>
        <w:t>no class receives or retains more than their full claims or interests under the plan.</w:t>
      </w:r>
    </w:p>
    <w:p w14:paraId="3C580221" w14:textId="77777777" w:rsidR="00183674" w:rsidRPr="000B09D3" w:rsidRDefault="00183674" w:rsidP="00E26614">
      <w:pPr>
        <w:spacing w:after="0"/>
        <w:rPr>
          <w:rFonts w:ascii="Times New Roman" w:hAnsi="Times New Roman"/>
          <w:sz w:val="24"/>
          <w:szCs w:val="24"/>
        </w:rPr>
      </w:pPr>
    </w:p>
    <w:p w14:paraId="1756859B" w14:textId="59E45720" w:rsidR="00183674" w:rsidRPr="000B09D3" w:rsidRDefault="00183674" w:rsidP="00E26614">
      <w:pPr>
        <w:spacing w:after="0"/>
        <w:rPr>
          <w:rFonts w:ascii="Times New Roman" w:hAnsi="Times New Roman"/>
          <w:i/>
          <w:iCs/>
          <w:sz w:val="24"/>
          <w:szCs w:val="24"/>
        </w:rPr>
      </w:pPr>
      <w:r w:rsidRPr="000B09D3">
        <w:rPr>
          <w:rFonts w:ascii="Times New Roman" w:hAnsi="Times New Roman"/>
          <w:i/>
          <w:iCs/>
          <w:sz w:val="24"/>
          <w:szCs w:val="24"/>
        </w:rPr>
        <w:t>Monitoring and conclusion of the procedure</w:t>
      </w:r>
    </w:p>
    <w:p w14:paraId="20C54430" w14:textId="77777777" w:rsidR="008034E6" w:rsidRPr="000B09D3" w:rsidRDefault="008034E6" w:rsidP="00E26614">
      <w:pPr>
        <w:spacing w:after="0"/>
        <w:rPr>
          <w:rFonts w:ascii="Times New Roman" w:hAnsi="Times New Roman"/>
          <w:color w:val="333333"/>
          <w:sz w:val="24"/>
          <w:szCs w:val="24"/>
          <w:shd w:val="clear" w:color="auto" w:fill="FFFFFF"/>
        </w:rPr>
      </w:pPr>
    </w:p>
    <w:p w14:paraId="6D504813" w14:textId="09F6C725" w:rsidR="00183674" w:rsidRPr="000B09D3" w:rsidRDefault="00183674" w:rsidP="00E26614">
      <w:pPr>
        <w:spacing w:after="0"/>
        <w:rPr>
          <w:rFonts w:ascii="Times New Roman" w:hAnsi="Times New Roman"/>
          <w:color w:val="333333"/>
          <w:sz w:val="24"/>
          <w:szCs w:val="24"/>
          <w:shd w:val="clear" w:color="auto" w:fill="FFFFFF"/>
        </w:rPr>
      </w:pPr>
      <w:r w:rsidRPr="000B09D3">
        <w:rPr>
          <w:rFonts w:ascii="Times New Roman" w:hAnsi="Times New Roman"/>
          <w:color w:val="333333"/>
          <w:sz w:val="24"/>
          <w:szCs w:val="24"/>
          <w:shd w:val="clear" w:color="auto" w:fill="FFFFFF"/>
        </w:rPr>
        <w:t>Under both bills, either the debtor or the appointed preventive restructuring trustee must submit implementation reports to the court. Bill #10143 limits the preventive restructuring plan</w:t>
      </w:r>
      <w:r w:rsidR="000B09D3">
        <w:rPr>
          <w:rFonts w:ascii="Times New Roman" w:hAnsi="Times New Roman"/>
          <w:color w:val="333333"/>
          <w:sz w:val="24"/>
          <w:szCs w:val="24"/>
          <w:shd w:val="clear" w:color="auto" w:fill="FFFFFF"/>
        </w:rPr>
        <w:t>’</w:t>
      </w:r>
      <w:r w:rsidRPr="000B09D3">
        <w:rPr>
          <w:rFonts w:ascii="Times New Roman" w:hAnsi="Times New Roman"/>
          <w:color w:val="333333"/>
          <w:sz w:val="24"/>
          <w:szCs w:val="24"/>
          <w:shd w:val="clear" w:color="auto" w:fill="FFFFFF"/>
        </w:rPr>
        <w:t>s implementation to a maximum of four years, whereas Bill #10228 does not impose such a restriction.</w:t>
      </w:r>
    </w:p>
    <w:p w14:paraId="038E0A30" w14:textId="77777777" w:rsidR="008034E6" w:rsidRPr="000B09D3" w:rsidRDefault="008034E6" w:rsidP="00E26614">
      <w:pPr>
        <w:spacing w:after="0"/>
        <w:rPr>
          <w:rFonts w:ascii="Times New Roman" w:hAnsi="Times New Roman"/>
          <w:color w:val="333333"/>
          <w:sz w:val="24"/>
          <w:szCs w:val="24"/>
          <w:shd w:val="clear" w:color="auto" w:fill="FFFFFF"/>
        </w:rPr>
      </w:pPr>
    </w:p>
    <w:p w14:paraId="3BE9E6A8" w14:textId="69C47D02" w:rsidR="00183674" w:rsidRPr="000B09D3" w:rsidRDefault="00183674" w:rsidP="00E26614">
      <w:pPr>
        <w:spacing w:after="0"/>
        <w:rPr>
          <w:rFonts w:ascii="Times New Roman" w:hAnsi="Times New Roman"/>
          <w:color w:val="333333"/>
          <w:sz w:val="24"/>
          <w:szCs w:val="24"/>
          <w:shd w:val="clear" w:color="auto" w:fill="FFFFFF"/>
        </w:rPr>
      </w:pPr>
      <w:r w:rsidRPr="000B09D3">
        <w:rPr>
          <w:rFonts w:ascii="Times New Roman" w:hAnsi="Times New Roman"/>
          <w:color w:val="333333"/>
          <w:sz w:val="24"/>
          <w:szCs w:val="24"/>
          <w:shd w:val="clear" w:color="auto" w:fill="FFFFFF"/>
        </w:rPr>
        <w:t xml:space="preserve">The restructuring procedure concludes upon the submission of a report detailing the fulfilment of the preventive restructuring plan to the court. Bill #10228 offers more avenues for affected parties to contest the conclusion and extend the procedure, while Bill #10143 emphasizes </w:t>
      </w:r>
      <w:r w:rsidR="000B09D3">
        <w:rPr>
          <w:rFonts w:ascii="Times New Roman" w:hAnsi="Times New Roman"/>
          <w:color w:val="333333"/>
          <w:sz w:val="24"/>
          <w:szCs w:val="24"/>
          <w:shd w:val="clear" w:color="auto" w:fill="FFFFFF"/>
        </w:rPr>
        <w:t>“</w:t>
      </w:r>
      <w:r w:rsidRPr="000B09D3">
        <w:rPr>
          <w:rFonts w:ascii="Times New Roman" w:hAnsi="Times New Roman"/>
          <w:color w:val="333333"/>
          <w:sz w:val="24"/>
          <w:szCs w:val="24"/>
          <w:shd w:val="clear" w:color="auto" w:fill="FFFFFF"/>
        </w:rPr>
        <w:t>successful</w:t>
      </w:r>
      <w:r w:rsidR="000B09D3">
        <w:rPr>
          <w:rFonts w:ascii="Times New Roman" w:hAnsi="Times New Roman"/>
          <w:color w:val="333333"/>
          <w:sz w:val="24"/>
          <w:szCs w:val="24"/>
          <w:shd w:val="clear" w:color="auto" w:fill="FFFFFF"/>
        </w:rPr>
        <w:t>”</w:t>
      </w:r>
      <w:r w:rsidRPr="000B09D3">
        <w:rPr>
          <w:rFonts w:ascii="Times New Roman" w:hAnsi="Times New Roman"/>
          <w:color w:val="333333"/>
          <w:sz w:val="24"/>
          <w:szCs w:val="24"/>
          <w:shd w:val="clear" w:color="auto" w:fill="FFFFFF"/>
        </w:rPr>
        <w:t xml:space="preserve"> completion but lacks explicit provisions for objections by affected parties.</w:t>
      </w:r>
    </w:p>
    <w:p w14:paraId="17428849" w14:textId="77777777" w:rsidR="00183674" w:rsidRPr="000B09D3" w:rsidRDefault="00183674" w:rsidP="00E26614">
      <w:pPr>
        <w:spacing w:after="0"/>
        <w:rPr>
          <w:rFonts w:ascii="Times New Roman" w:hAnsi="Times New Roman"/>
          <w:color w:val="333333"/>
          <w:sz w:val="24"/>
          <w:szCs w:val="24"/>
          <w:shd w:val="clear" w:color="auto" w:fill="FFFFFF"/>
        </w:rPr>
      </w:pPr>
    </w:p>
    <w:p w14:paraId="6E731668" w14:textId="789632C1" w:rsidR="00183674" w:rsidRPr="000B09D3" w:rsidRDefault="008034E6" w:rsidP="00E26614">
      <w:pPr>
        <w:spacing w:after="0"/>
        <w:rPr>
          <w:rFonts w:ascii="Times New Roman" w:hAnsi="Times New Roman"/>
          <w:i/>
          <w:iCs/>
          <w:color w:val="333333"/>
          <w:sz w:val="24"/>
          <w:szCs w:val="24"/>
          <w:shd w:val="clear" w:color="auto" w:fill="FFFFFF"/>
        </w:rPr>
      </w:pPr>
      <w:r w:rsidRPr="000B09D3">
        <w:rPr>
          <w:rFonts w:ascii="Times New Roman" w:hAnsi="Times New Roman"/>
          <w:i/>
          <w:iCs/>
          <w:color w:val="333333"/>
          <w:sz w:val="24"/>
          <w:szCs w:val="24"/>
          <w:shd w:val="clear" w:color="auto" w:fill="FFFFFF"/>
        </w:rPr>
        <w:t>Summary</w:t>
      </w:r>
    </w:p>
    <w:p w14:paraId="3525FC51" w14:textId="77777777" w:rsidR="008034E6" w:rsidRPr="000B09D3" w:rsidRDefault="008034E6" w:rsidP="00E26614">
      <w:pPr>
        <w:spacing w:after="0"/>
        <w:rPr>
          <w:rFonts w:ascii="Times New Roman" w:hAnsi="Times New Roman"/>
          <w:color w:val="333333"/>
          <w:sz w:val="24"/>
          <w:szCs w:val="24"/>
          <w:shd w:val="clear" w:color="auto" w:fill="FFFFFF"/>
        </w:rPr>
      </w:pPr>
    </w:p>
    <w:p w14:paraId="502F9555" w14:textId="5B42863F" w:rsidR="00183674" w:rsidRPr="000B09D3" w:rsidRDefault="00183674" w:rsidP="00E26614">
      <w:pPr>
        <w:spacing w:after="0"/>
        <w:rPr>
          <w:rFonts w:ascii="Times New Roman" w:hAnsi="Times New Roman"/>
          <w:color w:val="333333"/>
          <w:sz w:val="24"/>
          <w:szCs w:val="24"/>
          <w:shd w:val="clear" w:color="auto" w:fill="FFFFFF"/>
        </w:rPr>
      </w:pPr>
      <w:r w:rsidRPr="000B09D3">
        <w:rPr>
          <w:rFonts w:ascii="Times New Roman" w:hAnsi="Times New Roman"/>
          <w:color w:val="333333"/>
          <w:sz w:val="24"/>
          <w:szCs w:val="24"/>
          <w:lang w:bidi="bn-BD"/>
        </w:rPr>
        <w:t>At present, it is uncertain which of the two bills introduced in Parliament will prevail, with a possibility of legislators combining strengths from both for a more comprehensive approach to transposition. The efficiency of this process in Ukraine</w:t>
      </w:r>
      <w:r w:rsidR="000B09D3">
        <w:rPr>
          <w:rFonts w:ascii="Times New Roman" w:hAnsi="Times New Roman"/>
          <w:color w:val="333333"/>
          <w:sz w:val="24"/>
          <w:szCs w:val="24"/>
          <w:lang w:bidi="bn-BD"/>
        </w:rPr>
        <w:t>’</w:t>
      </w:r>
      <w:r w:rsidRPr="000B09D3">
        <w:rPr>
          <w:rFonts w:ascii="Times New Roman" w:hAnsi="Times New Roman"/>
          <w:color w:val="333333"/>
          <w:sz w:val="24"/>
          <w:szCs w:val="24"/>
          <w:lang w:bidi="bn-BD"/>
        </w:rPr>
        <w:t>s unique circumstances remains uncertain. Challenges are acknowledged, and stakeholders anticipate the new preventive restructuring mechanism will not be fully operational immediately upon enactment. Nonetheless, both bills offer a solid foundation to address deficiencies in the existing pre-trial rehabilitation system, especially if focusing on aiding micro- and small enterprises.</w:t>
      </w:r>
    </w:p>
    <w:p w14:paraId="5761A948" w14:textId="7FD0F2F6" w:rsidR="0047439B" w:rsidRPr="000B09D3" w:rsidRDefault="0047439B" w:rsidP="00E26614">
      <w:pPr>
        <w:spacing w:after="0"/>
        <w:rPr>
          <w:rFonts w:ascii="Times New Roman" w:hAnsi="Times New Roman"/>
          <w:sz w:val="24"/>
          <w:szCs w:val="24"/>
        </w:rPr>
      </w:pPr>
    </w:p>
    <w:sectPr w:rsidR="0047439B" w:rsidRPr="000B09D3"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A30B" w14:textId="77777777" w:rsidR="00155240" w:rsidRDefault="00155240">
      <w:r>
        <w:separator/>
      </w:r>
    </w:p>
  </w:endnote>
  <w:endnote w:type="continuationSeparator" w:id="0">
    <w:p w14:paraId="1440D1B6" w14:textId="77777777" w:rsidR="00155240" w:rsidRDefault="00155240">
      <w:r>
        <w:continuationSeparator/>
      </w:r>
    </w:p>
  </w:endnote>
  <w:endnote w:type="continuationNotice" w:id="1">
    <w:p w14:paraId="1AD2843C" w14:textId="77777777" w:rsidR="00155240" w:rsidRDefault="001552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8BF5" w14:textId="77777777" w:rsidR="00155240" w:rsidRDefault="00155240">
      <w:r>
        <w:separator/>
      </w:r>
    </w:p>
  </w:footnote>
  <w:footnote w:type="continuationSeparator" w:id="0">
    <w:p w14:paraId="67DF513C" w14:textId="77777777" w:rsidR="00155240" w:rsidRDefault="00155240">
      <w:r>
        <w:continuationSeparator/>
      </w:r>
    </w:p>
  </w:footnote>
  <w:footnote w:type="continuationNotice" w:id="1">
    <w:p w14:paraId="102424B8" w14:textId="77777777" w:rsidR="00155240" w:rsidRDefault="00155240">
      <w:pPr>
        <w:spacing w:after="0"/>
      </w:pPr>
    </w:p>
  </w:footnote>
  <w:footnote w:id="2">
    <w:p w14:paraId="05100D11" w14:textId="0FD21EBC" w:rsidR="00183674" w:rsidRDefault="00183674" w:rsidP="00183674">
      <w:pPr>
        <w:pStyle w:val="FootnoteText"/>
      </w:pPr>
      <w:r>
        <w:rPr>
          <w:rStyle w:val="FootnoteReference"/>
        </w:rPr>
        <w:footnoteRef/>
      </w:r>
      <w:r>
        <w:t xml:space="preserve"> </w:t>
      </w:r>
      <w:r w:rsidR="004D04ED" w:rsidRPr="004D04ED">
        <w:rPr>
          <w:rFonts w:ascii="Times New Roman" w:hAnsi="Times New Roman"/>
        </w:rPr>
        <w:t>This project has received funding through the MSCA4Ukraine project, which is funded by the European Union. Views and opinions expressed are however those of the author only and do not necessarily reflect those of the European Union. Neither the European Union nor the MSCA4Ukraine Consortium as a whole nor any individual member institutions of the MSCA4Ukraine Consortium can be held responsible for them</w:t>
      </w:r>
      <w:r w:rsidRPr="004D04ED">
        <w:rPr>
          <w:rFonts w:ascii="Times New Roman" w:hAnsi="Times New Roman"/>
        </w:rPr>
        <w:t>.</w:t>
      </w:r>
    </w:p>
  </w:footnote>
  <w:footnote w:id="3">
    <w:p w14:paraId="53D1F847" w14:textId="22812B7D" w:rsidR="00E26614" w:rsidRPr="0013279B" w:rsidRDefault="00E26614" w:rsidP="00183674">
      <w:pPr>
        <w:pStyle w:val="FootnoteText"/>
        <w:rPr>
          <w:rFonts w:ascii="Times New Roman" w:hAnsi="Times New Roman"/>
        </w:rPr>
      </w:pPr>
      <w:r w:rsidRPr="00441079">
        <w:rPr>
          <w:rStyle w:val="FootnoteReference"/>
          <w:rFonts w:ascii="Times New Roman" w:hAnsi="Times New Roman"/>
        </w:rPr>
        <w:footnoteRef/>
      </w:r>
      <w:r w:rsidRPr="00441079">
        <w:rPr>
          <w:rFonts w:ascii="Times New Roman" w:hAnsi="Times New Roman"/>
        </w:rPr>
        <w:t xml:space="preserve"> Bill #10143 of 12 October 2023 on amending of the Code of Ukraine on bankruptcy procedures and other legislative acts of Ukraine regarding the implementation of Directive 2019/1023 of the European Parliament and the Council of </w:t>
      </w:r>
      <w:r w:rsidRPr="0013279B">
        <w:rPr>
          <w:rFonts w:ascii="Times New Roman" w:hAnsi="Times New Roman"/>
        </w:rPr>
        <w:t>the European Union and the introduction of preventive restructuring procedures</w:t>
      </w:r>
      <w:r>
        <w:rPr>
          <w:rFonts w:ascii="Times New Roman" w:hAnsi="Times New Roman"/>
        </w:rPr>
        <w:t xml:space="preserve">, available in Ukrainian at: </w:t>
      </w:r>
      <w:hyperlink r:id="rId1" w:history="1">
        <w:r w:rsidRPr="000F599A">
          <w:rPr>
            <w:rStyle w:val="Hyperlink"/>
            <w:rFonts w:ascii="Times New Roman" w:hAnsi="Times New Roman"/>
          </w:rPr>
          <w:t>https://itd.rada.gov.ua/billInfo/Bills/pubFile/2025002</w:t>
        </w:r>
      </w:hyperlink>
      <w:r>
        <w:rPr>
          <w:rFonts w:ascii="Times New Roman" w:hAnsi="Times New Roman"/>
        </w:rPr>
        <w:t>.</w:t>
      </w:r>
    </w:p>
  </w:footnote>
  <w:footnote w:id="4">
    <w:p w14:paraId="392E9C7C" w14:textId="506E1EF8" w:rsidR="00E26614" w:rsidRPr="004A41D6" w:rsidRDefault="00E26614" w:rsidP="00183674">
      <w:pPr>
        <w:pStyle w:val="FootnoteText"/>
        <w:rPr>
          <w:rFonts w:ascii="Times New Roman" w:hAnsi="Times New Roman"/>
        </w:rPr>
      </w:pPr>
      <w:r w:rsidRPr="004A41D6">
        <w:rPr>
          <w:rStyle w:val="FootnoteReference"/>
          <w:rFonts w:ascii="Times New Roman" w:hAnsi="Times New Roman"/>
        </w:rPr>
        <w:footnoteRef/>
      </w:r>
      <w:r w:rsidRPr="004A41D6">
        <w:rPr>
          <w:rFonts w:ascii="Times New Roman" w:hAnsi="Times New Roman"/>
        </w:rPr>
        <w:t xml:space="preserve"> Bill #10228 </w:t>
      </w:r>
      <w:r>
        <w:rPr>
          <w:rFonts w:ascii="Times New Roman" w:hAnsi="Times New Roman"/>
        </w:rPr>
        <w:t xml:space="preserve">of 8 November 2023 on amending some legislative acts of Ukraine regarding the improvement of preventive procedures and prevention of bankruptcy (text presented on 10 November 2023), available in Ukrainian at: </w:t>
      </w:r>
      <w:hyperlink r:id="rId2" w:history="1">
        <w:r w:rsidRPr="0087208D">
          <w:rPr>
            <w:rStyle w:val="Hyperlink"/>
            <w:rFonts w:ascii="Times New Roman" w:hAnsi="Times New Roman"/>
          </w:rPr>
          <w:t>https://itd.rada.gov.ua/billInfo/Bills/pubFile/2064509</w:t>
        </w:r>
      </w:hyperlink>
      <w:r>
        <w:rPr>
          <w:rFonts w:ascii="Times New Roman" w:hAnsi="Times New Roman"/>
        </w:rPr>
        <w:t>.</w:t>
      </w:r>
    </w:p>
  </w:footnote>
  <w:footnote w:id="5">
    <w:p w14:paraId="4C360FB9" w14:textId="2FCF95B2" w:rsidR="00E26614" w:rsidRDefault="00E26614" w:rsidP="00183674">
      <w:pPr>
        <w:pStyle w:val="FootnoteText"/>
      </w:pPr>
      <w:r>
        <w:rPr>
          <w:rStyle w:val="FootnoteReference"/>
        </w:rPr>
        <w:footnoteRef/>
      </w:r>
      <w:r>
        <w:t xml:space="preserve"> </w:t>
      </w:r>
      <w:r w:rsidRPr="00EE62A4">
        <w:rPr>
          <w:rFonts w:ascii="Times New Roman" w:hAnsi="Times New Roman"/>
        </w:rPr>
        <w:t>European Council</w:t>
      </w:r>
      <w:r>
        <w:rPr>
          <w:rFonts w:ascii="Times New Roman" w:hAnsi="Times New Roman"/>
        </w:rPr>
        <w:t xml:space="preserve">, </w:t>
      </w:r>
      <w:r w:rsidR="000B09D3">
        <w:rPr>
          <w:rFonts w:ascii="Times New Roman" w:hAnsi="Times New Roman"/>
        </w:rPr>
        <w:t>‘;</w:t>
      </w:r>
      <w:r>
        <w:rPr>
          <w:rFonts w:ascii="Times New Roman" w:hAnsi="Times New Roman"/>
        </w:rPr>
        <w:t>M</w:t>
      </w:r>
      <w:r w:rsidRPr="00EE62A4">
        <w:rPr>
          <w:rFonts w:ascii="Times New Roman" w:hAnsi="Times New Roman"/>
        </w:rPr>
        <w:t>eeting (23 and 24 June 2022) – Conclusions</w:t>
      </w:r>
      <w:r w:rsidR="000B09D3">
        <w:rPr>
          <w:rFonts w:ascii="Times New Roman" w:hAnsi="Times New Roman"/>
        </w:rPr>
        <w:t>’;</w:t>
      </w:r>
      <w:r w:rsidRPr="00EE62A4">
        <w:rPr>
          <w:rFonts w:ascii="Times New Roman" w:hAnsi="Times New Roman"/>
        </w:rPr>
        <w:t xml:space="preserve"> EUCO</w:t>
      </w:r>
      <w:r>
        <w:rPr>
          <w:rFonts w:ascii="Times New Roman" w:hAnsi="Times New Roman"/>
        </w:rPr>
        <w:t xml:space="preserve"> 24/22</w:t>
      </w:r>
      <w:r w:rsidRPr="00EE62A4">
        <w:rPr>
          <w:rFonts w:ascii="Times New Roman" w:hAnsi="Times New Roman"/>
        </w:rPr>
        <w:t>,</w:t>
      </w:r>
      <w:r>
        <w:rPr>
          <w:rFonts w:ascii="Times New Roman" w:hAnsi="Times New Roman"/>
        </w:rPr>
        <w:t xml:space="preserve"> para. 11; </w:t>
      </w:r>
      <w:r w:rsidRPr="008178C7">
        <w:rPr>
          <w:rFonts w:ascii="Times New Roman" w:hAnsi="Times New Roman"/>
        </w:rPr>
        <w:t>C</w:t>
      </w:r>
      <w:r>
        <w:rPr>
          <w:rFonts w:ascii="Times New Roman" w:hAnsi="Times New Roman"/>
        </w:rPr>
        <w:t xml:space="preserve">ommission, </w:t>
      </w:r>
      <w:r w:rsidR="000B09D3">
        <w:rPr>
          <w:rFonts w:ascii="Times New Roman" w:hAnsi="Times New Roman"/>
        </w:rPr>
        <w:t>‘;</w:t>
      </w:r>
      <w:r>
        <w:rPr>
          <w:rFonts w:ascii="Times New Roman" w:hAnsi="Times New Roman"/>
        </w:rPr>
        <w:t>Staff working document</w:t>
      </w:r>
      <w:r w:rsidRPr="008178C7">
        <w:rPr>
          <w:rFonts w:ascii="Times New Roman" w:hAnsi="Times New Roman"/>
        </w:rPr>
        <w:t xml:space="preserve"> Ukraine 2023 Report Accompanying the document Communication from the Commission to the European Parliament, the Council, the European Economic and Social Committee and the Committee of the Regions 2023 Communication on EU Enlargement policy</w:t>
      </w:r>
      <w:r w:rsidR="000B09D3">
        <w:rPr>
          <w:rFonts w:ascii="Times New Roman" w:hAnsi="Times New Roman"/>
        </w:rPr>
        <w:t>’;</w:t>
      </w:r>
      <w:r>
        <w:rPr>
          <w:rFonts w:ascii="Times New Roman" w:hAnsi="Times New Roman"/>
        </w:rPr>
        <w:t xml:space="preserve"> SWD/2023/699 final, 28.</w:t>
      </w:r>
    </w:p>
  </w:footnote>
  <w:footnote w:id="6">
    <w:p w14:paraId="5105FB68" w14:textId="70F4E843" w:rsidR="00E26614" w:rsidRPr="004A41D6" w:rsidRDefault="00E26614" w:rsidP="00183674">
      <w:pPr>
        <w:pStyle w:val="FootnoteText"/>
        <w:rPr>
          <w:rFonts w:ascii="Times New Roman" w:hAnsi="Times New Roman"/>
        </w:rPr>
      </w:pPr>
      <w:r w:rsidRPr="004A41D6">
        <w:rPr>
          <w:rStyle w:val="FootnoteReference"/>
          <w:rFonts w:ascii="Times New Roman" w:hAnsi="Times New Roman"/>
        </w:rPr>
        <w:footnoteRef/>
      </w:r>
      <w:r w:rsidRPr="004A41D6">
        <w:rPr>
          <w:rFonts w:ascii="Times New Roman" w:hAnsi="Times New Roman"/>
        </w:rPr>
        <w:t xml:space="preserve"> Memorandum of Understanding between the European Union as Lender and Ukraine as Borrower of 16 January 2023 – Instrument for providing support to Ukraine for 2023 (micro-financial assistance+) of up to EUR 18 billion.</w:t>
      </w:r>
    </w:p>
  </w:footnote>
  <w:footnote w:id="7">
    <w:p w14:paraId="6D8A9E65" w14:textId="373BE131" w:rsidR="00E26614" w:rsidRDefault="00E26614" w:rsidP="00183674">
      <w:pPr>
        <w:pStyle w:val="FootnoteText"/>
      </w:pPr>
      <w:r>
        <w:rPr>
          <w:rStyle w:val="FootnoteReference"/>
        </w:rPr>
        <w:footnoteRef/>
      </w:r>
      <w:r>
        <w:t xml:space="preserve"> See: </w:t>
      </w:r>
      <w:hyperlink r:id="rId3" w:history="1">
        <w:r w:rsidRPr="00C0075D">
          <w:rPr>
            <w:rStyle w:val="Hyperlink"/>
            <w:rFonts w:ascii="Times New Roman" w:hAnsi="Times New Roman"/>
          </w:rPr>
          <w:t>https://minjust.gov.ua/news/ministry/minyust-zatverdiv-dorojnyu-kartu-u-sferi-bankrutstva</w:t>
        </w:r>
      </w:hyperlink>
      <w:r>
        <w:rPr>
          <w:rFonts w:ascii="Times New Roman" w:hAnsi="Times New Roman"/>
        </w:rPr>
        <w:t>.</w:t>
      </w:r>
    </w:p>
  </w:footnote>
  <w:footnote w:id="8">
    <w:p w14:paraId="79EB6BD1" w14:textId="13594BDB" w:rsidR="00E26614" w:rsidRPr="004A41D6" w:rsidRDefault="00E26614" w:rsidP="00183674">
      <w:pPr>
        <w:pStyle w:val="FootnoteText"/>
        <w:rPr>
          <w:rFonts w:ascii="Times New Roman" w:hAnsi="Times New Roman"/>
        </w:rPr>
      </w:pPr>
      <w:r w:rsidRPr="004A41D6">
        <w:rPr>
          <w:rStyle w:val="FootnoteReference"/>
          <w:rFonts w:ascii="Times New Roman" w:hAnsi="Times New Roman"/>
        </w:rPr>
        <w:footnoteRef/>
      </w:r>
      <w:r>
        <w:rPr>
          <w:rFonts w:ascii="Times New Roman" w:hAnsi="Times New Roman"/>
        </w:rPr>
        <w:t xml:space="preserve"> SWD/2023/699 final, 28.</w:t>
      </w:r>
    </w:p>
  </w:footnote>
  <w:footnote w:id="9">
    <w:p w14:paraId="57943D1E" w14:textId="52A1B2F8" w:rsidR="00E26614" w:rsidRPr="004A41D6" w:rsidRDefault="00E26614" w:rsidP="00183674">
      <w:pPr>
        <w:pStyle w:val="FootnoteText"/>
        <w:rPr>
          <w:rFonts w:ascii="Times New Roman" w:hAnsi="Times New Roman"/>
        </w:rPr>
      </w:pPr>
      <w:r w:rsidRPr="004A41D6">
        <w:rPr>
          <w:rStyle w:val="FootnoteReference"/>
          <w:rFonts w:ascii="Times New Roman" w:hAnsi="Times New Roman"/>
        </w:rPr>
        <w:footnoteRef/>
      </w:r>
      <w:r w:rsidRPr="004A41D6">
        <w:rPr>
          <w:rFonts w:ascii="Times New Roman" w:hAnsi="Times New Roman"/>
        </w:rPr>
        <w:t xml:space="preserve"> Code of Ukraine on Bankruptcy Procedures of 18 October 2018 (in force since 21 </w:t>
      </w:r>
      <w:r>
        <w:rPr>
          <w:rFonts w:ascii="Times New Roman" w:hAnsi="Times New Roman"/>
        </w:rPr>
        <w:t xml:space="preserve">October </w:t>
      </w:r>
      <w:r w:rsidRPr="004A41D6">
        <w:rPr>
          <w:rFonts w:ascii="Times New Roman" w:hAnsi="Times New Roman"/>
        </w:rPr>
        <w:t>2019).</w:t>
      </w:r>
    </w:p>
  </w:footnote>
  <w:footnote w:id="10">
    <w:p w14:paraId="6CF97C0A" w14:textId="045C01BC" w:rsidR="00E26614" w:rsidRDefault="00E26614" w:rsidP="00183674">
      <w:pPr>
        <w:pStyle w:val="FootnoteText"/>
      </w:pPr>
      <w:r>
        <w:rPr>
          <w:rStyle w:val="FootnoteReference"/>
        </w:rPr>
        <w:footnoteRef/>
      </w:r>
      <w:r>
        <w:t xml:space="preserve"> </w:t>
      </w:r>
      <w:r>
        <w:rPr>
          <w:rFonts w:ascii="Times New Roman" w:hAnsi="Times New Roman"/>
        </w:rPr>
        <w:t>Olha Stakheyeva-Bogovyk</w:t>
      </w:r>
      <w:r w:rsidRPr="00D13430">
        <w:rPr>
          <w:rFonts w:ascii="Times New Roman" w:hAnsi="Times New Roman"/>
        </w:rPr>
        <w:t xml:space="preserve">, </w:t>
      </w:r>
      <w:r w:rsidRPr="00394F00">
        <w:rPr>
          <w:rFonts w:ascii="Times New Roman" w:hAnsi="Times New Roman"/>
          <w:i/>
          <w:iCs/>
        </w:rPr>
        <w:t>New Bankruptcy Code of Ukraine: What to Expect</w:t>
      </w:r>
      <w:r>
        <w:rPr>
          <w:rFonts w:ascii="Times New Roman" w:hAnsi="Times New Roman"/>
        </w:rPr>
        <w:t xml:space="preserve"> (2019) 76 </w:t>
      </w:r>
      <w:r w:rsidRPr="00E26614">
        <w:rPr>
          <w:rFonts w:ascii="Times New Roman" w:hAnsi="Times New Roman"/>
          <w:i/>
          <w:iCs/>
        </w:rPr>
        <w:t>Eurofenix</w:t>
      </w:r>
      <w:r w:rsidRPr="00D13430">
        <w:rPr>
          <w:rFonts w:ascii="Times New Roman" w:hAnsi="Times New Roman"/>
        </w:rPr>
        <w:t xml:space="preserve"> </w:t>
      </w:r>
      <w:r>
        <w:rPr>
          <w:rFonts w:ascii="Times New Roman" w:hAnsi="Times New Roman"/>
        </w:rPr>
        <w:t xml:space="preserve">26, available at: </w:t>
      </w:r>
      <w:hyperlink r:id="rId4" w:history="1">
        <w:r w:rsidRPr="00C0075D">
          <w:rPr>
            <w:rStyle w:val="Hyperlink"/>
            <w:rFonts w:ascii="Times New Roman" w:hAnsi="Times New Roman"/>
          </w:rPr>
          <w:t>https://www.insol-europe.org/download/documents/1585</w:t>
        </w:r>
      </w:hyperlink>
      <w:r>
        <w:rPr>
          <w:rFonts w:ascii="Times New Roman" w:hAnsi="Times New Roman"/>
        </w:rPr>
        <w:t>.</w:t>
      </w:r>
    </w:p>
  </w:footnote>
  <w:footnote w:id="11">
    <w:p w14:paraId="59D5CE14" w14:textId="77777777" w:rsidR="00E26614" w:rsidRDefault="00E26614" w:rsidP="00183674">
      <w:pPr>
        <w:pStyle w:val="FootnoteText"/>
        <w:rPr>
          <w:rFonts w:ascii="Times New Roman" w:hAnsi="Times New Roman"/>
        </w:rPr>
      </w:pPr>
      <w:r w:rsidRPr="004A41D6">
        <w:rPr>
          <w:rStyle w:val="FootnoteReference"/>
          <w:rFonts w:ascii="Times New Roman" w:hAnsi="Times New Roman"/>
        </w:rPr>
        <w:footnoteRef/>
      </w:r>
      <w:r w:rsidRPr="004A41D6">
        <w:rPr>
          <w:rFonts w:ascii="Times New Roman" w:hAnsi="Times New Roman"/>
        </w:rPr>
        <w:t xml:space="preserve"> Explanatory note to Bill #10143, available in Ukrainian at:</w:t>
      </w:r>
    </w:p>
    <w:p w14:paraId="3A188B29" w14:textId="533F59BF" w:rsidR="00E26614" w:rsidRPr="004A41D6" w:rsidRDefault="00000000" w:rsidP="00183674">
      <w:pPr>
        <w:pStyle w:val="FootnoteText"/>
        <w:rPr>
          <w:rFonts w:ascii="Times New Roman" w:hAnsi="Times New Roman"/>
        </w:rPr>
      </w:pPr>
      <w:hyperlink r:id="rId5" w:history="1">
        <w:r w:rsidR="00E26614" w:rsidRPr="00C0075D">
          <w:rPr>
            <w:rStyle w:val="Hyperlink"/>
            <w:rFonts w:ascii="Times New Roman" w:hAnsi="Times New Roman"/>
          </w:rPr>
          <w:t>https://itd.rada.gov.ua/billInfo/Bills/pubFile/2025003</w:t>
        </w:r>
      </w:hyperlink>
      <w:r w:rsidR="00E26614">
        <w:rPr>
          <w:rFonts w:ascii="Times New Roman" w:hAnsi="Times New Roman"/>
        </w:rPr>
        <w:t>.</w:t>
      </w:r>
    </w:p>
  </w:footnote>
  <w:footnote w:id="12">
    <w:p w14:paraId="5A9F83BA" w14:textId="0177206C" w:rsidR="00E26614" w:rsidRPr="00EA3CD8" w:rsidRDefault="00E26614" w:rsidP="00183674">
      <w:pPr>
        <w:pStyle w:val="FootnoteText"/>
        <w:rPr>
          <w:rFonts w:ascii="Times New Roman" w:hAnsi="Times New Roman"/>
        </w:rPr>
      </w:pPr>
      <w:r w:rsidRPr="00EA3CD8">
        <w:rPr>
          <w:rStyle w:val="FootnoteReference"/>
          <w:rFonts w:ascii="Times New Roman" w:hAnsi="Times New Roman"/>
        </w:rPr>
        <w:footnoteRef/>
      </w:r>
      <w:r w:rsidRPr="00EA3CD8">
        <w:rPr>
          <w:rFonts w:ascii="Times New Roman" w:hAnsi="Times New Roman"/>
        </w:rPr>
        <w:t xml:space="preserve"> The number can be inaccurate and in fact lower due to the absence of data officially published by the Department of Bankruptcy, Ministry of Justice of Ukraine. Besides, it is not uncommon for the Supreme Court to quash decisions of trial courts approving pre-trial rehabilitation plans many months after the approvals by the trial court.</w:t>
      </w:r>
    </w:p>
  </w:footnote>
  <w:footnote w:id="13">
    <w:p w14:paraId="347AFFB3" w14:textId="3BA0B456" w:rsidR="00E26614" w:rsidRDefault="00E26614" w:rsidP="00183674">
      <w:pPr>
        <w:pStyle w:val="FootnoteText"/>
        <w:rPr>
          <w:rFonts w:ascii="Times New Roman" w:hAnsi="Times New Roman"/>
        </w:rPr>
      </w:pPr>
      <w:r w:rsidRPr="00EA3CD8">
        <w:rPr>
          <w:rStyle w:val="FootnoteReference"/>
          <w:rFonts w:ascii="Times New Roman" w:hAnsi="Times New Roman"/>
        </w:rPr>
        <w:footnoteRef/>
      </w:r>
      <w:r w:rsidRPr="00EA3CD8">
        <w:rPr>
          <w:rFonts w:ascii="Times New Roman" w:hAnsi="Times New Roman"/>
        </w:rPr>
        <w:t xml:space="preserve"> The budget problem was emphasized by the respective parliamentary committee, </w:t>
      </w:r>
      <w:r>
        <w:rPr>
          <w:rFonts w:ascii="Times New Roman" w:hAnsi="Times New Roman"/>
        </w:rPr>
        <w:t xml:space="preserve">for which </w:t>
      </w:r>
      <w:r w:rsidRPr="00EA3CD8">
        <w:rPr>
          <w:rFonts w:ascii="Times New Roman" w:hAnsi="Times New Roman"/>
        </w:rPr>
        <w:t>see</w:t>
      </w:r>
      <w:r>
        <w:rPr>
          <w:rFonts w:ascii="Times New Roman" w:hAnsi="Times New Roman"/>
        </w:rPr>
        <w:t>:</w:t>
      </w:r>
    </w:p>
    <w:p w14:paraId="348D5CA0" w14:textId="187289E6" w:rsidR="00E26614" w:rsidRPr="00EA3CD8" w:rsidRDefault="00000000" w:rsidP="00183674">
      <w:pPr>
        <w:pStyle w:val="FootnoteText"/>
        <w:rPr>
          <w:rFonts w:ascii="Times New Roman" w:hAnsi="Times New Roman"/>
        </w:rPr>
      </w:pPr>
      <w:hyperlink r:id="rId6" w:history="1">
        <w:r w:rsidR="00E26614" w:rsidRPr="00C0075D">
          <w:rPr>
            <w:rStyle w:val="Hyperlink"/>
            <w:rFonts w:ascii="Times New Roman" w:hAnsi="Times New Roman"/>
          </w:rPr>
          <w:t>https://itd.rada.gov.ua/billInfo/Bills/pubFile/2128344</w:t>
        </w:r>
      </w:hyperlink>
      <w:r w:rsidR="00E26614">
        <w:rPr>
          <w:rFonts w:ascii="Times New Roman" w:hAnsi="Times New Roman"/>
        </w:rPr>
        <w:t xml:space="preserve">; </w:t>
      </w:r>
      <w:hyperlink r:id="rId7" w:history="1">
        <w:r w:rsidR="00E26614" w:rsidRPr="00A84802">
          <w:rPr>
            <w:rStyle w:val="Hyperlink"/>
            <w:rFonts w:ascii="Times New Roman" w:hAnsi="Times New Roman"/>
          </w:rPr>
          <w:t>https://itd.rada.gov.ua/billInfo/Bills/pubFile/2120630</w:t>
        </w:r>
      </w:hyperlink>
      <w:r w:rsidR="00E26614">
        <w:rPr>
          <w:rFonts w:ascii="Times New Roman" w:hAnsi="Times New Roman"/>
        </w:rPr>
        <w:t>.</w:t>
      </w:r>
    </w:p>
  </w:footnote>
  <w:footnote w:id="14">
    <w:p w14:paraId="2E2728BD" w14:textId="10EF5D58" w:rsidR="00E26614" w:rsidRDefault="00E26614" w:rsidP="00183674">
      <w:pPr>
        <w:pStyle w:val="FootnoteText"/>
      </w:pPr>
      <w:r>
        <w:rPr>
          <w:rStyle w:val="FootnoteReference"/>
        </w:rPr>
        <w:footnoteRef/>
      </w:r>
      <w:r>
        <w:t xml:space="preserve"> </w:t>
      </w:r>
      <w:r w:rsidRPr="00204187">
        <w:rPr>
          <w:rFonts w:ascii="Times New Roman" w:hAnsi="Times New Roman"/>
        </w:rPr>
        <w:t xml:space="preserve">Round table </w:t>
      </w:r>
      <w:r w:rsidR="000B09D3">
        <w:rPr>
          <w:rFonts w:ascii="Times New Roman" w:hAnsi="Times New Roman"/>
        </w:rPr>
        <w:t>‘;</w:t>
      </w:r>
      <w:r w:rsidRPr="00204187">
        <w:rPr>
          <w:rFonts w:ascii="Times New Roman" w:hAnsi="Times New Roman"/>
        </w:rPr>
        <w:t>Preventive Restructuring according to Bill #10143</w:t>
      </w:r>
      <w:r w:rsidR="000B09D3">
        <w:rPr>
          <w:rFonts w:ascii="Times New Roman" w:hAnsi="Times New Roman"/>
        </w:rPr>
        <w:t>’;</w:t>
      </w:r>
      <w:r w:rsidRPr="00204187">
        <w:rPr>
          <w:rFonts w:ascii="Times New Roman" w:hAnsi="Times New Roman"/>
        </w:rPr>
        <w:t xml:space="preserve"> (Kyiv, Ukraine, 8 December 2023) (in Ukrainian)</w:t>
      </w:r>
      <w:r>
        <w:rPr>
          <w:rFonts w:ascii="Times New Roman" w:hAnsi="Times New Roman"/>
        </w:rPr>
        <w:t>, available at:</w:t>
      </w:r>
      <w:r w:rsidRPr="00204187">
        <w:rPr>
          <w:rFonts w:ascii="Times New Roman" w:hAnsi="Times New Roman"/>
        </w:rPr>
        <w:t xml:space="preserve"> </w:t>
      </w:r>
      <w:hyperlink r:id="rId8" w:history="1">
        <w:r w:rsidRPr="00204187">
          <w:rPr>
            <w:rStyle w:val="Hyperlink"/>
            <w:rFonts w:ascii="Times New Roman" w:hAnsi="Times New Roman"/>
          </w:rPr>
          <w:t>https://www.facebook.com/Pravojusticeukraine/videos/262958836778151</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1C3472D0"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183674">
      <w:rPr>
        <w:rFonts w:ascii="Arial" w:hAnsi="Arial" w:cs="Arial"/>
        <w:b/>
        <w:sz w:val="20"/>
      </w:rPr>
      <w:t>March</w:t>
    </w:r>
    <w:r w:rsidR="002A5779" w:rsidRPr="002331CA">
      <w:rPr>
        <w:rFonts w:ascii="Arial" w:hAnsi="Arial" w:cs="Arial"/>
        <w:b/>
        <w:sz w:val="20"/>
      </w:rPr>
      <w:t xml:space="preserve"> 20</w:t>
    </w:r>
    <w:r w:rsidR="00087612" w:rsidRPr="002331CA">
      <w:rPr>
        <w:rFonts w:ascii="Arial" w:hAnsi="Arial" w:cs="Arial"/>
        <w:b/>
        <w:sz w:val="20"/>
      </w:rPr>
      <w:t>2</w:t>
    </w:r>
    <w:r w:rsidR="00183674">
      <w:rPr>
        <w:rFonts w:ascii="Arial" w:hAnsi="Arial" w:cs="Arial"/>
        <w:b/>
        <w:sz w:val="20"/>
      </w:rPr>
      <w:t>4</w:t>
    </w:r>
    <w:r w:rsidR="00D90E9D">
      <w:rPr>
        <w:rFonts w:ascii="Arial" w:hAnsi="Arial" w:cs="Arial"/>
        <w:b/>
        <w:sz w:val="20"/>
      </w:rPr>
      <w:t>)</w:t>
    </w:r>
  </w:p>
  <w:p w14:paraId="0F2C5C5A" w14:textId="2176C6A7" w:rsidR="00BF3D3E" w:rsidRPr="0011226B" w:rsidRDefault="00183674" w:rsidP="00D90E9D">
    <w:pPr>
      <w:pStyle w:val="Header"/>
      <w:spacing w:after="0"/>
      <w:rPr>
        <w:rFonts w:ascii="Arial" w:hAnsi="Arial" w:cs="Arial"/>
        <w:b/>
        <w:sz w:val="20"/>
        <w:lang w:val="fr-FR"/>
      </w:rPr>
    </w:pPr>
    <w:r>
      <w:rPr>
        <w:rFonts w:ascii="Arial" w:hAnsi="Arial" w:cs="Arial"/>
        <w:b/>
        <w:sz w:val="20"/>
      </w:rPr>
      <w:t xml:space="preserve">Oleksiy Kononov </w:t>
    </w:r>
    <w:r w:rsidR="00640EFC" w:rsidRPr="0011226B">
      <w:rPr>
        <w:rFonts w:ascii="Arial" w:hAnsi="Arial" w:cs="Arial"/>
        <w:b/>
        <w:sz w:val="20"/>
        <w:lang w:val="fr-FR"/>
      </w:rPr>
      <w:t>(</w:t>
    </w:r>
    <w:r>
      <w:rPr>
        <w:rFonts w:ascii="Arial" w:hAnsi="Arial" w:cs="Arial"/>
        <w:b/>
        <w:sz w:val="20"/>
        <w:lang w:val="fr-FR"/>
      </w:rPr>
      <w:t>UA</w:t>
    </w:r>
    <w:r w:rsidR="00BF3D3E" w:rsidRPr="0011226B">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 w15:restartNumberingAfterBreak="0">
    <w:nsid w:val="40E565FB"/>
    <w:multiLevelType w:val="hybridMultilevel"/>
    <w:tmpl w:val="4D7CF8E6"/>
    <w:lvl w:ilvl="0" w:tplc="B9184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6" w15:restartNumberingAfterBreak="0">
    <w:nsid w:val="632A1ADF"/>
    <w:multiLevelType w:val="hybridMultilevel"/>
    <w:tmpl w:val="4A561FE0"/>
    <w:lvl w:ilvl="0" w:tplc="6BF2A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2189264">
    <w:abstractNumId w:val="4"/>
  </w:num>
  <w:num w:numId="2" w16cid:durableId="981425758">
    <w:abstractNumId w:val="0"/>
  </w:num>
  <w:num w:numId="3" w16cid:durableId="491718521">
    <w:abstractNumId w:val="7"/>
  </w:num>
  <w:num w:numId="4" w16cid:durableId="2085445586">
    <w:abstractNumId w:val="2"/>
  </w:num>
  <w:num w:numId="5" w16cid:durableId="599214816">
    <w:abstractNumId w:val="1"/>
  </w:num>
  <w:num w:numId="6" w16cid:durableId="1070350675">
    <w:abstractNumId w:val="5"/>
  </w:num>
  <w:num w:numId="7" w16cid:durableId="1034767669">
    <w:abstractNumId w:val="6"/>
  </w:num>
  <w:num w:numId="8" w16cid:durableId="130839228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B09D3"/>
    <w:rsid w:val="000C4532"/>
    <w:rsid w:val="000C7620"/>
    <w:rsid w:val="000D3C8B"/>
    <w:rsid w:val="00104015"/>
    <w:rsid w:val="0011181C"/>
    <w:rsid w:val="0011226B"/>
    <w:rsid w:val="001258A8"/>
    <w:rsid w:val="00127C4A"/>
    <w:rsid w:val="00141375"/>
    <w:rsid w:val="00145356"/>
    <w:rsid w:val="00155240"/>
    <w:rsid w:val="0016531A"/>
    <w:rsid w:val="00167198"/>
    <w:rsid w:val="001835B2"/>
    <w:rsid w:val="00183674"/>
    <w:rsid w:val="001934CC"/>
    <w:rsid w:val="001A713B"/>
    <w:rsid w:val="001A72DC"/>
    <w:rsid w:val="001B1AA8"/>
    <w:rsid w:val="001C5080"/>
    <w:rsid w:val="001C7EC0"/>
    <w:rsid w:val="001D3A90"/>
    <w:rsid w:val="001E7A6F"/>
    <w:rsid w:val="001F119D"/>
    <w:rsid w:val="0020085B"/>
    <w:rsid w:val="00222353"/>
    <w:rsid w:val="002331CA"/>
    <w:rsid w:val="00247BAC"/>
    <w:rsid w:val="002756AD"/>
    <w:rsid w:val="00276632"/>
    <w:rsid w:val="00280030"/>
    <w:rsid w:val="00284601"/>
    <w:rsid w:val="002A48E9"/>
    <w:rsid w:val="002A4C95"/>
    <w:rsid w:val="002A5779"/>
    <w:rsid w:val="002A5C92"/>
    <w:rsid w:val="002E09E9"/>
    <w:rsid w:val="002F54CA"/>
    <w:rsid w:val="003021B6"/>
    <w:rsid w:val="003217E3"/>
    <w:rsid w:val="0032563F"/>
    <w:rsid w:val="003267D1"/>
    <w:rsid w:val="00340FF0"/>
    <w:rsid w:val="003441B9"/>
    <w:rsid w:val="003518FD"/>
    <w:rsid w:val="00355F21"/>
    <w:rsid w:val="003666A0"/>
    <w:rsid w:val="00367985"/>
    <w:rsid w:val="00372D4C"/>
    <w:rsid w:val="00380748"/>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04ED"/>
    <w:rsid w:val="004D1D7E"/>
    <w:rsid w:val="004D7C11"/>
    <w:rsid w:val="004F1265"/>
    <w:rsid w:val="004F57B8"/>
    <w:rsid w:val="00535342"/>
    <w:rsid w:val="00540D53"/>
    <w:rsid w:val="00557280"/>
    <w:rsid w:val="00557A0F"/>
    <w:rsid w:val="005649F9"/>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0EFC"/>
    <w:rsid w:val="006441B0"/>
    <w:rsid w:val="00657FC0"/>
    <w:rsid w:val="00674D11"/>
    <w:rsid w:val="00694350"/>
    <w:rsid w:val="006945CB"/>
    <w:rsid w:val="006B7ABD"/>
    <w:rsid w:val="006D0A86"/>
    <w:rsid w:val="006E7E8D"/>
    <w:rsid w:val="00703D03"/>
    <w:rsid w:val="00707113"/>
    <w:rsid w:val="007203F3"/>
    <w:rsid w:val="00740F50"/>
    <w:rsid w:val="00752792"/>
    <w:rsid w:val="00753FB5"/>
    <w:rsid w:val="00772427"/>
    <w:rsid w:val="00772DFE"/>
    <w:rsid w:val="00782731"/>
    <w:rsid w:val="00785E77"/>
    <w:rsid w:val="00786CA6"/>
    <w:rsid w:val="00790DFB"/>
    <w:rsid w:val="007A0387"/>
    <w:rsid w:val="007C4484"/>
    <w:rsid w:val="007D39E7"/>
    <w:rsid w:val="007E1590"/>
    <w:rsid w:val="008034E6"/>
    <w:rsid w:val="00807744"/>
    <w:rsid w:val="00825991"/>
    <w:rsid w:val="008432D1"/>
    <w:rsid w:val="00847988"/>
    <w:rsid w:val="008506FC"/>
    <w:rsid w:val="008609CB"/>
    <w:rsid w:val="00867725"/>
    <w:rsid w:val="00872A8B"/>
    <w:rsid w:val="00876BCD"/>
    <w:rsid w:val="00877CBB"/>
    <w:rsid w:val="00886023"/>
    <w:rsid w:val="008979BB"/>
    <w:rsid w:val="008A229B"/>
    <w:rsid w:val="008B0583"/>
    <w:rsid w:val="00900A95"/>
    <w:rsid w:val="009069C9"/>
    <w:rsid w:val="009224B4"/>
    <w:rsid w:val="00933B42"/>
    <w:rsid w:val="0093601D"/>
    <w:rsid w:val="009542E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903CC"/>
    <w:rsid w:val="00BA1EF1"/>
    <w:rsid w:val="00BA791F"/>
    <w:rsid w:val="00BC225C"/>
    <w:rsid w:val="00BC4C0D"/>
    <w:rsid w:val="00BD0697"/>
    <w:rsid w:val="00BE2B07"/>
    <w:rsid w:val="00BF3D3E"/>
    <w:rsid w:val="00C16DFA"/>
    <w:rsid w:val="00C2522B"/>
    <w:rsid w:val="00C378D4"/>
    <w:rsid w:val="00C900E1"/>
    <w:rsid w:val="00C96534"/>
    <w:rsid w:val="00CA2E89"/>
    <w:rsid w:val="00CA53BB"/>
    <w:rsid w:val="00CB7636"/>
    <w:rsid w:val="00CC02EB"/>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26614"/>
    <w:rsid w:val="00E37A5D"/>
    <w:rsid w:val="00E53ABF"/>
    <w:rsid w:val="00E64EE0"/>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 w:val="00FD4304"/>
    <w:rsid w:val="00FF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4"/>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4"/>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4"/>
      </w:numPr>
    </w:pPr>
  </w:style>
  <w:style w:type="paragraph" w:customStyle="1" w:styleId="AgreementHeading4">
    <w:name w:val="Agreement Heading 4"/>
    <w:basedOn w:val="Normal"/>
    <w:rsid w:val="006E7E8D"/>
    <w:pPr>
      <w:numPr>
        <w:ilvl w:val="3"/>
        <w:numId w:val="4"/>
      </w:numPr>
    </w:pPr>
  </w:style>
  <w:style w:type="paragraph" w:customStyle="1" w:styleId="AgreementHeading5">
    <w:name w:val="Agreement Heading 5"/>
    <w:basedOn w:val="Normal"/>
    <w:rsid w:val="006E7E8D"/>
    <w:pPr>
      <w:numPr>
        <w:ilvl w:val="4"/>
        <w:numId w:val="4"/>
      </w:numPr>
    </w:pPr>
  </w:style>
  <w:style w:type="paragraph" w:customStyle="1" w:styleId="AgreementParties">
    <w:name w:val="Agreement Parties"/>
    <w:basedOn w:val="Normal"/>
    <w:rsid w:val="006E7E8D"/>
    <w:pPr>
      <w:numPr>
        <w:numId w:val="2"/>
      </w:numPr>
    </w:pPr>
  </w:style>
  <w:style w:type="paragraph" w:customStyle="1" w:styleId="AgreementRecitals">
    <w:name w:val="Agreement Recitals"/>
    <w:basedOn w:val="Normal"/>
    <w:rsid w:val="006E7E8D"/>
    <w:pPr>
      <w:numPr>
        <w:numId w:val="3"/>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5"/>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6"/>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6"/>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6"/>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character" w:styleId="FollowedHyperlink">
    <w:name w:val="FollowedHyperlink"/>
    <w:basedOn w:val="DefaultParagraphFont"/>
    <w:semiHidden/>
    <w:unhideWhenUsed/>
    <w:rsid w:val="002F54CA"/>
    <w:rPr>
      <w:color w:val="800080" w:themeColor="followedHyperlink"/>
      <w:u w:val="single"/>
    </w:rPr>
  </w:style>
  <w:style w:type="character" w:styleId="SubtleEmphasis">
    <w:name w:val="Subtle Emphasis"/>
    <w:basedOn w:val="DefaultParagraphFont"/>
    <w:uiPriority w:val="19"/>
    <w:qFormat/>
    <w:rsid w:val="0016531A"/>
    <w:rPr>
      <w:rFonts w:ascii="Arial" w:hAnsi="Arial"/>
      <w:b/>
      <w:i/>
      <w:iCs/>
      <w:color w:val="auto"/>
      <w:sz w:val="20"/>
    </w:rPr>
  </w:style>
  <w:style w:type="paragraph" w:styleId="EndnoteText">
    <w:name w:val="endnote text"/>
    <w:basedOn w:val="Normal"/>
    <w:link w:val="EndnoteTextChar"/>
    <w:uiPriority w:val="99"/>
    <w:semiHidden/>
    <w:unhideWhenUsed/>
    <w:rsid w:val="00183674"/>
    <w:pPr>
      <w:spacing w:after="0"/>
      <w:jc w:val="left"/>
    </w:pPr>
    <w:rPr>
      <w:rFonts w:asciiTheme="minorHAnsi" w:eastAsiaTheme="minorHAnsi"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183674"/>
    <w:rPr>
      <w:rFonts w:asciiTheme="minorHAnsi" w:eastAsiaTheme="minorHAnsi" w:hAnsiTheme="minorHAnsi" w:cstheme="minorBidi"/>
      <w:sz w:val="20"/>
      <w:szCs w:val="20"/>
      <w:lang w:val="en-US" w:eastAsia="en-US"/>
    </w:rPr>
  </w:style>
  <w:style w:type="character" w:styleId="EndnoteReference">
    <w:name w:val="endnote reference"/>
    <w:basedOn w:val="DefaultParagraphFont"/>
    <w:uiPriority w:val="99"/>
    <w:semiHidden/>
    <w:unhideWhenUsed/>
    <w:rsid w:val="00183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Pravojusticeukraine/videos/262958836778151" TargetMode="External"/><Relationship Id="rId3" Type="http://schemas.openxmlformats.org/officeDocument/2006/relationships/hyperlink" Target="https://minjust.gov.ua/news/ministry/minyust-zatverdiv-dorojnyu-kartu-u-sferi-bankrutstva" TargetMode="External"/><Relationship Id="rId7" Type="http://schemas.openxmlformats.org/officeDocument/2006/relationships/hyperlink" Target="https://itd.rada.gov.ua/billInfo/Bills/pubFile/2120630" TargetMode="External"/><Relationship Id="rId2" Type="http://schemas.openxmlformats.org/officeDocument/2006/relationships/hyperlink" Target="https://itd.rada.gov.ua/billInfo/Bills/pubFile/2064509" TargetMode="External"/><Relationship Id="rId1" Type="http://schemas.openxmlformats.org/officeDocument/2006/relationships/hyperlink" Target="https://itd.rada.gov.ua/billInfo/Bills/pubFile/2025002" TargetMode="External"/><Relationship Id="rId6" Type="http://schemas.openxmlformats.org/officeDocument/2006/relationships/hyperlink" Target="https://itd.rada.gov.ua/billInfo/Bills/pubFile/2128344" TargetMode="External"/><Relationship Id="rId5" Type="http://schemas.openxmlformats.org/officeDocument/2006/relationships/hyperlink" Target="https://itd.rada.gov.ua/billInfo/Bills/pubFile/2025003" TargetMode="External"/><Relationship Id="rId4" Type="http://schemas.openxmlformats.org/officeDocument/2006/relationships/hyperlink" Target="https://www.insol-europe.org/download/documents/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8C5-F18C-4648-9382-4F38F40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1824</Words>
  <Characters>10402</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19</cp:revision>
  <cp:lastPrinted>2017-11-20T20:14:00Z</cp:lastPrinted>
  <dcterms:created xsi:type="dcterms:W3CDTF">2021-05-25T19:44:00Z</dcterms:created>
  <dcterms:modified xsi:type="dcterms:W3CDTF">2024-03-21T13:40:00Z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