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DC537" w14:textId="77777777" w:rsidR="00954987" w:rsidRDefault="00954987" w:rsidP="00954987">
      <w:pPr>
        <w:jc w:val="center"/>
        <w:rPr>
          <w:rFonts w:ascii="Verdana" w:hAnsi="Verdana"/>
          <w:b/>
          <w:lang w:val="en-US"/>
        </w:rPr>
      </w:pPr>
      <w:r w:rsidRPr="00357374">
        <w:rPr>
          <w:rFonts w:ascii="Verdana" w:eastAsia="Cambria" w:hAnsi="Verdana"/>
          <w:b/>
          <w:noProof/>
          <w:sz w:val="36"/>
          <w:szCs w:val="36"/>
          <w:lang w:val="en-US"/>
        </w:rPr>
        <w:drawing>
          <wp:inline distT="0" distB="0" distL="0" distR="0" wp14:anchorId="0646CBA9" wp14:editId="64FFB8C2">
            <wp:extent cx="1981200" cy="172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6BE3890C" w14:textId="77777777" w:rsidR="00954987" w:rsidRDefault="00954987" w:rsidP="00954987">
      <w:pPr>
        <w:jc w:val="center"/>
        <w:rPr>
          <w:rFonts w:ascii="Verdana" w:hAnsi="Verdana"/>
          <w:b/>
          <w:sz w:val="36"/>
          <w:szCs w:val="36"/>
          <w:lang w:val="en-US"/>
        </w:rPr>
      </w:pPr>
    </w:p>
    <w:p w14:paraId="130D88CC" w14:textId="77777777" w:rsidR="00954987" w:rsidRPr="00221A3F" w:rsidRDefault="00954987" w:rsidP="00954987">
      <w:pPr>
        <w:jc w:val="center"/>
        <w:rPr>
          <w:rFonts w:ascii="Verdana" w:hAnsi="Verdana"/>
          <w:b/>
          <w:sz w:val="36"/>
          <w:szCs w:val="36"/>
          <w:lang w:val="en-US"/>
        </w:rPr>
      </w:pPr>
      <w:r w:rsidRPr="009C59A4">
        <w:rPr>
          <w:rFonts w:ascii="Verdana" w:hAnsi="Verdana"/>
          <w:b/>
          <w:sz w:val="36"/>
          <w:szCs w:val="36"/>
          <w:lang w:val="en-US"/>
        </w:rPr>
        <w:t xml:space="preserve">INSIDE </w:t>
      </w:r>
      <w:r>
        <w:rPr>
          <w:rFonts w:ascii="Verdana" w:hAnsi="Verdana"/>
          <w:b/>
          <w:sz w:val="36"/>
          <w:szCs w:val="36"/>
          <w:lang w:val="en-US"/>
        </w:rPr>
        <w:t>Story</w:t>
      </w:r>
      <w:r w:rsidRPr="009C59A4">
        <w:rPr>
          <w:rFonts w:ascii="Verdana" w:hAnsi="Verdana"/>
          <w:b/>
          <w:sz w:val="36"/>
          <w:szCs w:val="36"/>
          <w:lang w:val="en-US"/>
        </w:rPr>
        <w:t xml:space="preserve"> – </w:t>
      </w:r>
      <w:r>
        <w:rPr>
          <w:rFonts w:ascii="Verdana" w:hAnsi="Verdana"/>
          <w:b/>
          <w:sz w:val="36"/>
          <w:szCs w:val="36"/>
          <w:lang w:val="en-US"/>
        </w:rPr>
        <w:t>June</w:t>
      </w:r>
      <w:r>
        <w:rPr>
          <w:rFonts w:ascii="Verdana" w:hAnsi="Verdana"/>
          <w:b/>
          <w:sz w:val="36"/>
          <w:szCs w:val="36"/>
          <w:lang w:val="en-US"/>
        </w:rPr>
        <w:t xml:space="preserve"> 2017 - </w:t>
      </w:r>
      <w:r>
        <w:rPr>
          <w:rFonts w:ascii="Verdana" w:hAnsi="Verdana"/>
          <w:b/>
          <w:sz w:val="36"/>
          <w:szCs w:val="36"/>
          <w:lang w:val="en-US"/>
        </w:rPr>
        <w:t>Lithuania</w:t>
      </w:r>
    </w:p>
    <w:p w14:paraId="0945C245" w14:textId="77777777" w:rsidR="00716C17" w:rsidRPr="00954987" w:rsidRDefault="00954987" w:rsidP="00954987">
      <w:pPr>
        <w:shd w:val="clear" w:color="auto" w:fill="FFFFFF"/>
        <w:spacing w:after="200" w:line="240" w:lineRule="auto"/>
        <w:jc w:val="center"/>
        <w:rPr>
          <w:rFonts w:ascii="Calibri" w:eastAsia="Times New Roman" w:hAnsi="Calibri" w:cs="Arial"/>
          <w:b/>
          <w:color w:val="222222"/>
          <w:sz w:val="36"/>
          <w:szCs w:val="36"/>
          <w:lang w:val="en-US" w:eastAsia="lt-LT"/>
        </w:rPr>
      </w:pPr>
      <w:r w:rsidRPr="00954987">
        <w:rPr>
          <w:rFonts w:ascii="Calibri" w:eastAsia="Times New Roman" w:hAnsi="Calibri" w:cs="Arial"/>
          <w:b/>
          <w:color w:val="222222"/>
          <w:sz w:val="36"/>
          <w:szCs w:val="36"/>
          <w:lang w:val="en-US" w:eastAsia="lt-LT"/>
        </w:rPr>
        <w:t>A</w:t>
      </w:r>
      <w:r w:rsidR="00F46497" w:rsidRPr="00954987">
        <w:rPr>
          <w:rFonts w:ascii="Calibri" w:eastAsia="Times New Roman" w:hAnsi="Calibri" w:cs="Arial"/>
          <w:b/>
          <w:color w:val="222222"/>
          <w:sz w:val="36"/>
          <w:szCs w:val="36"/>
          <w:lang w:val="en-US" w:eastAsia="lt-LT"/>
        </w:rPr>
        <w:t>voidance actions and good faith</w:t>
      </w:r>
      <w:r>
        <w:rPr>
          <w:rFonts w:ascii="Calibri" w:eastAsia="Times New Roman" w:hAnsi="Calibri" w:cs="Arial"/>
          <w:b/>
          <w:color w:val="222222"/>
          <w:sz w:val="36"/>
          <w:szCs w:val="36"/>
          <w:lang w:val="en-US" w:eastAsia="lt-LT"/>
        </w:rPr>
        <w:t>:</w:t>
      </w:r>
      <w:r w:rsidR="00F46497" w:rsidRPr="00954987">
        <w:rPr>
          <w:rFonts w:ascii="Calibri" w:eastAsia="Times New Roman" w:hAnsi="Calibri" w:cs="Arial"/>
          <w:b/>
          <w:color w:val="222222"/>
          <w:sz w:val="36"/>
          <w:szCs w:val="36"/>
          <w:lang w:val="en-US" w:eastAsia="lt-LT"/>
        </w:rPr>
        <w:t xml:space="preserve"> what to observe </w:t>
      </w:r>
      <w:r>
        <w:rPr>
          <w:rFonts w:ascii="Calibri" w:eastAsia="Times New Roman" w:hAnsi="Calibri" w:cs="Arial"/>
          <w:b/>
          <w:color w:val="222222"/>
          <w:sz w:val="36"/>
          <w:szCs w:val="36"/>
          <w:lang w:val="en-US" w:eastAsia="lt-LT"/>
        </w:rPr>
        <w:br/>
      </w:r>
      <w:r w:rsidR="00F46497" w:rsidRPr="00954987">
        <w:rPr>
          <w:rFonts w:ascii="Calibri" w:eastAsia="Times New Roman" w:hAnsi="Calibri" w:cs="Arial"/>
          <w:b/>
          <w:color w:val="222222"/>
          <w:sz w:val="36"/>
          <w:szCs w:val="36"/>
          <w:lang w:val="en-US" w:eastAsia="lt-LT"/>
        </w:rPr>
        <w:t xml:space="preserve">when doing business with Lithuanian </w:t>
      </w:r>
      <w:r w:rsidR="008E7B5B" w:rsidRPr="00954987">
        <w:rPr>
          <w:rFonts w:ascii="Calibri" w:eastAsia="Times New Roman" w:hAnsi="Calibri" w:cs="Arial"/>
          <w:b/>
          <w:color w:val="222222"/>
          <w:sz w:val="36"/>
          <w:szCs w:val="36"/>
          <w:lang w:val="en-US" w:eastAsia="lt-LT"/>
        </w:rPr>
        <w:t>companies</w:t>
      </w:r>
    </w:p>
    <w:p w14:paraId="543A8178" w14:textId="77777777" w:rsidR="00716C17" w:rsidRPr="00954987" w:rsidRDefault="00716C17" w:rsidP="00954987">
      <w:pPr>
        <w:shd w:val="clear" w:color="auto" w:fill="FFFFFF"/>
        <w:spacing w:after="200" w:line="240" w:lineRule="auto"/>
        <w:rPr>
          <w:rFonts w:ascii="Calibri" w:eastAsia="Times New Roman" w:hAnsi="Calibri" w:cs="Arial"/>
          <w:color w:val="222222"/>
          <w:lang w:val="en-US" w:eastAsia="lt-LT"/>
        </w:rPr>
      </w:pPr>
    </w:p>
    <w:p w14:paraId="6385BF78" w14:textId="77777777" w:rsidR="004515B3" w:rsidRPr="00954987" w:rsidRDefault="00033914" w:rsidP="00954987">
      <w:pPr>
        <w:shd w:val="clear" w:color="auto" w:fill="FFFFFF"/>
        <w:spacing w:after="200" w:line="240" w:lineRule="auto"/>
        <w:rPr>
          <w:rFonts w:ascii="Calibri" w:eastAsia="Times New Roman" w:hAnsi="Calibri" w:cs="Arial"/>
          <w:i/>
          <w:color w:val="222222"/>
          <w:lang w:val="en-US" w:eastAsia="lt-LT"/>
        </w:rPr>
      </w:pPr>
      <w:r w:rsidRPr="00954987">
        <w:rPr>
          <w:rFonts w:ascii="Calibri" w:eastAsia="Times New Roman" w:hAnsi="Calibri" w:cs="Arial"/>
          <w:i/>
          <w:color w:val="222222"/>
          <w:lang w:val="en-US" w:eastAsia="lt-LT"/>
        </w:rPr>
        <w:t xml:space="preserve">Recent </w:t>
      </w:r>
      <w:r w:rsidR="00047FCE" w:rsidRPr="00954987">
        <w:rPr>
          <w:rFonts w:ascii="Calibri" w:eastAsia="Times New Roman" w:hAnsi="Calibri" w:cs="Arial"/>
          <w:i/>
          <w:color w:val="222222"/>
          <w:lang w:val="en-US" w:eastAsia="lt-LT"/>
        </w:rPr>
        <w:t>Lithuanian case law</w:t>
      </w:r>
      <w:r w:rsidRPr="00954987">
        <w:rPr>
          <w:rFonts w:ascii="Calibri" w:eastAsia="Times New Roman" w:hAnsi="Calibri" w:cs="Arial"/>
          <w:i/>
          <w:color w:val="222222"/>
          <w:lang w:val="en-US" w:eastAsia="lt-LT"/>
        </w:rPr>
        <w:t xml:space="preserve"> </w:t>
      </w:r>
      <w:r w:rsidR="004745CD" w:rsidRPr="00954987">
        <w:rPr>
          <w:rFonts w:ascii="Calibri" w:eastAsia="Times New Roman" w:hAnsi="Calibri" w:cs="Arial"/>
          <w:i/>
          <w:color w:val="222222"/>
          <w:lang w:val="en-US" w:eastAsia="lt-LT"/>
        </w:rPr>
        <w:t xml:space="preserve">confirms </w:t>
      </w:r>
      <w:r w:rsidRPr="00954987">
        <w:rPr>
          <w:rFonts w:ascii="Calibri" w:eastAsia="Times New Roman" w:hAnsi="Calibri" w:cs="Arial"/>
          <w:i/>
          <w:color w:val="222222"/>
          <w:lang w:val="en-US" w:eastAsia="lt-LT"/>
        </w:rPr>
        <w:t xml:space="preserve">that </w:t>
      </w:r>
      <w:r w:rsidR="00F46497" w:rsidRPr="00954987">
        <w:rPr>
          <w:rFonts w:ascii="Calibri" w:eastAsia="Times New Roman" w:hAnsi="Calibri" w:cs="Arial"/>
          <w:i/>
          <w:color w:val="222222"/>
          <w:lang w:val="en-US" w:eastAsia="lt-LT"/>
        </w:rPr>
        <w:t xml:space="preserve">businesses ought </w:t>
      </w:r>
      <w:r w:rsidR="00E55556" w:rsidRPr="00954987">
        <w:rPr>
          <w:rFonts w:ascii="Calibri" w:eastAsia="Times New Roman" w:hAnsi="Calibri" w:cs="Arial"/>
          <w:i/>
          <w:color w:val="222222"/>
          <w:lang w:val="en-US" w:eastAsia="lt-LT"/>
        </w:rPr>
        <w:t>to be</w:t>
      </w:r>
      <w:r w:rsidR="00CE3892" w:rsidRPr="00954987">
        <w:rPr>
          <w:rFonts w:ascii="Calibri" w:eastAsia="Times New Roman" w:hAnsi="Calibri" w:cs="Arial"/>
          <w:i/>
          <w:color w:val="222222"/>
          <w:lang w:val="en-US" w:eastAsia="lt-LT"/>
        </w:rPr>
        <w:t xml:space="preserve"> very</w:t>
      </w:r>
      <w:r w:rsidR="00E55556" w:rsidRPr="00954987">
        <w:rPr>
          <w:rFonts w:ascii="Calibri" w:eastAsia="Times New Roman" w:hAnsi="Calibri" w:cs="Arial"/>
          <w:i/>
          <w:color w:val="222222"/>
          <w:lang w:val="en-US" w:eastAsia="lt-LT"/>
        </w:rPr>
        <w:t xml:space="preserve"> </w:t>
      </w:r>
      <w:r w:rsidR="00F46497" w:rsidRPr="00954987">
        <w:rPr>
          <w:rFonts w:ascii="Calibri" w:eastAsia="Times New Roman" w:hAnsi="Calibri" w:cs="Arial"/>
          <w:i/>
          <w:color w:val="222222"/>
          <w:lang w:val="en-US" w:eastAsia="lt-LT"/>
        </w:rPr>
        <w:t xml:space="preserve">cautious </w:t>
      </w:r>
      <w:r w:rsidR="00E55556" w:rsidRPr="00954987">
        <w:rPr>
          <w:rFonts w:ascii="Calibri" w:eastAsia="Times New Roman" w:hAnsi="Calibri" w:cs="Arial"/>
          <w:i/>
          <w:color w:val="222222"/>
          <w:lang w:val="en-US" w:eastAsia="lt-LT"/>
        </w:rPr>
        <w:t xml:space="preserve">and take active steps </w:t>
      </w:r>
      <w:r w:rsidR="00F46497" w:rsidRPr="00954987">
        <w:rPr>
          <w:rFonts w:ascii="Calibri" w:eastAsia="Times New Roman" w:hAnsi="Calibri" w:cs="Arial"/>
          <w:i/>
          <w:color w:val="222222"/>
          <w:lang w:val="en-US" w:eastAsia="lt-LT"/>
        </w:rPr>
        <w:t xml:space="preserve">before </w:t>
      </w:r>
      <w:r w:rsidR="006D003D" w:rsidRPr="00954987">
        <w:rPr>
          <w:rFonts w:ascii="Calibri" w:eastAsia="Times New Roman" w:hAnsi="Calibri" w:cs="Arial"/>
          <w:i/>
          <w:color w:val="222222"/>
          <w:lang w:val="en-US" w:eastAsia="lt-LT"/>
        </w:rPr>
        <w:t xml:space="preserve">entering into transactions </w:t>
      </w:r>
      <w:r w:rsidR="00E55556" w:rsidRPr="00954987">
        <w:rPr>
          <w:rFonts w:ascii="Calibri" w:eastAsia="Times New Roman" w:hAnsi="Calibri" w:cs="Arial"/>
          <w:i/>
          <w:color w:val="222222"/>
          <w:lang w:val="en-US" w:eastAsia="lt-LT"/>
        </w:rPr>
        <w:t xml:space="preserve">with Lithuanian </w:t>
      </w:r>
      <w:r w:rsidR="00F46497" w:rsidRPr="00954987">
        <w:rPr>
          <w:rFonts w:ascii="Calibri" w:eastAsia="Times New Roman" w:hAnsi="Calibri" w:cs="Arial"/>
          <w:i/>
          <w:color w:val="222222"/>
          <w:lang w:val="en-US" w:eastAsia="lt-LT"/>
        </w:rPr>
        <w:t xml:space="preserve">companies </w:t>
      </w:r>
      <w:r w:rsidR="006D003D" w:rsidRPr="00954987">
        <w:rPr>
          <w:rFonts w:ascii="Calibri" w:eastAsia="Times New Roman" w:hAnsi="Calibri" w:cs="Arial"/>
          <w:i/>
          <w:color w:val="222222"/>
          <w:lang w:val="en-US" w:eastAsia="lt-LT"/>
        </w:rPr>
        <w:t xml:space="preserve">potentially </w:t>
      </w:r>
      <w:r w:rsidR="00DD35F6" w:rsidRPr="00954987">
        <w:rPr>
          <w:rFonts w:ascii="Calibri" w:eastAsia="Times New Roman" w:hAnsi="Calibri" w:cs="Arial"/>
          <w:i/>
          <w:color w:val="222222"/>
          <w:lang w:val="en-US" w:eastAsia="lt-LT"/>
        </w:rPr>
        <w:t>facing</w:t>
      </w:r>
      <w:r w:rsidR="00F46497" w:rsidRPr="00954987">
        <w:rPr>
          <w:rFonts w:ascii="Calibri" w:eastAsia="Times New Roman" w:hAnsi="Calibri" w:cs="Arial"/>
          <w:i/>
          <w:color w:val="222222"/>
          <w:lang w:val="en-US" w:eastAsia="lt-LT"/>
        </w:rPr>
        <w:t xml:space="preserve"> difficulties</w:t>
      </w:r>
      <w:r w:rsidR="00273AD7" w:rsidRPr="00954987">
        <w:rPr>
          <w:rFonts w:ascii="Calibri" w:eastAsia="Times New Roman" w:hAnsi="Calibri" w:cs="Arial"/>
          <w:i/>
          <w:color w:val="222222"/>
          <w:lang w:val="en-US" w:eastAsia="lt-LT"/>
        </w:rPr>
        <w:t>.</w:t>
      </w:r>
      <w:r w:rsidR="00A645AF" w:rsidRPr="00954987">
        <w:rPr>
          <w:rFonts w:ascii="Calibri" w:eastAsia="Times New Roman" w:hAnsi="Calibri" w:cs="Arial"/>
          <w:i/>
          <w:color w:val="222222"/>
          <w:lang w:val="en-US" w:eastAsia="lt-LT"/>
        </w:rPr>
        <w:t xml:space="preserve"> </w:t>
      </w:r>
      <w:r w:rsidR="00F46497" w:rsidRPr="00954987">
        <w:rPr>
          <w:rFonts w:ascii="Calibri" w:eastAsia="Times New Roman" w:hAnsi="Calibri" w:cs="Arial"/>
          <w:i/>
          <w:color w:val="222222"/>
          <w:lang w:val="en-US" w:eastAsia="lt-LT"/>
        </w:rPr>
        <w:t xml:space="preserve">Otherwise they risk </w:t>
      </w:r>
      <w:r w:rsidR="006D003D" w:rsidRPr="00954987">
        <w:rPr>
          <w:rFonts w:ascii="Calibri" w:eastAsia="Times New Roman" w:hAnsi="Calibri" w:cs="Arial"/>
          <w:i/>
          <w:color w:val="222222"/>
          <w:lang w:val="en-US" w:eastAsia="lt-LT"/>
        </w:rPr>
        <w:t xml:space="preserve">having to return what they received from the transaction if insolvency proceedings are opened against the company and the administrator brings a </w:t>
      </w:r>
      <w:r w:rsidR="004745CD" w:rsidRPr="00954987">
        <w:rPr>
          <w:rFonts w:ascii="Calibri" w:eastAsia="Times New Roman" w:hAnsi="Calibri" w:cs="Arial"/>
          <w:i/>
          <w:color w:val="222222"/>
          <w:lang w:val="en-US" w:eastAsia="lt-LT"/>
        </w:rPr>
        <w:t xml:space="preserve">claw-back </w:t>
      </w:r>
      <w:r w:rsidR="006D003D" w:rsidRPr="00954987">
        <w:rPr>
          <w:rFonts w:ascii="Calibri" w:eastAsia="Times New Roman" w:hAnsi="Calibri" w:cs="Arial"/>
          <w:i/>
          <w:color w:val="222222"/>
          <w:lang w:val="en-US" w:eastAsia="lt-LT"/>
        </w:rPr>
        <w:t>claim</w:t>
      </w:r>
      <w:r w:rsidR="00273AD7" w:rsidRPr="00954987">
        <w:rPr>
          <w:rFonts w:ascii="Calibri" w:eastAsia="Times New Roman" w:hAnsi="Calibri" w:cs="Arial"/>
          <w:i/>
          <w:color w:val="222222"/>
          <w:lang w:val="en-US" w:eastAsia="lt-LT"/>
        </w:rPr>
        <w:t>.</w:t>
      </w:r>
    </w:p>
    <w:p w14:paraId="1D0F477F" w14:textId="77777777" w:rsidR="00050940" w:rsidRPr="00954987" w:rsidRDefault="00F46497" w:rsidP="00954987">
      <w:pPr>
        <w:shd w:val="clear" w:color="auto" w:fill="FFFFFF"/>
        <w:spacing w:after="200" w:line="240" w:lineRule="auto"/>
        <w:rPr>
          <w:rFonts w:ascii="Calibri" w:eastAsia="Times New Roman" w:hAnsi="Calibri" w:cs="Arial"/>
          <w:color w:val="222222"/>
          <w:lang w:val="en-US" w:eastAsia="lt-LT"/>
        </w:rPr>
      </w:pPr>
      <w:r w:rsidRPr="00954987">
        <w:rPr>
          <w:rFonts w:ascii="Calibri" w:eastAsia="Times New Roman" w:hAnsi="Calibri" w:cs="Arial"/>
          <w:color w:val="222222"/>
          <w:lang w:val="en-US" w:eastAsia="lt-LT"/>
        </w:rPr>
        <w:t xml:space="preserve">Lithuanian insolvency administrators examine transactions </w:t>
      </w:r>
      <w:r w:rsidR="00E8469B" w:rsidRPr="00954987">
        <w:rPr>
          <w:rFonts w:ascii="Calibri" w:eastAsia="Times New Roman" w:hAnsi="Calibri" w:cs="Arial"/>
          <w:color w:val="222222"/>
          <w:lang w:val="en-US" w:eastAsia="lt-LT"/>
        </w:rPr>
        <w:t xml:space="preserve">of the debtor concluded </w:t>
      </w:r>
      <w:r w:rsidR="00050940" w:rsidRPr="00954987">
        <w:rPr>
          <w:rFonts w:ascii="Calibri" w:eastAsia="Times New Roman" w:hAnsi="Calibri" w:cs="Arial"/>
          <w:color w:val="222222"/>
          <w:lang w:val="en-US" w:eastAsia="lt-LT"/>
        </w:rPr>
        <w:t>within 36 months before the opening of the proceedings</w:t>
      </w:r>
      <w:r w:rsidR="007D3DEE" w:rsidRPr="00954987">
        <w:rPr>
          <w:rFonts w:ascii="Calibri" w:eastAsia="Times New Roman" w:hAnsi="Calibri" w:cs="Arial"/>
          <w:color w:val="222222"/>
          <w:lang w:val="en-US" w:eastAsia="lt-LT"/>
        </w:rPr>
        <w:t xml:space="preserve">. They must start </w:t>
      </w:r>
      <w:r w:rsidR="00E8469B" w:rsidRPr="00954987">
        <w:rPr>
          <w:rFonts w:ascii="Calibri" w:eastAsia="Times New Roman" w:hAnsi="Calibri" w:cs="Arial"/>
          <w:color w:val="222222"/>
          <w:lang w:val="en-US" w:eastAsia="lt-LT"/>
        </w:rPr>
        <w:t>avoidance</w:t>
      </w:r>
      <w:r w:rsidR="007D3DEE" w:rsidRPr="00954987">
        <w:rPr>
          <w:rFonts w:ascii="Calibri" w:eastAsia="Times New Roman" w:hAnsi="Calibri" w:cs="Arial"/>
          <w:color w:val="222222"/>
          <w:lang w:val="en-US" w:eastAsia="lt-LT"/>
        </w:rPr>
        <w:t xml:space="preserve"> </w:t>
      </w:r>
      <w:r w:rsidR="00E8469B" w:rsidRPr="00954987">
        <w:rPr>
          <w:rFonts w:ascii="Calibri" w:eastAsia="Times New Roman" w:hAnsi="Calibri" w:cs="Arial"/>
          <w:color w:val="222222"/>
          <w:lang w:val="en-US" w:eastAsia="lt-LT"/>
        </w:rPr>
        <w:t xml:space="preserve">actions against the debtor’s counterparty if the conditions for </w:t>
      </w:r>
      <w:r w:rsidR="00DD35F6" w:rsidRPr="00954987">
        <w:rPr>
          <w:rFonts w:ascii="Calibri" w:eastAsia="Times New Roman" w:hAnsi="Calibri" w:cs="Arial"/>
          <w:color w:val="222222"/>
          <w:lang w:val="en-US" w:eastAsia="lt-LT"/>
        </w:rPr>
        <w:t xml:space="preserve">an </w:t>
      </w:r>
      <w:proofErr w:type="spellStart"/>
      <w:r w:rsidR="00050940" w:rsidRPr="00954987">
        <w:rPr>
          <w:rFonts w:ascii="Calibri" w:eastAsia="Times New Roman" w:hAnsi="Calibri" w:cs="Arial"/>
          <w:i/>
          <w:color w:val="222222"/>
          <w:lang w:val="en-US" w:eastAsia="lt-LT"/>
        </w:rPr>
        <w:t>actio</w:t>
      </w:r>
      <w:proofErr w:type="spellEnd"/>
      <w:r w:rsidR="00050940" w:rsidRPr="00954987">
        <w:rPr>
          <w:rFonts w:ascii="Calibri" w:eastAsia="Times New Roman" w:hAnsi="Calibri" w:cs="Arial"/>
          <w:i/>
          <w:color w:val="222222"/>
          <w:lang w:val="en-US" w:eastAsia="lt-LT"/>
        </w:rPr>
        <w:t xml:space="preserve"> </w:t>
      </w:r>
      <w:proofErr w:type="spellStart"/>
      <w:r w:rsidR="004745CD" w:rsidRPr="00954987">
        <w:rPr>
          <w:rFonts w:ascii="Calibri" w:eastAsia="Times New Roman" w:hAnsi="Calibri" w:cs="Arial"/>
          <w:i/>
          <w:color w:val="222222"/>
          <w:lang w:val="en-US" w:eastAsia="lt-LT"/>
        </w:rPr>
        <w:t>p</w:t>
      </w:r>
      <w:r w:rsidR="00050940" w:rsidRPr="00954987">
        <w:rPr>
          <w:rFonts w:ascii="Calibri" w:eastAsia="Times New Roman" w:hAnsi="Calibri" w:cs="Arial"/>
          <w:i/>
          <w:color w:val="222222"/>
          <w:lang w:val="en-US" w:eastAsia="lt-LT"/>
        </w:rPr>
        <w:t>auliana</w:t>
      </w:r>
      <w:proofErr w:type="spellEnd"/>
      <w:r w:rsidR="00050940" w:rsidRPr="00954987">
        <w:rPr>
          <w:rFonts w:ascii="Calibri" w:eastAsia="Times New Roman" w:hAnsi="Calibri" w:cs="Arial"/>
          <w:color w:val="222222"/>
          <w:lang w:val="en-US" w:eastAsia="lt-LT"/>
        </w:rPr>
        <w:t xml:space="preserve"> claim</w:t>
      </w:r>
      <w:r w:rsidR="00E8469B" w:rsidRPr="00954987">
        <w:rPr>
          <w:rFonts w:ascii="Calibri" w:eastAsia="Times New Roman" w:hAnsi="Calibri" w:cs="Arial"/>
          <w:color w:val="222222"/>
          <w:lang w:val="en-US" w:eastAsia="lt-LT"/>
        </w:rPr>
        <w:t xml:space="preserve"> are met</w:t>
      </w:r>
      <w:r w:rsidR="00050940" w:rsidRPr="00954987">
        <w:rPr>
          <w:rFonts w:ascii="Calibri" w:eastAsia="Times New Roman" w:hAnsi="Calibri" w:cs="Arial"/>
          <w:color w:val="222222"/>
          <w:lang w:val="en-US" w:eastAsia="lt-LT"/>
        </w:rPr>
        <w:t>.</w:t>
      </w:r>
      <w:r w:rsidR="00E8469B" w:rsidRPr="00954987">
        <w:rPr>
          <w:rStyle w:val="FootnoteReference"/>
          <w:rFonts w:ascii="Calibri" w:eastAsia="Times New Roman" w:hAnsi="Calibri" w:cs="Arial"/>
          <w:color w:val="222222"/>
          <w:lang w:val="en-US" w:eastAsia="lt-LT"/>
        </w:rPr>
        <w:footnoteReference w:id="1"/>
      </w:r>
      <w:r w:rsidR="00E8469B" w:rsidRPr="00954987">
        <w:rPr>
          <w:rFonts w:ascii="Calibri" w:eastAsia="Times New Roman" w:hAnsi="Calibri" w:cs="Arial"/>
          <w:color w:val="222222"/>
          <w:lang w:val="en-US" w:eastAsia="lt-LT"/>
        </w:rPr>
        <w:t xml:space="preserve"> One of </w:t>
      </w:r>
      <w:r w:rsidR="007D3DEE" w:rsidRPr="00954987">
        <w:rPr>
          <w:rFonts w:ascii="Calibri" w:eastAsia="Times New Roman" w:hAnsi="Calibri" w:cs="Arial"/>
          <w:color w:val="222222"/>
          <w:lang w:val="en-US" w:eastAsia="lt-LT"/>
        </w:rPr>
        <w:t xml:space="preserve">the conditions is </w:t>
      </w:r>
      <w:r w:rsidR="00477496" w:rsidRPr="00954987">
        <w:rPr>
          <w:rFonts w:ascii="Calibri" w:eastAsia="Times New Roman" w:hAnsi="Calibri" w:cs="Arial"/>
          <w:color w:val="222222"/>
          <w:lang w:val="en-US" w:eastAsia="lt-LT"/>
        </w:rPr>
        <w:t xml:space="preserve">the bad faith of the </w:t>
      </w:r>
      <w:r w:rsidR="004745CD" w:rsidRPr="00954987">
        <w:rPr>
          <w:rFonts w:ascii="Calibri" w:eastAsia="Times New Roman" w:hAnsi="Calibri" w:cs="Arial"/>
          <w:color w:val="222222"/>
          <w:lang w:val="en-US" w:eastAsia="lt-LT"/>
        </w:rPr>
        <w:t xml:space="preserve">debtor’s </w:t>
      </w:r>
      <w:r w:rsidR="00E8469B" w:rsidRPr="00954987">
        <w:rPr>
          <w:rFonts w:ascii="Calibri" w:eastAsia="Times New Roman" w:hAnsi="Calibri" w:cs="Arial"/>
          <w:color w:val="222222"/>
          <w:lang w:val="en-US" w:eastAsia="lt-LT"/>
        </w:rPr>
        <w:t>counterparty</w:t>
      </w:r>
      <w:r w:rsidR="004745CD" w:rsidRPr="00954987">
        <w:rPr>
          <w:rFonts w:ascii="Calibri" w:eastAsia="Times New Roman" w:hAnsi="Calibri" w:cs="Arial"/>
          <w:color w:val="222222"/>
          <w:lang w:val="en-US" w:eastAsia="lt-LT"/>
        </w:rPr>
        <w:t xml:space="preserve"> at the moment of the transaction</w:t>
      </w:r>
      <w:r w:rsidR="00E8469B" w:rsidRPr="00954987">
        <w:rPr>
          <w:rFonts w:ascii="Calibri" w:eastAsia="Times New Roman" w:hAnsi="Calibri" w:cs="Arial"/>
          <w:color w:val="222222"/>
          <w:lang w:val="en-US" w:eastAsia="lt-LT"/>
        </w:rPr>
        <w:t xml:space="preserve">. A counterparty acted in bad faith if it </w:t>
      </w:r>
      <w:r w:rsidR="00050940" w:rsidRPr="00954987">
        <w:rPr>
          <w:rFonts w:ascii="Calibri" w:eastAsia="Times New Roman" w:hAnsi="Calibri" w:cs="Arial"/>
          <w:color w:val="222222"/>
          <w:lang w:val="en-US" w:eastAsia="lt-LT"/>
        </w:rPr>
        <w:t xml:space="preserve">knew </w:t>
      </w:r>
      <w:r w:rsidR="004745CD" w:rsidRPr="00954987">
        <w:rPr>
          <w:rFonts w:ascii="Calibri" w:eastAsia="Times New Roman" w:hAnsi="Calibri" w:cs="Arial"/>
          <w:color w:val="222222"/>
          <w:lang w:val="en-US" w:eastAsia="lt-LT"/>
        </w:rPr>
        <w:t xml:space="preserve">or should have </w:t>
      </w:r>
      <w:r w:rsidR="004745CD" w:rsidRPr="00954987">
        <w:rPr>
          <w:rFonts w:ascii="Calibri" w:eastAsia="Times New Roman" w:hAnsi="Calibri" w:cs="Arial"/>
          <w:lang w:val="en-US" w:eastAsia="lt-LT"/>
        </w:rPr>
        <w:t xml:space="preserve">known that the transaction </w:t>
      </w:r>
      <w:r w:rsidR="00501A9B" w:rsidRPr="00954987">
        <w:rPr>
          <w:rFonts w:ascii="Calibri" w:eastAsia="Times New Roman" w:hAnsi="Calibri" w:cs="Arial"/>
          <w:lang w:val="en-US" w:eastAsia="lt-LT"/>
        </w:rPr>
        <w:t>would</w:t>
      </w:r>
      <w:r w:rsidR="004745CD" w:rsidRPr="00954987">
        <w:rPr>
          <w:rFonts w:ascii="Calibri" w:eastAsia="Times New Roman" w:hAnsi="Calibri" w:cs="Arial"/>
          <w:lang w:val="en-US" w:eastAsia="lt-LT"/>
        </w:rPr>
        <w:t xml:space="preserve"> violate other creditors’ rights. This is</w:t>
      </w:r>
      <w:r w:rsidR="007D3DEE" w:rsidRPr="00954987">
        <w:rPr>
          <w:rFonts w:ascii="Calibri" w:eastAsia="Times New Roman" w:hAnsi="Calibri" w:cs="Arial"/>
          <w:lang w:val="en-US" w:eastAsia="lt-LT"/>
        </w:rPr>
        <w:t xml:space="preserve"> the case if it can be</w:t>
      </w:r>
      <w:r w:rsidR="004745CD" w:rsidRPr="00954987">
        <w:rPr>
          <w:rFonts w:ascii="Calibri" w:eastAsia="Times New Roman" w:hAnsi="Calibri" w:cs="Arial"/>
          <w:lang w:val="en-US" w:eastAsia="lt-LT"/>
        </w:rPr>
        <w:t xml:space="preserve"> shown that the counterparty knew</w:t>
      </w:r>
      <w:r w:rsidR="006D003D" w:rsidRPr="00954987">
        <w:rPr>
          <w:rFonts w:ascii="Calibri" w:eastAsia="Times New Roman" w:hAnsi="Calibri" w:cs="Arial"/>
          <w:lang w:val="en-US" w:eastAsia="lt-LT"/>
        </w:rPr>
        <w:t xml:space="preserve"> or </w:t>
      </w:r>
      <w:r w:rsidR="00E43711" w:rsidRPr="00954987">
        <w:rPr>
          <w:rFonts w:ascii="Calibri" w:eastAsia="Times New Roman" w:hAnsi="Calibri" w:cs="Arial"/>
          <w:lang w:val="en-US" w:eastAsia="lt-LT"/>
        </w:rPr>
        <w:t xml:space="preserve">should </w:t>
      </w:r>
      <w:r w:rsidR="004745CD" w:rsidRPr="00954987">
        <w:rPr>
          <w:rFonts w:ascii="Calibri" w:eastAsia="Times New Roman" w:hAnsi="Calibri" w:cs="Arial"/>
          <w:lang w:val="en-US" w:eastAsia="lt-LT"/>
        </w:rPr>
        <w:t xml:space="preserve">that </w:t>
      </w:r>
      <w:r w:rsidR="007D3DEE" w:rsidRPr="00954987">
        <w:rPr>
          <w:rFonts w:ascii="Calibri" w:eastAsia="Times New Roman" w:hAnsi="Calibri" w:cs="Arial"/>
          <w:lang w:val="en-US" w:eastAsia="lt-LT"/>
        </w:rPr>
        <w:t xml:space="preserve">the </w:t>
      </w:r>
      <w:r w:rsidR="004745CD" w:rsidRPr="00954987">
        <w:rPr>
          <w:rFonts w:ascii="Calibri" w:eastAsia="Times New Roman" w:hAnsi="Calibri" w:cs="Arial"/>
          <w:lang w:val="en-US" w:eastAsia="lt-LT"/>
        </w:rPr>
        <w:t xml:space="preserve">transaction will </w:t>
      </w:r>
      <w:r w:rsidR="004745CD" w:rsidRPr="00954987">
        <w:rPr>
          <w:rFonts w:ascii="Calibri" w:eastAsia="Times New Roman" w:hAnsi="Calibri" w:cs="Arial"/>
          <w:color w:val="222222"/>
          <w:lang w:val="en-US" w:eastAsia="lt-LT"/>
        </w:rPr>
        <w:t>cause or aggravate the insolvency of the debtor</w:t>
      </w:r>
      <w:r w:rsidR="00050940" w:rsidRPr="00954987">
        <w:rPr>
          <w:rFonts w:ascii="Calibri" w:eastAsia="Times New Roman" w:hAnsi="Calibri" w:cs="Arial"/>
          <w:color w:val="222222"/>
          <w:lang w:val="en-US" w:eastAsia="lt-LT"/>
        </w:rPr>
        <w:t>.</w:t>
      </w:r>
      <w:r w:rsidR="004745CD" w:rsidRPr="00954987">
        <w:rPr>
          <w:rStyle w:val="FootnoteReference"/>
          <w:rFonts w:ascii="Calibri" w:eastAsia="Times New Roman" w:hAnsi="Calibri" w:cs="Arial"/>
          <w:color w:val="222222"/>
          <w:lang w:val="en-US" w:eastAsia="lt-LT"/>
        </w:rPr>
        <w:footnoteReference w:id="2"/>
      </w:r>
    </w:p>
    <w:p w14:paraId="6E369200" w14:textId="77777777" w:rsidR="003D6C23" w:rsidRPr="00954987" w:rsidRDefault="009851F2" w:rsidP="00954987">
      <w:pPr>
        <w:shd w:val="clear" w:color="auto" w:fill="FFFFFF"/>
        <w:spacing w:after="200" w:line="240" w:lineRule="auto"/>
        <w:rPr>
          <w:rFonts w:ascii="Calibri" w:eastAsia="Times New Roman" w:hAnsi="Calibri" w:cs="Arial"/>
          <w:color w:val="222222"/>
          <w:lang w:val="en-US" w:eastAsia="lt-LT"/>
        </w:rPr>
      </w:pPr>
      <w:r w:rsidRPr="00954987">
        <w:rPr>
          <w:rFonts w:ascii="Calibri" w:eastAsia="Times New Roman" w:hAnsi="Calibri" w:cs="Arial"/>
          <w:color w:val="222222"/>
          <w:lang w:val="en-US" w:eastAsia="lt-LT"/>
        </w:rPr>
        <w:t xml:space="preserve">Lithuanian law presumes the good faith of parties to a transaction. This presumption applies also to </w:t>
      </w:r>
      <w:proofErr w:type="spellStart"/>
      <w:r w:rsidR="007E6776" w:rsidRPr="00954987">
        <w:rPr>
          <w:rFonts w:ascii="Calibri" w:eastAsia="Times New Roman" w:hAnsi="Calibri" w:cs="Arial"/>
          <w:i/>
          <w:color w:val="222222"/>
          <w:lang w:val="en-US" w:eastAsia="lt-LT"/>
        </w:rPr>
        <w:t>actio</w:t>
      </w:r>
      <w:proofErr w:type="spellEnd"/>
      <w:r w:rsidR="007E6776" w:rsidRPr="00954987">
        <w:rPr>
          <w:rFonts w:ascii="Calibri" w:eastAsia="Times New Roman" w:hAnsi="Calibri" w:cs="Arial"/>
          <w:i/>
          <w:color w:val="222222"/>
          <w:lang w:val="en-US" w:eastAsia="lt-LT"/>
        </w:rPr>
        <w:t xml:space="preserve"> </w:t>
      </w:r>
      <w:proofErr w:type="spellStart"/>
      <w:r w:rsidRPr="00954987">
        <w:rPr>
          <w:rFonts w:ascii="Calibri" w:eastAsia="Times New Roman" w:hAnsi="Calibri" w:cs="Arial"/>
          <w:i/>
          <w:color w:val="222222"/>
          <w:lang w:val="en-US" w:eastAsia="lt-LT"/>
        </w:rPr>
        <w:t>p</w:t>
      </w:r>
      <w:r w:rsidR="007E6776" w:rsidRPr="00954987">
        <w:rPr>
          <w:rFonts w:ascii="Calibri" w:eastAsia="Times New Roman" w:hAnsi="Calibri" w:cs="Arial"/>
          <w:i/>
          <w:color w:val="222222"/>
          <w:lang w:val="en-US" w:eastAsia="lt-LT"/>
        </w:rPr>
        <w:t>auliana</w:t>
      </w:r>
      <w:proofErr w:type="spellEnd"/>
      <w:r w:rsidR="007E6776" w:rsidRPr="00954987">
        <w:rPr>
          <w:rFonts w:ascii="Calibri" w:eastAsia="Times New Roman" w:hAnsi="Calibri" w:cs="Arial"/>
          <w:color w:val="222222"/>
          <w:lang w:val="en-US" w:eastAsia="lt-LT"/>
        </w:rPr>
        <w:t xml:space="preserve"> </w:t>
      </w:r>
      <w:r w:rsidRPr="00954987">
        <w:rPr>
          <w:rFonts w:ascii="Calibri" w:eastAsia="Times New Roman" w:hAnsi="Calibri" w:cs="Arial"/>
          <w:color w:val="222222"/>
          <w:lang w:val="en-US" w:eastAsia="lt-LT"/>
        </w:rPr>
        <w:t xml:space="preserve">cases. However, recent court practice appears </w:t>
      </w:r>
      <w:r w:rsidR="0031723C" w:rsidRPr="00954987">
        <w:rPr>
          <w:rFonts w:ascii="Calibri" w:eastAsia="Times New Roman" w:hAnsi="Calibri" w:cs="Arial"/>
          <w:color w:val="222222"/>
          <w:lang w:val="en-US" w:eastAsia="lt-LT"/>
        </w:rPr>
        <w:t xml:space="preserve">to result </w:t>
      </w:r>
      <w:r w:rsidRPr="00954987">
        <w:rPr>
          <w:rFonts w:ascii="Calibri" w:eastAsia="Times New Roman" w:hAnsi="Calibri" w:cs="Arial"/>
          <w:color w:val="222222"/>
          <w:lang w:val="en-US" w:eastAsia="lt-LT"/>
        </w:rPr>
        <w:t xml:space="preserve">in a shift in the burden </w:t>
      </w:r>
      <w:r w:rsidR="0031723C" w:rsidRPr="00954987">
        <w:rPr>
          <w:rFonts w:ascii="Calibri" w:eastAsia="Times New Roman" w:hAnsi="Calibri" w:cs="Arial"/>
          <w:color w:val="222222"/>
          <w:lang w:val="en-US" w:eastAsia="lt-LT"/>
        </w:rPr>
        <w:t>of proof, as c</w:t>
      </w:r>
      <w:r w:rsidR="00C469BF" w:rsidRPr="00954987">
        <w:rPr>
          <w:rFonts w:ascii="Calibri" w:eastAsia="Times New Roman" w:hAnsi="Calibri" w:cs="Arial"/>
          <w:color w:val="222222"/>
          <w:lang w:val="en-US" w:eastAsia="lt-LT"/>
        </w:rPr>
        <w:t xml:space="preserve">ourts </w:t>
      </w:r>
      <w:r w:rsidR="0031723C" w:rsidRPr="00954987">
        <w:rPr>
          <w:rFonts w:ascii="Calibri" w:eastAsia="Times New Roman" w:hAnsi="Calibri" w:cs="Arial"/>
          <w:color w:val="222222"/>
          <w:lang w:val="en-US" w:eastAsia="lt-LT"/>
        </w:rPr>
        <w:t xml:space="preserve">tend to </w:t>
      </w:r>
      <w:r w:rsidR="00FC5C66" w:rsidRPr="00954987">
        <w:rPr>
          <w:rFonts w:ascii="Calibri" w:eastAsia="Times New Roman" w:hAnsi="Calibri" w:cs="Arial"/>
          <w:color w:val="222222"/>
          <w:lang w:val="en-US" w:eastAsia="lt-LT"/>
        </w:rPr>
        <w:t xml:space="preserve">tolerate </w:t>
      </w:r>
      <w:r w:rsidRPr="00954987">
        <w:rPr>
          <w:rFonts w:ascii="Calibri" w:eastAsia="Times New Roman" w:hAnsi="Calibri" w:cs="Arial"/>
          <w:color w:val="222222"/>
          <w:lang w:val="en-US" w:eastAsia="lt-LT"/>
        </w:rPr>
        <w:t xml:space="preserve">superficial allegations by the </w:t>
      </w:r>
      <w:r w:rsidR="006011D1" w:rsidRPr="00954987">
        <w:rPr>
          <w:rFonts w:ascii="Calibri" w:eastAsia="Times New Roman" w:hAnsi="Calibri" w:cs="Arial"/>
          <w:color w:val="222222"/>
          <w:lang w:val="en-US" w:eastAsia="lt-LT"/>
        </w:rPr>
        <w:t xml:space="preserve">claimant administrator </w:t>
      </w:r>
      <w:r w:rsidRPr="00954987">
        <w:rPr>
          <w:rFonts w:ascii="Calibri" w:eastAsia="Times New Roman" w:hAnsi="Calibri" w:cs="Arial"/>
          <w:color w:val="222222"/>
          <w:lang w:val="en-US" w:eastAsia="lt-LT"/>
        </w:rPr>
        <w:t>that the counterparty new about the (imminent) insolvency of the debtor</w:t>
      </w:r>
      <w:r w:rsidR="002378B9" w:rsidRPr="00954987">
        <w:rPr>
          <w:rFonts w:ascii="Calibri" w:eastAsia="Times New Roman" w:hAnsi="Calibri" w:cs="Arial"/>
          <w:color w:val="222222"/>
          <w:lang w:val="en-US" w:eastAsia="lt-LT"/>
        </w:rPr>
        <w:t xml:space="preserve">. It is then left </w:t>
      </w:r>
      <w:r w:rsidRPr="00954987">
        <w:rPr>
          <w:rFonts w:ascii="Calibri" w:eastAsia="Times New Roman" w:hAnsi="Calibri" w:cs="Arial"/>
          <w:color w:val="222222"/>
          <w:lang w:val="en-US" w:eastAsia="lt-LT"/>
        </w:rPr>
        <w:t xml:space="preserve">to the </w:t>
      </w:r>
      <w:r w:rsidR="0031723C" w:rsidRPr="00954987">
        <w:rPr>
          <w:rFonts w:ascii="Calibri" w:eastAsia="Times New Roman" w:hAnsi="Calibri" w:cs="Arial"/>
          <w:color w:val="222222"/>
          <w:lang w:val="en-US" w:eastAsia="lt-LT"/>
        </w:rPr>
        <w:t xml:space="preserve">defendant </w:t>
      </w:r>
      <w:r w:rsidRPr="00954987">
        <w:rPr>
          <w:rFonts w:ascii="Calibri" w:eastAsia="Times New Roman" w:hAnsi="Calibri" w:cs="Arial"/>
          <w:color w:val="222222"/>
          <w:lang w:val="en-US" w:eastAsia="lt-LT"/>
        </w:rPr>
        <w:t xml:space="preserve">counterparty to proof that it </w:t>
      </w:r>
      <w:r w:rsidR="006011D1" w:rsidRPr="00954987">
        <w:rPr>
          <w:rFonts w:ascii="Calibri" w:eastAsia="Times New Roman" w:hAnsi="Calibri" w:cs="Arial"/>
          <w:color w:val="222222"/>
          <w:lang w:val="en-US" w:eastAsia="lt-LT"/>
        </w:rPr>
        <w:t xml:space="preserve">had </w:t>
      </w:r>
      <w:r w:rsidRPr="00954987">
        <w:rPr>
          <w:rFonts w:ascii="Calibri" w:eastAsia="Times New Roman" w:hAnsi="Calibri" w:cs="Arial"/>
          <w:color w:val="222222"/>
          <w:lang w:val="en-US" w:eastAsia="lt-LT"/>
        </w:rPr>
        <w:t xml:space="preserve">acted in good faith and for this </w:t>
      </w:r>
      <w:r w:rsidR="006011D1" w:rsidRPr="00954987">
        <w:rPr>
          <w:rFonts w:ascii="Calibri" w:eastAsia="Times New Roman" w:hAnsi="Calibri" w:cs="Arial"/>
          <w:color w:val="222222"/>
          <w:lang w:val="en-US" w:eastAsia="lt-LT"/>
        </w:rPr>
        <w:t xml:space="preserve">had </w:t>
      </w:r>
      <w:r w:rsidRPr="00954987">
        <w:rPr>
          <w:rFonts w:ascii="Calibri" w:eastAsia="Times New Roman" w:hAnsi="Calibri" w:cs="Arial"/>
          <w:color w:val="222222"/>
          <w:lang w:val="en-US" w:eastAsia="lt-LT"/>
        </w:rPr>
        <w:t xml:space="preserve">performed actions required by current </w:t>
      </w:r>
      <w:r w:rsidR="006011D1" w:rsidRPr="00954987">
        <w:rPr>
          <w:rFonts w:ascii="Calibri" w:eastAsia="Times New Roman" w:hAnsi="Calibri" w:cs="Arial"/>
          <w:color w:val="222222"/>
          <w:lang w:val="en-US" w:eastAsia="lt-LT"/>
        </w:rPr>
        <w:t>court</w:t>
      </w:r>
      <w:r w:rsidRPr="00954987">
        <w:rPr>
          <w:rFonts w:ascii="Calibri" w:eastAsia="Times New Roman" w:hAnsi="Calibri" w:cs="Arial"/>
          <w:color w:val="222222"/>
          <w:lang w:val="en-US" w:eastAsia="lt-LT"/>
        </w:rPr>
        <w:t xml:space="preserve"> practice.</w:t>
      </w:r>
      <w:r w:rsidR="00477496" w:rsidRPr="00954987">
        <w:rPr>
          <w:rFonts w:ascii="Calibri" w:eastAsia="Times New Roman" w:hAnsi="Calibri" w:cs="Arial"/>
          <w:color w:val="222222"/>
          <w:lang w:val="en-US" w:eastAsia="lt-LT"/>
        </w:rPr>
        <w:t xml:space="preserve"> </w:t>
      </w:r>
      <w:r w:rsidR="0031723C" w:rsidRPr="00954987">
        <w:rPr>
          <w:rFonts w:ascii="Calibri" w:eastAsia="Times New Roman" w:hAnsi="Calibri" w:cs="Arial"/>
          <w:color w:val="222222"/>
          <w:lang w:val="en-US" w:eastAsia="lt-LT"/>
        </w:rPr>
        <w:t>For this</w:t>
      </w:r>
      <w:r w:rsidR="00535BF6" w:rsidRPr="00954987">
        <w:rPr>
          <w:rFonts w:ascii="Calibri" w:eastAsia="Times New Roman" w:hAnsi="Calibri" w:cs="Arial"/>
          <w:color w:val="222222"/>
          <w:lang w:val="en-US" w:eastAsia="lt-LT"/>
        </w:rPr>
        <w:t xml:space="preserve">, the defendant must </w:t>
      </w:r>
      <w:r w:rsidR="0031723C" w:rsidRPr="00954987">
        <w:rPr>
          <w:rFonts w:ascii="Calibri" w:eastAsia="Times New Roman" w:hAnsi="Calibri" w:cs="Arial"/>
          <w:color w:val="222222"/>
          <w:lang w:val="en-US" w:eastAsia="lt-LT"/>
        </w:rPr>
        <w:t xml:space="preserve">show </w:t>
      </w:r>
      <w:r w:rsidR="00535BF6" w:rsidRPr="00954987">
        <w:rPr>
          <w:rFonts w:ascii="Calibri" w:eastAsia="Times New Roman" w:hAnsi="Calibri" w:cs="Arial"/>
          <w:color w:val="222222"/>
          <w:lang w:val="en-US" w:eastAsia="lt-LT"/>
        </w:rPr>
        <w:t xml:space="preserve">that it checked and analyzed the publicly available information that might </w:t>
      </w:r>
      <w:r w:rsidR="00501A9B" w:rsidRPr="00954987">
        <w:rPr>
          <w:rFonts w:ascii="Calibri" w:eastAsia="Times New Roman" w:hAnsi="Calibri" w:cs="Arial"/>
          <w:color w:val="222222"/>
          <w:lang w:val="en-US" w:eastAsia="lt-LT"/>
        </w:rPr>
        <w:t xml:space="preserve">have </w:t>
      </w:r>
      <w:r w:rsidR="00535BF6" w:rsidRPr="00954987">
        <w:rPr>
          <w:rFonts w:ascii="Calibri" w:eastAsia="Times New Roman" w:hAnsi="Calibri" w:cs="Arial"/>
          <w:color w:val="222222"/>
          <w:lang w:val="en-US" w:eastAsia="lt-LT"/>
        </w:rPr>
        <w:t>shed light on the financial situation of its business partner</w:t>
      </w:r>
      <w:r w:rsidR="0031723C" w:rsidRPr="00954987">
        <w:rPr>
          <w:rFonts w:ascii="Calibri" w:eastAsia="Times New Roman" w:hAnsi="Calibri" w:cs="Arial"/>
          <w:color w:val="222222"/>
          <w:lang w:val="en-US" w:eastAsia="lt-LT"/>
        </w:rPr>
        <w:t>. This includes</w:t>
      </w:r>
      <w:r w:rsidR="003D6C23" w:rsidRPr="00954987">
        <w:rPr>
          <w:rFonts w:ascii="Calibri" w:eastAsia="Times New Roman" w:hAnsi="Calibri" w:cs="Arial"/>
          <w:color w:val="222222"/>
          <w:lang w:val="en-US" w:eastAsia="lt-LT"/>
        </w:rPr>
        <w:t xml:space="preserve"> checking</w:t>
      </w:r>
      <w:r w:rsidR="002378B9" w:rsidRPr="00954987">
        <w:rPr>
          <w:rFonts w:ascii="Calibri" w:eastAsia="Times New Roman" w:hAnsi="Calibri" w:cs="Arial"/>
          <w:color w:val="222222"/>
          <w:lang w:val="en-US" w:eastAsia="lt-LT"/>
        </w:rPr>
        <w:t xml:space="preserve"> </w:t>
      </w:r>
      <w:r w:rsidR="00535BF6" w:rsidRPr="00954987">
        <w:rPr>
          <w:rFonts w:ascii="Calibri" w:eastAsia="Times New Roman" w:hAnsi="Calibri" w:cs="Arial"/>
          <w:color w:val="222222"/>
          <w:lang w:val="en-US" w:eastAsia="lt-LT"/>
        </w:rPr>
        <w:t>the pled</w:t>
      </w:r>
      <w:r w:rsidR="0031723C" w:rsidRPr="00954987">
        <w:rPr>
          <w:rFonts w:ascii="Calibri" w:eastAsia="Times New Roman" w:hAnsi="Calibri" w:cs="Arial"/>
          <w:color w:val="222222"/>
          <w:lang w:val="en-US" w:eastAsia="lt-LT"/>
        </w:rPr>
        <w:t xml:space="preserve">ge, </w:t>
      </w:r>
      <w:r w:rsidR="00535BF6" w:rsidRPr="00954987">
        <w:rPr>
          <w:rFonts w:ascii="Calibri" w:eastAsia="Times New Roman" w:hAnsi="Calibri" w:cs="Arial"/>
          <w:color w:val="222222"/>
          <w:lang w:val="en-US" w:eastAsia="lt-LT"/>
        </w:rPr>
        <w:t>mortgage</w:t>
      </w:r>
      <w:r w:rsidR="0031723C" w:rsidRPr="00954987">
        <w:rPr>
          <w:rFonts w:ascii="Calibri" w:eastAsia="Times New Roman" w:hAnsi="Calibri" w:cs="Arial"/>
          <w:color w:val="222222"/>
          <w:lang w:val="en-US" w:eastAsia="lt-LT"/>
        </w:rPr>
        <w:t xml:space="preserve">, </w:t>
      </w:r>
      <w:r w:rsidR="00535BF6" w:rsidRPr="00954987">
        <w:rPr>
          <w:rFonts w:ascii="Calibri" w:eastAsia="Times New Roman" w:hAnsi="Calibri" w:cs="Arial"/>
          <w:color w:val="222222"/>
          <w:lang w:val="en-US" w:eastAsia="lt-LT"/>
        </w:rPr>
        <w:t>arrest and the commercial register</w:t>
      </w:r>
      <w:r w:rsidR="003D6C23" w:rsidRPr="00954987">
        <w:rPr>
          <w:rFonts w:ascii="Calibri" w:eastAsia="Times New Roman" w:hAnsi="Calibri" w:cs="Arial"/>
          <w:color w:val="222222"/>
          <w:lang w:val="en-US" w:eastAsia="lt-LT"/>
        </w:rPr>
        <w:t>s</w:t>
      </w:r>
      <w:r w:rsidR="0031723C" w:rsidRPr="00954987">
        <w:rPr>
          <w:rFonts w:ascii="Calibri" w:eastAsia="Times New Roman" w:hAnsi="Calibri" w:cs="Arial"/>
          <w:color w:val="222222"/>
          <w:lang w:val="en-US" w:eastAsia="lt-LT"/>
        </w:rPr>
        <w:t xml:space="preserve">. From the latter </w:t>
      </w:r>
      <w:r w:rsidR="00535BF6" w:rsidRPr="00954987">
        <w:rPr>
          <w:rFonts w:ascii="Calibri" w:eastAsia="Times New Roman" w:hAnsi="Calibri" w:cs="Arial"/>
          <w:color w:val="222222"/>
          <w:lang w:val="en-US" w:eastAsia="lt-LT"/>
        </w:rPr>
        <w:t xml:space="preserve">the most recent </w:t>
      </w:r>
      <w:r w:rsidR="0031723C" w:rsidRPr="00954987">
        <w:rPr>
          <w:rFonts w:ascii="Calibri" w:eastAsia="Times New Roman" w:hAnsi="Calibri" w:cs="Arial"/>
          <w:color w:val="222222"/>
          <w:lang w:val="en-US" w:eastAsia="lt-LT"/>
        </w:rPr>
        <w:t xml:space="preserve">available </w:t>
      </w:r>
      <w:r w:rsidR="00535BF6" w:rsidRPr="00954987">
        <w:rPr>
          <w:rFonts w:ascii="Calibri" w:eastAsia="Times New Roman" w:hAnsi="Calibri" w:cs="Arial"/>
          <w:color w:val="222222"/>
          <w:lang w:val="en-US" w:eastAsia="lt-LT"/>
        </w:rPr>
        <w:t xml:space="preserve">financial statements should be obtained. </w:t>
      </w:r>
      <w:r w:rsidR="0031723C" w:rsidRPr="00954987">
        <w:rPr>
          <w:rFonts w:ascii="Calibri" w:eastAsia="Times New Roman" w:hAnsi="Calibri" w:cs="Arial"/>
          <w:color w:val="222222"/>
          <w:lang w:val="en-US" w:eastAsia="lt-LT"/>
        </w:rPr>
        <w:t xml:space="preserve">At least for long standing relationships </w:t>
      </w:r>
      <w:r w:rsidR="00C469BF" w:rsidRPr="00954987">
        <w:rPr>
          <w:rFonts w:ascii="Calibri" w:eastAsia="Times New Roman" w:hAnsi="Calibri" w:cs="Arial"/>
          <w:color w:val="222222"/>
          <w:lang w:val="en-US" w:eastAsia="lt-LT"/>
        </w:rPr>
        <w:t xml:space="preserve">courts also </w:t>
      </w:r>
      <w:r w:rsidR="0031723C" w:rsidRPr="00954987">
        <w:rPr>
          <w:rFonts w:ascii="Calibri" w:eastAsia="Times New Roman" w:hAnsi="Calibri" w:cs="Arial"/>
          <w:color w:val="222222"/>
          <w:lang w:val="en-US" w:eastAsia="lt-LT"/>
        </w:rPr>
        <w:t xml:space="preserve">require </w:t>
      </w:r>
      <w:r w:rsidR="00C469BF" w:rsidRPr="00954987">
        <w:rPr>
          <w:rFonts w:ascii="Calibri" w:eastAsia="Times New Roman" w:hAnsi="Calibri" w:cs="Arial"/>
          <w:color w:val="222222"/>
          <w:lang w:val="en-US" w:eastAsia="lt-LT"/>
        </w:rPr>
        <w:t xml:space="preserve">the counterparty </w:t>
      </w:r>
      <w:r w:rsidR="0031723C" w:rsidRPr="00954987">
        <w:rPr>
          <w:rFonts w:ascii="Calibri" w:eastAsia="Times New Roman" w:hAnsi="Calibri" w:cs="Arial"/>
          <w:color w:val="222222"/>
          <w:lang w:val="en-US" w:eastAsia="lt-LT"/>
        </w:rPr>
        <w:t>to address</w:t>
      </w:r>
      <w:r w:rsidR="003D6C23" w:rsidRPr="00954987">
        <w:rPr>
          <w:rFonts w:ascii="Calibri" w:eastAsia="Times New Roman" w:hAnsi="Calibri" w:cs="Arial"/>
          <w:color w:val="222222"/>
          <w:lang w:val="en-US" w:eastAsia="lt-LT"/>
        </w:rPr>
        <w:t xml:space="preserve"> its business partner to enquire about the </w:t>
      </w:r>
      <w:r w:rsidR="00C469BF" w:rsidRPr="00954987">
        <w:rPr>
          <w:rFonts w:ascii="Calibri" w:eastAsia="Times New Roman" w:hAnsi="Calibri" w:cs="Arial"/>
          <w:color w:val="222222"/>
          <w:lang w:val="en-US" w:eastAsia="lt-LT"/>
        </w:rPr>
        <w:t>financial situation, such as obligations towards other creditors, obligations secured by pledge</w:t>
      </w:r>
      <w:r w:rsidR="0031723C" w:rsidRPr="00954987">
        <w:rPr>
          <w:rFonts w:ascii="Calibri" w:eastAsia="Times New Roman" w:hAnsi="Calibri" w:cs="Arial"/>
          <w:color w:val="222222"/>
          <w:lang w:val="en-US" w:eastAsia="lt-LT"/>
        </w:rPr>
        <w:t xml:space="preserve"> or </w:t>
      </w:r>
      <w:r w:rsidR="00C469BF" w:rsidRPr="00954987">
        <w:rPr>
          <w:rFonts w:ascii="Calibri" w:eastAsia="Times New Roman" w:hAnsi="Calibri" w:cs="Arial"/>
          <w:color w:val="222222"/>
          <w:lang w:val="en-US" w:eastAsia="lt-LT"/>
        </w:rPr>
        <w:t>mortgage and their maturity dates and the status of pending court cases.</w:t>
      </w:r>
      <w:r w:rsidR="00C469BF" w:rsidRPr="00954987">
        <w:rPr>
          <w:rStyle w:val="FootnoteReference"/>
          <w:rFonts w:ascii="Calibri" w:eastAsia="Times New Roman" w:hAnsi="Calibri" w:cs="Arial"/>
          <w:color w:val="222222"/>
          <w:lang w:val="en-US" w:eastAsia="lt-LT"/>
        </w:rPr>
        <w:t xml:space="preserve"> </w:t>
      </w:r>
      <w:r w:rsidR="00C469BF" w:rsidRPr="00954987">
        <w:rPr>
          <w:rStyle w:val="FootnoteReference"/>
          <w:rFonts w:ascii="Calibri" w:eastAsia="Times New Roman" w:hAnsi="Calibri" w:cs="Arial"/>
          <w:color w:val="222222"/>
          <w:lang w:val="en-US" w:eastAsia="lt-LT"/>
        </w:rPr>
        <w:footnoteReference w:id="3"/>
      </w:r>
      <w:r w:rsidR="00C469BF" w:rsidRPr="00954987">
        <w:rPr>
          <w:rFonts w:ascii="Calibri" w:eastAsia="Times New Roman" w:hAnsi="Calibri" w:cs="Arial"/>
          <w:color w:val="222222"/>
          <w:lang w:val="en-US" w:eastAsia="lt-LT"/>
        </w:rPr>
        <w:t xml:space="preserve"> </w:t>
      </w:r>
      <w:r w:rsidR="0031723C" w:rsidRPr="00954987">
        <w:rPr>
          <w:rFonts w:ascii="Calibri" w:eastAsia="Times New Roman" w:hAnsi="Calibri" w:cs="Arial"/>
          <w:color w:val="222222"/>
          <w:lang w:val="en-US" w:eastAsia="lt-LT"/>
        </w:rPr>
        <w:t xml:space="preserve">Some </w:t>
      </w:r>
      <w:r w:rsidR="007D32B9" w:rsidRPr="00954987">
        <w:rPr>
          <w:rFonts w:ascii="Calibri" w:eastAsia="Times New Roman" w:hAnsi="Calibri" w:cs="Arial"/>
          <w:color w:val="222222"/>
          <w:lang w:val="en-US" w:eastAsia="lt-LT"/>
        </w:rPr>
        <w:t xml:space="preserve">judgments </w:t>
      </w:r>
      <w:r w:rsidR="0031723C" w:rsidRPr="00954987">
        <w:rPr>
          <w:rFonts w:ascii="Calibri" w:eastAsia="Times New Roman" w:hAnsi="Calibri" w:cs="Arial"/>
          <w:color w:val="222222"/>
          <w:lang w:val="en-US" w:eastAsia="lt-LT"/>
        </w:rPr>
        <w:t xml:space="preserve">seem </w:t>
      </w:r>
      <w:r w:rsidR="0031723C" w:rsidRPr="00954987">
        <w:rPr>
          <w:rFonts w:ascii="Calibri" w:eastAsia="Times New Roman" w:hAnsi="Calibri" w:cs="Arial"/>
          <w:color w:val="222222"/>
          <w:lang w:val="en-US" w:eastAsia="lt-LT"/>
        </w:rPr>
        <w:lastRenderedPageBreak/>
        <w:t xml:space="preserve">to indicate that the pledge the </w:t>
      </w:r>
      <w:r w:rsidR="006011D1" w:rsidRPr="00954987">
        <w:rPr>
          <w:rFonts w:ascii="Calibri" w:eastAsia="Times New Roman" w:hAnsi="Calibri" w:cs="Arial"/>
          <w:color w:val="222222"/>
          <w:lang w:val="en-US" w:eastAsia="lt-LT"/>
        </w:rPr>
        <w:t xml:space="preserve">entirety of the </w:t>
      </w:r>
      <w:r w:rsidR="0031723C" w:rsidRPr="00954987">
        <w:rPr>
          <w:rFonts w:ascii="Calibri" w:eastAsia="Times New Roman" w:hAnsi="Calibri" w:cs="Arial"/>
          <w:color w:val="222222"/>
          <w:lang w:val="en-US" w:eastAsia="lt-LT"/>
        </w:rPr>
        <w:t xml:space="preserve">debtor’s assets </w:t>
      </w:r>
      <w:r w:rsidR="00C469BF" w:rsidRPr="00954987">
        <w:rPr>
          <w:rFonts w:ascii="Calibri" w:eastAsia="Times New Roman" w:hAnsi="Calibri" w:cs="Arial"/>
          <w:color w:val="222222"/>
          <w:lang w:val="en-US" w:eastAsia="lt-LT"/>
        </w:rPr>
        <w:t xml:space="preserve">can be </w:t>
      </w:r>
      <w:r w:rsidR="0031723C" w:rsidRPr="00954987">
        <w:rPr>
          <w:rFonts w:ascii="Calibri" w:eastAsia="Times New Roman" w:hAnsi="Calibri" w:cs="Arial"/>
          <w:color w:val="222222"/>
          <w:lang w:val="en-US" w:eastAsia="lt-LT"/>
        </w:rPr>
        <w:t xml:space="preserve">in itself </w:t>
      </w:r>
      <w:r w:rsidR="00C469BF" w:rsidRPr="00954987">
        <w:rPr>
          <w:rFonts w:ascii="Calibri" w:eastAsia="Times New Roman" w:hAnsi="Calibri" w:cs="Arial"/>
          <w:color w:val="222222"/>
          <w:lang w:val="en-US" w:eastAsia="lt-LT"/>
        </w:rPr>
        <w:t xml:space="preserve">sufficient </w:t>
      </w:r>
      <w:r w:rsidR="007D32B9" w:rsidRPr="00954987">
        <w:rPr>
          <w:rFonts w:ascii="Calibri" w:eastAsia="Times New Roman" w:hAnsi="Calibri" w:cs="Arial"/>
          <w:color w:val="222222"/>
          <w:lang w:val="en-US" w:eastAsia="lt-LT"/>
        </w:rPr>
        <w:t xml:space="preserve">for the </w:t>
      </w:r>
      <w:r w:rsidR="00C469BF" w:rsidRPr="00954987">
        <w:rPr>
          <w:rFonts w:ascii="Calibri" w:eastAsia="Times New Roman" w:hAnsi="Calibri" w:cs="Arial"/>
          <w:color w:val="222222"/>
          <w:lang w:val="en-US" w:eastAsia="lt-LT"/>
        </w:rPr>
        <w:t>court to conclude that the counterparty acted in bad faith when entering into the transaction with debtor.</w:t>
      </w:r>
      <w:r w:rsidR="00C469BF" w:rsidRPr="00954987">
        <w:rPr>
          <w:rStyle w:val="FootnoteReference"/>
          <w:rFonts w:ascii="Calibri" w:eastAsia="Times New Roman" w:hAnsi="Calibri" w:cs="Arial"/>
          <w:color w:val="222222"/>
          <w:lang w:val="en-US" w:eastAsia="lt-LT"/>
        </w:rPr>
        <w:footnoteReference w:id="4"/>
      </w:r>
      <w:r w:rsidR="00501A9B" w:rsidRPr="00954987">
        <w:rPr>
          <w:rFonts w:ascii="Calibri" w:eastAsia="Times New Roman" w:hAnsi="Calibri" w:cs="Arial"/>
          <w:color w:val="222222"/>
          <w:lang w:val="en-US" w:eastAsia="lt-LT"/>
        </w:rPr>
        <w:t xml:space="preserve"> </w:t>
      </w:r>
    </w:p>
    <w:p w14:paraId="3E8BF30D" w14:textId="77777777" w:rsidR="003D6C23" w:rsidRPr="00954987" w:rsidRDefault="00501A9B" w:rsidP="00954987">
      <w:pPr>
        <w:shd w:val="clear" w:color="auto" w:fill="FFFFFF"/>
        <w:spacing w:after="200" w:line="240" w:lineRule="auto"/>
        <w:rPr>
          <w:rFonts w:ascii="Calibri" w:eastAsia="Times New Roman" w:hAnsi="Calibri" w:cs="Arial"/>
          <w:color w:val="222222"/>
          <w:lang w:val="en-US" w:eastAsia="lt-LT"/>
        </w:rPr>
      </w:pPr>
      <w:r w:rsidRPr="00954987">
        <w:rPr>
          <w:rFonts w:ascii="Calibri" w:eastAsia="Times New Roman" w:hAnsi="Calibri" w:cs="Arial"/>
          <w:color w:val="222222"/>
          <w:lang w:val="en-US" w:eastAsia="lt-LT"/>
        </w:rPr>
        <w:t xml:space="preserve">Courts tend to apply these criteria in a rather formalistic way giving little regard to whether meaningful information is or even </w:t>
      </w:r>
      <w:r w:rsidR="001E66E6" w:rsidRPr="00954987">
        <w:rPr>
          <w:rFonts w:ascii="Calibri" w:eastAsia="Times New Roman" w:hAnsi="Calibri" w:cs="Arial"/>
          <w:color w:val="222222"/>
          <w:lang w:val="en-US" w:eastAsia="lt-LT"/>
        </w:rPr>
        <w:t>could</w:t>
      </w:r>
      <w:r w:rsidRPr="00954987">
        <w:rPr>
          <w:rFonts w:ascii="Calibri" w:eastAsia="Times New Roman" w:hAnsi="Calibri" w:cs="Arial"/>
          <w:color w:val="222222"/>
          <w:lang w:val="en-US" w:eastAsia="lt-LT"/>
        </w:rPr>
        <w:t xml:space="preserve"> be obtained by adhering to the ‘checklist’. </w:t>
      </w:r>
      <w:r w:rsidR="00C73E2E" w:rsidRPr="00954987">
        <w:rPr>
          <w:rFonts w:ascii="Calibri" w:eastAsia="Times New Roman" w:hAnsi="Calibri" w:cs="Arial"/>
          <w:color w:val="222222"/>
          <w:lang w:val="en-US" w:eastAsia="lt-LT"/>
        </w:rPr>
        <w:t>For instance,</w:t>
      </w:r>
      <w:r w:rsidRPr="00954987">
        <w:rPr>
          <w:rFonts w:ascii="Calibri" w:eastAsia="Times New Roman" w:hAnsi="Calibri" w:cs="Arial"/>
          <w:color w:val="222222"/>
          <w:lang w:val="en-US" w:eastAsia="lt-LT"/>
        </w:rPr>
        <w:t xml:space="preserve"> </w:t>
      </w:r>
      <w:r w:rsidR="007D32B9" w:rsidRPr="00954987">
        <w:rPr>
          <w:rFonts w:ascii="Calibri" w:eastAsia="Times New Roman" w:hAnsi="Calibri" w:cs="Arial"/>
          <w:color w:val="222222"/>
          <w:lang w:val="en-US" w:eastAsia="lt-LT"/>
        </w:rPr>
        <w:t>pledging</w:t>
      </w:r>
      <w:r w:rsidRPr="00954987">
        <w:rPr>
          <w:rFonts w:ascii="Calibri" w:eastAsia="Times New Roman" w:hAnsi="Calibri" w:cs="Arial"/>
          <w:color w:val="222222"/>
          <w:lang w:val="en-US" w:eastAsia="lt-LT"/>
        </w:rPr>
        <w:t xml:space="preserve"> assets is standard practice necessary to obtain financing</w:t>
      </w:r>
      <w:r w:rsidR="003D6C23" w:rsidRPr="00954987">
        <w:rPr>
          <w:rFonts w:ascii="Calibri" w:eastAsia="Times New Roman" w:hAnsi="Calibri" w:cs="Arial"/>
          <w:color w:val="222222"/>
          <w:lang w:val="en-US" w:eastAsia="lt-LT"/>
        </w:rPr>
        <w:t xml:space="preserve"> and does </w:t>
      </w:r>
      <w:r w:rsidR="007D32B9" w:rsidRPr="00954987">
        <w:rPr>
          <w:rFonts w:ascii="Calibri" w:eastAsia="Times New Roman" w:hAnsi="Calibri" w:cs="Arial"/>
          <w:color w:val="222222"/>
          <w:lang w:val="en-US" w:eastAsia="lt-LT"/>
        </w:rPr>
        <w:t xml:space="preserve">necessarily indicate </w:t>
      </w:r>
      <w:r w:rsidR="003D6C23" w:rsidRPr="00954987">
        <w:rPr>
          <w:rFonts w:ascii="Calibri" w:eastAsia="Times New Roman" w:hAnsi="Calibri" w:cs="Arial"/>
          <w:color w:val="222222"/>
          <w:lang w:val="en-US" w:eastAsia="lt-LT"/>
        </w:rPr>
        <w:t>financial problems</w:t>
      </w:r>
      <w:r w:rsidRPr="00954987">
        <w:rPr>
          <w:rFonts w:ascii="Calibri" w:eastAsia="Times New Roman" w:hAnsi="Calibri" w:cs="Arial"/>
          <w:color w:val="222222"/>
          <w:lang w:val="en-US" w:eastAsia="lt-LT"/>
        </w:rPr>
        <w:t xml:space="preserve">. </w:t>
      </w:r>
      <w:r w:rsidR="00C73E2E" w:rsidRPr="00954987">
        <w:rPr>
          <w:rFonts w:ascii="Calibri" w:eastAsia="Times New Roman" w:hAnsi="Calibri" w:cs="Arial"/>
          <w:color w:val="222222"/>
          <w:lang w:val="en-US" w:eastAsia="lt-LT"/>
        </w:rPr>
        <w:t>Also, f</w:t>
      </w:r>
      <w:r w:rsidRPr="00954987">
        <w:rPr>
          <w:rFonts w:ascii="Calibri" w:eastAsia="Times New Roman" w:hAnsi="Calibri" w:cs="Arial"/>
          <w:color w:val="222222"/>
          <w:lang w:val="en-US" w:eastAsia="lt-LT"/>
        </w:rPr>
        <w:t>inancial statements are of limited use for understanding the liquidity situation of a company, even more so if the statemen</w:t>
      </w:r>
      <w:r w:rsidR="00C73E2E" w:rsidRPr="00954987">
        <w:rPr>
          <w:rFonts w:ascii="Calibri" w:eastAsia="Times New Roman" w:hAnsi="Calibri" w:cs="Arial"/>
          <w:color w:val="222222"/>
          <w:lang w:val="en-US" w:eastAsia="lt-LT"/>
        </w:rPr>
        <w:t>ts are mo</w:t>
      </w:r>
      <w:r w:rsidR="007D32B9" w:rsidRPr="00954987">
        <w:rPr>
          <w:rFonts w:ascii="Calibri" w:eastAsia="Times New Roman" w:hAnsi="Calibri" w:cs="Arial"/>
          <w:color w:val="222222"/>
          <w:lang w:val="en-US" w:eastAsia="lt-LT"/>
        </w:rPr>
        <w:t>n</w:t>
      </w:r>
      <w:r w:rsidR="00C73E2E" w:rsidRPr="00954987">
        <w:rPr>
          <w:rFonts w:ascii="Calibri" w:eastAsia="Times New Roman" w:hAnsi="Calibri" w:cs="Arial"/>
          <w:color w:val="222222"/>
          <w:lang w:val="en-US" w:eastAsia="lt-LT"/>
        </w:rPr>
        <w:t xml:space="preserve">ths or even years old. And asking your business partner </w:t>
      </w:r>
      <w:r w:rsidR="007D32B9" w:rsidRPr="00954987">
        <w:rPr>
          <w:rFonts w:ascii="Calibri" w:eastAsia="Times New Roman" w:hAnsi="Calibri" w:cs="Arial"/>
          <w:color w:val="222222"/>
          <w:lang w:val="en-US" w:eastAsia="lt-LT"/>
        </w:rPr>
        <w:t xml:space="preserve">if </w:t>
      </w:r>
      <w:r w:rsidR="00C73E2E" w:rsidRPr="00954987">
        <w:rPr>
          <w:rFonts w:ascii="Calibri" w:eastAsia="Times New Roman" w:hAnsi="Calibri" w:cs="Arial"/>
          <w:color w:val="222222"/>
          <w:lang w:val="en-US" w:eastAsia="lt-LT"/>
        </w:rPr>
        <w:t xml:space="preserve">it faces insolvency is </w:t>
      </w:r>
      <w:r w:rsidR="003D6C23" w:rsidRPr="00954987">
        <w:rPr>
          <w:rFonts w:ascii="Calibri" w:eastAsia="Times New Roman" w:hAnsi="Calibri" w:cs="Arial"/>
          <w:color w:val="222222"/>
          <w:lang w:val="en-US" w:eastAsia="lt-LT"/>
        </w:rPr>
        <w:t xml:space="preserve">not necessarily </w:t>
      </w:r>
      <w:r w:rsidR="00C73E2E" w:rsidRPr="00954987">
        <w:rPr>
          <w:rFonts w:ascii="Calibri" w:eastAsia="Times New Roman" w:hAnsi="Calibri" w:cs="Arial"/>
          <w:color w:val="222222"/>
          <w:lang w:val="en-US" w:eastAsia="lt-LT"/>
        </w:rPr>
        <w:t xml:space="preserve">likely to prompt an honest answer. </w:t>
      </w:r>
      <w:r w:rsidR="00BD58B4" w:rsidRPr="00954987">
        <w:rPr>
          <w:rFonts w:ascii="Calibri" w:eastAsia="Times New Roman" w:hAnsi="Calibri" w:cs="Arial"/>
          <w:color w:val="222222"/>
          <w:lang w:val="en-US" w:eastAsia="lt-LT"/>
        </w:rPr>
        <w:t xml:space="preserve">Interestingly, in a recent decision, the court interpreted the mere existence of credit risk insurance coverage to the detriment of the insured foreign creditor of the Lithuanian debtor rather than acknowledging that the insurer had monitored the financial standing of the Lithuanian debtor and </w:t>
      </w:r>
      <w:r w:rsidR="00F962B4" w:rsidRPr="00954987">
        <w:rPr>
          <w:rFonts w:ascii="Calibri" w:eastAsia="Times New Roman" w:hAnsi="Calibri" w:cs="Arial"/>
          <w:color w:val="222222"/>
          <w:lang w:val="en-US" w:eastAsia="lt-LT"/>
        </w:rPr>
        <w:t xml:space="preserve">at the time the disputed transaction was made had </w:t>
      </w:r>
      <w:r w:rsidR="00BD58B4" w:rsidRPr="00954987">
        <w:rPr>
          <w:rFonts w:ascii="Calibri" w:eastAsia="Times New Roman" w:hAnsi="Calibri" w:cs="Arial"/>
          <w:color w:val="222222"/>
          <w:lang w:val="en-US" w:eastAsia="lt-LT"/>
        </w:rPr>
        <w:t xml:space="preserve">neither terminated the insurance coverage </w:t>
      </w:r>
      <w:r w:rsidR="007D32B9" w:rsidRPr="00954987">
        <w:rPr>
          <w:rFonts w:ascii="Calibri" w:eastAsia="Times New Roman" w:hAnsi="Calibri" w:cs="Arial"/>
          <w:color w:val="222222"/>
          <w:lang w:val="en-US" w:eastAsia="lt-LT"/>
        </w:rPr>
        <w:t>n</w:t>
      </w:r>
      <w:r w:rsidR="00BD58B4" w:rsidRPr="00954987">
        <w:rPr>
          <w:rFonts w:ascii="Calibri" w:eastAsia="Times New Roman" w:hAnsi="Calibri" w:cs="Arial"/>
          <w:color w:val="222222"/>
          <w:lang w:val="en-US" w:eastAsia="lt-LT"/>
        </w:rPr>
        <w:t>or otherwise flagged warning signals.</w:t>
      </w:r>
      <w:r w:rsidR="00BD58B4" w:rsidRPr="00954987">
        <w:rPr>
          <w:rStyle w:val="FootnoteReference"/>
          <w:rFonts w:ascii="Calibri" w:eastAsia="Times New Roman" w:hAnsi="Calibri" w:cs="Arial"/>
          <w:color w:val="222222"/>
          <w:lang w:val="en-US" w:eastAsia="lt-LT"/>
        </w:rPr>
        <w:footnoteReference w:id="5"/>
      </w:r>
    </w:p>
    <w:p w14:paraId="19F806AD" w14:textId="77777777" w:rsidR="003D6C23" w:rsidRDefault="00F962B4" w:rsidP="00954987">
      <w:pPr>
        <w:shd w:val="clear" w:color="auto" w:fill="FFFFFF"/>
        <w:spacing w:after="200" w:line="240" w:lineRule="auto"/>
        <w:rPr>
          <w:rFonts w:ascii="Calibri" w:eastAsia="Times New Roman" w:hAnsi="Calibri" w:cs="Arial"/>
          <w:color w:val="222222"/>
          <w:lang w:val="en-US" w:eastAsia="lt-LT"/>
        </w:rPr>
      </w:pPr>
      <w:r w:rsidRPr="00954987">
        <w:rPr>
          <w:rFonts w:ascii="Calibri" w:eastAsia="Times New Roman" w:hAnsi="Calibri" w:cs="Arial"/>
          <w:color w:val="222222"/>
          <w:lang w:val="en-US" w:eastAsia="lt-LT"/>
        </w:rPr>
        <w:t>C</w:t>
      </w:r>
      <w:r w:rsidR="00C73E2E" w:rsidRPr="00954987">
        <w:rPr>
          <w:rFonts w:ascii="Calibri" w:eastAsia="Times New Roman" w:hAnsi="Calibri" w:cs="Arial"/>
          <w:color w:val="222222"/>
          <w:lang w:val="en-US" w:eastAsia="lt-LT"/>
        </w:rPr>
        <w:t xml:space="preserve">ompanies are </w:t>
      </w:r>
      <w:r w:rsidRPr="00954987">
        <w:rPr>
          <w:rFonts w:ascii="Calibri" w:eastAsia="Times New Roman" w:hAnsi="Calibri" w:cs="Arial"/>
          <w:color w:val="222222"/>
          <w:lang w:val="en-US" w:eastAsia="lt-LT"/>
        </w:rPr>
        <w:t xml:space="preserve">therefore </w:t>
      </w:r>
      <w:r w:rsidR="00C73E2E" w:rsidRPr="00954987">
        <w:rPr>
          <w:rFonts w:ascii="Calibri" w:eastAsia="Times New Roman" w:hAnsi="Calibri" w:cs="Arial"/>
          <w:color w:val="222222"/>
          <w:lang w:val="en-US" w:eastAsia="lt-LT"/>
        </w:rPr>
        <w:t xml:space="preserve">well advised to follow the ‘checklist’ developed </w:t>
      </w:r>
      <w:r w:rsidR="003D6C23" w:rsidRPr="00954987">
        <w:rPr>
          <w:rFonts w:ascii="Calibri" w:eastAsia="Times New Roman" w:hAnsi="Calibri" w:cs="Arial"/>
          <w:color w:val="222222"/>
          <w:lang w:val="en-US" w:eastAsia="lt-LT"/>
        </w:rPr>
        <w:t xml:space="preserve">by </w:t>
      </w:r>
      <w:r w:rsidR="00C73E2E" w:rsidRPr="00954987">
        <w:rPr>
          <w:rFonts w:ascii="Calibri" w:eastAsia="Times New Roman" w:hAnsi="Calibri" w:cs="Arial"/>
          <w:color w:val="222222"/>
          <w:lang w:val="en-US" w:eastAsia="lt-LT"/>
        </w:rPr>
        <w:t xml:space="preserve">recent case law before </w:t>
      </w:r>
      <w:r w:rsidR="007D32B9" w:rsidRPr="00954987">
        <w:rPr>
          <w:rFonts w:ascii="Calibri" w:eastAsia="Times New Roman" w:hAnsi="Calibri" w:cs="Arial"/>
          <w:color w:val="222222"/>
          <w:lang w:val="en-US" w:eastAsia="lt-LT"/>
        </w:rPr>
        <w:t xml:space="preserve">entering into business transactions </w:t>
      </w:r>
      <w:r w:rsidR="00C73E2E" w:rsidRPr="00954987">
        <w:rPr>
          <w:rFonts w:ascii="Calibri" w:eastAsia="Times New Roman" w:hAnsi="Calibri" w:cs="Arial"/>
          <w:color w:val="222222"/>
          <w:lang w:val="en-US" w:eastAsia="lt-LT"/>
        </w:rPr>
        <w:t xml:space="preserve">with Lithuanian </w:t>
      </w:r>
      <w:r w:rsidR="007D32B9" w:rsidRPr="00954987">
        <w:rPr>
          <w:rFonts w:ascii="Calibri" w:eastAsia="Times New Roman" w:hAnsi="Calibri" w:cs="Arial"/>
          <w:color w:val="222222"/>
          <w:lang w:val="en-US" w:eastAsia="lt-LT"/>
        </w:rPr>
        <w:t>companies</w:t>
      </w:r>
      <w:r w:rsidR="00C73E2E" w:rsidRPr="00954987">
        <w:rPr>
          <w:rFonts w:ascii="Calibri" w:eastAsia="Times New Roman" w:hAnsi="Calibri" w:cs="Arial"/>
          <w:color w:val="222222"/>
          <w:lang w:val="en-US" w:eastAsia="lt-LT"/>
        </w:rPr>
        <w:t xml:space="preserve">. Otherwise, there is a considerable risk </w:t>
      </w:r>
      <w:r w:rsidR="00BD58B4" w:rsidRPr="00954987">
        <w:rPr>
          <w:rFonts w:ascii="Calibri" w:eastAsia="Times New Roman" w:hAnsi="Calibri" w:cs="Arial"/>
          <w:color w:val="222222"/>
          <w:lang w:val="en-US" w:eastAsia="lt-LT"/>
        </w:rPr>
        <w:t xml:space="preserve">that </w:t>
      </w:r>
      <w:r w:rsidR="007D32B9" w:rsidRPr="00954987">
        <w:rPr>
          <w:rFonts w:ascii="Calibri" w:eastAsia="Times New Roman" w:hAnsi="Calibri" w:cs="Arial"/>
          <w:color w:val="222222"/>
          <w:lang w:val="en-US" w:eastAsia="lt-LT"/>
        </w:rPr>
        <w:t xml:space="preserve">in an </w:t>
      </w:r>
      <w:proofErr w:type="spellStart"/>
      <w:r w:rsidR="007D32B9" w:rsidRPr="00954987">
        <w:rPr>
          <w:rFonts w:ascii="Calibri" w:eastAsia="Times New Roman" w:hAnsi="Calibri" w:cs="Arial"/>
          <w:i/>
          <w:color w:val="222222"/>
          <w:lang w:val="en-US" w:eastAsia="lt-LT"/>
        </w:rPr>
        <w:t>actio</w:t>
      </w:r>
      <w:proofErr w:type="spellEnd"/>
      <w:r w:rsidR="007D32B9" w:rsidRPr="00954987">
        <w:rPr>
          <w:rFonts w:ascii="Calibri" w:eastAsia="Times New Roman" w:hAnsi="Calibri" w:cs="Arial"/>
          <w:i/>
          <w:color w:val="222222"/>
          <w:lang w:val="en-US" w:eastAsia="lt-LT"/>
        </w:rPr>
        <w:t xml:space="preserve"> </w:t>
      </w:r>
      <w:proofErr w:type="spellStart"/>
      <w:r w:rsidR="007D32B9" w:rsidRPr="00954987">
        <w:rPr>
          <w:rFonts w:ascii="Calibri" w:eastAsia="Times New Roman" w:hAnsi="Calibri" w:cs="Arial"/>
          <w:i/>
          <w:color w:val="222222"/>
          <w:lang w:val="en-US" w:eastAsia="lt-LT"/>
        </w:rPr>
        <w:t>pauliana</w:t>
      </w:r>
      <w:proofErr w:type="spellEnd"/>
      <w:r w:rsidR="007D32B9" w:rsidRPr="00954987">
        <w:rPr>
          <w:rFonts w:ascii="Calibri" w:eastAsia="Times New Roman" w:hAnsi="Calibri" w:cs="Arial"/>
          <w:i/>
          <w:color w:val="222222"/>
          <w:lang w:val="en-US" w:eastAsia="lt-LT"/>
        </w:rPr>
        <w:t xml:space="preserve"> </w:t>
      </w:r>
      <w:r w:rsidR="007D32B9" w:rsidRPr="00954987">
        <w:rPr>
          <w:rFonts w:ascii="Calibri" w:eastAsia="Times New Roman" w:hAnsi="Calibri" w:cs="Arial"/>
          <w:color w:val="222222"/>
          <w:lang w:val="en-US" w:eastAsia="lt-LT"/>
        </w:rPr>
        <w:t xml:space="preserve">case </w:t>
      </w:r>
      <w:r w:rsidR="00C73E2E" w:rsidRPr="00954987">
        <w:rPr>
          <w:rFonts w:ascii="Calibri" w:eastAsia="Times New Roman" w:hAnsi="Calibri" w:cs="Arial"/>
          <w:color w:val="222222"/>
          <w:lang w:val="en-US" w:eastAsia="lt-LT"/>
        </w:rPr>
        <w:t xml:space="preserve">they (shift in the </w:t>
      </w:r>
      <w:r w:rsidR="003D6C23" w:rsidRPr="00954987">
        <w:rPr>
          <w:rFonts w:ascii="Calibri" w:eastAsia="Times New Roman" w:hAnsi="Calibri" w:cs="Arial"/>
          <w:color w:val="222222"/>
          <w:lang w:val="en-US" w:eastAsia="lt-LT"/>
        </w:rPr>
        <w:t>burden of</w:t>
      </w:r>
      <w:r w:rsidR="00C73E2E" w:rsidRPr="00954987">
        <w:rPr>
          <w:rFonts w:ascii="Calibri" w:eastAsia="Times New Roman" w:hAnsi="Calibri" w:cs="Arial"/>
          <w:color w:val="222222"/>
          <w:lang w:val="en-US" w:eastAsia="lt-LT"/>
        </w:rPr>
        <w:t xml:space="preserve"> proof!) cannot </w:t>
      </w:r>
      <w:r w:rsidR="003D6C23" w:rsidRPr="00954987">
        <w:rPr>
          <w:rFonts w:ascii="Calibri" w:eastAsia="Times New Roman" w:hAnsi="Calibri" w:cs="Arial"/>
          <w:color w:val="222222"/>
          <w:lang w:val="en-US" w:eastAsia="lt-LT"/>
        </w:rPr>
        <w:t xml:space="preserve">prove performance of </w:t>
      </w:r>
      <w:r w:rsidR="00BD58B4" w:rsidRPr="00954987">
        <w:rPr>
          <w:rFonts w:ascii="Calibri" w:eastAsia="Times New Roman" w:hAnsi="Calibri" w:cs="Arial"/>
          <w:color w:val="222222"/>
          <w:lang w:val="en-US" w:eastAsia="lt-LT"/>
        </w:rPr>
        <w:t xml:space="preserve">the </w:t>
      </w:r>
      <w:r w:rsidR="00C73E2E" w:rsidRPr="00954987">
        <w:rPr>
          <w:rFonts w:ascii="Calibri" w:eastAsia="Times New Roman" w:hAnsi="Calibri" w:cs="Arial"/>
          <w:color w:val="222222"/>
          <w:lang w:val="en-US" w:eastAsia="lt-LT"/>
        </w:rPr>
        <w:t xml:space="preserve">formal </w:t>
      </w:r>
      <w:r w:rsidR="001A3B8C" w:rsidRPr="00954987">
        <w:rPr>
          <w:rFonts w:ascii="Calibri" w:eastAsia="Times New Roman" w:hAnsi="Calibri" w:cs="Arial"/>
          <w:color w:val="222222"/>
          <w:lang w:val="en-US" w:eastAsia="lt-LT"/>
        </w:rPr>
        <w:t>background checks</w:t>
      </w:r>
      <w:r w:rsidR="007D32B9" w:rsidRPr="00954987">
        <w:rPr>
          <w:rFonts w:ascii="Calibri" w:eastAsia="Times New Roman" w:hAnsi="Calibri" w:cs="Arial"/>
          <w:color w:val="222222"/>
          <w:lang w:val="en-US" w:eastAsia="lt-LT"/>
        </w:rPr>
        <w:t xml:space="preserve">. </w:t>
      </w:r>
      <w:r w:rsidR="001A3B8C" w:rsidRPr="00954987">
        <w:rPr>
          <w:rFonts w:ascii="Calibri" w:eastAsia="Times New Roman" w:hAnsi="Calibri" w:cs="Arial"/>
          <w:color w:val="222222"/>
          <w:lang w:val="en-US" w:eastAsia="lt-LT"/>
        </w:rPr>
        <w:t>As a results c</w:t>
      </w:r>
      <w:r w:rsidR="007D32B9" w:rsidRPr="00954987">
        <w:rPr>
          <w:rFonts w:ascii="Calibri" w:eastAsia="Times New Roman" w:hAnsi="Calibri" w:cs="Arial"/>
          <w:color w:val="222222"/>
          <w:lang w:val="en-US" w:eastAsia="lt-LT"/>
        </w:rPr>
        <w:t>ourts</w:t>
      </w:r>
      <w:r w:rsidR="001A3B8C" w:rsidRPr="00954987">
        <w:rPr>
          <w:rFonts w:ascii="Calibri" w:eastAsia="Times New Roman" w:hAnsi="Calibri" w:cs="Arial"/>
          <w:color w:val="222222"/>
          <w:lang w:val="en-US" w:eastAsia="lt-LT"/>
        </w:rPr>
        <w:t xml:space="preserve"> are likely to </w:t>
      </w:r>
      <w:r w:rsidR="00BD58B4" w:rsidRPr="00954987">
        <w:rPr>
          <w:rFonts w:ascii="Calibri" w:eastAsia="Times New Roman" w:hAnsi="Calibri" w:cs="Arial"/>
          <w:color w:val="222222"/>
          <w:lang w:val="en-US" w:eastAsia="lt-LT"/>
        </w:rPr>
        <w:t xml:space="preserve">conclude that </w:t>
      </w:r>
      <w:r w:rsidR="001E66E6" w:rsidRPr="00954987">
        <w:rPr>
          <w:rFonts w:ascii="Calibri" w:eastAsia="Times New Roman" w:hAnsi="Calibri" w:cs="Arial"/>
          <w:color w:val="222222"/>
          <w:lang w:val="en-US" w:eastAsia="lt-LT"/>
        </w:rPr>
        <w:t xml:space="preserve">the </w:t>
      </w:r>
      <w:r w:rsidR="001A3B8C" w:rsidRPr="00954987">
        <w:rPr>
          <w:rFonts w:ascii="Calibri" w:eastAsia="Times New Roman" w:hAnsi="Calibri" w:cs="Arial"/>
          <w:color w:val="222222"/>
          <w:lang w:val="en-US" w:eastAsia="lt-LT"/>
        </w:rPr>
        <w:t xml:space="preserve">defendant company had </w:t>
      </w:r>
      <w:r w:rsidR="00BD58B4" w:rsidRPr="00954987">
        <w:rPr>
          <w:rFonts w:ascii="Calibri" w:eastAsia="Times New Roman" w:hAnsi="Calibri" w:cs="Arial"/>
          <w:color w:val="222222"/>
          <w:lang w:val="en-US" w:eastAsia="lt-LT"/>
        </w:rPr>
        <w:t>acted in bad faith</w:t>
      </w:r>
      <w:r w:rsidR="001A3B8C" w:rsidRPr="00954987">
        <w:rPr>
          <w:rFonts w:ascii="Calibri" w:eastAsia="Times New Roman" w:hAnsi="Calibri" w:cs="Arial"/>
          <w:color w:val="222222"/>
          <w:lang w:val="en-US" w:eastAsia="lt-LT"/>
        </w:rPr>
        <w:t xml:space="preserve"> and decide the case in favor of the administrator.</w:t>
      </w:r>
    </w:p>
    <w:p w14:paraId="5B24E33A" w14:textId="77777777" w:rsidR="00954987" w:rsidRPr="00954987" w:rsidRDefault="00954987" w:rsidP="00954987">
      <w:pPr>
        <w:spacing w:after="200"/>
        <w:contextualSpacing/>
        <w:rPr>
          <w:rFonts w:ascii="Calibri" w:hAnsi="Calibri" w:cs="Arial"/>
          <w:b/>
          <w:i/>
          <w:lang w:val="en-US"/>
        </w:rPr>
      </w:pPr>
      <w:r w:rsidRPr="00954987">
        <w:rPr>
          <w:rFonts w:ascii="Calibri" w:hAnsi="Calibri" w:cs="Arial"/>
          <w:b/>
          <w:i/>
          <w:lang w:val="en-US"/>
        </w:rPr>
        <w:t xml:space="preserve">Frank </w:t>
      </w:r>
      <w:proofErr w:type="spellStart"/>
      <w:r w:rsidRPr="00954987">
        <w:rPr>
          <w:rFonts w:ascii="Calibri" w:hAnsi="Calibri" w:cs="Arial"/>
          <w:b/>
          <w:i/>
          <w:lang w:val="en-US"/>
        </w:rPr>
        <w:t>Heemann</w:t>
      </w:r>
      <w:proofErr w:type="spellEnd"/>
      <w:r w:rsidRPr="00954987">
        <w:rPr>
          <w:rFonts w:ascii="Calibri" w:hAnsi="Calibri" w:cs="Arial"/>
          <w:b/>
          <w:i/>
          <w:lang w:val="en-US"/>
        </w:rPr>
        <w:t>, Partner</w:t>
      </w:r>
    </w:p>
    <w:p w14:paraId="312E13BE" w14:textId="77777777" w:rsidR="00954987" w:rsidRPr="00954987" w:rsidRDefault="00954987" w:rsidP="00954987">
      <w:pPr>
        <w:spacing w:after="200"/>
        <w:contextualSpacing/>
        <w:rPr>
          <w:rFonts w:ascii="Calibri" w:hAnsi="Calibri" w:cs="Arial"/>
          <w:b/>
          <w:i/>
          <w:lang w:val="en-US"/>
        </w:rPr>
      </w:pPr>
      <w:r w:rsidRPr="00954987">
        <w:rPr>
          <w:rFonts w:ascii="Calibri" w:hAnsi="Calibri" w:cs="Arial"/>
          <w:b/>
          <w:i/>
          <w:lang w:val="en-US"/>
        </w:rPr>
        <w:t xml:space="preserve">Karolina </w:t>
      </w:r>
      <w:proofErr w:type="spellStart"/>
      <w:r w:rsidRPr="00954987">
        <w:rPr>
          <w:rFonts w:ascii="Calibri" w:hAnsi="Calibri" w:cs="Arial"/>
          <w:b/>
          <w:i/>
          <w:lang w:val="en-US"/>
        </w:rPr>
        <w:t>Gasparke</w:t>
      </w:r>
      <w:proofErr w:type="spellEnd"/>
      <w:r w:rsidRPr="00954987">
        <w:rPr>
          <w:rFonts w:ascii="Calibri" w:hAnsi="Calibri" w:cs="Arial"/>
          <w:b/>
          <w:i/>
          <w:lang w:val="en-US"/>
        </w:rPr>
        <w:t xml:space="preserve">, Senior Associate </w:t>
      </w:r>
    </w:p>
    <w:p w14:paraId="4FB83A89" w14:textId="77777777" w:rsidR="006910A0" w:rsidRPr="00954987" w:rsidRDefault="00954987" w:rsidP="00954987">
      <w:pPr>
        <w:spacing w:after="200"/>
        <w:contextualSpacing/>
        <w:rPr>
          <w:rFonts w:ascii="Calibri" w:hAnsi="Calibri" w:cs="Arial"/>
          <w:b/>
          <w:i/>
          <w:lang w:val="en-US"/>
        </w:rPr>
      </w:pPr>
      <w:proofErr w:type="spellStart"/>
      <w:r w:rsidRPr="00954987">
        <w:rPr>
          <w:rFonts w:ascii="Calibri" w:hAnsi="Calibri" w:cs="Arial"/>
          <w:b/>
          <w:i/>
          <w:lang w:val="en-US"/>
        </w:rPr>
        <w:t>bnt</w:t>
      </w:r>
      <w:proofErr w:type="spellEnd"/>
      <w:r w:rsidRPr="00954987">
        <w:rPr>
          <w:rFonts w:ascii="Calibri" w:hAnsi="Calibri" w:cs="Arial"/>
          <w:b/>
          <w:i/>
          <w:lang w:val="en-US"/>
        </w:rPr>
        <w:t xml:space="preserve"> attorneys in CEE - Vilnius, Lithuania</w:t>
      </w:r>
      <w:bookmarkStart w:id="0" w:name="_GoBack"/>
      <w:bookmarkEnd w:id="0"/>
    </w:p>
    <w:sectPr w:rsidR="006910A0" w:rsidRPr="00954987" w:rsidSect="00954987">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D28C9" w14:textId="77777777" w:rsidR="00FC4D55" w:rsidRDefault="00FC4D55" w:rsidP="00A87A77">
      <w:pPr>
        <w:spacing w:after="0" w:line="240" w:lineRule="auto"/>
      </w:pPr>
      <w:r>
        <w:separator/>
      </w:r>
    </w:p>
  </w:endnote>
  <w:endnote w:type="continuationSeparator" w:id="0">
    <w:p w14:paraId="0A2A11AC" w14:textId="77777777" w:rsidR="00FC4D55" w:rsidRDefault="00FC4D55" w:rsidP="00A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26D57" w14:textId="77777777" w:rsidR="00FC4D55" w:rsidRDefault="00FC4D55" w:rsidP="00A87A77">
      <w:pPr>
        <w:spacing w:after="0" w:line="240" w:lineRule="auto"/>
      </w:pPr>
      <w:r>
        <w:separator/>
      </w:r>
    </w:p>
  </w:footnote>
  <w:footnote w:type="continuationSeparator" w:id="0">
    <w:p w14:paraId="6CD46D3A" w14:textId="77777777" w:rsidR="00FC4D55" w:rsidRDefault="00FC4D55" w:rsidP="00A87A77">
      <w:pPr>
        <w:spacing w:after="0" w:line="240" w:lineRule="auto"/>
      </w:pPr>
      <w:r>
        <w:continuationSeparator/>
      </w:r>
    </w:p>
  </w:footnote>
  <w:footnote w:id="1">
    <w:p w14:paraId="2BAC483A" w14:textId="77777777" w:rsidR="00E8469B" w:rsidRPr="00954987" w:rsidRDefault="00E8469B" w:rsidP="00E8469B">
      <w:pPr>
        <w:shd w:val="clear" w:color="auto" w:fill="FFFFFF"/>
        <w:spacing w:after="0" w:line="240" w:lineRule="auto"/>
        <w:jc w:val="both"/>
        <w:rPr>
          <w:rFonts w:ascii="Calibri" w:eastAsia="Times New Roman" w:hAnsi="Calibri" w:cs="Arial"/>
          <w:color w:val="222222"/>
          <w:sz w:val="18"/>
          <w:szCs w:val="18"/>
          <w:lang w:eastAsia="lt-LT"/>
        </w:rPr>
      </w:pPr>
      <w:r w:rsidRPr="00954987">
        <w:rPr>
          <w:rStyle w:val="FootnoteReference"/>
          <w:rFonts w:ascii="Calibri" w:hAnsi="Calibri" w:cs="Arial"/>
          <w:sz w:val="18"/>
          <w:szCs w:val="18"/>
        </w:rPr>
        <w:footnoteRef/>
      </w:r>
      <w:r w:rsidRPr="00954987">
        <w:rPr>
          <w:rFonts w:ascii="Calibri" w:hAnsi="Calibri" w:cs="Arial"/>
          <w:sz w:val="18"/>
          <w:szCs w:val="18"/>
        </w:rPr>
        <w:t xml:space="preserve"> </w:t>
      </w:r>
      <w:proofErr w:type="spellStart"/>
      <w:r w:rsidR="001A3B8C" w:rsidRPr="00954987">
        <w:rPr>
          <w:rFonts w:ascii="Calibri" w:eastAsia="Times New Roman" w:hAnsi="Calibri" w:cs="Arial"/>
          <w:color w:val="222222"/>
          <w:sz w:val="18"/>
          <w:szCs w:val="18"/>
          <w:lang w:eastAsia="lt-LT"/>
        </w:rPr>
        <w:t>Courts</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declare</w:t>
      </w:r>
      <w:proofErr w:type="spellEnd"/>
      <w:r w:rsidR="001A3B8C" w:rsidRPr="00954987">
        <w:rPr>
          <w:rFonts w:ascii="Calibri" w:eastAsia="Times New Roman" w:hAnsi="Calibri" w:cs="Arial"/>
          <w:color w:val="222222"/>
          <w:sz w:val="18"/>
          <w:szCs w:val="18"/>
          <w:lang w:eastAsia="lt-LT"/>
        </w:rPr>
        <w:t xml:space="preserve"> a </w:t>
      </w:r>
      <w:proofErr w:type="spellStart"/>
      <w:r w:rsidR="001A3B8C" w:rsidRPr="00954987">
        <w:rPr>
          <w:rFonts w:ascii="Calibri" w:eastAsia="Times New Roman" w:hAnsi="Calibri" w:cs="Arial"/>
          <w:color w:val="222222"/>
          <w:sz w:val="18"/>
          <w:szCs w:val="18"/>
          <w:lang w:eastAsia="lt-LT"/>
        </w:rPr>
        <w:t>transaction</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void</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and</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apply</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restitution</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under</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i/>
          <w:color w:val="222222"/>
          <w:sz w:val="18"/>
          <w:szCs w:val="18"/>
          <w:lang w:eastAsia="lt-LT"/>
        </w:rPr>
        <w:t>actio</w:t>
      </w:r>
      <w:proofErr w:type="spellEnd"/>
      <w:r w:rsidR="001A3B8C" w:rsidRPr="00954987">
        <w:rPr>
          <w:rFonts w:ascii="Calibri" w:eastAsia="Times New Roman" w:hAnsi="Calibri" w:cs="Arial"/>
          <w:i/>
          <w:color w:val="222222"/>
          <w:sz w:val="18"/>
          <w:szCs w:val="18"/>
          <w:lang w:eastAsia="lt-LT"/>
        </w:rPr>
        <w:t xml:space="preserve"> </w:t>
      </w:r>
      <w:proofErr w:type="spellStart"/>
      <w:r w:rsidR="001A3B8C" w:rsidRPr="00954987">
        <w:rPr>
          <w:rFonts w:ascii="Calibri" w:eastAsia="Times New Roman" w:hAnsi="Calibri" w:cs="Arial"/>
          <w:i/>
          <w:color w:val="222222"/>
          <w:sz w:val="18"/>
          <w:szCs w:val="18"/>
          <w:lang w:eastAsia="lt-LT"/>
        </w:rPr>
        <w:t>p</w:t>
      </w:r>
      <w:r w:rsidRPr="00954987">
        <w:rPr>
          <w:rFonts w:ascii="Calibri" w:eastAsia="Times New Roman" w:hAnsi="Calibri" w:cs="Arial"/>
          <w:i/>
          <w:color w:val="222222"/>
          <w:sz w:val="18"/>
          <w:szCs w:val="18"/>
          <w:lang w:eastAsia="lt-LT"/>
        </w:rPr>
        <w:t>auliana</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rules</w:t>
      </w:r>
      <w:proofErr w:type="spellEnd"/>
      <w:r w:rsidRPr="00954987">
        <w:rPr>
          <w:rFonts w:ascii="Calibri" w:eastAsia="Times New Roman" w:hAnsi="Calibri" w:cs="Arial"/>
          <w:color w:val="222222"/>
          <w:sz w:val="18"/>
          <w:szCs w:val="18"/>
          <w:lang w:eastAsia="lt-LT"/>
        </w:rPr>
        <w:t xml:space="preserve"> </w:t>
      </w:r>
      <w:proofErr w:type="spellStart"/>
      <w:r w:rsidR="00C73E2E" w:rsidRPr="00954987">
        <w:rPr>
          <w:rFonts w:ascii="Calibri" w:eastAsia="Times New Roman" w:hAnsi="Calibri" w:cs="Arial"/>
          <w:color w:val="222222"/>
          <w:sz w:val="18"/>
          <w:szCs w:val="18"/>
          <w:lang w:eastAsia="lt-LT"/>
        </w:rPr>
        <w:t>if</w:t>
      </w:r>
      <w:proofErr w:type="spellEnd"/>
      <w:r w:rsidR="00C73E2E"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these</w:t>
      </w:r>
      <w:proofErr w:type="spellEnd"/>
      <w:r w:rsidR="001A3B8C"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conditions</w:t>
      </w:r>
      <w:proofErr w:type="spellEnd"/>
      <w:r w:rsidRPr="00954987">
        <w:rPr>
          <w:rFonts w:ascii="Calibri" w:eastAsia="Times New Roman" w:hAnsi="Calibri" w:cs="Arial"/>
          <w:color w:val="222222"/>
          <w:sz w:val="18"/>
          <w:szCs w:val="18"/>
          <w:lang w:eastAsia="lt-LT"/>
        </w:rPr>
        <w:t xml:space="preserve"> are </w:t>
      </w:r>
      <w:proofErr w:type="spellStart"/>
      <w:r w:rsidRPr="00954987">
        <w:rPr>
          <w:rFonts w:ascii="Calibri" w:eastAsia="Times New Roman" w:hAnsi="Calibri" w:cs="Arial"/>
          <w:color w:val="222222"/>
          <w:sz w:val="18"/>
          <w:szCs w:val="18"/>
          <w:lang w:eastAsia="lt-LT"/>
        </w:rPr>
        <w:t>met</w:t>
      </w:r>
      <w:proofErr w:type="spellEnd"/>
      <w:r w:rsidRPr="00954987">
        <w:rPr>
          <w:rFonts w:ascii="Calibri" w:eastAsia="Times New Roman" w:hAnsi="Calibri" w:cs="Arial"/>
          <w:color w:val="222222"/>
          <w:sz w:val="18"/>
          <w:szCs w:val="18"/>
          <w:lang w:eastAsia="lt-LT"/>
        </w:rPr>
        <w:t xml:space="preserve">: (1) </w:t>
      </w:r>
      <w:proofErr w:type="spellStart"/>
      <w:r w:rsidR="00C73E2E" w:rsidRPr="00954987">
        <w:rPr>
          <w:rFonts w:ascii="Calibri" w:eastAsia="Times New Roman" w:hAnsi="Calibri" w:cs="Arial"/>
          <w:color w:val="222222"/>
          <w:sz w:val="18"/>
          <w:szCs w:val="18"/>
          <w:lang w:eastAsia="lt-LT"/>
        </w:rPr>
        <w:t>the</w:t>
      </w:r>
      <w:proofErr w:type="spellEnd"/>
      <w:r w:rsidR="00C73E2E"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creditor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has</w:t>
      </w:r>
      <w:proofErr w:type="spellEnd"/>
      <w:r w:rsidRPr="00954987">
        <w:rPr>
          <w:rFonts w:ascii="Calibri" w:eastAsia="Times New Roman" w:hAnsi="Calibri" w:cs="Arial"/>
          <w:color w:val="222222"/>
          <w:sz w:val="18"/>
          <w:szCs w:val="18"/>
          <w:lang w:eastAsia="lt-LT"/>
        </w:rPr>
        <w:t xml:space="preserve"> a </w:t>
      </w:r>
      <w:proofErr w:type="spellStart"/>
      <w:r w:rsidRPr="00954987">
        <w:rPr>
          <w:rFonts w:ascii="Calibri" w:eastAsia="Times New Roman" w:hAnsi="Calibri" w:cs="Arial"/>
          <w:color w:val="222222"/>
          <w:sz w:val="18"/>
          <w:szCs w:val="18"/>
          <w:lang w:eastAsia="lt-LT"/>
        </w:rPr>
        <w:t>clear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and</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unambiguos</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claim</w:t>
      </w:r>
      <w:proofErr w:type="spellEnd"/>
      <w:r w:rsidR="001A3B8C"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agai</w:t>
      </w:r>
      <w:r w:rsidRPr="00954987">
        <w:rPr>
          <w:rFonts w:ascii="Calibri" w:eastAsia="Times New Roman" w:hAnsi="Calibri" w:cs="Arial"/>
          <w:color w:val="222222"/>
          <w:sz w:val="18"/>
          <w:szCs w:val="18"/>
          <w:lang w:eastAsia="lt-LT"/>
        </w:rPr>
        <w:t>n</w:t>
      </w:r>
      <w:r w:rsidR="001A3B8C" w:rsidRPr="00954987">
        <w:rPr>
          <w:rFonts w:ascii="Calibri" w:eastAsia="Times New Roman" w:hAnsi="Calibri" w:cs="Arial"/>
          <w:color w:val="222222"/>
          <w:sz w:val="18"/>
          <w:szCs w:val="18"/>
          <w:lang w:eastAsia="lt-LT"/>
        </w:rPr>
        <w:t>s</w:t>
      </w:r>
      <w:r w:rsidRPr="00954987">
        <w:rPr>
          <w:rFonts w:ascii="Calibri" w:eastAsia="Times New Roman" w:hAnsi="Calibri" w:cs="Arial"/>
          <w:color w:val="222222"/>
          <w:sz w:val="18"/>
          <w:szCs w:val="18"/>
          <w:lang w:eastAsia="lt-LT"/>
        </w:rPr>
        <w:t>t</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debtor</w:t>
      </w:r>
      <w:proofErr w:type="spellEnd"/>
      <w:r w:rsidRPr="00954987">
        <w:rPr>
          <w:rFonts w:ascii="Calibri" w:eastAsia="Times New Roman" w:hAnsi="Calibri" w:cs="Arial"/>
          <w:color w:val="222222"/>
          <w:sz w:val="18"/>
          <w:szCs w:val="18"/>
          <w:lang w:eastAsia="lt-LT"/>
        </w:rPr>
        <w:t xml:space="preserve">, (2)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transaction</w:t>
      </w:r>
      <w:proofErr w:type="spellEnd"/>
      <w:r w:rsidRPr="00954987">
        <w:rPr>
          <w:rFonts w:ascii="Calibri" w:eastAsia="Times New Roman" w:hAnsi="Calibri" w:cs="Arial"/>
          <w:color w:val="222222"/>
          <w:sz w:val="18"/>
          <w:szCs w:val="18"/>
          <w:lang w:eastAsia="lt-LT"/>
        </w:rPr>
        <w:t xml:space="preserve"> at </w:t>
      </w:r>
      <w:proofErr w:type="spellStart"/>
      <w:r w:rsidRPr="00954987">
        <w:rPr>
          <w:rFonts w:ascii="Calibri" w:eastAsia="Times New Roman" w:hAnsi="Calibri" w:cs="Arial"/>
          <w:color w:val="222222"/>
          <w:sz w:val="18"/>
          <w:szCs w:val="18"/>
          <w:lang w:eastAsia="lt-LT"/>
        </w:rPr>
        <w:t>hand</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violates</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rights</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of</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other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creditors</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of</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debtor</w:t>
      </w:r>
      <w:proofErr w:type="spellEnd"/>
      <w:r w:rsidRPr="00954987">
        <w:rPr>
          <w:rFonts w:ascii="Calibri" w:eastAsia="Times New Roman" w:hAnsi="Calibri" w:cs="Arial"/>
          <w:color w:val="222222"/>
          <w:sz w:val="18"/>
          <w:szCs w:val="18"/>
          <w:lang w:eastAsia="lt-LT"/>
        </w:rPr>
        <w:t xml:space="preserve">, (3)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debtor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did</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not</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have</w:t>
      </w:r>
      <w:proofErr w:type="spellEnd"/>
      <w:r w:rsidRPr="00954987">
        <w:rPr>
          <w:rFonts w:ascii="Calibri" w:eastAsia="Times New Roman" w:hAnsi="Calibri" w:cs="Arial"/>
          <w:color w:val="222222"/>
          <w:sz w:val="18"/>
          <w:szCs w:val="18"/>
          <w:lang w:eastAsia="lt-LT"/>
        </w:rPr>
        <w:t xml:space="preserve"> a </w:t>
      </w:r>
      <w:proofErr w:type="spellStart"/>
      <w:r w:rsidRPr="00954987">
        <w:rPr>
          <w:rFonts w:ascii="Calibri" w:eastAsia="Times New Roman" w:hAnsi="Calibri" w:cs="Arial"/>
          <w:color w:val="222222"/>
          <w:sz w:val="18"/>
          <w:szCs w:val="18"/>
          <w:lang w:eastAsia="lt-LT"/>
        </w:rPr>
        <w:t>duty</w:t>
      </w:r>
      <w:proofErr w:type="spellEnd"/>
      <w:r w:rsidRPr="00954987">
        <w:rPr>
          <w:rFonts w:ascii="Calibri" w:eastAsia="Times New Roman" w:hAnsi="Calibri" w:cs="Arial"/>
          <w:color w:val="222222"/>
          <w:sz w:val="18"/>
          <w:szCs w:val="18"/>
          <w:lang w:eastAsia="lt-LT"/>
        </w:rPr>
        <w:t xml:space="preserve"> to </w:t>
      </w:r>
      <w:proofErr w:type="spellStart"/>
      <w:r w:rsidRPr="00954987">
        <w:rPr>
          <w:rFonts w:ascii="Calibri" w:eastAsia="Times New Roman" w:hAnsi="Calibri" w:cs="Arial"/>
          <w:color w:val="222222"/>
          <w:sz w:val="18"/>
          <w:szCs w:val="18"/>
          <w:lang w:eastAsia="lt-LT"/>
        </w:rPr>
        <w:t>enter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into</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transaction</w:t>
      </w:r>
      <w:proofErr w:type="spellEnd"/>
      <w:r w:rsidRPr="00954987">
        <w:rPr>
          <w:rFonts w:ascii="Calibri" w:eastAsia="Times New Roman" w:hAnsi="Calibri" w:cs="Arial"/>
          <w:color w:val="222222"/>
          <w:sz w:val="18"/>
          <w:szCs w:val="18"/>
          <w:lang w:eastAsia="lt-LT"/>
        </w:rPr>
        <w:t xml:space="preserve">, (4)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debtor</w:t>
      </w:r>
      <w:proofErr w:type="spellEnd"/>
      <w:r w:rsidRPr="00954987">
        <w:rPr>
          <w:rFonts w:ascii="Calibri" w:eastAsia="Times New Roman" w:hAnsi="Calibri" w:cs="Arial"/>
          <w:color w:val="222222"/>
          <w:sz w:val="18"/>
          <w:szCs w:val="18"/>
          <w:lang w:eastAsia="lt-LT"/>
        </w:rPr>
        <w:t xml:space="preserve"> </w:t>
      </w:r>
      <w:proofErr w:type="spellStart"/>
      <w:r w:rsidR="001A3B8C" w:rsidRPr="00954987">
        <w:rPr>
          <w:rFonts w:ascii="Calibri" w:eastAsia="Times New Roman" w:hAnsi="Calibri" w:cs="Arial"/>
          <w:color w:val="222222"/>
          <w:sz w:val="18"/>
          <w:szCs w:val="18"/>
          <w:lang w:eastAsia="lt-LT"/>
        </w:rPr>
        <w:t>and</w:t>
      </w:r>
      <w:proofErr w:type="spellEnd"/>
      <w:r w:rsidR="001A3B8C"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creditor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were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not</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acting</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in</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good</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faith</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since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they</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knew</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should</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have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known</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that</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transactio</w:t>
      </w:r>
      <w:r w:rsidR="006D003D" w:rsidRPr="00954987">
        <w:rPr>
          <w:rFonts w:ascii="Calibri" w:eastAsia="Times New Roman" w:hAnsi="Calibri" w:cs="Arial"/>
          <w:color w:val="222222"/>
          <w:sz w:val="18"/>
          <w:szCs w:val="18"/>
          <w:lang w:eastAsia="lt-LT"/>
        </w:rPr>
        <w:t>n</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will</w:t>
      </w:r>
      <w:proofErr w:type="spellEnd"/>
      <w:r w:rsidRPr="00954987">
        <w:rPr>
          <w:rFonts w:ascii="Calibri" w:eastAsia="Times New Roman" w:hAnsi="Calibri" w:cs="Arial"/>
          <w:color w:val="222222"/>
          <w:sz w:val="18"/>
          <w:szCs w:val="18"/>
          <w:lang w:eastAsia="lt-LT"/>
        </w:rPr>
        <w:t xml:space="preserve"> be to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detriment</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of</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the</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rights</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of</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other</w:t>
      </w:r>
      <w:proofErr w:type="spellEnd"/>
      <w:r w:rsidRPr="00954987">
        <w:rPr>
          <w:rFonts w:ascii="Calibri" w:eastAsia="Times New Roman" w:hAnsi="Calibri" w:cs="Arial"/>
          <w:color w:val="222222"/>
          <w:sz w:val="18"/>
          <w:szCs w:val="18"/>
          <w:lang w:eastAsia="lt-LT"/>
        </w:rPr>
        <w:t xml:space="preserve"> </w:t>
      </w:r>
      <w:proofErr w:type="spellStart"/>
      <w:r w:rsidRPr="00954987">
        <w:rPr>
          <w:rFonts w:ascii="Calibri" w:eastAsia="Times New Roman" w:hAnsi="Calibri" w:cs="Arial"/>
          <w:color w:val="222222"/>
          <w:sz w:val="18"/>
          <w:szCs w:val="18"/>
          <w:lang w:eastAsia="lt-LT"/>
        </w:rPr>
        <w:t>creditors</w:t>
      </w:r>
      <w:proofErr w:type="spellEnd"/>
      <w:r w:rsidRPr="00954987">
        <w:rPr>
          <w:rFonts w:ascii="Calibri" w:eastAsia="Times New Roman" w:hAnsi="Calibri" w:cs="Arial"/>
          <w:color w:val="222222"/>
          <w:sz w:val="18"/>
          <w:szCs w:val="18"/>
          <w:lang w:eastAsia="lt-LT"/>
        </w:rPr>
        <w:t xml:space="preserve">. </w:t>
      </w:r>
    </w:p>
  </w:footnote>
  <w:footnote w:id="2">
    <w:p w14:paraId="0B5BB310" w14:textId="77777777" w:rsidR="004745CD" w:rsidRPr="00954987" w:rsidRDefault="004745CD">
      <w:pPr>
        <w:pStyle w:val="FootnoteText"/>
        <w:rPr>
          <w:rFonts w:ascii="Calibri" w:hAnsi="Calibri" w:cs="Arial"/>
          <w:sz w:val="18"/>
          <w:szCs w:val="18"/>
        </w:rPr>
      </w:pPr>
      <w:r w:rsidRPr="00954987">
        <w:rPr>
          <w:rStyle w:val="FootnoteReference"/>
          <w:rFonts w:ascii="Calibri" w:hAnsi="Calibri" w:cs="Arial"/>
          <w:sz w:val="18"/>
          <w:szCs w:val="18"/>
        </w:rPr>
        <w:footnoteRef/>
      </w:r>
      <w:r w:rsidRPr="00954987">
        <w:rPr>
          <w:rFonts w:ascii="Calibri" w:hAnsi="Calibri" w:cs="Arial"/>
          <w:sz w:val="18"/>
          <w:szCs w:val="18"/>
        </w:rPr>
        <w:t xml:space="preserve"> </w:t>
      </w:r>
      <w:proofErr w:type="spellStart"/>
      <w:r w:rsidRPr="00954987">
        <w:rPr>
          <w:rFonts w:ascii="Calibri" w:hAnsi="Calibri" w:cs="Arial"/>
          <w:sz w:val="18"/>
          <w:szCs w:val="18"/>
        </w:rPr>
        <w:t>Decision</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of</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the</w:t>
      </w:r>
      <w:proofErr w:type="spellEnd"/>
      <w:r w:rsidRPr="00954987">
        <w:rPr>
          <w:rFonts w:ascii="Calibri" w:hAnsi="Calibri" w:cs="Arial"/>
          <w:sz w:val="18"/>
          <w:szCs w:val="18"/>
        </w:rPr>
        <w:t xml:space="preserve"> Lithuanian </w:t>
      </w:r>
      <w:proofErr w:type="spellStart"/>
      <w:r w:rsidRPr="00954987">
        <w:rPr>
          <w:rFonts w:ascii="Calibri" w:hAnsi="Calibri" w:cs="Arial"/>
          <w:sz w:val="18"/>
          <w:szCs w:val="18"/>
        </w:rPr>
        <w:t>Supreme</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Court</w:t>
      </w:r>
      <w:proofErr w:type="spellEnd"/>
      <w:r w:rsidR="006D003D" w:rsidRPr="00954987">
        <w:rPr>
          <w:rFonts w:ascii="Calibri" w:hAnsi="Calibri" w:cs="Arial"/>
          <w:sz w:val="18"/>
          <w:szCs w:val="18"/>
        </w:rPr>
        <w:t xml:space="preserve"> (LAT)</w:t>
      </w:r>
      <w:r w:rsidRPr="00954987">
        <w:rPr>
          <w:rFonts w:ascii="Calibri" w:hAnsi="Calibri" w:cs="Arial"/>
          <w:sz w:val="18"/>
          <w:szCs w:val="18"/>
        </w:rPr>
        <w:t xml:space="preserve"> </w:t>
      </w:r>
      <w:proofErr w:type="spellStart"/>
      <w:r w:rsidRPr="00954987">
        <w:rPr>
          <w:rFonts w:ascii="Calibri" w:hAnsi="Calibri" w:cs="Arial"/>
          <w:sz w:val="18"/>
          <w:szCs w:val="18"/>
        </w:rPr>
        <w:t>of</w:t>
      </w:r>
      <w:proofErr w:type="spellEnd"/>
      <w:r w:rsidRPr="00954987">
        <w:rPr>
          <w:rFonts w:ascii="Calibri" w:hAnsi="Calibri" w:cs="Arial"/>
          <w:sz w:val="18"/>
          <w:szCs w:val="18"/>
        </w:rPr>
        <w:t xml:space="preserve"> 2 </w:t>
      </w:r>
      <w:proofErr w:type="spellStart"/>
      <w:r w:rsidRPr="00954987">
        <w:rPr>
          <w:rFonts w:ascii="Calibri" w:hAnsi="Calibri" w:cs="Arial"/>
          <w:sz w:val="18"/>
          <w:szCs w:val="18"/>
        </w:rPr>
        <w:t>October</w:t>
      </w:r>
      <w:proofErr w:type="spellEnd"/>
      <w:r w:rsidRPr="00954987">
        <w:rPr>
          <w:rFonts w:ascii="Calibri" w:hAnsi="Calibri" w:cs="Arial"/>
          <w:sz w:val="18"/>
          <w:szCs w:val="18"/>
        </w:rPr>
        <w:t xml:space="preserve"> 2013, </w:t>
      </w:r>
      <w:proofErr w:type="spellStart"/>
      <w:r w:rsidRPr="00954987">
        <w:rPr>
          <w:rFonts w:ascii="Calibri" w:hAnsi="Calibri" w:cs="Arial"/>
          <w:sz w:val="18"/>
          <w:szCs w:val="18"/>
        </w:rPr>
        <w:t>civil</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case</w:t>
      </w:r>
      <w:proofErr w:type="spellEnd"/>
      <w:r w:rsidRPr="00954987">
        <w:rPr>
          <w:rFonts w:ascii="Calibri" w:hAnsi="Calibri" w:cs="Arial"/>
          <w:sz w:val="18"/>
          <w:szCs w:val="18"/>
        </w:rPr>
        <w:t xml:space="preserve"> 3K-3-463/2013. Lithuanian </w:t>
      </w:r>
      <w:proofErr w:type="spellStart"/>
      <w:r w:rsidRPr="00954987">
        <w:rPr>
          <w:rFonts w:ascii="Calibri" w:hAnsi="Calibri" w:cs="Arial"/>
          <w:sz w:val="18"/>
          <w:szCs w:val="18"/>
        </w:rPr>
        <w:t>Appeal</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Court</w:t>
      </w:r>
      <w:proofErr w:type="spellEnd"/>
      <w:r w:rsidRPr="00954987">
        <w:rPr>
          <w:rFonts w:ascii="Calibri" w:hAnsi="Calibri" w:cs="Arial"/>
          <w:sz w:val="18"/>
          <w:szCs w:val="18"/>
        </w:rPr>
        <w:t xml:space="preserve"> </w:t>
      </w:r>
      <w:r w:rsidR="006D003D" w:rsidRPr="00954987">
        <w:rPr>
          <w:rFonts w:ascii="Calibri" w:hAnsi="Calibri" w:cs="Arial"/>
          <w:sz w:val="18"/>
          <w:szCs w:val="18"/>
        </w:rPr>
        <w:t>(</w:t>
      </w:r>
      <w:proofErr w:type="spellStart"/>
      <w:r w:rsidR="006D003D" w:rsidRPr="00954987">
        <w:rPr>
          <w:rFonts w:ascii="Calibri" w:hAnsi="Calibri" w:cs="Arial"/>
          <w:sz w:val="18"/>
          <w:szCs w:val="18"/>
        </w:rPr>
        <w:t>LApT</w:t>
      </w:r>
      <w:proofErr w:type="spellEnd"/>
      <w:r w:rsidR="006D003D" w:rsidRPr="00954987">
        <w:rPr>
          <w:rFonts w:ascii="Calibri" w:hAnsi="Calibri" w:cs="Arial"/>
          <w:sz w:val="18"/>
          <w:szCs w:val="18"/>
        </w:rPr>
        <w:t xml:space="preserve">) </w:t>
      </w:r>
      <w:proofErr w:type="spellStart"/>
      <w:r w:rsidRPr="00954987">
        <w:rPr>
          <w:rFonts w:ascii="Calibri" w:hAnsi="Calibri" w:cs="Arial"/>
          <w:sz w:val="18"/>
          <w:szCs w:val="18"/>
        </w:rPr>
        <w:t>of</w:t>
      </w:r>
      <w:proofErr w:type="spellEnd"/>
      <w:r w:rsidRPr="00954987">
        <w:rPr>
          <w:rFonts w:ascii="Calibri" w:hAnsi="Calibri" w:cs="Arial"/>
          <w:sz w:val="18"/>
          <w:szCs w:val="18"/>
        </w:rPr>
        <w:t xml:space="preserve"> 2016 </w:t>
      </w:r>
      <w:proofErr w:type="spellStart"/>
      <w:r w:rsidRPr="00954987">
        <w:rPr>
          <w:rFonts w:ascii="Calibri" w:hAnsi="Calibri" w:cs="Arial"/>
          <w:sz w:val="18"/>
          <w:szCs w:val="18"/>
        </w:rPr>
        <w:t>October</w:t>
      </w:r>
      <w:proofErr w:type="spellEnd"/>
      <w:r w:rsidRPr="00954987">
        <w:rPr>
          <w:rFonts w:ascii="Calibri" w:hAnsi="Calibri" w:cs="Arial"/>
          <w:sz w:val="18"/>
          <w:szCs w:val="18"/>
        </w:rPr>
        <w:t xml:space="preserve"> 13, </w:t>
      </w:r>
      <w:proofErr w:type="spellStart"/>
      <w:r w:rsidRPr="00954987">
        <w:rPr>
          <w:rFonts w:ascii="Calibri" w:hAnsi="Calibri" w:cs="Arial"/>
          <w:sz w:val="18"/>
          <w:szCs w:val="18"/>
        </w:rPr>
        <w:t>civil</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case</w:t>
      </w:r>
      <w:proofErr w:type="spellEnd"/>
      <w:r w:rsidRPr="00954987">
        <w:rPr>
          <w:rFonts w:ascii="Calibri" w:hAnsi="Calibri" w:cs="Arial"/>
          <w:sz w:val="18"/>
          <w:szCs w:val="18"/>
        </w:rPr>
        <w:t> e2A-813-464/2016.</w:t>
      </w:r>
    </w:p>
  </w:footnote>
  <w:footnote w:id="3">
    <w:p w14:paraId="57F1260E" w14:textId="77777777" w:rsidR="00C469BF" w:rsidRPr="00954987" w:rsidRDefault="00C469BF" w:rsidP="00C469BF">
      <w:pPr>
        <w:pStyle w:val="FootnoteText"/>
        <w:jc w:val="both"/>
        <w:rPr>
          <w:rFonts w:ascii="Calibri" w:hAnsi="Calibri" w:cs="Arial"/>
          <w:sz w:val="18"/>
          <w:szCs w:val="18"/>
        </w:rPr>
      </w:pPr>
      <w:r w:rsidRPr="00954987">
        <w:rPr>
          <w:rStyle w:val="FootnoteReference"/>
          <w:rFonts w:ascii="Calibri" w:hAnsi="Calibri" w:cs="Arial"/>
          <w:sz w:val="18"/>
          <w:szCs w:val="18"/>
        </w:rPr>
        <w:footnoteRef/>
      </w:r>
      <w:r w:rsidRPr="00954987">
        <w:rPr>
          <w:rFonts w:ascii="Calibri" w:hAnsi="Calibri" w:cs="Arial"/>
          <w:sz w:val="18"/>
          <w:szCs w:val="18"/>
        </w:rPr>
        <w:t xml:space="preserve"> </w:t>
      </w:r>
      <w:proofErr w:type="spellStart"/>
      <w:r w:rsidR="006D003D" w:rsidRPr="00954987">
        <w:rPr>
          <w:rFonts w:ascii="Calibri" w:hAnsi="Calibri" w:cs="Arial"/>
          <w:sz w:val="18"/>
          <w:szCs w:val="18"/>
        </w:rPr>
        <w:t>LApT</w:t>
      </w:r>
      <w:proofErr w:type="spellEnd"/>
      <w:r w:rsidRPr="00954987">
        <w:rPr>
          <w:rFonts w:ascii="Calibri" w:hAnsi="Calibri" w:cs="Arial"/>
          <w:sz w:val="18"/>
          <w:szCs w:val="18"/>
        </w:rPr>
        <w:t xml:space="preserve">, </w:t>
      </w:r>
      <w:proofErr w:type="spellStart"/>
      <w:r w:rsidR="006D003D" w:rsidRPr="00954987">
        <w:rPr>
          <w:rFonts w:ascii="Calibri" w:hAnsi="Calibri" w:cs="Arial"/>
          <w:i/>
          <w:sz w:val="18"/>
          <w:szCs w:val="18"/>
        </w:rPr>
        <w:t>ibid</w:t>
      </w:r>
      <w:proofErr w:type="spellEnd"/>
      <w:r w:rsidR="006D003D" w:rsidRPr="00954987">
        <w:rPr>
          <w:rFonts w:ascii="Calibri" w:hAnsi="Calibri" w:cs="Arial"/>
          <w:i/>
          <w:sz w:val="18"/>
          <w:szCs w:val="18"/>
        </w:rPr>
        <w:t>.</w:t>
      </w:r>
      <w:r w:rsidRPr="00954987">
        <w:rPr>
          <w:rFonts w:ascii="Calibri" w:hAnsi="Calibri" w:cs="Arial"/>
          <w:sz w:val="18"/>
          <w:szCs w:val="18"/>
        </w:rPr>
        <w:t xml:space="preserve">; </w:t>
      </w:r>
      <w:r w:rsidR="006D003D" w:rsidRPr="00954987">
        <w:rPr>
          <w:rFonts w:ascii="Calibri" w:hAnsi="Calibri" w:cs="Arial"/>
          <w:sz w:val="18"/>
          <w:szCs w:val="18"/>
        </w:rPr>
        <w:t>LAT</w:t>
      </w:r>
      <w:r w:rsidRPr="00954987">
        <w:rPr>
          <w:rFonts w:ascii="Calibri" w:hAnsi="Calibri" w:cs="Arial"/>
          <w:sz w:val="18"/>
          <w:szCs w:val="18"/>
        </w:rPr>
        <w:t xml:space="preserve">, </w:t>
      </w:r>
      <w:proofErr w:type="spellStart"/>
      <w:r w:rsidR="006D003D" w:rsidRPr="00954987">
        <w:rPr>
          <w:rFonts w:ascii="Calibri" w:hAnsi="Calibri" w:cs="Arial"/>
          <w:i/>
          <w:sz w:val="18"/>
          <w:szCs w:val="18"/>
        </w:rPr>
        <w:t>ibid</w:t>
      </w:r>
      <w:proofErr w:type="spellEnd"/>
      <w:r w:rsidR="006D003D" w:rsidRPr="00954987">
        <w:rPr>
          <w:rFonts w:ascii="Calibri" w:hAnsi="Calibri" w:cs="Arial"/>
          <w:i/>
          <w:sz w:val="18"/>
          <w:szCs w:val="18"/>
        </w:rPr>
        <w:t>.</w:t>
      </w:r>
      <w:r w:rsidR="006D003D" w:rsidRPr="00954987">
        <w:rPr>
          <w:rFonts w:ascii="Calibri" w:hAnsi="Calibri" w:cs="Arial"/>
          <w:sz w:val="18"/>
          <w:szCs w:val="18"/>
        </w:rPr>
        <w:t xml:space="preserve"> </w:t>
      </w:r>
    </w:p>
  </w:footnote>
  <w:footnote w:id="4">
    <w:p w14:paraId="594DDE98" w14:textId="77777777" w:rsidR="00C469BF" w:rsidRPr="00954987" w:rsidRDefault="00C469BF" w:rsidP="00C469BF">
      <w:pPr>
        <w:pStyle w:val="FootnoteText"/>
        <w:jc w:val="both"/>
        <w:rPr>
          <w:rFonts w:ascii="Calibri" w:hAnsi="Calibri" w:cs="Arial"/>
          <w:sz w:val="18"/>
          <w:szCs w:val="18"/>
        </w:rPr>
      </w:pPr>
      <w:r w:rsidRPr="00954987">
        <w:rPr>
          <w:rStyle w:val="FootnoteReference"/>
          <w:rFonts w:ascii="Calibri" w:hAnsi="Calibri" w:cs="Arial"/>
          <w:sz w:val="18"/>
          <w:szCs w:val="18"/>
        </w:rPr>
        <w:footnoteRef/>
      </w:r>
      <w:r w:rsidRPr="00954987">
        <w:rPr>
          <w:rFonts w:ascii="Calibri" w:hAnsi="Calibri" w:cs="Arial"/>
          <w:sz w:val="18"/>
          <w:szCs w:val="18"/>
        </w:rPr>
        <w:t xml:space="preserve"> </w:t>
      </w:r>
      <w:proofErr w:type="spellStart"/>
      <w:r w:rsidR="006D003D" w:rsidRPr="00954987">
        <w:rPr>
          <w:rFonts w:ascii="Calibri" w:hAnsi="Calibri" w:cs="Arial"/>
          <w:sz w:val="18"/>
          <w:szCs w:val="18"/>
        </w:rPr>
        <w:t>LApT</w:t>
      </w:r>
      <w:proofErr w:type="spellEnd"/>
      <w:r w:rsidRPr="00954987">
        <w:rPr>
          <w:rFonts w:ascii="Calibri" w:hAnsi="Calibri" w:cs="Arial"/>
          <w:sz w:val="18"/>
          <w:szCs w:val="18"/>
        </w:rPr>
        <w:t xml:space="preserve">; </w:t>
      </w:r>
      <w:proofErr w:type="spellStart"/>
      <w:r w:rsidR="006D003D" w:rsidRPr="00954987">
        <w:rPr>
          <w:rFonts w:ascii="Calibri" w:hAnsi="Calibri" w:cs="Arial"/>
          <w:sz w:val="18"/>
          <w:szCs w:val="18"/>
        </w:rPr>
        <w:t>LApT</w:t>
      </w:r>
      <w:proofErr w:type="spellEnd"/>
      <w:r w:rsidR="006D003D" w:rsidRPr="00954987">
        <w:rPr>
          <w:rFonts w:ascii="Calibri" w:hAnsi="Calibri" w:cs="Arial"/>
          <w:sz w:val="18"/>
          <w:szCs w:val="18"/>
        </w:rPr>
        <w:t xml:space="preserve">, </w:t>
      </w:r>
      <w:proofErr w:type="spellStart"/>
      <w:r w:rsidR="006D003D" w:rsidRPr="00954987">
        <w:rPr>
          <w:rFonts w:ascii="Calibri" w:hAnsi="Calibri" w:cs="Arial"/>
          <w:sz w:val="18"/>
          <w:szCs w:val="18"/>
        </w:rPr>
        <w:t>decision</w:t>
      </w:r>
      <w:proofErr w:type="spellEnd"/>
      <w:r w:rsidR="006D003D" w:rsidRPr="00954987">
        <w:rPr>
          <w:rFonts w:ascii="Calibri" w:hAnsi="Calibri" w:cs="Arial"/>
          <w:sz w:val="18"/>
          <w:szCs w:val="18"/>
        </w:rPr>
        <w:t xml:space="preserve"> </w:t>
      </w:r>
      <w:proofErr w:type="spellStart"/>
      <w:r w:rsidR="006D003D" w:rsidRPr="00954987">
        <w:rPr>
          <w:rFonts w:ascii="Calibri" w:hAnsi="Calibri" w:cs="Arial"/>
          <w:sz w:val="18"/>
          <w:szCs w:val="18"/>
        </w:rPr>
        <w:t>of</w:t>
      </w:r>
      <w:proofErr w:type="spellEnd"/>
      <w:r w:rsidR="006D003D" w:rsidRPr="00954987">
        <w:rPr>
          <w:rFonts w:ascii="Calibri" w:hAnsi="Calibri" w:cs="Arial"/>
          <w:sz w:val="18"/>
          <w:szCs w:val="18"/>
        </w:rPr>
        <w:t xml:space="preserve"> </w:t>
      </w:r>
      <w:r w:rsidRPr="00954987">
        <w:rPr>
          <w:rFonts w:ascii="Calibri" w:hAnsi="Calibri" w:cs="Arial"/>
          <w:sz w:val="18"/>
          <w:szCs w:val="18"/>
        </w:rPr>
        <w:t xml:space="preserve">11 </w:t>
      </w:r>
      <w:proofErr w:type="spellStart"/>
      <w:r w:rsidRPr="00954987">
        <w:rPr>
          <w:rFonts w:ascii="Calibri" w:hAnsi="Calibri" w:cs="Arial"/>
          <w:sz w:val="18"/>
          <w:szCs w:val="18"/>
        </w:rPr>
        <w:t>May</w:t>
      </w:r>
      <w:proofErr w:type="spellEnd"/>
      <w:r w:rsidRPr="00954987">
        <w:rPr>
          <w:rFonts w:ascii="Calibri" w:hAnsi="Calibri" w:cs="Arial"/>
          <w:sz w:val="18"/>
          <w:szCs w:val="18"/>
        </w:rPr>
        <w:t xml:space="preserve"> 2017, </w:t>
      </w:r>
      <w:proofErr w:type="spellStart"/>
      <w:r w:rsidRPr="00954987">
        <w:rPr>
          <w:rFonts w:ascii="Calibri" w:hAnsi="Calibri" w:cs="Arial"/>
          <w:sz w:val="18"/>
          <w:szCs w:val="18"/>
        </w:rPr>
        <w:t>civil</w:t>
      </w:r>
      <w:proofErr w:type="spellEnd"/>
      <w:r w:rsidRPr="00954987">
        <w:rPr>
          <w:rFonts w:ascii="Calibri" w:hAnsi="Calibri" w:cs="Arial"/>
          <w:sz w:val="18"/>
          <w:szCs w:val="18"/>
        </w:rPr>
        <w:t xml:space="preserve"> </w:t>
      </w:r>
      <w:proofErr w:type="spellStart"/>
      <w:r w:rsidRPr="00954987">
        <w:rPr>
          <w:rFonts w:ascii="Calibri" w:hAnsi="Calibri" w:cs="Arial"/>
          <w:sz w:val="18"/>
          <w:szCs w:val="18"/>
        </w:rPr>
        <w:t>case</w:t>
      </w:r>
      <w:proofErr w:type="spellEnd"/>
      <w:r w:rsidRPr="00954987">
        <w:rPr>
          <w:rFonts w:ascii="Calibri" w:hAnsi="Calibri" w:cs="Arial"/>
          <w:sz w:val="18"/>
          <w:szCs w:val="18"/>
        </w:rPr>
        <w:t xml:space="preserve"> e2A-245-178/2017.</w:t>
      </w:r>
    </w:p>
  </w:footnote>
  <w:footnote w:id="5">
    <w:p w14:paraId="1B61628F" w14:textId="77777777" w:rsidR="00BD58B4" w:rsidRPr="00954987" w:rsidRDefault="00BD58B4" w:rsidP="00BD58B4">
      <w:pPr>
        <w:pStyle w:val="FootnoteText"/>
        <w:rPr>
          <w:rFonts w:ascii="Calibri" w:hAnsi="Calibri"/>
          <w:sz w:val="18"/>
          <w:szCs w:val="18"/>
        </w:rPr>
      </w:pPr>
      <w:r w:rsidRPr="00954987">
        <w:rPr>
          <w:rStyle w:val="FootnoteReference"/>
          <w:rFonts w:ascii="Calibri" w:hAnsi="Calibri" w:cs="Arial"/>
          <w:sz w:val="18"/>
          <w:szCs w:val="18"/>
        </w:rPr>
        <w:footnoteRef/>
      </w:r>
      <w:r w:rsidRPr="00954987">
        <w:rPr>
          <w:rFonts w:ascii="Calibri" w:hAnsi="Calibri" w:cs="Arial"/>
          <w:sz w:val="18"/>
          <w:szCs w:val="18"/>
        </w:rPr>
        <w:t xml:space="preserve"> </w:t>
      </w:r>
      <w:proofErr w:type="spellStart"/>
      <w:r w:rsidR="006D003D" w:rsidRPr="00954987">
        <w:rPr>
          <w:rFonts w:ascii="Calibri" w:hAnsi="Calibri" w:cs="Arial"/>
          <w:sz w:val="18"/>
          <w:szCs w:val="18"/>
        </w:rPr>
        <w:t>LApT</w:t>
      </w:r>
      <w:proofErr w:type="spellEnd"/>
      <w:r w:rsidR="006D003D" w:rsidRPr="00954987">
        <w:rPr>
          <w:rFonts w:ascii="Calibri" w:hAnsi="Calibri" w:cs="Arial"/>
          <w:sz w:val="18"/>
          <w:szCs w:val="18"/>
        </w:rPr>
        <w:t xml:space="preserve"> , 13 </w:t>
      </w:r>
      <w:proofErr w:type="spellStart"/>
      <w:r w:rsidR="006D003D" w:rsidRPr="00954987">
        <w:rPr>
          <w:rFonts w:ascii="Calibri" w:hAnsi="Calibri" w:cs="Arial"/>
          <w:sz w:val="18"/>
          <w:szCs w:val="18"/>
        </w:rPr>
        <w:t>October</w:t>
      </w:r>
      <w:proofErr w:type="spellEnd"/>
      <w:r w:rsidR="006D003D" w:rsidRPr="00954987">
        <w:rPr>
          <w:rFonts w:ascii="Calibri" w:hAnsi="Calibri" w:cs="Arial"/>
          <w:sz w:val="18"/>
          <w:szCs w:val="18"/>
        </w:rPr>
        <w:t xml:space="preserve"> </w:t>
      </w:r>
      <w:r w:rsidRPr="00954987">
        <w:rPr>
          <w:rFonts w:ascii="Calibri" w:hAnsi="Calibri" w:cs="Arial"/>
          <w:sz w:val="18"/>
          <w:szCs w:val="18"/>
        </w:rPr>
        <w:t>2016,</w:t>
      </w:r>
      <w:r w:rsidR="006D003D" w:rsidRPr="00954987">
        <w:rPr>
          <w:rFonts w:ascii="Calibri" w:hAnsi="Calibri" w:cs="Arial"/>
          <w:sz w:val="18"/>
          <w:szCs w:val="18"/>
        </w:rPr>
        <w:t xml:space="preserve"> </w:t>
      </w:r>
      <w:proofErr w:type="spellStart"/>
      <w:r w:rsidR="006D003D" w:rsidRPr="00954987">
        <w:rPr>
          <w:rFonts w:ascii="Calibri" w:hAnsi="Calibri" w:cs="Arial"/>
          <w:i/>
          <w:sz w:val="18"/>
          <w:szCs w:val="18"/>
        </w:rPr>
        <w:t>ibid</w:t>
      </w:r>
      <w:proofErr w:type="spellEnd"/>
      <w:r w:rsidRPr="00954987">
        <w:rPr>
          <w:rFonts w:ascii="Calibri" w:hAnsi="Calibri" w:cs="Arial"/>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D09EE"/>
    <w:multiLevelType w:val="hybridMultilevel"/>
    <w:tmpl w:val="15965A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69"/>
    <w:rsid w:val="00033914"/>
    <w:rsid w:val="00045775"/>
    <w:rsid w:val="00047FCE"/>
    <w:rsid w:val="00050940"/>
    <w:rsid w:val="001A1AAF"/>
    <w:rsid w:val="001A3B8C"/>
    <w:rsid w:val="001E66E6"/>
    <w:rsid w:val="002378B9"/>
    <w:rsid w:val="00273AD7"/>
    <w:rsid w:val="0028475C"/>
    <w:rsid w:val="002A3032"/>
    <w:rsid w:val="002F2FAA"/>
    <w:rsid w:val="0031723C"/>
    <w:rsid w:val="00330C51"/>
    <w:rsid w:val="003609EE"/>
    <w:rsid w:val="003D6C23"/>
    <w:rsid w:val="004515B3"/>
    <w:rsid w:val="00466F8B"/>
    <w:rsid w:val="004745CD"/>
    <w:rsid w:val="00477496"/>
    <w:rsid w:val="00496C2C"/>
    <w:rsid w:val="004E4186"/>
    <w:rsid w:val="00501A9B"/>
    <w:rsid w:val="00502124"/>
    <w:rsid w:val="005176C5"/>
    <w:rsid w:val="00535BF6"/>
    <w:rsid w:val="006011D1"/>
    <w:rsid w:val="00601DDD"/>
    <w:rsid w:val="00601F06"/>
    <w:rsid w:val="00626F48"/>
    <w:rsid w:val="006741AF"/>
    <w:rsid w:val="006910A0"/>
    <w:rsid w:val="006D003D"/>
    <w:rsid w:val="00714EF7"/>
    <w:rsid w:val="00716C17"/>
    <w:rsid w:val="00720265"/>
    <w:rsid w:val="007322EF"/>
    <w:rsid w:val="0078216A"/>
    <w:rsid w:val="007C0E02"/>
    <w:rsid w:val="007D32B9"/>
    <w:rsid w:val="007D3DEE"/>
    <w:rsid w:val="007E6776"/>
    <w:rsid w:val="00813610"/>
    <w:rsid w:val="008B22E2"/>
    <w:rsid w:val="008D58E8"/>
    <w:rsid w:val="008E7B5B"/>
    <w:rsid w:val="00904FD6"/>
    <w:rsid w:val="009465D6"/>
    <w:rsid w:val="00947DF7"/>
    <w:rsid w:val="00954987"/>
    <w:rsid w:val="009851F2"/>
    <w:rsid w:val="009A3F48"/>
    <w:rsid w:val="009B003B"/>
    <w:rsid w:val="009F112F"/>
    <w:rsid w:val="00A51181"/>
    <w:rsid w:val="00A645AF"/>
    <w:rsid w:val="00A87A77"/>
    <w:rsid w:val="00B64D2D"/>
    <w:rsid w:val="00B81869"/>
    <w:rsid w:val="00BD58B4"/>
    <w:rsid w:val="00C15B32"/>
    <w:rsid w:val="00C469BF"/>
    <w:rsid w:val="00C5278F"/>
    <w:rsid w:val="00C73E2E"/>
    <w:rsid w:val="00C84D85"/>
    <w:rsid w:val="00CE3892"/>
    <w:rsid w:val="00CF0FB6"/>
    <w:rsid w:val="00D3208D"/>
    <w:rsid w:val="00D518F9"/>
    <w:rsid w:val="00D84383"/>
    <w:rsid w:val="00D95E7D"/>
    <w:rsid w:val="00DD35F6"/>
    <w:rsid w:val="00DE0D19"/>
    <w:rsid w:val="00E43711"/>
    <w:rsid w:val="00E55556"/>
    <w:rsid w:val="00E63D6D"/>
    <w:rsid w:val="00E8469B"/>
    <w:rsid w:val="00F34A98"/>
    <w:rsid w:val="00F46497"/>
    <w:rsid w:val="00F962B4"/>
    <w:rsid w:val="00FC1952"/>
    <w:rsid w:val="00FC4D55"/>
    <w:rsid w:val="00FC5C66"/>
    <w:rsid w:val="00FD4846"/>
    <w:rsid w:val="00FF3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6862"/>
  <w15:chartTrackingRefBased/>
  <w15:docId w15:val="{33B5E785-AEEC-466F-A69C-6A99CA4D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5B32"/>
  </w:style>
  <w:style w:type="character" w:customStyle="1" w:styleId="m1465463411730456327gmail-jargonsmartlink">
    <w:name w:val="m_1465463411730456327gmail-jargonsmartlink"/>
    <w:basedOn w:val="DefaultParagraphFont"/>
    <w:rsid w:val="00C15B32"/>
  </w:style>
  <w:style w:type="paragraph" w:styleId="FootnoteText">
    <w:name w:val="footnote text"/>
    <w:basedOn w:val="Normal"/>
    <w:link w:val="FootnoteTextChar"/>
    <w:uiPriority w:val="99"/>
    <w:semiHidden/>
    <w:unhideWhenUsed/>
    <w:rsid w:val="00A87A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A77"/>
    <w:rPr>
      <w:sz w:val="20"/>
      <w:szCs w:val="20"/>
    </w:rPr>
  </w:style>
  <w:style w:type="character" w:styleId="FootnoteReference">
    <w:name w:val="footnote reference"/>
    <w:basedOn w:val="DefaultParagraphFont"/>
    <w:uiPriority w:val="99"/>
    <w:semiHidden/>
    <w:unhideWhenUsed/>
    <w:rsid w:val="00A87A77"/>
    <w:rPr>
      <w:vertAlign w:val="superscript"/>
    </w:rPr>
  </w:style>
  <w:style w:type="paragraph" w:styleId="ListParagraph">
    <w:name w:val="List Paragraph"/>
    <w:basedOn w:val="Normal"/>
    <w:uiPriority w:val="34"/>
    <w:qFormat/>
    <w:rsid w:val="002F2FAA"/>
    <w:pPr>
      <w:ind w:left="720"/>
      <w:contextualSpacing/>
    </w:pPr>
  </w:style>
  <w:style w:type="paragraph" w:styleId="BalloonText">
    <w:name w:val="Balloon Text"/>
    <w:basedOn w:val="Normal"/>
    <w:link w:val="BalloonTextChar"/>
    <w:uiPriority w:val="99"/>
    <w:semiHidden/>
    <w:unhideWhenUsed/>
    <w:rsid w:val="00F46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753">
      <w:bodyDiv w:val="1"/>
      <w:marLeft w:val="0"/>
      <w:marRight w:val="0"/>
      <w:marTop w:val="0"/>
      <w:marBottom w:val="0"/>
      <w:divBdr>
        <w:top w:val="none" w:sz="0" w:space="0" w:color="auto"/>
        <w:left w:val="none" w:sz="0" w:space="0" w:color="auto"/>
        <w:bottom w:val="none" w:sz="0" w:space="0" w:color="auto"/>
        <w:right w:val="none" w:sz="0" w:space="0" w:color="auto"/>
      </w:divBdr>
    </w:div>
    <w:div w:id="16813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EDDD-3D18-5E40-BBE5-D0E327D5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616</Words>
  <Characters>3516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Gasparke</dc:creator>
  <cp:keywords/>
  <dc:description/>
  <cp:lastModifiedBy>Paul Newson</cp:lastModifiedBy>
  <cp:revision>10</cp:revision>
  <cp:lastPrinted>2017-05-31T12:44:00Z</cp:lastPrinted>
  <dcterms:created xsi:type="dcterms:W3CDTF">2017-06-02T05:45:00Z</dcterms:created>
  <dcterms:modified xsi:type="dcterms:W3CDTF">2017-06-19T09:48:00Z</dcterms:modified>
</cp:coreProperties>
</file>