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9A3C3" w14:textId="77777777" w:rsidR="00540944" w:rsidRDefault="00540944" w:rsidP="00540944">
      <w:pPr>
        <w:jc w:val="center"/>
        <w:rPr>
          <w:b/>
          <w:sz w:val="22"/>
          <w:szCs w:val="22"/>
        </w:rPr>
      </w:pPr>
      <w:r w:rsidRPr="00357374">
        <w:rPr>
          <w:rFonts w:ascii="Verdana" w:eastAsia="Cambria" w:hAnsi="Verdana"/>
          <w:b/>
          <w:noProof/>
          <w:sz w:val="36"/>
          <w:szCs w:val="36"/>
        </w:rPr>
        <w:drawing>
          <wp:inline distT="0" distB="0" distL="0" distR="0" wp14:anchorId="63B81EA5" wp14:editId="297C79DB">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bookmarkStart w:id="0" w:name="_GoBack"/>
      <w:bookmarkEnd w:id="0"/>
    </w:p>
    <w:p w14:paraId="48BC4170" w14:textId="77777777" w:rsidR="00540944" w:rsidRDefault="00540944" w:rsidP="00C621FA">
      <w:pPr>
        <w:rPr>
          <w:b/>
          <w:sz w:val="22"/>
          <w:szCs w:val="22"/>
        </w:rPr>
      </w:pPr>
    </w:p>
    <w:p w14:paraId="7927381B" w14:textId="77777777" w:rsidR="003C51BC" w:rsidRPr="00062730" w:rsidRDefault="008C322A" w:rsidP="00B8353F">
      <w:pPr>
        <w:jc w:val="center"/>
        <w:rPr>
          <w:b/>
          <w:sz w:val="22"/>
          <w:szCs w:val="22"/>
        </w:rPr>
      </w:pPr>
      <w:r w:rsidRPr="00062730">
        <w:rPr>
          <w:b/>
          <w:sz w:val="22"/>
          <w:szCs w:val="22"/>
        </w:rPr>
        <w:t xml:space="preserve">A </w:t>
      </w:r>
      <w:r w:rsidR="00C621FA" w:rsidRPr="00062730">
        <w:rPr>
          <w:b/>
          <w:sz w:val="22"/>
          <w:szCs w:val="22"/>
        </w:rPr>
        <w:t xml:space="preserve">Developing Threat to West Balkan Economies: </w:t>
      </w:r>
      <w:r w:rsidR="00533741">
        <w:rPr>
          <w:b/>
          <w:sz w:val="22"/>
          <w:szCs w:val="22"/>
        </w:rPr>
        <w:t>T</w:t>
      </w:r>
      <w:r w:rsidR="00C621FA" w:rsidRPr="00062730">
        <w:rPr>
          <w:b/>
          <w:sz w:val="22"/>
          <w:szCs w:val="22"/>
        </w:rPr>
        <w:t xml:space="preserve">he </w:t>
      </w:r>
      <w:proofErr w:type="spellStart"/>
      <w:r w:rsidR="003C51BC" w:rsidRPr="00062730">
        <w:rPr>
          <w:b/>
          <w:i/>
          <w:sz w:val="22"/>
          <w:szCs w:val="22"/>
        </w:rPr>
        <w:t>Agrokor</w:t>
      </w:r>
      <w:proofErr w:type="spellEnd"/>
      <w:r w:rsidR="00C621FA" w:rsidRPr="00062730">
        <w:rPr>
          <w:b/>
          <w:sz w:val="22"/>
          <w:szCs w:val="22"/>
        </w:rPr>
        <w:t xml:space="preserve"> Insolvency</w:t>
      </w:r>
    </w:p>
    <w:p w14:paraId="70A05C84" w14:textId="77777777" w:rsidR="003C51BC" w:rsidRPr="00062730" w:rsidRDefault="003C51BC" w:rsidP="00C621FA">
      <w:pPr>
        <w:rPr>
          <w:sz w:val="22"/>
          <w:szCs w:val="22"/>
        </w:rPr>
      </w:pPr>
    </w:p>
    <w:p w14:paraId="530A25C5" w14:textId="77777777" w:rsidR="00B70F42" w:rsidRPr="00062730" w:rsidRDefault="003C51BC" w:rsidP="00B8353F">
      <w:pPr>
        <w:jc w:val="center"/>
        <w:rPr>
          <w:sz w:val="22"/>
          <w:szCs w:val="22"/>
        </w:rPr>
      </w:pPr>
      <w:r w:rsidRPr="00062730">
        <w:rPr>
          <w:sz w:val="22"/>
          <w:szCs w:val="22"/>
        </w:rPr>
        <w:t>“It is too big to fa</w:t>
      </w:r>
      <w:r w:rsidR="00C621FA" w:rsidRPr="00062730">
        <w:rPr>
          <w:sz w:val="22"/>
          <w:szCs w:val="22"/>
        </w:rPr>
        <w:t>i</w:t>
      </w:r>
      <w:r w:rsidRPr="00062730">
        <w:rPr>
          <w:sz w:val="22"/>
          <w:szCs w:val="22"/>
        </w:rPr>
        <w:t>l</w:t>
      </w:r>
      <w:r w:rsidR="00C621FA" w:rsidRPr="00062730">
        <w:rPr>
          <w:sz w:val="22"/>
          <w:szCs w:val="22"/>
        </w:rPr>
        <w:t>”</w:t>
      </w:r>
      <w:r w:rsidR="00B70F42" w:rsidRPr="00062730">
        <w:rPr>
          <w:sz w:val="22"/>
          <w:szCs w:val="22"/>
        </w:rPr>
        <w:t>!</w:t>
      </w:r>
    </w:p>
    <w:p w14:paraId="4757CD1C" w14:textId="77777777" w:rsidR="00B70F42" w:rsidRPr="00062730" w:rsidRDefault="00B70F42" w:rsidP="00C621FA">
      <w:pPr>
        <w:jc w:val="both"/>
        <w:rPr>
          <w:sz w:val="22"/>
          <w:szCs w:val="22"/>
        </w:rPr>
      </w:pPr>
    </w:p>
    <w:p w14:paraId="0E647D26" w14:textId="77777777" w:rsidR="006913D1" w:rsidRPr="00062730" w:rsidRDefault="003C51BC" w:rsidP="00C621FA">
      <w:pPr>
        <w:jc w:val="both"/>
        <w:rPr>
          <w:sz w:val="22"/>
          <w:szCs w:val="22"/>
        </w:rPr>
      </w:pPr>
      <w:r w:rsidRPr="00062730">
        <w:rPr>
          <w:sz w:val="22"/>
          <w:szCs w:val="22"/>
        </w:rPr>
        <w:t xml:space="preserve">After </w:t>
      </w:r>
      <w:r w:rsidR="00C621FA" w:rsidRPr="00062730">
        <w:rPr>
          <w:sz w:val="22"/>
          <w:szCs w:val="22"/>
        </w:rPr>
        <w:t xml:space="preserve">the </w:t>
      </w:r>
      <w:r w:rsidRPr="00062730">
        <w:rPr>
          <w:sz w:val="22"/>
          <w:szCs w:val="22"/>
        </w:rPr>
        <w:t xml:space="preserve">Greek economic </w:t>
      </w:r>
      <w:r w:rsidR="00C621FA" w:rsidRPr="00062730">
        <w:rPr>
          <w:sz w:val="22"/>
          <w:szCs w:val="22"/>
        </w:rPr>
        <w:t>and migrant crise</w:t>
      </w:r>
      <w:r w:rsidRPr="00062730">
        <w:rPr>
          <w:sz w:val="22"/>
          <w:szCs w:val="22"/>
        </w:rPr>
        <w:t>s, since April 2017</w:t>
      </w:r>
      <w:r w:rsidR="00C621FA" w:rsidRPr="00062730">
        <w:rPr>
          <w:sz w:val="22"/>
          <w:szCs w:val="22"/>
        </w:rPr>
        <w:t>, the</w:t>
      </w:r>
      <w:r w:rsidRPr="00062730">
        <w:rPr>
          <w:sz w:val="22"/>
          <w:szCs w:val="22"/>
        </w:rPr>
        <w:t xml:space="preserve"> </w:t>
      </w:r>
      <w:proofErr w:type="spellStart"/>
      <w:r w:rsidRPr="00062730">
        <w:rPr>
          <w:i/>
          <w:sz w:val="22"/>
          <w:szCs w:val="22"/>
        </w:rPr>
        <w:t>Agrokor</w:t>
      </w:r>
      <w:proofErr w:type="spellEnd"/>
      <w:r w:rsidRPr="00062730">
        <w:rPr>
          <w:sz w:val="22"/>
          <w:szCs w:val="22"/>
        </w:rPr>
        <w:t xml:space="preserve"> </w:t>
      </w:r>
      <w:r w:rsidR="00C621FA" w:rsidRPr="00062730">
        <w:rPr>
          <w:sz w:val="22"/>
          <w:szCs w:val="22"/>
        </w:rPr>
        <w:t xml:space="preserve">case </w:t>
      </w:r>
      <w:r w:rsidRPr="00062730">
        <w:rPr>
          <w:sz w:val="22"/>
          <w:szCs w:val="22"/>
        </w:rPr>
        <w:t xml:space="preserve">has become the main concern </w:t>
      </w:r>
      <w:r w:rsidR="002B3056" w:rsidRPr="00062730">
        <w:rPr>
          <w:sz w:val="22"/>
          <w:szCs w:val="22"/>
        </w:rPr>
        <w:t xml:space="preserve">for </w:t>
      </w:r>
      <w:r w:rsidRPr="00062730">
        <w:rPr>
          <w:sz w:val="22"/>
          <w:szCs w:val="22"/>
        </w:rPr>
        <w:t xml:space="preserve">the governments </w:t>
      </w:r>
      <w:r w:rsidR="00C621FA" w:rsidRPr="00062730">
        <w:rPr>
          <w:sz w:val="22"/>
          <w:szCs w:val="22"/>
        </w:rPr>
        <w:t xml:space="preserve">of </w:t>
      </w:r>
      <w:r w:rsidRPr="00062730">
        <w:rPr>
          <w:sz w:val="22"/>
          <w:szCs w:val="22"/>
        </w:rPr>
        <w:t>the states of the former Yugoslavia. Once the biggest Croatian company and economic</w:t>
      </w:r>
      <w:r w:rsidR="00B70F42" w:rsidRPr="00062730">
        <w:rPr>
          <w:sz w:val="22"/>
          <w:szCs w:val="22"/>
        </w:rPr>
        <w:t xml:space="preserve">ally </w:t>
      </w:r>
      <w:r w:rsidR="006913D1" w:rsidRPr="00062730">
        <w:rPr>
          <w:sz w:val="22"/>
          <w:szCs w:val="22"/>
        </w:rPr>
        <w:t xml:space="preserve">very </w:t>
      </w:r>
      <w:r w:rsidR="002B3056" w:rsidRPr="00062730">
        <w:rPr>
          <w:sz w:val="22"/>
          <w:szCs w:val="22"/>
        </w:rPr>
        <w:t>significant</w:t>
      </w:r>
      <w:r w:rsidRPr="00062730">
        <w:rPr>
          <w:sz w:val="22"/>
          <w:szCs w:val="22"/>
        </w:rPr>
        <w:t xml:space="preserve">, it </w:t>
      </w:r>
      <w:r w:rsidR="00C621FA" w:rsidRPr="00062730">
        <w:rPr>
          <w:sz w:val="22"/>
          <w:szCs w:val="22"/>
        </w:rPr>
        <w:t xml:space="preserve">has </w:t>
      </w:r>
      <w:r w:rsidRPr="00062730">
        <w:rPr>
          <w:sz w:val="22"/>
          <w:szCs w:val="22"/>
        </w:rPr>
        <w:t>bec</w:t>
      </w:r>
      <w:r w:rsidR="00C621FA" w:rsidRPr="00062730">
        <w:rPr>
          <w:sz w:val="22"/>
          <w:szCs w:val="22"/>
        </w:rPr>
        <w:t>o</w:t>
      </w:r>
      <w:r w:rsidRPr="00062730">
        <w:rPr>
          <w:sz w:val="22"/>
          <w:szCs w:val="22"/>
        </w:rPr>
        <w:t xml:space="preserve">me </w:t>
      </w:r>
      <w:r w:rsidR="00C621FA" w:rsidRPr="00062730">
        <w:rPr>
          <w:sz w:val="22"/>
          <w:szCs w:val="22"/>
        </w:rPr>
        <w:t xml:space="preserve">a </w:t>
      </w:r>
      <w:r w:rsidRPr="00062730">
        <w:rPr>
          <w:sz w:val="22"/>
          <w:szCs w:val="22"/>
        </w:rPr>
        <w:t xml:space="preserve">serious problem for </w:t>
      </w:r>
      <w:r w:rsidR="00C621FA" w:rsidRPr="00062730">
        <w:rPr>
          <w:sz w:val="22"/>
          <w:szCs w:val="22"/>
        </w:rPr>
        <w:t xml:space="preserve">the </w:t>
      </w:r>
      <w:r w:rsidR="00001C39" w:rsidRPr="00062730">
        <w:rPr>
          <w:sz w:val="22"/>
          <w:szCs w:val="22"/>
        </w:rPr>
        <w:t>Croatian G</w:t>
      </w:r>
      <w:r w:rsidRPr="00062730">
        <w:rPr>
          <w:sz w:val="22"/>
          <w:szCs w:val="22"/>
        </w:rPr>
        <w:t xml:space="preserve">overnment. Its systematic importance for the country and the region </w:t>
      </w:r>
      <w:r w:rsidR="00B70F42" w:rsidRPr="00062730">
        <w:rPr>
          <w:sz w:val="22"/>
          <w:szCs w:val="22"/>
        </w:rPr>
        <w:t xml:space="preserve">recently </w:t>
      </w:r>
      <w:r w:rsidRPr="00062730">
        <w:rPr>
          <w:sz w:val="22"/>
          <w:szCs w:val="22"/>
        </w:rPr>
        <w:t xml:space="preserve">required </w:t>
      </w:r>
      <w:r w:rsidR="00B70F42" w:rsidRPr="00062730">
        <w:rPr>
          <w:sz w:val="22"/>
          <w:szCs w:val="22"/>
        </w:rPr>
        <w:t xml:space="preserve">a </w:t>
      </w:r>
      <w:r w:rsidRPr="00062730">
        <w:rPr>
          <w:sz w:val="22"/>
          <w:szCs w:val="22"/>
        </w:rPr>
        <w:t>legislative solution</w:t>
      </w:r>
      <w:r w:rsidR="00B70F42" w:rsidRPr="00062730">
        <w:rPr>
          <w:sz w:val="22"/>
          <w:szCs w:val="22"/>
        </w:rPr>
        <w:t xml:space="preserve"> to be found for its problems</w:t>
      </w:r>
      <w:r w:rsidR="006913D1" w:rsidRPr="00062730">
        <w:rPr>
          <w:sz w:val="22"/>
          <w:szCs w:val="22"/>
        </w:rPr>
        <w:t>.</w:t>
      </w:r>
    </w:p>
    <w:p w14:paraId="4021C357" w14:textId="77777777" w:rsidR="006913D1" w:rsidRPr="00062730" w:rsidRDefault="006913D1" w:rsidP="00C621FA">
      <w:pPr>
        <w:jc w:val="both"/>
        <w:rPr>
          <w:sz w:val="22"/>
          <w:szCs w:val="22"/>
        </w:rPr>
      </w:pPr>
    </w:p>
    <w:p w14:paraId="6A4FC4B5" w14:textId="77777777" w:rsidR="006913D1" w:rsidRPr="00062730" w:rsidRDefault="006913D1" w:rsidP="006913D1">
      <w:pPr>
        <w:jc w:val="both"/>
        <w:rPr>
          <w:sz w:val="22"/>
          <w:szCs w:val="22"/>
        </w:rPr>
      </w:pPr>
      <w:proofErr w:type="spellStart"/>
      <w:r w:rsidRPr="00062730">
        <w:rPr>
          <w:i/>
          <w:sz w:val="22"/>
          <w:szCs w:val="22"/>
        </w:rPr>
        <w:t>Agrokor</w:t>
      </w:r>
      <w:proofErr w:type="spellEnd"/>
      <w:r w:rsidRPr="00062730">
        <w:rPr>
          <w:sz w:val="22"/>
          <w:szCs w:val="22"/>
        </w:rPr>
        <w:t xml:space="preserve"> was engaged in the production and distribution of food and beverages as well as retail and other activities. Its operations were carried out </w:t>
      </w:r>
      <w:r w:rsidR="00533741">
        <w:rPr>
          <w:sz w:val="22"/>
          <w:szCs w:val="22"/>
        </w:rPr>
        <w:t xml:space="preserve">not only </w:t>
      </w:r>
      <w:r w:rsidRPr="00062730">
        <w:rPr>
          <w:sz w:val="22"/>
          <w:szCs w:val="22"/>
        </w:rPr>
        <w:t xml:space="preserve">in Croatia, </w:t>
      </w:r>
      <w:r w:rsidR="00533741">
        <w:rPr>
          <w:sz w:val="22"/>
          <w:szCs w:val="22"/>
        </w:rPr>
        <w:t xml:space="preserve">but also in </w:t>
      </w:r>
      <w:r w:rsidRPr="00062730">
        <w:rPr>
          <w:sz w:val="22"/>
          <w:szCs w:val="22"/>
        </w:rPr>
        <w:t xml:space="preserve">Serbia, Slovenia, Bosnia and Herzegovina, Montenegro and Hungary by means of three distinct business groups with several dozen joint-stock and limited liability companies under the collective umbrella, employing over 60,000 employees in the West Balkan region. After acquiring control over the Slovenian </w:t>
      </w:r>
      <w:r w:rsidRPr="00062730">
        <w:rPr>
          <w:i/>
          <w:sz w:val="22"/>
          <w:szCs w:val="22"/>
        </w:rPr>
        <w:t>Mercator Group</w:t>
      </w:r>
      <w:r w:rsidRPr="00062730">
        <w:rPr>
          <w:sz w:val="22"/>
          <w:szCs w:val="22"/>
        </w:rPr>
        <w:t xml:space="preserve"> in 2014 (supported by a loan from the Russian </w:t>
      </w:r>
      <w:proofErr w:type="spellStart"/>
      <w:r w:rsidRPr="00062730">
        <w:rPr>
          <w:i/>
          <w:sz w:val="22"/>
          <w:szCs w:val="22"/>
        </w:rPr>
        <w:t>Sberbank</w:t>
      </w:r>
      <w:proofErr w:type="spellEnd"/>
      <w:r w:rsidRPr="00062730">
        <w:rPr>
          <w:sz w:val="22"/>
          <w:szCs w:val="22"/>
        </w:rPr>
        <w:t xml:space="preserve">), </w:t>
      </w:r>
      <w:proofErr w:type="spellStart"/>
      <w:r w:rsidRPr="00062730">
        <w:rPr>
          <w:i/>
          <w:sz w:val="22"/>
          <w:szCs w:val="22"/>
        </w:rPr>
        <w:t>Agrokor</w:t>
      </w:r>
      <w:proofErr w:type="spellEnd"/>
      <w:r w:rsidRPr="00062730">
        <w:rPr>
          <w:sz w:val="22"/>
          <w:szCs w:val="22"/>
        </w:rPr>
        <w:t xml:space="preserve"> subsequently took control over the Serbian </w:t>
      </w:r>
      <w:r w:rsidRPr="00062730">
        <w:rPr>
          <w:i/>
          <w:sz w:val="22"/>
          <w:szCs w:val="22"/>
        </w:rPr>
        <w:t>Idea</w:t>
      </w:r>
      <w:r w:rsidRPr="00062730">
        <w:rPr>
          <w:sz w:val="22"/>
          <w:szCs w:val="22"/>
        </w:rPr>
        <w:t xml:space="preserve"> chain as well as other companies, thus significantly expanding its market. Experts have been warning for a while that the group is at risk of illiquidity, but it was not till the beginning of 2017 that </w:t>
      </w:r>
      <w:proofErr w:type="spellStart"/>
      <w:r w:rsidRPr="00062730">
        <w:rPr>
          <w:i/>
          <w:sz w:val="22"/>
          <w:szCs w:val="22"/>
        </w:rPr>
        <w:t>Agrokor</w:t>
      </w:r>
      <w:proofErr w:type="spellEnd"/>
      <w:r w:rsidRPr="00062730">
        <w:rPr>
          <w:sz w:val="22"/>
          <w:szCs w:val="22"/>
        </w:rPr>
        <w:t xml:space="preserve"> faced a significant crisis when its debts and the debts of its affiliated and subsidiary companies were estimated as being at over EUR 1 billion.</w:t>
      </w:r>
    </w:p>
    <w:p w14:paraId="113A475F" w14:textId="77777777" w:rsidR="006913D1" w:rsidRPr="00062730" w:rsidRDefault="006913D1" w:rsidP="00C621FA">
      <w:pPr>
        <w:jc w:val="both"/>
        <w:rPr>
          <w:sz w:val="22"/>
          <w:szCs w:val="22"/>
        </w:rPr>
      </w:pPr>
    </w:p>
    <w:p w14:paraId="03D0C568" w14:textId="77777777" w:rsidR="001F25E9" w:rsidRPr="00062730" w:rsidRDefault="003C51BC" w:rsidP="001F25E9">
      <w:pPr>
        <w:jc w:val="both"/>
        <w:rPr>
          <w:sz w:val="22"/>
          <w:szCs w:val="22"/>
        </w:rPr>
      </w:pPr>
      <w:r w:rsidRPr="00062730">
        <w:rPr>
          <w:sz w:val="22"/>
          <w:szCs w:val="22"/>
        </w:rPr>
        <w:t xml:space="preserve">Faced with enormous liabilities and almost certain illiquidity of the company, the Croatian </w:t>
      </w:r>
      <w:r w:rsidR="00B70F42" w:rsidRPr="00062730">
        <w:rPr>
          <w:sz w:val="22"/>
          <w:szCs w:val="22"/>
        </w:rPr>
        <w:t>G</w:t>
      </w:r>
      <w:r w:rsidRPr="00062730">
        <w:rPr>
          <w:sz w:val="22"/>
          <w:szCs w:val="22"/>
        </w:rPr>
        <w:t xml:space="preserve">overnment </w:t>
      </w:r>
      <w:r w:rsidR="00B70F42" w:rsidRPr="00062730">
        <w:rPr>
          <w:sz w:val="22"/>
          <w:szCs w:val="22"/>
        </w:rPr>
        <w:t xml:space="preserve">tabled </w:t>
      </w:r>
      <w:r w:rsidRPr="00062730">
        <w:rPr>
          <w:sz w:val="22"/>
          <w:szCs w:val="22"/>
        </w:rPr>
        <w:t xml:space="preserve">a special draft law </w:t>
      </w:r>
      <w:r w:rsidR="00B70F42" w:rsidRPr="00062730">
        <w:rPr>
          <w:sz w:val="22"/>
          <w:szCs w:val="22"/>
        </w:rPr>
        <w:t xml:space="preserve">in Parliament </w:t>
      </w:r>
      <w:r w:rsidRPr="00062730">
        <w:rPr>
          <w:sz w:val="22"/>
          <w:szCs w:val="22"/>
        </w:rPr>
        <w:t xml:space="preserve">in order to save </w:t>
      </w:r>
      <w:r w:rsidR="00B70F42" w:rsidRPr="00062730">
        <w:rPr>
          <w:sz w:val="22"/>
          <w:szCs w:val="22"/>
        </w:rPr>
        <w:t xml:space="preserve">the </w:t>
      </w:r>
      <w:r w:rsidRPr="00062730">
        <w:rPr>
          <w:sz w:val="22"/>
          <w:szCs w:val="22"/>
        </w:rPr>
        <w:t xml:space="preserve">company. </w:t>
      </w:r>
      <w:r w:rsidR="00B70F42" w:rsidRPr="00062730">
        <w:rPr>
          <w:sz w:val="22"/>
          <w:szCs w:val="22"/>
        </w:rPr>
        <w:t>As a result, a S</w:t>
      </w:r>
      <w:r w:rsidRPr="00062730">
        <w:rPr>
          <w:sz w:val="22"/>
          <w:szCs w:val="22"/>
        </w:rPr>
        <w:t xml:space="preserve">pecial Law on </w:t>
      </w:r>
      <w:r w:rsidR="001F25E9" w:rsidRPr="00062730">
        <w:rPr>
          <w:sz w:val="22"/>
          <w:szCs w:val="22"/>
        </w:rPr>
        <w:t>“</w:t>
      </w:r>
      <w:r w:rsidR="00B70F42" w:rsidRPr="00062730">
        <w:rPr>
          <w:sz w:val="22"/>
          <w:szCs w:val="22"/>
        </w:rPr>
        <w:t xml:space="preserve">a </w:t>
      </w:r>
      <w:r w:rsidRPr="00062730">
        <w:rPr>
          <w:sz w:val="22"/>
          <w:szCs w:val="22"/>
        </w:rPr>
        <w:t>procedure of extraordinary administration in companies of systemic importance</w:t>
      </w:r>
      <w:r w:rsidR="001F25E9" w:rsidRPr="00062730">
        <w:rPr>
          <w:sz w:val="22"/>
          <w:szCs w:val="22"/>
        </w:rPr>
        <w:t>”</w:t>
      </w:r>
      <w:r w:rsidRPr="00062730">
        <w:rPr>
          <w:sz w:val="22"/>
          <w:szCs w:val="22"/>
        </w:rPr>
        <w:t xml:space="preserve"> </w:t>
      </w:r>
      <w:r w:rsidR="00B70F42" w:rsidRPr="00062730">
        <w:rPr>
          <w:sz w:val="22"/>
          <w:szCs w:val="22"/>
        </w:rPr>
        <w:t xml:space="preserve">was </w:t>
      </w:r>
      <w:r w:rsidRPr="00062730">
        <w:rPr>
          <w:sz w:val="22"/>
          <w:szCs w:val="22"/>
        </w:rPr>
        <w:t xml:space="preserve">adopted on </w:t>
      </w:r>
      <w:r w:rsidR="00B70F42" w:rsidRPr="00062730">
        <w:rPr>
          <w:sz w:val="22"/>
          <w:szCs w:val="22"/>
        </w:rPr>
        <w:t xml:space="preserve">6 </w:t>
      </w:r>
      <w:r w:rsidRPr="00062730">
        <w:rPr>
          <w:sz w:val="22"/>
          <w:szCs w:val="22"/>
        </w:rPr>
        <w:t>April 2017</w:t>
      </w:r>
      <w:r w:rsidR="00533741">
        <w:rPr>
          <w:sz w:val="22"/>
          <w:szCs w:val="22"/>
        </w:rPr>
        <w:t>. This was</w:t>
      </w:r>
      <w:r w:rsidRPr="00062730">
        <w:rPr>
          <w:sz w:val="22"/>
          <w:szCs w:val="22"/>
        </w:rPr>
        <w:t xml:space="preserve"> </w:t>
      </w:r>
      <w:r w:rsidR="00B70F42" w:rsidRPr="00062730">
        <w:rPr>
          <w:sz w:val="22"/>
          <w:szCs w:val="22"/>
        </w:rPr>
        <w:t xml:space="preserve">immediately </w:t>
      </w:r>
      <w:r w:rsidRPr="00062730">
        <w:rPr>
          <w:sz w:val="22"/>
          <w:szCs w:val="22"/>
        </w:rPr>
        <w:t>dubbed</w:t>
      </w:r>
      <w:r w:rsidR="00B70F42" w:rsidRPr="00062730">
        <w:rPr>
          <w:sz w:val="22"/>
          <w:szCs w:val="22"/>
        </w:rPr>
        <w:t xml:space="preserve"> the “</w:t>
      </w:r>
      <w:r w:rsidRPr="00062730">
        <w:rPr>
          <w:i/>
          <w:sz w:val="22"/>
          <w:szCs w:val="22"/>
        </w:rPr>
        <w:t xml:space="preserve">Lex </w:t>
      </w:r>
      <w:proofErr w:type="spellStart"/>
      <w:r w:rsidRPr="00062730">
        <w:rPr>
          <w:i/>
          <w:sz w:val="22"/>
          <w:szCs w:val="22"/>
        </w:rPr>
        <w:t>Agrokor</w:t>
      </w:r>
      <w:proofErr w:type="spellEnd"/>
      <w:r w:rsidR="00B70F42" w:rsidRPr="00062730">
        <w:rPr>
          <w:sz w:val="22"/>
          <w:szCs w:val="22"/>
        </w:rPr>
        <w:t>”</w:t>
      </w:r>
      <w:r w:rsidRPr="00062730">
        <w:rPr>
          <w:sz w:val="22"/>
          <w:szCs w:val="22"/>
        </w:rPr>
        <w:t xml:space="preserve">. </w:t>
      </w:r>
      <w:r w:rsidR="002B3056" w:rsidRPr="00062730">
        <w:rPr>
          <w:sz w:val="22"/>
          <w:szCs w:val="22"/>
        </w:rPr>
        <w:t xml:space="preserve">The law was a particularly </w:t>
      </w:r>
      <w:r w:rsidRPr="00062730">
        <w:rPr>
          <w:sz w:val="22"/>
          <w:szCs w:val="22"/>
        </w:rPr>
        <w:t xml:space="preserve">interesting example </w:t>
      </w:r>
      <w:r w:rsidR="002B3056" w:rsidRPr="00062730">
        <w:rPr>
          <w:sz w:val="22"/>
          <w:szCs w:val="22"/>
        </w:rPr>
        <w:t xml:space="preserve">of legislation </w:t>
      </w:r>
      <w:r w:rsidR="00533741">
        <w:rPr>
          <w:sz w:val="22"/>
          <w:szCs w:val="22"/>
        </w:rPr>
        <w:t xml:space="preserve">for its introduction of </w:t>
      </w:r>
      <w:r w:rsidRPr="00062730">
        <w:rPr>
          <w:sz w:val="22"/>
          <w:szCs w:val="22"/>
        </w:rPr>
        <w:t xml:space="preserve">new insolvency proceedings </w:t>
      </w:r>
      <w:r w:rsidR="002B3056" w:rsidRPr="00062730">
        <w:rPr>
          <w:sz w:val="22"/>
          <w:szCs w:val="22"/>
        </w:rPr>
        <w:t xml:space="preserve">titled </w:t>
      </w:r>
      <w:r w:rsidRPr="00062730">
        <w:rPr>
          <w:sz w:val="22"/>
          <w:szCs w:val="22"/>
        </w:rPr>
        <w:t xml:space="preserve">“extraordinary administration”. </w:t>
      </w:r>
      <w:r w:rsidR="002B3056" w:rsidRPr="00062730">
        <w:rPr>
          <w:sz w:val="22"/>
          <w:szCs w:val="22"/>
        </w:rPr>
        <w:t xml:space="preserve">The passing of the law also occasioned questions to be posed about the </w:t>
      </w:r>
      <w:r w:rsidR="00BF1B56" w:rsidRPr="00062730">
        <w:rPr>
          <w:sz w:val="22"/>
          <w:szCs w:val="22"/>
        </w:rPr>
        <w:t xml:space="preserve">impact of such </w:t>
      </w:r>
      <w:r w:rsidRPr="00062730">
        <w:rPr>
          <w:sz w:val="22"/>
          <w:szCs w:val="22"/>
        </w:rPr>
        <w:t xml:space="preserve">legislation in the case of cross-border insolvency proceedings </w:t>
      </w:r>
      <w:r w:rsidR="002B3056" w:rsidRPr="00062730">
        <w:rPr>
          <w:sz w:val="22"/>
          <w:szCs w:val="22"/>
        </w:rPr>
        <w:t xml:space="preserve">both within </w:t>
      </w:r>
      <w:r w:rsidRPr="00062730">
        <w:rPr>
          <w:sz w:val="22"/>
          <w:szCs w:val="22"/>
        </w:rPr>
        <w:t>and</w:t>
      </w:r>
      <w:r w:rsidR="002B3056" w:rsidRPr="00062730">
        <w:rPr>
          <w:sz w:val="22"/>
          <w:szCs w:val="22"/>
        </w:rPr>
        <w:t xml:space="preserve"> outside the European Union.</w:t>
      </w:r>
      <w:r w:rsidR="001F25E9" w:rsidRPr="00062730">
        <w:rPr>
          <w:sz w:val="22"/>
          <w:szCs w:val="22"/>
        </w:rPr>
        <w:t xml:space="preserve"> A few days after the law was passed, </w:t>
      </w:r>
      <w:proofErr w:type="spellStart"/>
      <w:r w:rsidR="001F25E9" w:rsidRPr="00062730">
        <w:rPr>
          <w:i/>
          <w:sz w:val="22"/>
          <w:szCs w:val="22"/>
        </w:rPr>
        <w:t>Agrokor</w:t>
      </w:r>
      <w:proofErr w:type="spellEnd"/>
      <w:r w:rsidR="001F25E9" w:rsidRPr="00062730">
        <w:rPr>
          <w:sz w:val="22"/>
          <w:szCs w:val="22"/>
        </w:rPr>
        <w:t xml:space="preserve"> submitted a petition to the Commercial Court in Zagreb (Ref. St.1138/17 of 10 April 2017) and the court opened an extraordinary administration procedure in respect of the group.</w:t>
      </w:r>
    </w:p>
    <w:p w14:paraId="7B31DB9A" w14:textId="77777777" w:rsidR="00C621FA" w:rsidRPr="00062730" w:rsidRDefault="00C621FA" w:rsidP="00C621FA">
      <w:pPr>
        <w:jc w:val="both"/>
        <w:rPr>
          <w:sz w:val="22"/>
          <w:szCs w:val="22"/>
        </w:rPr>
      </w:pPr>
    </w:p>
    <w:p w14:paraId="42C2A552" w14:textId="77777777" w:rsidR="006913D1" w:rsidRPr="00062730" w:rsidRDefault="00F82A7B" w:rsidP="00C621FA">
      <w:pPr>
        <w:jc w:val="both"/>
        <w:rPr>
          <w:sz w:val="22"/>
          <w:szCs w:val="22"/>
        </w:rPr>
      </w:pPr>
      <w:r w:rsidRPr="00062730">
        <w:rPr>
          <w:sz w:val="22"/>
          <w:szCs w:val="22"/>
        </w:rPr>
        <w:t>O</w:t>
      </w:r>
      <w:r w:rsidR="003C51BC" w:rsidRPr="00062730">
        <w:rPr>
          <w:sz w:val="22"/>
          <w:szCs w:val="22"/>
        </w:rPr>
        <w:t xml:space="preserve">nce proceedings began, </w:t>
      </w:r>
      <w:r w:rsidRPr="00062730">
        <w:rPr>
          <w:sz w:val="22"/>
          <w:szCs w:val="22"/>
        </w:rPr>
        <w:t xml:space="preserve">however, </w:t>
      </w:r>
      <w:r w:rsidR="003C51BC" w:rsidRPr="00062730">
        <w:rPr>
          <w:sz w:val="22"/>
          <w:szCs w:val="22"/>
        </w:rPr>
        <w:t>numerous different stakeholders came into light</w:t>
      </w:r>
      <w:r w:rsidRPr="00062730">
        <w:rPr>
          <w:sz w:val="22"/>
          <w:szCs w:val="22"/>
        </w:rPr>
        <w:t>, some with potentially dubious interests</w:t>
      </w:r>
      <w:r w:rsidR="003C51BC" w:rsidRPr="00062730">
        <w:rPr>
          <w:sz w:val="22"/>
          <w:szCs w:val="22"/>
        </w:rPr>
        <w:t xml:space="preserve">. </w:t>
      </w:r>
      <w:r w:rsidRPr="00062730">
        <w:rPr>
          <w:sz w:val="22"/>
          <w:szCs w:val="22"/>
        </w:rPr>
        <w:t xml:space="preserve">The </w:t>
      </w:r>
      <w:r w:rsidR="003C51BC" w:rsidRPr="00062730">
        <w:rPr>
          <w:sz w:val="22"/>
          <w:szCs w:val="22"/>
        </w:rPr>
        <w:t xml:space="preserve">Croatian </w:t>
      </w:r>
      <w:r w:rsidRPr="00062730">
        <w:rPr>
          <w:sz w:val="22"/>
          <w:szCs w:val="22"/>
        </w:rPr>
        <w:t>G</w:t>
      </w:r>
      <w:r w:rsidR="003C51BC" w:rsidRPr="00062730">
        <w:rPr>
          <w:sz w:val="22"/>
          <w:szCs w:val="22"/>
        </w:rPr>
        <w:t>overnment</w:t>
      </w:r>
      <w:r w:rsidRPr="00062730">
        <w:rPr>
          <w:sz w:val="22"/>
          <w:szCs w:val="22"/>
        </w:rPr>
        <w:t>’s strategy</w:t>
      </w:r>
      <w:r w:rsidR="002573A9">
        <w:rPr>
          <w:sz w:val="22"/>
          <w:szCs w:val="22"/>
        </w:rPr>
        <w:t>,</w:t>
      </w:r>
      <w:r w:rsidRPr="00062730">
        <w:rPr>
          <w:sz w:val="22"/>
          <w:szCs w:val="22"/>
        </w:rPr>
        <w:t xml:space="preserve"> to begin with, was</w:t>
      </w:r>
      <w:r w:rsidR="003C51BC" w:rsidRPr="00062730">
        <w:rPr>
          <w:sz w:val="22"/>
          <w:szCs w:val="22"/>
        </w:rPr>
        <w:t xml:space="preserve"> not only to rescue the company and i</w:t>
      </w:r>
      <w:r w:rsidRPr="00062730">
        <w:rPr>
          <w:sz w:val="22"/>
          <w:szCs w:val="22"/>
        </w:rPr>
        <w:t>ts assets throughout the Balkan</w:t>
      </w:r>
      <w:r w:rsidR="003C51BC" w:rsidRPr="00062730">
        <w:rPr>
          <w:sz w:val="22"/>
          <w:szCs w:val="22"/>
        </w:rPr>
        <w:t xml:space="preserve"> region</w:t>
      </w:r>
      <w:r w:rsidRPr="00062730">
        <w:rPr>
          <w:sz w:val="22"/>
          <w:szCs w:val="22"/>
        </w:rPr>
        <w:t>,</w:t>
      </w:r>
      <w:r w:rsidR="003C51BC" w:rsidRPr="00062730">
        <w:rPr>
          <w:sz w:val="22"/>
          <w:szCs w:val="22"/>
        </w:rPr>
        <w:t xml:space="preserve"> but also to acquire control over it. </w:t>
      </w:r>
      <w:r w:rsidRPr="00062730">
        <w:rPr>
          <w:sz w:val="22"/>
          <w:szCs w:val="22"/>
        </w:rPr>
        <w:t xml:space="preserve">This was </w:t>
      </w:r>
      <w:r w:rsidR="003C51BC" w:rsidRPr="00062730">
        <w:rPr>
          <w:sz w:val="22"/>
          <w:szCs w:val="22"/>
        </w:rPr>
        <w:t xml:space="preserve">especially visible through the prerogatives of the extraordinary trustee, </w:t>
      </w:r>
      <w:r w:rsidRPr="00062730">
        <w:rPr>
          <w:sz w:val="22"/>
          <w:szCs w:val="22"/>
        </w:rPr>
        <w:t xml:space="preserve">who, though </w:t>
      </w:r>
      <w:r w:rsidR="003C51BC" w:rsidRPr="00062730">
        <w:rPr>
          <w:sz w:val="22"/>
          <w:szCs w:val="22"/>
        </w:rPr>
        <w:t xml:space="preserve">formally appointed by the court, </w:t>
      </w:r>
      <w:r w:rsidRPr="00062730">
        <w:rPr>
          <w:sz w:val="22"/>
          <w:szCs w:val="22"/>
        </w:rPr>
        <w:t xml:space="preserve">was </w:t>
      </w:r>
      <w:r w:rsidR="003C51BC" w:rsidRPr="00062730">
        <w:rPr>
          <w:sz w:val="22"/>
          <w:szCs w:val="22"/>
        </w:rPr>
        <w:t xml:space="preserve">in fact </w:t>
      </w:r>
      <w:r w:rsidRPr="00062730">
        <w:rPr>
          <w:sz w:val="22"/>
          <w:szCs w:val="22"/>
        </w:rPr>
        <w:t>a government official. C</w:t>
      </w:r>
      <w:r w:rsidR="003C51BC" w:rsidRPr="00062730">
        <w:rPr>
          <w:sz w:val="22"/>
          <w:szCs w:val="22"/>
        </w:rPr>
        <w:t>reditors</w:t>
      </w:r>
      <w:r w:rsidRPr="00062730">
        <w:rPr>
          <w:sz w:val="22"/>
          <w:szCs w:val="22"/>
        </w:rPr>
        <w:t xml:space="preserve"> at risk</w:t>
      </w:r>
      <w:r w:rsidR="003C51BC" w:rsidRPr="00062730">
        <w:rPr>
          <w:sz w:val="22"/>
          <w:szCs w:val="22"/>
        </w:rPr>
        <w:t xml:space="preserve">, mainly </w:t>
      </w:r>
      <w:proofErr w:type="spellStart"/>
      <w:r w:rsidR="00C57014" w:rsidRPr="00062730">
        <w:rPr>
          <w:i/>
          <w:sz w:val="22"/>
          <w:szCs w:val="22"/>
        </w:rPr>
        <w:t>Sberbank</w:t>
      </w:r>
      <w:proofErr w:type="spellEnd"/>
      <w:r w:rsidR="00D83F6C" w:rsidRPr="00062730">
        <w:rPr>
          <w:sz w:val="22"/>
          <w:szCs w:val="22"/>
        </w:rPr>
        <w:t xml:space="preserve"> </w:t>
      </w:r>
      <w:r w:rsidR="003C51BC" w:rsidRPr="00062730">
        <w:rPr>
          <w:sz w:val="22"/>
          <w:szCs w:val="22"/>
        </w:rPr>
        <w:t>and</w:t>
      </w:r>
      <w:r w:rsidR="001F25E9" w:rsidRPr="00062730">
        <w:rPr>
          <w:sz w:val="22"/>
          <w:szCs w:val="22"/>
        </w:rPr>
        <w:t xml:space="preserve"> the Italian bank,</w:t>
      </w:r>
      <w:r w:rsidR="003C51BC" w:rsidRPr="00062730">
        <w:rPr>
          <w:sz w:val="22"/>
          <w:szCs w:val="22"/>
        </w:rPr>
        <w:t xml:space="preserve"> </w:t>
      </w:r>
      <w:r w:rsidR="003C51BC" w:rsidRPr="00062730">
        <w:rPr>
          <w:i/>
          <w:sz w:val="22"/>
          <w:szCs w:val="22"/>
        </w:rPr>
        <w:t xml:space="preserve">Intesa Sanpaolo </w:t>
      </w:r>
      <w:proofErr w:type="spellStart"/>
      <w:r w:rsidR="003C51BC" w:rsidRPr="00062730">
        <w:rPr>
          <w:i/>
          <w:sz w:val="22"/>
          <w:szCs w:val="22"/>
        </w:rPr>
        <w:t>SpA</w:t>
      </w:r>
      <w:proofErr w:type="spellEnd"/>
      <w:r w:rsidR="001F25E9" w:rsidRPr="00062730">
        <w:rPr>
          <w:sz w:val="22"/>
          <w:szCs w:val="22"/>
        </w:rPr>
        <w:t>,</w:t>
      </w:r>
      <w:r w:rsidR="00D83F6C" w:rsidRPr="00062730">
        <w:rPr>
          <w:sz w:val="22"/>
          <w:szCs w:val="22"/>
        </w:rPr>
        <w:t xml:space="preserve"> </w:t>
      </w:r>
      <w:r w:rsidR="003C51BC" w:rsidRPr="00062730">
        <w:rPr>
          <w:sz w:val="22"/>
          <w:szCs w:val="22"/>
        </w:rPr>
        <w:t xml:space="preserve">filed law suits to prevent the </w:t>
      </w:r>
      <w:r w:rsidRPr="00062730">
        <w:rPr>
          <w:sz w:val="22"/>
          <w:szCs w:val="22"/>
        </w:rPr>
        <w:t xml:space="preserve">sale </w:t>
      </w:r>
      <w:r w:rsidR="003C51BC" w:rsidRPr="00062730">
        <w:rPr>
          <w:sz w:val="22"/>
          <w:szCs w:val="22"/>
        </w:rPr>
        <w:t>of the debtor’s asset</w:t>
      </w:r>
      <w:r w:rsidRPr="00062730">
        <w:rPr>
          <w:sz w:val="22"/>
          <w:szCs w:val="22"/>
        </w:rPr>
        <w:t>s</w:t>
      </w:r>
      <w:r w:rsidR="001F25E9" w:rsidRPr="00062730">
        <w:rPr>
          <w:sz w:val="22"/>
          <w:szCs w:val="22"/>
        </w:rPr>
        <w:t xml:space="preserve">. This was despite </w:t>
      </w:r>
      <w:proofErr w:type="spellStart"/>
      <w:r w:rsidR="00AF2ADC" w:rsidRPr="00062730">
        <w:rPr>
          <w:i/>
          <w:sz w:val="22"/>
          <w:szCs w:val="22"/>
        </w:rPr>
        <w:t>Sberbank</w:t>
      </w:r>
      <w:proofErr w:type="spellEnd"/>
      <w:r w:rsidRPr="00062730">
        <w:rPr>
          <w:sz w:val="22"/>
          <w:szCs w:val="22"/>
        </w:rPr>
        <w:t>, together with</w:t>
      </w:r>
      <w:r w:rsidR="00AF2ADC" w:rsidRPr="00062730">
        <w:rPr>
          <w:sz w:val="22"/>
          <w:szCs w:val="22"/>
        </w:rPr>
        <w:t xml:space="preserve"> </w:t>
      </w:r>
      <w:r w:rsidR="00AF2ADC" w:rsidRPr="00062730">
        <w:rPr>
          <w:i/>
          <w:sz w:val="22"/>
          <w:szCs w:val="22"/>
        </w:rPr>
        <w:t xml:space="preserve">VTB </w:t>
      </w:r>
      <w:r w:rsidRPr="00062730">
        <w:rPr>
          <w:i/>
          <w:sz w:val="22"/>
          <w:szCs w:val="22"/>
        </w:rPr>
        <w:t>B</w:t>
      </w:r>
      <w:r w:rsidR="00AF2ADC" w:rsidRPr="00062730">
        <w:rPr>
          <w:i/>
          <w:sz w:val="22"/>
          <w:szCs w:val="22"/>
        </w:rPr>
        <w:t>ank</w:t>
      </w:r>
      <w:r w:rsidRPr="00062730">
        <w:rPr>
          <w:sz w:val="22"/>
          <w:szCs w:val="22"/>
        </w:rPr>
        <w:t xml:space="preserve">, </w:t>
      </w:r>
      <w:r w:rsidR="001F25E9" w:rsidRPr="00062730">
        <w:rPr>
          <w:sz w:val="22"/>
          <w:szCs w:val="22"/>
        </w:rPr>
        <w:t>initially supporting</w:t>
      </w:r>
      <w:r w:rsidR="00AF2ADC" w:rsidRPr="00062730">
        <w:rPr>
          <w:sz w:val="22"/>
          <w:szCs w:val="22"/>
        </w:rPr>
        <w:t xml:space="preserve"> the </w:t>
      </w:r>
      <w:r w:rsidRPr="00062730">
        <w:rPr>
          <w:sz w:val="22"/>
          <w:szCs w:val="22"/>
        </w:rPr>
        <w:t xml:space="preserve">rescue </w:t>
      </w:r>
      <w:r w:rsidR="00AF2ADC" w:rsidRPr="00062730">
        <w:rPr>
          <w:sz w:val="22"/>
          <w:szCs w:val="22"/>
        </w:rPr>
        <w:t xml:space="preserve">plan </w:t>
      </w:r>
      <w:r w:rsidRPr="00062730">
        <w:rPr>
          <w:sz w:val="22"/>
          <w:szCs w:val="22"/>
        </w:rPr>
        <w:t xml:space="preserve">towards which they </w:t>
      </w:r>
      <w:r w:rsidR="001F25E9" w:rsidRPr="00062730">
        <w:rPr>
          <w:sz w:val="22"/>
          <w:szCs w:val="22"/>
        </w:rPr>
        <w:t xml:space="preserve">had pledged </w:t>
      </w:r>
      <w:r w:rsidR="00AF2ADC" w:rsidRPr="00062730">
        <w:rPr>
          <w:sz w:val="22"/>
          <w:szCs w:val="22"/>
        </w:rPr>
        <w:t xml:space="preserve">financial </w:t>
      </w:r>
      <w:r w:rsidR="00AF2ADC" w:rsidRPr="00062730">
        <w:rPr>
          <w:sz w:val="22"/>
          <w:szCs w:val="22"/>
        </w:rPr>
        <w:lastRenderedPageBreak/>
        <w:t xml:space="preserve">support </w:t>
      </w:r>
      <w:r w:rsidRPr="00062730">
        <w:rPr>
          <w:sz w:val="22"/>
          <w:szCs w:val="22"/>
        </w:rPr>
        <w:t xml:space="preserve">to the tune </w:t>
      </w:r>
      <w:r w:rsidR="00AF2ADC" w:rsidRPr="00062730">
        <w:rPr>
          <w:sz w:val="22"/>
          <w:szCs w:val="22"/>
        </w:rPr>
        <w:t xml:space="preserve">of more than </w:t>
      </w:r>
      <w:r w:rsidRPr="00062730">
        <w:rPr>
          <w:sz w:val="22"/>
          <w:szCs w:val="22"/>
        </w:rPr>
        <w:t xml:space="preserve">EUR </w:t>
      </w:r>
      <w:r w:rsidR="00AF2ADC" w:rsidRPr="00062730">
        <w:rPr>
          <w:sz w:val="22"/>
          <w:szCs w:val="22"/>
        </w:rPr>
        <w:t>100 million.</w:t>
      </w:r>
      <w:r w:rsidRPr="00062730">
        <w:rPr>
          <w:sz w:val="22"/>
          <w:szCs w:val="22"/>
        </w:rPr>
        <w:t xml:space="preserve"> Th</w:t>
      </w:r>
      <w:r w:rsidR="001F25E9" w:rsidRPr="00062730">
        <w:rPr>
          <w:sz w:val="22"/>
          <w:szCs w:val="22"/>
        </w:rPr>
        <w:t>e</w:t>
      </w:r>
      <w:r w:rsidRPr="00062730">
        <w:rPr>
          <w:sz w:val="22"/>
          <w:szCs w:val="22"/>
        </w:rPr>
        <w:t xml:space="preserve"> </w:t>
      </w:r>
      <w:r w:rsidR="001F25E9" w:rsidRPr="00062730">
        <w:rPr>
          <w:sz w:val="22"/>
          <w:szCs w:val="22"/>
        </w:rPr>
        <w:t xml:space="preserve">outcome </w:t>
      </w:r>
      <w:r w:rsidRPr="00062730">
        <w:rPr>
          <w:sz w:val="22"/>
          <w:szCs w:val="22"/>
        </w:rPr>
        <w:t>was especially important</w:t>
      </w:r>
      <w:r w:rsidR="001F25E9" w:rsidRPr="00062730">
        <w:rPr>
          <w:sz w:val="22"/>
          <w:szCs w:val="22"/>
        </w:rPr>
        <w:t xml:space="preserve"> for the Croatian Government</w:t>
      </w:r>
      <w:r w:rsidR="006913D1" w:rsidRPr="00062730">
        <w:rPr>
          <w:sz w:val="22"/>
          <w:szCs w:val="22"/>
        </w:rPr>
        <w:t xml:space="preserve">, given the more than </w:t>
      </w:r>
      <w:r w:rsidR="003C51BC" w:rsidRPr="00062730">
        <w:rPr>
          <w:sz w:val="22"/>
          <w:szCs w:val="22"/>
        </w:rPr>
        <w:t>60</w:t>
      </w:r>
      <w:r w:rsidRPr="00062730">
        <w:rPr>
          <w:sz w:val="22"/>
          <w:szCs w:val="22"/>
        </w:rPr>
        <w:t>,</w:t>
      </w:r>
      <w:r w:rsidR="003C51BC" w:rsidRPr="00062730">
        <w:rPr>
          <w:sz w:val="22"/>
          <w:szCs w:val="22"/>
        </w:rPr>
        <w:t xml:space="preserve">000 employees </w:t>
      </w:r>
      <w:r w:rsidRPr="00062730">
        <w:rPr>
          <w:sz w:val="22"/>
          <w:szCs w:val="22"/>
        </w:rPr>
        <w:t>whose fate</w:t>
      </w:r>
      <w:r w:rsidR="003C51BC" w:rsidRPr="00062730">
        <w:rPr>
          <w:sz w:val="22"/>
          <w:szCs w:val="22"/>
        </w:rPr>
        <w:t xml:space="preserve"> depend</w:t>
      </w:r>
      <w:r w:rsidRPr="00062730">
        <w:rPr>
          <w:sz w:val="22"/>
          <w:szCs w:val="22"/>
        </w:rPr>
        <w:t>ed</w:t>
      </w:r>
      <w:r w:rsidR="003C51BC" w:rsidRPr="00062730">
        <w:rPr>
          <w:sz w:val="22"/>
          <w:szCs w:val="22"/>
        </w:rPr>
        <w:t xml:space="preserve"> on the outcome of </w:t>
      </w:r>
      <w:r w:rsidR="001F25E9" w:rsidRPr="00062730">
        <w:rPr>
          <w:sz w:val="22"/>
          <w:szCs w:val="22"/>
        </w:rPr>
        <w:t>proceedings.</w:t>
      </w:r>
    </w:p>
    <w:p w14:paraId="404D16BA" w14:textId="77777777" w:rsidR="006913D1" w:rsidRPr="00062730" w:rsidRDefault="006913D1" w:rsidP="00C621FA">
      <w:pPr>
        <w:jc w:val="both"/>
        <w:rPr>
          <w:sz w:val="22"/>
          <w:szCs w:val="22"/>
        </w:rPr>
      </w:pPr>
    </w:p>
    <w:p w14:paraId="686DB289" w14:textId="77777777" w:rsidR="0000620E" w:rsidRDefault="001F25E9" w:rsidP="00C621FA">
      <w:pPr>
        <w:jc w:val="both"/>
        <w:rPr>
          <w:rStyle w:val="cpy"/>
          <w:sz w:val="22"/>
          <w:szCs w:val="22"/>
        </w:rPr>
      </w:pPr>
      <w:r w:rsidRPr="00062730">
        <w:rPr>
          <w:sz w:val="22"/>
          <w:szCs w:val="22"/>
        </w:rPr>
        <w:t>Since the onset of proceedings</w:t>
      </w:r>
      <w:r w:rsidR="00F82A7B" w:rsidRPr="00062730">
        <w:rPr>
          <w:sz w:val="22"/>
          <w:szCs w:val="22"/>
        </w:rPr>
        <w:t>,</w:t>
      </w:r>
      <w:r w:rsidR="003C51BC" w:rsidRPr="00062730">
        <w:rPr>
          <w:sz w:val="22"/>
          <w:szCs w:val="22"/>
        </w:rPr>
        <w:t xml:space="preserve"> </w:t>
      </w:r>
      <w:r w:rsidRPr="00062730">
        <w:rPr>
          <w:sz w:val="22"/>
          <w:szCs w:val="22"/>
        </w:rPr>
        <w:t xml:space="preserve">the </w:t>
      </w:r>
      <w:r w:rsidR="003C51BC" w:rsidRPr="00062730">
        <w:rPr>
          <w:sz w:val="22"/>
          <w:szCs w:val="22"/>
        </w:rPr>
        <w:t xml:space="preserve">case </w:t>
      </w:r>
      <w:r w:rsidR="00F82A7B" w:rsidRPr="00062730">
        <w:rPr>
          <w:sz w:val="22"/>
          <w:szCs w:val="22"/>
        </w:rPr>
        <w:t xml:space="preserve">has also </w:t>
      </w:r>
      <w:r w:rsidR="003C51BC" w:rsidRPr="00062730">
        <w:rPr>
          <w:sz w:val="22"/>
          <w:szCs w:val="22"/>
        </w:rPr>
        <w:t xml:space="preserve">revealed </w:t>
      </w:r>
      <w:r w:rsidR="00F82A7B" w:rsidRPr="00062730">
        <w:rPr>
          <w:sz w:val="22"/>
          <w:szCs w:val="22"/>
        </w:rPr>
        <w:t xml:space="preserve">a potential for political scandal, particularly in light of the fact that the current </w:t>
      </w:r>
      <w:r w:rsidR="003C51BC" w:rsidRPr="00062730">
        <w:rPr>
          <w:sz w:val="22"/>
          <w:szCs w:val="22"/>
        </w:rPr>
        <w:t xml:space="preserve">Minister of Finance in </w:t>
      </w:r>
      <w:r w:rsidR="00F82A7B" w:rsidRPr="00062730">
        <w:rPr>
          <w:sz w:val="22"/>
          <w:szCs w:val="22"/>
        </w:rPr>
        <w:t xml:space="preserve">the </w:t>
      </w:r>
      <w:r w:rsidR="003C51BC" w:rsidRPr="00062730">
        <w:rPr>
          <w:sz w:val="22"/>
          <w:szCs w:val="22"/>
        </w:rPr>
        <w:t xml:space="preserve">Croatian </w:t>
      </w:r>
      <w:r w:rsidR="00F82A7B" w:rsidRPr="00062730">
        <w:rPr>
          <w:sz w:val="22"/>
          <w:szCs w:val="22"/>
        </w:rPr>
        <w:t>G</w:t>
      </w:r>
      <w:r w:rsidR="003C51BC" w:rsidRPr="00062730">
        <w:rPr>
          <w:sz w:val="22"/>
          <w:szCs w:val="22"/>
        </w:rPr>
        <w:t>overnment</w:t>
      </w:r>
      <w:r w:rsidR="00F82A7B" w:rsidRPr="00062730">
        <w:rPr>
          <w:sz w:val="22"/>
          <w:szCs w:val="22"/>
        </w:rPr>
        <w:t>,</w:t>
      </w:r>
      <w:r w:rsidR="003C51BC" w:rsidRPr="00062730">
        <w:rPr>
          <w:sz w:val="22"/>
          <w:szCs w:val="22"/>
        </w:rPr>
        <w:t xml:space="preserve"> </w:t>
      </w:r>
      <w:proofErr w:type="spellStart"/>
      <w:r w:rsidR="003C51BC" w:rsidRPr="00062730">
        <w:rPr>
          <w:sz w:val="22"/>
          <w:szCs w:val="22"/>
        </w:rPr>
        <w:t>Zdravko</w:t>
      </w:r>
      <w:proofErr w:type="spellEnd"/>
      <w:r w:rsidR="003C51BC" w:rsidRPr="00062730">
        <w:rPr>
          <w:sz w:val="22"/>
          <w:szCs w:val="22"/>
        </w:rPr>
        <w:t xml:space="preserve"> </w:t>
      </w:r>
      <w:proofErr w:type="spellStart"/>
      <w:r w:rsidR="003C51BC" w:rsidRPr="00062730">
        <w:rPr>
          <w:sz w:val="22"/>
          <w:szCs w:val="22"/>
        </w:rPr>
        <w:t>Marić</w:t>
      </w:r>
      <w:proofErr w:type="spellEnd"/>
      <w:r w:rsidR="00F82A7B" w:rsidRPr="00062730">
        <w:rPr>
          <w:sz w:val="22"/>
          <w:szCs w:val="22"/>
        </w:rPr>
        <w:t>,</w:t>
      </w:r>
      <w:r w:rsidR="003C51BC" w:rsidRPr="00062730">
        <w:rPr>
          <w:sz w:val="22"/>
          <w:szCs w:val="22"/>
        </w:rPr>
        <w:t xml:space="preserve"> was the Executive Director for strategy and capital markets </w:t>
      </w:r>
      <w:r w:rsidR="00F82A7B" w:rsidRPr="00062730">
        <w:rPr>
          <w:sz w:val="22"/>
          <w:szCs w:val="22"/>
        </w:rPr>
        <w:t xml:space="preserve">for </w:t>
      </w:r>
      <w:proofErr w:type="spellStart"/>
      <w:r w:rsidR="00D83F6C" w:rsidRPr="00062730">
        <w:rPr>
          <w:i/>
          <w:sz w:val="22"/>
          <w:szCs w:val="22"/>
        </w:rPr>
        <w:t>Agrokor</w:t>
      </w:r>
      <w:proofErr w:type="spellEnd"/>
      <w:r w:rsidR="00D83F6C" w:rsidRPr="00062730">
        <w:rPr>
          <w:sz w:val="22"/>
          <w:szCs w:val="22"/>
        </w:rPr>
        <w:t xml:space="preserve"> </w:t>
      </w:r>
      <w:r w:rsidR="00F82A7B" w:rsidRPr="00062730">
        <w:rPr>
          <w:sz w:val="22"/>
          <w:szCs w:val="22"/>
        </w:rPr>
        <w:t xml:space="preserve">between </w:t>
      </w:r>
      <w:r w:rsidR="003C51BC" w:rsidRPr="00062730">
        <w:rPr>
          <w:sz w:val="22"/>
          <w:szCs w:val="22"/>
        </w:rPr>
        <w:t xml:space="preserve">2012 </w:t>
      </w:r>
      <w:r w:rsidR="00F82A7B" w:rsidRPr="00062730">
        <w:rPr>
          <w:sz w:val="22"/>
          <w:szCs w:val="22"/>
        </w:rPr>
        <w:t xml:space="preserve">and </w:t>
      </w:r>
      <w:r w:rsidR="003C51BC" w:rsidRPr="00062730">
        <w:rPr>
          <w:sz w:val="22"/>
          <w:szCs w:val="22"/>
        </w:rPr>
        <w:t>2016.</w:t>
      </w:r>
      <w:r w:rsidR="006913D1" w:rsidRPr="00062730">
        <w:rPr>
          <w:sz w:val="22"/>
          <w:szCs w:val="22"/>
        </w:rPr>
        <w:t xml:space="preserve"> </w:t>
      </w:r>
      <w:r w:rsidR="006913D1" w:rsidRPr="00062730">
        <w:rPr>
          <w:rStyle w:val="cpy"/>
          <w:sz w:val="22"/>
          <w:szCs w:val="22"/>
        </w:rPr>
        <w:t xml:space="preserve">In fact, </w:t>
      </w:r>
      <w:r w:rsidRPr="00062730">
        <w:rPr>
          <w:rStyle w:val="cpy"/>
          <w:sz w:val="22"/>
          <w:szCs w:val="22"/>
        </w:rPr>
        <w:t xml:space="preserve">when </w:t>
      </w:r>
      <w:r w:rsidR="003C51BC" w:rsidRPr="00062730">
        <w:rPr>
          <w:rStyle w:val="cpy"/>
          <w:sz w:val="22"/>
          <w:szCs w:val="22"/>
        </w:rPr>
        <w:t>the extraordinary administration</w:t>
      </w:r>
      <w:r w:rsidRPr="00062730">
        <w:rPr>
          <w:rStyle w:val="cpy"/>
          <w:sz w:val="22"/>
          <w:szCs w:val="22"/>
        </w:rPr>
        <w:t xml:space="preserve"> proceedings were first initiated</w:t>
      </w:r>
      <w:r w:rsidR="00D83F6C" w:rsidRPr="00062730">
        <w:rPr>
          <w:rStyle w:val="cpy"/>
          <w:sz w:val="22"/>
          <w:szCs w:val="22"/>
        </w:rPr>
        <w:t>,</w:t>
      </w:r>
      <w:r w:rsidR="003C51BC" w:rsidRPr="00062730">
        <w:rPr>
          <w:rStyle w:val="cpy"/>
          <w:sz w:val="22"/>
          <w:szCs w:val="22"/>
        </w:rPr>
        <w:t xml:space="preserve"> the extraordinary trustee</w:t>
      </w:r>
      <w:r w:rsidR="00D83F6C" w:rsidRPr="00062730">
        <w:rPr>
          <w:rStyle w:val="cpy"/>
          <w:sz w:val="22"/>
          <w:szCs w:val="22"/>
        </w:rPr>
        <w:t>,</w:t>
      </w:r>
      <w:r w:rsidR="003C51BC" w:rsidRPr="00062730">
        <w:rPr>
          <w:rStyle w:val="cpy"/>
          <w:sz w:val="22"/>
          <w:szCs w:val="22"/>
        </w:rPr>
        <w:t xml:space="preserve"> Ante </w:t>
      </w:r>
      <w:proofErr w:type="spellStart"/>
      <w:r w:rsidR="003C51BC" w:rsidRPr="00062730">
        <w:rPr>
          <w:rStyle w:val="cpy"/>
          <w:sz w:val="22"/>
          <w:szCs w:val="22"/>
        </w:rPr>
        <w:t>Ramljak</w:t>
      </w:r>
      <w:proofErr w:type="spellEnd"/>
      <w:r w:rsidR="00D83F6C" w:rsidRPr="00062730">
        <w:rPr>
          <w:rStyle w:val="cpy"/>
          <w:sz w:val="22"/>
          <w:szCs w:val="22"/>
        </w:rPr>
        <w:t>,</w:t>
      </w:r>
      <w:r w:rsidR="003C51BC" w:rsidRPr="00062730">
        <w:rPr>
          <w:rStyle w:val="cpy"/>
          <w:sz w:val="22"/>
          <w:szCs w:val="22"/>
        </w:rPr>
        <w:t xml:space="preserve"> engaged Price Waterhouse Coopers to prepare </w:t>
      </w:r>
      <w:r w:rsidR="00D83F6C" w:rsidRPr="00062730">
        <w:rPr>
          <w:rStyle w:val="cpy"/>
          <w:sz w:val="22"/>
          <w:szCs w:val="22"/>
        </w:rPr>
        <w:t xml:space="preserve">a </w:t>
      </w:r>
      <w:r w:rsidR="003C51BC" w:rsidRPr="00062730">
        <w:rPr>
          <w:rStyle w:val="cpy"/>
          <w:sz w:val="22"/>
          <w:szCs w:val="22"/>
        </w:rPr>
        <w:t xml:space="preserve">revised consolidated report of </w:t>
      </w:r>
      <w:proofErr w:type="spellStart"/>
      <w:r w:rsidR="0000193A" w:rsidRPr="00062730">
        <w:rPr>
          <w:i/>
          <w:sz w:val="22"/>
          <w:szCs w:val="22"/>
        </w:rPr>
        <w:t>Agrokor</w:t>
      </w:r>
      <w:r w:rsidR="00D83F6C" w:rsidRPr="00062730">
        <w:rPr>
          <w:rStyle w:val="cpy"/>
          <w:sz w:val="22"/>
          <w:szCs w:val="22"/>
        </w:rPr>
        <w:t>’s</w:t>
      </w:r>
      <w:proofErr w:type="spellEnd"/>
      <w:r w:rsidR="003C51BC" w:rsidRPr="00062730">
        <w:rPr>
          <w:rStyle w:val="cpy"/>
          <w:sz w:val="22"/>
          <w:szCs w:val="22"/>
        </w:rPr>
        <w:t xml:space="preserve"> business results. The report submitted </w:t>
      </w:r>
      <w:r w:rsidR="0000193A" w:rsidRPr="00062730">
        <w:rPr>
          <w:rStyle w:val="cpy"/>
          <w:sz w:val="22"/>
          <w:szCs w:val="22"/>
        </w:rPr>
        <w:t xml:space="preserve">to the </w:t>
      </w:r>
      <w:r w:rsidR="003C51BC" w:rsidRPr="00062730">
        <w:rPr>
          <w:rStyle w:val="cpy"/>
          <w:sz w:val="22"/>
          <w:szCs w:val="22"/>
        </w:rPr>
        <w:t xml:space="preserve">extraordinary trustee </w:t>
      </w:r>
      <w:r w:rsidR="0000193A" w:rsidRPr="00062730">
        <w:rPr>
          <w:rStyle w:val="cpy"/>
          <w:sz w:val="22"/>
          <w:szCs w:val="22"/>
        </w:rPr>
        <w:t xml:space="preserve">was presented in October 2017 </w:t>
      </w:r>
      <w:r w:rsidR="003C51BC" w:rsidRPr="00062730">
        <w:rPr>
          <w:rStyle w:val="cpy"/>
          <w:sz w:val="22"/>
          <w:szCs w:val="22"/>
        </w:rPr>
        <w:t>and revealed fraud</w:t>
      </w:r>
      <w:r w:rsidR="0000193A" w:rsidRPr="00062730">
        <w:rPr>
          <w:rStyle w:val="cpy"/>
          <w:sz w:val="22"/>
          <w:szCs w:val="22"/>
        </w:rPr>
        <w:t xml:space="preserve"> alleged to have occurred over the </w:t>
      </w:r>
      <w:r w:rsidR="003C51BC" w:rsidRPr="00062730">
        <w:rPr>
          <w:rStyle w:val="cpy"/>
          <w:sz w:val="22"/>
          <w:szCs w:val="22"/>
        </w:rPr>
        <w:t xml:space="preserve">past </w:t>
      </w:r>
      <w:r w:rsidR="0000193A" w:rsidRPr="00062730">
        <w:rPr>
          <w:rStyle w:val="cpy"/>
          <w:sz w:val="22"/>
          <w:szCs w:val="22"/>
        </w:rPr>
        <w:t xml:space="preserve">few </w:t>
      </w:r>
      <w:r w:rsidR="0000620E">
        <w:rPr>
          <w:rStyle w:val="cpy"/>
          <w:sz w:val="22"/>
          <w:szCs w:val="22"/>
        </w:rPr>
        <w:t>years.</w:t>
      </w:r>
    </w:p>
    <w:p w14:paraId="53673139" w14:textId="77777777" w:rsidR="0000620E" w:rsidRDefault="0000620E" w:rsidP="00C621FA">
      <w:pPr>
        <w:jc w:val="both"/>
        <w:rPr>
          <w:rStyle w:val="cpy"/>
          <w:sz w:val="22"/>
          <w:szCs w:val="22"/>
        </w:rPr>
      </w:pPr>
    </w:p>
    <w:p w14:paraId="38D8306C" w14:textId="77777777" w:rsidR="003C51BC" w:rsidRPr="00062730" w:rsidRDefault="003C51BC" w:rsidP="00C621FA">
      <w:pPr>
        <w:jc w:val="both"/>
        <w:rPr>
          <w:sz w:val="22"/>
          <w:szCs w:val="22"/>
        </w:rPr>
      </w:pPr>
      <w:r w:rsidRPr="00062730">
        <w:rPr>
          <w:rStyle w:val="cpy"/>
          <w:sz w:val="22"/>
          <w:szCs w:val="22"/>
        </w:rPr>
        <w:t xml:space="preserve">At </w:t>
      </w:r>
      <w:r w:rsidR="0000193A" w:rsidRPr="00062730">
        <w:rPr>
          <w:rStyle w:val="cpy"/>
          <w:sz w:val="22"/>
          <w:szCs w:val="22"/>
        </w:rPr>
        <w:t>present</w:t>
      </w:r>
      <w:r w:rsidRPr="00062730">
        <w:rPr>
          <w:rStyle w:val="cpy"/>
          <w:sz w:val="22"/>
          <w:szCs w:val="22"/>
        </w:rPr>
        <w:t xml:space="preserve">, the liabilities of </w:t>
      </w:r>
      <w:proofErr w:type="spellStart"/>
      <w:r w:rsidR="0000193A" w:rsidRPr="00062730">
        <w:rPr>
          <w:i/>
          <w:sz w:val="22"/>
          <w:szCs w:val="22"/>
        </w:rPr>
        <w:t>Agrokor</w:t>
      </w:r>
      <w:proofErr w:type="spellEnd"/>
      <w:r w:rsidRPr="00062730">
        <w:rPr>
          <w:rStyle w:val="cpy"/>
          <w:sz w:val="22"/>
          <w:szCs w:val="22"/>
        </w:rPr>
        <w:t xml:space="preserve"> </w:t>
      </w:r>
      <w:r w:rsidR="0000193A" w:rsidRPr="00062730">
        <w:rPr>
          <w:rStyle w:val="cpy"/>
          <w:sz w:val="22"/>
          <w:szCs w:val="22"/>
        </w:rPr>
        <w:t xml:space="preserve">are </w:t>
      </w:r>
      <w:r w:rsidR="001F25E9" w:rsidRPr="00062730">
        <w:rPr>
          <w:rStyle w:val="cpy"/>
          <w:sz w:val="22"/>
          <w:szCs w:val="22"/>
        </w:rPr>
        <w:t xml:space="preserve">estimated to be </w:t>
      </w:r>
      <w:r w:rsidR="0000193A" w:rsidRPr="00062730">
        <w:rPr>
          <w:rStyle w:val="cpy"/>
          <w:sz w:val="22"/>
          <w:szCs w:val="22"/>
        </w:rPr>
        <w:t xml:space="preserve">EUR </w:t>
      </w:r>
      <w:r w:rsidRPr="00062730">
        <w:rPr>
          <w:rStyle w:val="cpy"/>
          <w:sz w:val="22"/>
          <w:szCs w:val="22"/>
        </w:rPr>
        <w:t xml:space="preserve">1.93 billion </w:t>
      </w:r>
      <w:r w:rsidR="0000193A" w:rsidRPr="00062730">
        <w:rPr>
          <w:rStyle w:val="cpy"/>
          <w:sz w:val="22"/>
          <w:szCs w:val="22"/>
        </w:rPr>
        <w:t>greater than its assets</w:t>
      </w:r>
      <w:r w:rsidRPr="00062730">
        <w:rPr>
          <w:rStyle w:val="cpy"/>
          <w:sz w:val="22"/>
          <w:szCs w:val="22"/>
        </w:rPr>
        <w:t xml:space="preserve">. </w:t>
      </w:r>
      <w:r w:rsidR="0000193A" w:rsidRPr="00062730">
        <w:rPr>
          <w:rStyle w:val="cpy"/>
          <w:sz w:val="22"/>
          <w:szCs w:val="22"/>
        </w:rPr>
        <w:t xml:space="preserve">The report also revealed that </w:t>
      </w:r>
      <w:proofErr w:type="spellStart"/>
      <w:r w:rsidRPr="00062730">
        <w:rPr>
          <w:rStyle w:val="cpy"/>
          <w:i/>
          <w:sz w:val="22"/>
          <w:szCs w:val="22"/>
        </w:rPr>
        <w:t>Agrokor</w:t>
      </w:r>
      <w:proofErr w:type="spellEnd"/>
      <w:r w:rsidRPr="00062730">
        <w:rPr>
          <w:rStyle w:val="cpy"/>
          <w:sz w:val="22"/>
          <w:szCs w:val="22"/>
        </w:rPr>
        <w:t xml:space="preserve"> </w:t>
      </w:r>
      <w:r w:rsidR="0000193A" w:rsidRPr="00062730">
        <w:rPr>
          <w:rStyle w:val="cpy"/>
          <w:sz w:val="22"/>
          <w:szCs w:val="22"/>
        </w:rPr>
        <w:t xml:space="preserve">trading </w:t>
      </w:r>
      <w:r w:rsidRPr="00062730">
        <w:rPr>
          <w:rStyle w:val="cpy"/>
          <w:sz w:val="22"/>
          <w:szCs w:val="22"/>
        </w:rPr>
        <w:t>loss</w:t>
      </w:r>
      <w:r w:rsidR="0000193A" w:rsidRPr="00062730">
        <w:rPr>
          <w:rStyle w:val="cpy"/>
          <w:sz w:val="22"/>
          <w:szCs w:val="22"/>
        </w:rPr>
        <w:t>es</w:t>
      </w:r>
      <w:r w:rsidRPr="00062730">
        <w:rPr>
          <w:rStyle w:val="cpy"/>
          <w:sz w:val="22"/>
          <w:szCs w:val="22"/>
        </w:rPr>
        <w:t xml:space="preserve"> </w:t>
      </w:r>
      <w:r w:rsidR="0000193A" w:rsidRPr="00062730">
        <w:rPr>
          <w:rStyle w:val="cpy"/>
          <w:sz w:val="22"/>
          <w:szCs w:val="22"/>
        </w:rPr>
        <w:t xml:space="preserve">in 2016 amounted to EUR </w:t>
      </w:r>
      <w:r w:rsidRPr="00062730">
        <w:rPr>
          <w:rStyle w:val="cpy"/>
          <w:sz w:val="22"/>
          <w:szCs w:val="22"/>
        </w:rPr>
        <w:t>1.46 billion</w:t>
      </w:r>
      <w:r w:rsidR="0000193A" w:rsidRPr="00062730">
        <w:rPr>
          <w:rStyle w:val="cpy"/>
          <w:sz w:val="22"/>
          <w:szCs w:val="22"/>
        </w:rPr>
        <w:t>, EUR 1</w:t>
      </w:r>
      <w:r w:rsidRPr="00062730">
        <w:rPr>
          <w:rStyle w:val="cpy"/>
          <w:sz w:val="22"/>
          <w:szCs w:val="22"/>
        </w:rPr>
        <w:t xml:space="preserve"> billion </w:t>
      </w:r>
      <w:r w:rsidR="0000193A" w:rsidRPr="00062730">
        <w:rPr>
          <w:rStyle w:val="cpy"/>
          <w:sz w:val="22"/>
          <w:szCs w:val="22"/>
        </w:rPr>
        <w:t xml:space="preserve">more </w:t>
      </w:r>
      <w:r w:rsidRPr="00062730">
        <w:rPr>
          <w:rStyle w:val="cpy"/>
          <w:sz w:val="22"/>
          <w:szCs w:val="22"/>
        </w:rPr>
        <w:t xml:space="preserve">than in 2015. </w:t>
      </w:r>
      <w:r w:rsidR="0000193A" w:rsidRPr="00062730">
        <w:rPr>
          <w:rStyle w:val="cpy"/>
          <w:sz w:val="22"/>
          <w:szCs w:val="22"/>
        </w:rPr>
        <w:t xml:space="preserve">The scale of fraud can be estimated by comparisons with the previous </w:t>
      </w:r>
      <w:r w:rsidRPr="00062730">
        <w:rPr>
          <w:sz w:val="22"/>
          <w:szCs w:val="22"/>
        </w:rPr>
        <w:t xml:space="preserve">consolidated report, </w:t>
      </w:r>
      <w:r w:rsidR="0000193A" w:rsidRPr="00062730">
        <w:rPr>
          <w:sz w:val="22"/>
          <w:szCs w:val="22"/>
        </w:rPr>
        <w:t xml:space="preserve">in which the </w:t>
      </w:r>
      <w:r w:rsidRPr="00062730">
        <w:rPr>
          <w:sz w:val="22"/>
          <w:szCs w:val="22"/>
        </w:rPr>
        <w:t xml:space="preserve">company </w:t>
      </w:r>
      <w:r w:rsidR="0000193A" w:rsidRPr="00062730">
        <w:rPr>
          <w:sz w:val="22"/>
          <w:szCs w:val="22"/>
        </w:rPr>
        <w:t xml:space="preserve">was said to have </w:t>
      </w:r>
      <w:r w:rsidRPr="00062730">
        <w:rPr>
          <w:sz w:val="22"/>
          <w:szCs w:val="22"/>
        </w:rPr>
        <w:t xml:space="preserve">made </w:t>
      </w:r>
      <w:r w:rsidR="0000193A" w:rsidRPr="00062730">
        <w:rPr>
          <w:sz w:val="22"/>
          <w:szCs w:val="22"/>
        </w:rPr>
        <w:t xml:space="preserve">a </w:t>
      </w:r>
      <w:r w:rsidRPr="00062730">
        <w:rPr>
          <w:sz w:val="22"/>
          <w:szCs w:val="22"/>
        </w:rPr>
        <w:t>total of EUR 6.5 billion</w:t>
      </w:r>
      <w:r w:rsidR="0000193A" w:rsidRPr="00062730">
        <w:rPr>
          <w:sz w:val="22"/>
          <w:szCs w:val="22"/>
        </w:rPr>
        <w:t xml:space="preserve"> profit, while its assets were </w:t>
      </w:r>
      <w:r w:rsidRPr="00062730">
        <w:rPr>
          <w:rStyle w:val="cpy"/>
          <w:sz w:val="22"/>
          <w:szCs w:val="22"/>
        </w:rPr>
        <w:t xml:space="preserve">estimated </w:t>
      </w:r>
      <w:r w:rsidR="0000193A" w:rsidRPr="00062730">
        <w:rPr>
          <w:rStyle w:val="cpy"/>
          <w:sz w:val="22"/>
          <w:szCs w:val="22"/>
        </w:rPr>
        <w:t xml:space="preserve">as worth </w:t>
      </w:r>
      <w:r w:rsidRPr="00062730">
        <w:rPr>
          <w:rStyle w:val="cpy"/>
          <w:sz w:val="22"/>
          <w:szCs w:val="22"/>
        </w:rPr>
        <w:t xml:space="preserve">some </w:t>
      </w:r>
      <w:r w:rsidR="0000193A" w:rsidRPr="00062730">
        <w:rPr>
          <w:rStyle w:val="cpy"/>
          <w:sz w:val="22"/>
          <w:szCs w:val="22"/>
        </w:rPr>
        <w:t xml:space="preserve">EUR </w:t>
      </w:r>
      <w:r w:rsidRPr="00062730">
        <w:rPr>
          <w:rStyle w:val="cpy"/>
          <w:sz w:val="22"/>
          <w:szCs w:val="22"/>
        </w:rPr>
        <w:t>7.1 billion</w:t>
      </w:r>
      <w:r w:rsidR="0000193A" w:rsidRPr="00062730">
        <w:rPr>
          <w:rStyle w:val="cpy"/>
          <w:sz w:val="22"/>
          <w:szCs w:val="22"/>
        </w:rPr>
        <w:t>.</w:t>
      </w:r>
      <w:r w:rsidRPr="00062730">
        <w:rPr>
          <w:rStyle w:val="cpy"/>
          <w:sz w:val="22"/>
          <w:szCs w:val="22"/>
        </w:rPr>
        <w:t xml:space="preserve"> </w:t>
      </w:r>
      <w:r w:rsidRPr="00062730">
        <w:rPr>
          <w:sz w:val="22"/>
          <w:szCs w:val="22"/>
        </w:rPr>
        <w:t xml:space="preserve">At </w:t>
      </w:r>
      <w:r w:rsidR="006913D1" w:rsidRPr="00062730">
        <w:rPr>
          <w:sz w:val="22"/>
          <w:szCs w:val="22"/>
        </w:rPr>
        <w:t xml:space="preserve">present time, </w:t>
      </w:r>
      <w:proofErr w:type="spellStart"/>
      <w:r w:rsidRPr="00062730">
        <w:rPr>
          <w:i/>
          <w:sz w:val="22"/>
          <w:szCs w:val="22"/>
        </w:rPr>
        <w:t>Agrokor</w:t>
      </w:r>
      <w:proofErr w:type="spellEnd"/>
      <w:r w:rsidRPr="00062730">
        <w:rPr>
          <w:sz w:val="22"/>
          <w:szCs w:val="22"/>
        </w:rPr>
        <w:t xml:space="preserve"> is </w:t>
      </w:r>
      <w:r w:rsidR="006913D1" w:rsidRPr="00062730">
        <w:rPr>
          <w:sz w:val="22"/>
          <w:szCs w:val="22"/>
        </w:rPr>
        <w:t xml:space="preserve">likely to be </w:t>
      </w:r>
      <w:r w:rsidRPr="00062730">
        <w:rPr>
          <w:sz w:val="22"/>
          <w:szCs w:val="22"/>
        </w:rPr>
        <w:t xml:space="preserve">closer to </w:t>
      </w:r>
      <w:r w:rsidR="006913D1" w:rsidRPr="00062730">
        <w:rPr>
          <w:sz w:val="22"/>
          <w:szCs w:val="22"/>
        </w:rPr>
        <w:t xml:space="preserve">a </w:t>
      </w:r>
      <w:r w:rsidR="001F25E9" w:rsidRPr="00062730">
        <w:rPr>
          <w:sz w:val="22"/>
          <w:szCs w:val="22"/>
        </w:rPr>
        <w:t>bankruptcy</w:t>
      </w:r>
      <w:r w:rsidR="006913D1" w:rsidRPr="00062730">
        <w:rPr>
          <w:sz w:val="22"/>
          <w:szCs w:val="22"/>
        </w:rPr>
        <w:t xml:space="preserve"> outcome </w:t>
      </w:r>
      <w:r w:rsidRPr="00062730">
        <w:rPr>
          <w:sz w:val="22"/>
          <w:szCs w:val="22"/>
        </w:rPr>
        <w:t xml:space="preserve">than to rescue, </w:t>
      </w:r>
      <w:r w:rsidR="006913D1" w:rsidRPr="00062730">
        <w:rPr>
          <w:sz w:val="22"/>
          <w:szCs w:val="22"/>
        </w:rPr>
        <w:t xml:space="preserve">given that </w:t>
      </w:r>
      <w:r w:rsidRPr="00062730">
        <w:rPr>
          <w:sz w:val="22"/>
          <w:szCs w:val="22"/>
        </w:rPr>
        <w:t>its equity represents only 14</w:t>
      </w:r>
      <w:r w:rsidR="006913D1" w:rsidRPr="00062730">
        <w:rPr>
          <w:sz w:val="22"/>
          <w:szCs w:val="22"/>
        </w:rPr>
        <w:t>.</w:t>
      </w:r>
      <w:r w:rsidRPr="00062730">
        <w:rPr>
          <w:sz w:val="22"/>
          <w:szCs w:val="22"/>
        </w:rPr>
        <w:t xml:space="preserve">5% </w:t>
      </w:r>
      <w:r w:rsidR="006913D1" w:rsidRPr="00062730">
        <w:rPr>
          <w:sz w:val="22"/>
          <w:szCs w:val="22"/>
        </w:rPr>
        <w:t>of its financial resources.</w:t>
      </w:r>
    </w:p>
    <w:p w14:paraId="58C67B78" w14:textId="77777777" w:rsidR="00C621FA" w:rsidRPr="00062730" w:rsidRDefault="00C621FA" w:rsidP="00C621FA">
      <w:pPr>
        <w:jc w:val="both"/>
        <w:rPr>
          <w:rFonts w:eastAsia="Times New Roman"/>
          <w:sz w:val="22"/>
          <w:szCs w:val="22"/>
        </w:rPr>
      </w:pPr>
    </w:p>
    <w:p w14:paraId="517B9B6F" w14:textId="77777777" w:rsidR="003C51BC" w:rsidRPr="00062730" w:rsidRDefault="003C51BC" w:rsidP="00C621FA">
      <w:pPr>
        <w:jc w:val="both"/>
        <w:rPr>
          <w:rFonts w:eastAsia="Times New Roman"/>
          <w:sz w:val="22"/>
          <w:szCs w:val="22"/>
        </w:rPr>
      </w:pPr>
      <w:r w:rsidRPr="00062730">
        <w:rPr>
          <w:rFonts w:eastAsia="Times New Roman"/>
          <w:sz w:val="22"/>
          <w:szCs w:val="22"/>
        </w:rPr>
        <w:t xml:space="preserve">The extraordinary administration procedure is urgent and limited to 15 months. As one of </w:t>
      </w:r>
      <w:r w:rsidR="005E5FE6" w:rsidRPr="00062730">
        <w:rPr>
          <w:rFonts w:eastAsia="Times New Roman"/>
          <w:sz w:val="22"/>
          <w:szCs w:val="22"/>
        </w:rPr>
        <w:t xml:space="preserve">its </w:t>
      </w:r>
      <w:r w:rsidRPr="00062730">
        <w:rPr>
          <w:rFonts w:eastAsia="Times New Roman"/>
          <w:sz w:val="22"/>
          <w:szCs w:val="22"/>
        </w:rPr>
        <w:t>outcomes, the legislat</w:t>
      </w:r>
      <w:r w:rsidR="005E5FE6" w:rsidRPr="00062730">
        <w:rPr>
          <w:rFonts w:eastAsia="Times New Roman"/>
          <w:sz w:val="22"/>
          <w:szCs w:val="22"/>
        </w:rPr>
        <w:t>ion</w:t>
      </w:r>
      <w:r w:rsidRPr="00062730">
        <w:rPr>
          <w:rFonts w:eastAsia="Times New Roman"/>
          <w:sz w:val="22"/>
          <w:szCs w:val="22"/>
        </w:rPr>
        <w:t xml:space="preserve"> </w:t>
      </w:r>
      <w:r w:rsidR="005E5FE6" w:rsidRPr="00062730">
        <w:rPr>
          <w:rFonts w:eastAsia="Times New Roman"/>
          <w:sz w:val="22"/>
          <w:szCs w:val="22"/>
        </w:rPr>
        <w:t xml:space="preserve">provides for the possibility of a </w:t>
      </w:r>
      <w:r w:rsidRPr="00062730">
        <w:rPr>
          <w:rFonts w:eastAsia="Times New Roman"/>
          <w:sz w:val="22"/>
          <w:szCs w:val="22"/>
        </w:rPr>
        <w:t xml:space="preserve">settlement </w:t>
      </w:r>
      <w:r w:rsidR="005E5FE6" w:rsidRPr="00062730">
        <w:rPr>
          <w:rFonts w:eastAsia="Times New Roman"/>
          <w:sz w:val="22"/>
          <w:szCs w:val="22"/>
        </w:rPr>
        <w:t xml:space="preserve">between </w:t>
      </w:r>
      <w:r w:rsidRPr="00062730">
        <w:rPr>
          <w:rFonts w:eastAsia="Times New Roman"/>
          <w:sz w:val="22"/>
          <w:szCs w:val="22"/>
        </w:rPr>
        <w:t xml:space="preserve">debtor and creditors. </w:t>
      </w:r>
      <w:r w:rsidR="005E5FE6" w:rsidRPr="00062730">
        <w:rPr>
          <w:rFonts w:eastAsia="Times New Roman"/>
          <w:sz w:val="22"/>
          <w:szCs w:val="22"/>
        </w:rPr>
        <w:t>If s</w:t>
      </w:r>
      <w:r w:rsidRPr="00062730">
        <w:rPr>
          <w:rFonts w:eastAsia="Times New Roman"/>
          <w:sz w:val="22"/>
          <w:szCs w:val="22"/>
        </w:rPr>
        <w:t xml:space="preserve">ettlement </w:t>
      </w:r>
      <w:r w:rsidR="005E5FE6" w:rsidRPr="00062730">
        <w:rPr>
          <w:rFonts w:eastAsia="Times New Roman"/>
          <w:sz w:val="22"/>
          <w:szCs w:val="22"/>
        </w:rPr>
        <w:t xml:space="preserve">is </w:t>
      </w:r>
      <w:r w:rsidRPr="00062730">
        <w:rPr>
          <w:rFonts w:eastAsia="Times New Roman"/>
          <w:sz w:val="22"/>
          <w:szCs w:val="22"/>
        </w:rPr>
        <w:t xml:space="preserve">the solution </w:t>
      </w:r>
      <w:r w:rsidR="005E5FE6" w:rsidRPr="00062730">
        <w:rPr>
          <w:rFonts w:eastAsia="Times New Roman"/>
          <w:sz w:val="22"/>
          <w:szCs w:val="22"/>
        </w:rPr>
        <w:t xml:space="preserve">envisaged, the </w:t>
      </w:r>
      <w:r w:rsidRPr="00062730">
        <w:rPr>
          <w:rFonts w:eastAsia="Times New Roman"/>
          <w:sz w:val="22"/>
          <w:szCs w:val="22"/>
        </w:rPr>
        <w:t xml:space="preserve">extraordinary trustee </w:t>
      </w:r>
      <w:r w:rsidR="005E5FE6" w:rsidRPr="00062730">
        <w:rPr>
          <w:rFonts w:eastAsia="Times New Roman"/>
          <w:sz w:val="22"/>
          <w:szCs w:val="22"/>
        </w:rPr>
        <w:t xml:space="preserve">must provide a proposal </w:t>
      </w:r>
      <w:r w:rsidRPr="00062730">
        <w:rPr>
          <w:rFonts w:eastAsia="Times New Roman"/>
          <w:sz w:val="22"/>
          <w:szCs w:val="22"/>
        </w:rPr>
        <w:t>within 12 months from initiation of the procedure</w:t>
      </w:r>
      <w:r w:rsidR="005E5FE6" w:rsidRPr="00062730">
        <w:rPr>
          <w:rFonts w:eastAsia="Times New Roman"/>
          <w:sz w:val="22"/>
          <w:szCs w:val="22"/>
        </w:rPr>
        <w:t>, though</w:t>
      </w:r>
      <w:r w:rsidRPr="00062730">
        <w:rPr>
          <w:rFonts w:eastAsia="Times New Roman"/>
          <w:sz w:val="22"/>
          <w:szCs w:val="22"/>
        </w:rPr>
        <w:t xml:space="preserve"> </w:t>
      </w:r>
      <w:r w:rsidR="005E5FE6" w:rsidRPr="00062730">
        <w:rPr>
          <w:rFonts w:eastAsia="Times New Roman"/>
          <w:sz w:val="22"/>
          <w:szCs w:val="22"/>
        </w:rPr>
        <w:t>t</w:t>
      </w:r>
      <w:r w:rsidRPr="00062730">
        <w:rPr>
          <w:rFonts w:eastAsia="Times New Roman"/>
          <w:sz w:val="22"/>
          <w:szCs w:val="22"/>
        </w:rPr>
        <w:t xml:space="preserve">he court may postpone the deadline for </w:t>
      </w:r>
      <w:r w:rsidR="005E5FE6" w:rsidRPr="00062730">
        <w:rPr>
          <w:rFonts w:eastAsia="Times New Roman"/>
          <w:sz w:val="22"/>
          <w:szCs w:val="22"/>
        </w:rPr>
        <w:t xml:space="preserve">a further </w:t>
      </w:r>
      <w:r w:rsidRPr="00062730">
        <w:rPr>
          <w:rFonts w:eastAsia="Times New Roman"/>
          <w:sz w:val="22"/>
          <w:szCs w:val="22"/>
        </w:rPr>
        <w:t xml:space="preserve">3 months. </w:t>
      </w:r>
      <w:r w:rsidR="005E5FE6" w:rsidRPr="00062730">
        <w:rPr>
          <w:rFonts w:eastAsia="Times New Roman"/>
          <w:sz w:val="22"/>
          <w:szCs w:val="22"/>
        </w:rPr>
        <w:t>The form a s</w:t>
      </w:r>
      <w:r w:rsidRPr="00062730">
        <w:rPr>
          <w:rFonts w:eastAsia="Times New Roman"/>
          <w:sz w:val="22"/>
          <w:szCs w:val="22"/>
        </w:rPr>
        <w:t xml:space="preserve">ettlement </w:t>
      </w:r>
      <w:r w:rsidR="005E5FE6" w:rsidRPr="00062730">
        <w:rPr>
          <w:rFonts w:eastAsia="Times New Roman"/>
          <w:sz w:val="22"/>
          <w:szCs w:val="22"/>
        </w:rPr>
        <w:t xml:space="preserve">takes </w:t>
      </w:r>
      <w:r w:rsidRPr="00062730">
        <w:rPr>
          <w:rFonts w:eastAsia="Times New Roman"/>
          <w:sz w:val="22"/>
          <w:szCs w:val="22"/>
        </w:rPr>
        <w:t xml:space="preserve">is essentially </w:t>
      </w:r>
      <w:r w:rsidR="005E5FE6" w:rsidRPr="00062730">
        <w:rPr>
          <w:rFonts w:eastAsia="Times New Roman"/>
          <w:sz w:val="22"/>
          <w:szCs w:val="22"/>
        </w:rPr>
        <w:t xml:space="preserve">that of </w:t>
      </w:r>
      <w:r w:rsidRPr="00062730">
        <w:rPr>
          <w:rFonts w:eastAsia="Times New Roman"/>
          <w:sz w:val="22"/>
          <w:szCs w:val="22"/>
        </w:rPr>
        <w:t xml:space="preserve">a contract certified by court, similar to the one in </w:t>
      </w:r>
      <w:r w:rsidR="005E5FE6" w:rsidRPr="00062730">
        <w:rPr>
          <w:rFonts w:eastAsia="Times New Roman"/>
          <w:sz w:val="22"/>
          <w:szCs w:val="22"/>
        </w:rPr>
        <w:t xml:space="preserve">a </w:t>
      </w:r>
      <w:r w:rsidRPr="00062730">
        <w:rPr>
          <w:rFonts w:eastAsia="Times New Roman"/>
          <w:sz w:val="22"/>
          <w:szCs w:val="22"/>
        </w:rPr>
        <w:t xml:space="preserve">reorganization during bankruptcy proceedings. </w:t>
      </w:r>
      <w:r w:rsidR="005E5FE6" w:rsidRPr="00062730">
        <w:rPr>
          <w:rFonts w:eastAsia="Times New Roman"/>
          <w:sz w:val="22"/>
          <w:szCs w:val="22"/>
        </w:rPr>
        <w:t xml:space="preserve">As such, </w:t>
      </w:r>
      <w:r w:rsidR="005E5FE6" w:rsidRPr="00062730">
        <w:rPr>
          <w:sz w:val="22"/>
          <w:szCs w:val="22"/>
        </w:rPr>
        <w:t>i</w:t>
      </w:r>
      <w:r w:rsidRPr="00062730">
        <w:rPr>
          <w:sz w:val="22"/>
          <w:szCs w:val="22"/>
        </w:rPr>
        <w:t xml:space="preserve">t is a privileged type of reorganization </w:t>
      </w:r>
      <w:r w:rsidR="005E5FE6" w:rsidRPr="00062730">
        <w:rPr>
          <w:sz w:val="22"/>
          <w:szCs w:val="22"/>
        </w:rPr>
        <w:t xml:space="preserve">for </w:t>
      </w:r>
      <w:r w:rsidRPr="00062730">
        <w:rPr>
          <w:sz w:val="22"/>
          <w:szCs w:val="22"/>
        </w:rPr>
        <w:t xml:space="preserve">companies in financial distress within a limited time. It differs from pre-bankruptcy and bankruptcy proceedings due to </w:t>
      </w:r>
      <w:r w:rsidR="005E5FE6" w:rsidRPr="00062730">
        <w:rPr>
          <w:sz w:val="22"/>
          <w:szCs w:val="22"/>
        </w:rPr>
        <w:t xml:space="preserve">the </w:t>
      </w:r>
      <w:r w:rsidRPr="00062730">
        <w:rPr>
          <w:sz w:val="22"/>
          <w:szCs w:val="22"/>
        </w:rPr>
        <w:t xml:space="preserve">specialization of the courts and </w:t>
      </w:r>
      <w:r w:rsidR="005E5FE6" w:rsidRPr="00062730">
        <w:rPr>
          <w:sz w:val="22"/>
          <w:szCs w:val="22"/>
        </w:rPr>
        <w:t xml:space="preserve">the </w:t>
      </w:r>
      <w:r w:rsidRPr="00062730">
        <w:rPr>
          <w:sz w:val="22"/>
          <w:szCs w:val="22"/>
        </w:rPr>
        <w:t xml:space="preserve">exclusive competence of </w:t>
      </w:r>
      <w:r w:rsidR="005E5FE6" w:rsidRPr="00062730">
        <w:rPr>
          <w:sz w:val="22"/>
          <w:szCs w:val="22"/>
        </w:rPr>
        <w:t xml:space="preserve">a single </w:t>
      </w:r>
      <w:r w:rsidRPr="00062730">
        <w:rPr>
          <w:sz w:val="22"/>
          <w:szCs w:val="22"/>
        </w:rPr>
        <w:t xml:space="preserve">commercial court, because it is urgent and limited to a definite time, as well as because of the process of appointing </w:t>
      </w:r>
      <w:r w:rsidR="005E5FE6" w:rsidRPr="00062730">
        <w:rPr>
          <w:sz w:val="22"/>
          <w:szCs w:val="22"/>
        </w:rPr>
        <w:t xml:space="preserve">an </w:t>
      </w:r>
      <w:r w:rsidRPr="00062730">
        <w:rPr>
          <w:sz w:val="22"/>
          <w:szCs w:val="22"/>
        </w:rPr>
        <w:t>extraordinary trustee.</w:t>
      </w:r>
      <w:r w:rsidR="005E5FE6" w:rsidRPr="00062730">
        <w:rPr>
          <w:sz w:val="22"/>
          <w:szCs w:val="22"/>
        </w:rPr>
        <w:t xml:space="preserve"> The law’s</w:t>
      </w:r>
      <w:r w:rsidRPr="00062730">
        <w:rPr>
          <w:sz w:val="22"/>
          <w:szCs w:val="22"/>
        </w:rPr>
        <w:t xml:space="preserve"> </w:t>
      </w:r>
      <w:r w:rsidR="005E5FE6" w:rsidRPr="00062730">
        <w:rPr>
          <w:sz w:val="22"/>
          <w:szCs w:val="22"/>
        </w:rPr>
        <w:t>p</w:t>
      </w:r>
      <w:r w:rsidRPr="00062730">
        <w:rPr>
          <w:sz w:val="22"/>
          <w:szCs w:val="22"/>
        </w:rPr>
        <w:t xml:space="preserve">rovisions clearly indicate </w:t>
      </w:r>
      <w:r w:rsidR="005E5FE6" w:rsidRPr="00062730">
        <w:rPr>
          <w:sz w:val="22"/>
          <w:szCs w:val="22"/>
        </w:rPr>
        <w:t xml:space="preserve">the </w:t>
      </w:r>
      <w:r w:rsidRPr="00062730">
        <w:rPr>
          <w:sz w:val="22"/>
          <w:szCs w:val="22"/>
        </w:rPr>
        <w:t xml:space="preserve">influence of </w:t>
      </w:r>
      <w:r w:rsidR="005E5FE6" w:rsidRPr="00062730">
        <w:rPr>
          <w:sz w:val="22"/>
          <w:szCs w:val="22"/>
        </w:rPr>
        <w:t xml:space="preserve">the </w:t>
      </w:r>
      <w:r w:rsidRPr="00062730">
        <w:rPr>
          <w:sz w:val="22"/>
          <w:szCs w:val="22"/>
        </w:rPr>
        <w:t xml:space="preserve">government </w:t>
      </w:r>
      <w:r w:rsidR="005E5FE6" w:rsidRPr="00062730">
        <w:rPr>
          <w:sz w:val="22"/>
          <w:szCs w:val="22"/>
        </w:rPr>
        <w:t xml:space="preserve">in </w:t>
      </w:r>
      <w:r w:rsidRPr="00062730">
        <w:rPr>
          <w:sz w:val="22"/>
          <w:szCs w:val="22"/>
        </w:rPr>
        <w:t>resolving cris</w:t>
      </w:r>
      <w:r w:rsidR="005E5FE6" w:rsidRPr="00062730">
        <w:rPr>
          <w:sz w:val="22"/>
          <w:szCs w:val="22"/>
        </w:rPr>
        <w:t>e</w:t>
      </w:r>
      <w:r w:rsidRPr="00062730">
        <w:rPr>
          <w:sz w:val="22"/>
          <w:szCs w:val="22"/>
        </w:rPr>
        <w:t xml:space="preserve">s </w:t>
      </w:r>
      <w:r w:rsidR="005E5FE6" w:rsidRPr="00062730">
        <w:rPr>
          <w:sz w:val="22"/>
          <w:szCs w:val="22"/>
        </w:rPr>
        <w:t xml:space="preserve">involving </w:t>
      </w:r>
      <w:r w:rsidRPr="00062730">
        <w:rPr>
          <w:sz w:val="22"/>
          <w:szCs w:val="22"/>
        </w:rPr>
        <w:t>systemic companies, but also an aspiration to keep control over them in case of failure.</w:t>
      </w:r>
    </w:p>
    <w:p w14:paraId="0E06E04C" w14:textId="77777777" w:rsidR="00C621FA" w:rsidRPr="00062730" w:rsidRDefault="00C621FA" w:rsidP="00C621FA">
      <w:pPr>
        <w:jc w:val="both"/>
        <w:rPr>
          <w:sz w:val="22"/>
          <w:szCs w:val="22"/>
        </w:rPr>
      </w:pPr>
    </w:p>
    <w:p w14:paraId="38D77776" w14:textId="77777777" w:rsidR="003C51BC" w:rsidRPr="00062730" w:rsidRDefault="005E5FE6" w:rsidP="00C621FA">
      <w:pPr>
        <w:jc w:val="both"/>
        <w:rPr>
          <w:sz w:val="22"/>
          <w:szCs w:val="22"/>
        </w:rPr>
      </w:pPr>
      <w:r w:rsidRPr="00062730">
        <w:rPr>
          <w:sz w:val="22"/>
          <w:szCs w:val="22"/>
        </w:rPr>
        <w:t xml:space="preserve">Though the extraordinary administration procedure has only been going for </w:t>
      </w:r>
      <w:r w:rsidR="009D74B5" w:rsidRPr="00062730">
        <w:rPr>
          <w:sz w:val="22"/>
          <w:szCs w:val="22"/>
        </w:rPr>
        <w:t xml:space="preserve">just over six </w:t>
      </w:r>
      <w:r w:rsidRPr="00062730">
        <w:rPr>
          <w:sz w:val="22"/>
          <w:szCs w:val="22"/>
        </w:rPr>
        <w:t>months, i</w:t>
      </w:r>
      <w:r w:rsidR="003C51BC" w:rsidRPr="00062730">
        <w:rPr>
          <w:sz w:val="22"/>
          <w:szCs w:val="22"/>
        </w:rPr>
        <w:t xml:space="preserve">t is quite possible that bankruptcy proceedings may be initiated before </w:t>
      </w:r>
      <w:r w:rsidRPr="00062730">
        <w:rPr>
          <w:sz w:val="22"/>
          <w:szCs w:val="22"/>
        </w:rPr>
        <w:t xml:space="preserve">its </w:t>
      </w:r>
      <w:r w:rsidR="003C51BC" w:rsidRPr="00062730">
        <w:rPr>
          <w:sz w:val="22"/>
          <w:szCs w:val="22"/>
        </w:rPr>
        <w:t xml:space="preserve">end, which would </w:t>
      </w:r>
      <w:r w:rsidR="00BF1B56" w:rsidRPr="00062730">
        <w:rPr>
          <w:sz w:val="22"/>
          <w:szCs w:val="22"/>
        </w:rPr>
        <w:t xml:space="preserve">trigger </w:t>
      </w:r>
      <w:r w:rsidR="003C51BC" w:rsidRPr="00062730">
        <w:rPr>
          <w:sz w:val="22"/>
          <w:szCs w:val="22"/>
        </w:rPr>
        <w:t xml:space="preserve">cross border bankruptcies in affiliated and subsidiary companies in </w:t>
      </w:r>
      <w:r w:rsidR="00BF1B56" w:rsidRPr="00062730">
        <w:rPr>
          <w:sz w:val="22"/>
          <w:szCs w:val="22"/>
        </w:rPr>
        <w:t xml:space="preserve">all </w:t>
      </w:r>
      <w:r w:rsidR="003C51BC" w:rsidRPr="00062730">
        <w:rPr>
          <w:sz w:val="22"/>
          <w:szCs w:val="22"/>
        </w:rPr>
        <w:t xml:space="preserve">states of the West Balkans. The consequences of it would be </w:t>
      </w:r>
      <w:r w:rsidR="00BF1B56" w:rsidRPr="00062730">
        <w:rPr>
          <w:sz w:val="22"/>
          <w:szCs w:val="22"/>
        </w:rPr>
        <w:t xml:space="preserve">the </w:t>
      </w:r>
      <w:r w:rsidR="003C51BC" w:rsidRPr="00062730">
        <w:rPr>
          <w:sz w:val="22"/>
          <w:szCs w:val="22"/>
        </w:rPr>
        <w:t xml:space="preserve">loss of employment for tens of thousands </w:t>
      </w:r>
      <w:r w:rsidR="00BF1B56" w:rsidRPr="00062730">
        <w:rPr>
          <w:sz w:val="22"/>
          <w:szCs w:val="22"/>
        </w:rPr>
        <w:t xml:space="preserve">of </w:t>
      </w:r>
      <w:r w:rsidR="003C51BC" w:rsidRPr="00062730">
        <w:rPr>
          <w:sz w:val="22"/>
          <w:szCs w:val="22"/>
        </w:rPr>
        <w:t xml:space="preserve">employees and severe </w:t>
      </w:r>
      <w:r w:rsidR="00BF1B56" w:rsidRPr="00062730">
        <w:rPr>
          <w:sz w:val="22"/>
          <w:szCs w:val="22"/>
        </w:rPr>
        <w:t xml:space="preserve">stress </w:t>
      </w:r>
      <w:r w:rsidR="003C51BC" w:rsidRPr="00062730">
        <w:rPr>
          <w:sz w:val="22"/>
          <w:szCs w:val="22"/>
        </w:rPr>
        <w:t xml:space="preserve">on the </w:t>
      </w:r>
      <w:r w:rsidR="00BF1B56" w:rsidRPr="00062730">
        <w:rPr>
          <w:sz w:val="22"/>
          <w:szCs w:val="22"/>
        </w:rPr>
        <w:t xml:space="preserve">already </w:t>
      </w:r>
      <w:r w:rsidR="003C51BC" w:rsidRPr="00062730">
        <w:rPr>
          <w:sz w:val="22"/>
          <w:szCs w:val="22"/>
        </w:rPr>
        <w:t xml:space="preserve">weak economies of the affected countries. </w:t>
      </w:r>
      <w:r w:rsidR="00BF1B56" w:rsidRPr="00062730">
        <w:rPr>
          <w:sz w:val="22"/>
          <w:szCs w:val="22"/>
        </w:rPr>
        <w:t xml:space="preserve">However, if this were to occur, it is by no means certain that a coordinated outcome could be achieved across the group. In fact, there has already been conflict in the responses of courts outside Croatia. While the Ljubljana </w:t>
      </w:r>
      <w:r w:rsidR="003C51BC" w:rsidRPr="00062730">
        <w:rPr>
          <w:sz w:val="22"/>
          <w:szCs w:val="22"/>
        </w:rPr>
        <w:t xml:space="preserve">District Court </w:t>
      </w:r>
      <w:r w:rsidR="00BF1B56" w:rsidRPr="00062730">
        <w:rPr>
          <w:sz w:val="22"/>
          <w:szCs w:val="22"/>
        </w:rPr>
        <w:t xml:space="preserve">(Slovenia) has issued a decision in July </w:t>
      </w:r>
      <w:proofErr w:type="spellStart"/>
      <w:r w:rsidR="003C51BC" w:rsidRPr="00062730">
        <w:rPr>
          <w:sz w:val="22"/>
          <w:szCs w:val="22"/>
        </w:rPr>
        <w:t>recogni</w:t>
      </w:r>
      <w:r w:rsidR="00BF1B56" w:rsidRPr="00062730">
        <w:rPr>
          <w:sz w:val="22"/>
          <w:szCs w:val="22"/>
        </w:rPr>
        <w:t>sing</w:t>
      </w:r>
      <w:proofErr w:type="spellEnd"/>
      <w:r w:rsidR="003C51BC" w:rsidRPr="00062730">
        <w:rPr>
          <w:sz w:val="22"/>
          <w:szCs w:val="22"/>
        </w:rPr>
        <w:t xml:space="preserve"> the procedure of extraordinary administration in Zagreb</w:t>
      </w:r>
      <w:r w:rsidR="00BF1B56" w:rsidRPr="00062730">
        <w:rPr>
          <w:sz w:val="22"/>
          <w:szCs w:val="22"/>
        </w:rPr>
        <w:t xml:space="preserve"> under the Recast EIR, in August, the Belgrade </w:t>
      </w:r>
      <w:r w:rsidR="003C51BC" w:rsidRPr="00062730">
        <w:rPr>
          <w:sz w:val="22"/>
          <w:szCs w:val="22"/>
        </w:rPr>
        <w:t xml:space="preserve">Commercial Court </w:t>
      </w:r>
      <w:r w:rsidR="00BF1B56" w:rsidRPr="00062730">
        <w:rPr>
          <w:sz w:val="22"/>
          <w:szCs w:val="22"/>
        </w:rPr>
        <w:t>(</w:t>
      </w:r>
      <w:r w:rsidR="003C51BC" w:rsidRPr="00062730">
        <w:rPr>
          <w:sz w:val="22"/>
          <w:szCs w:val="22"/>
        </w:rPr>
        <w:t>Serbia</w:t>
      </w:r>
      <w:r w:rsidR="00BF1B56" w:rsidRPr="00062730">
        <w:rPr>
          <w:sz w:val="22"/>
          <w:szCs w:val="22"/>
        </w:rPr>
        <w:t>)</w:t>
      </w:r>
      <w:r w:rsidR="003C51BC" w:rsidRPr="00062730">
        <w:rPr>
          <w:sz w:val="22"/>
          <w:szCs w:val="22"/>
        </w:rPr>
        <w:t xml:space="preserve"> rejected the petition of </w:t>
      </w:r>
      <w:proofErr w:type="spellStart"/>
      <w:r w:rsidR="00BF1B56" w:rsidRPr="00062730">
        <w:rPr>
          <w:i/>
          <w:sz w:val="22"/>
          <w:szCs w:val="22"/>
        </w:rPr>
        <w:t>Agrokor</w:t>
      </w:r>
      <w:r w:rsidR="00BF1B56" w:rsidRPr="00062730">
        <w:rPr>
          <w:sz w:val="22"/>
          <w:szCs w:val="22"/>
        </w:rPr>
        <w:t>’s</w:t>
      </w:r>
      <w:proofErr w:type="spellEnd"/>
      <w:r w:rsidR="00BF1B56" w:rsidRPr="00062730">
        <w:rPr>
          <w:sz w:val="22"/>
          <w:szCs w:val="22"/>
        </w:rPr>
        <w:t xml:space="preserve"> </w:t>
      </w:r>
      <w:r w:rsidR="003C51BC" w:rsidRPr="00062730">
        <w:rPr>
          <w:sz w:val="22"/>
          <w:szCs w:val="22"/>
        </w:rPr>
        <w:t xml:space="preserve">extraordinary trustee and </w:t>
      </w:r>
      <w:r w:rsidR="00BF1B56" w:rsidRPr="00062730">
        <w:rPr>
          <w:sz w:val="22"/>
          <w:szCs w:val="22"/>
        </w:rPr>
        <w:t xml:space="preserve">instead </w:t>
      </w:r>
      <w:r w:rsidR="003C51BC" w:rsidRPr="00062730">
        <w:rPr>
          <w:sz w:val="22"/>
          <w:szCs w:val="22"/>
        </w:rPr>
        <w:t>approved measure</w:t>
      </w:r>
      <w:r w:rsidR="00BF1B56" w:rsidRPr="00062730">
        <w:rPr>
          <w:sz w:val="22"/>
          <w:szCs w:val="22"/>
        </w:rPr>
        <w:t>s</w:t>
      </w:r>
      <w:r w:rsidR="003C51BC" w:rsidRPr="00062730">
        <w:rPr>
          <w:sz w:val="22"/>
          <w:szCs w:val="22"/>
        </w:rPr>
        <w:t xml:space="preserve"> </w:t>
      </w:r>
      <w:r w:rsidR="00BF1B56" w:rsidRPr="00062730">
        <w:rPr>
          <w:sz w:val="22"/>
          <w:szCs w:val="22"/>
        </w:rPr>
        <w:t>restraining the company from</w:t>
      </w:r>
      <w:r w:rsidR="003C51BC" w:rsidRPr="00062730">
        <w:rPr>
          <w:sz w:val="22"/>
          <w:szCs w:val="22"/>
        </w:rPr>
        <w:t xml:space="preserve"> alienati</w:t>
      </w:r>
      <w:r w:rsidR="00BF1B56" w:rsidRPr="00062730">
        <w:rPr>
          <w:sz w:val="22"/>
          <w:szCs w:val="22"/>
        </w:rPr>
        <w:t>ng</w:t>
      </w:r>
      <w:r w:rsidR="003C51BC" w:rsidRPr="00062730">
        <w:rPr>
          <w:sz w:val="22"/>
          <w:szCs w:val="22"/>
        </w:rPr>
        <w:t xml:space="preserve"> and encumb</w:t>
      </w:r>
      <w:r w:rsidR="00BF1B56" w:rsidRPr="00062730">
        <w:rPr>
          <w:sz w:val="22"/>
          <w:szCs w:val="22"/>
        </w:rPr>
        <w:t>ering</w:t>
      </w:r>
      <w:r w:rsidR="003C51BC" w:rsidRPr="00062730">
        <w:rPr>
          <w:sz w:val="22"/>
          <w:szCs w:val="22"/>
        </w:rPr>
        <w:t xml:space="preserve"> </w:t>
      </w:r>
      <w:r w:rsidR="00BF1B56" w:rsidRPr="00062730">
        <w:rPr>
          <w:sz w:val="22"/>
          <w:szCs w:val="22"/>
        </w:rPr>
        <w:t xml:space="preserve">its </w:t>
      </w:r>
      <w:r w:rsidR="003C51BC" w:rsidRPr="00062730">
        <w:rPr>
          <w:sz w:val="22"/>
          <w:szCs w:val="22"/>
        </w:rPr>
        <w:t xml:space="preserve">assets </w:t>
      </w:r>
      <w:r w:rsidR="00BF1B56" w:rsidRPr="00062730">
        <w:rPr>
          <w:sz w:val="22"/>
          <w:szCs w:val="22"/>
        </w:rPr>
        <w:t xml:space="preserve">so as to </w:t>
      </w:r>
      <w:r w:rsidR="003C51BC" w:rsidRPr="00062730">
        <w:rPr>
          <w:sz w:val="22"/>
          <w:szCs w:val="22"/>
        </w:rPr>
        <w:t xml:space="preserve">protect the </w:t>
      </w:r>
      <w:r w:rsidR="00BF1B56" w:rsidRPr="00062730">
        <w:rPr>
          <w:sz w:val="22"/>
          <w:szCs w:val="22"/>
        </w:rPr>
        <w:t xml:space="preserve">applicant </w:t>
      </w:r>
      <w:r w:rsidR="003C51BC" w:rsidRPr="00062730">
        <w:rPr>
          <w:sz w:val="22"/>
          <w:szCs w:val="22"/>
        </w:rPr>
        <w:t xml:space="preserve">creditors, </w:t>
      </w:r>
      <w:proofErr w:type="spellStart"/>
      <w:r w:rsidR="003C51BC" w:rsidRPr="00062730">
        <w:rPr>
          <w:i/>
          <w:sz w:val="22"/>
          <w:szCs w:val="22"/>
        </w:rPr>
        <w:t>Sberbank</w:t>
      </w:r>
      <w:proofErr w:type="spellEnd"/>
      <w:r w:rsidR="00C57014" w:rsidRPr="00062730">
        <w:rPr>
          <w:sz w:val="22"/>
          <w:szCs w:val="22"/>
        </w:rPr>
        <w:t xml:space="preserve"> and </w:t>
      </w:r>
      <w:r w:rsidR="00C57014" w:rsidRPr="00062730">
        <w:rPr>
          <w:i/>
          <w:sz w:val="22"/>
          <w:szCs w:val="22"/>
        </w:rPr>
        <w:t xml:space="preserve">Intesa Sanpaolo </w:t>
      </w:r>
      <w:proofErr w:type="spellStart"/>
      <w:r w:rsidR="00C57014" w:rsidRPr="00062730">
        <w:rPr>
          <w:i/>
          <w:sz w:val="22"/>
          <w:szCs w:val="22"/>
        </w:rPr>
        <w:t>SpA</w:t>
      </w:r>
      <w:proofErr w:type="spellEnd"/>
      <w:r w:rsidR="00BF1B56" w:rsidRPr="00062730">
        <w:rPr>
          <w:sz w:val="22"/>
          <w:szCs w:val="22"/>
        </w:rPr>
        <w:t>.</w:t>
      </w:r>
    </w:p>
    <w:p w14:paraId="3D0EB805" w14:textId="77777777" w:rsidR="00C621FA" w:rsidRPr="00062730" w:rsidRDefault="00C621FA" w:rsidP="00C621FA">
      <w:pPr>
        <w:jc w:val="both"/>
        <w:rPr>
          <w:sz w:val="22"/>
          <w:szCs w:val="22"/>
        </w:rPr>
      </w:pPr>
    </w:p>
    <w:p w14:paraId="78B65C99" w14:textId="77777777" w:rsidR="002573A9" w:rsidRDefault="005D64C0" w:rsidP="001F25E9">
      <w:pPr>
        <w:jc w:val="both"/>
        <w:rPr>
          <w:sz w:val="22"/>
          <w:szCs w:val="22"/>
        </w:rPr>
      </w:pPr>
      <w:r w:rsidRPr="00062730">
        <w:rPr>
          <w:sz w:val="22"/>
          <w:szCs w:val="22"/>
        </w:rPr>
        <w:t>At time of writing, with the conflict between the company and its creditors unresolved, t</w:t>
      </w:r>
      <w:r w:rsidR="00485B06" w:rsidRPr="00062730">
        <w:rPr>
          <w:sz w:val="22"/>
          <w:szCs w:val="22"/>
        </w:rPr>
        <w:t xml:space="preserve">he end of the crisis is still not in sight. One solution could be agreement with </w:t>
      </w:r>
      <w:r w:rsidRPr="00062730">
        <w:rPr>
          <w:sz w:val="22"/>
          <w:szCs w:val="22"/>
        </w:rPr>
        <w:t xml:space="preserve">the </w:t>
      </w:r>
      <w:r w:rsidR="00485B06" w:rsidRPr="00062730">
        <w:rPr>
          <w:sz w:val="22"/>
          <w:szCs w:val="22"/>
        </w:rPr>
        <w:t xml:space="preserve">creditors </w:t>
      </w:r>
      <w:r w:rsidR="003F6775" w:rsidRPr="00062730">
        <w:rPr>
          <w:sz w:val="22"/>
          <w:szCs w:val="22"/>
        </w:rPr>
        <w:t xml:space="preserve">with </w:t>
      </w:r>
      <w:r w:rsidRPr="00062730">
        <w:rPr>
          <w:sz w:val="22"/>
          <w:szCs w:val="22"/>
        </w:rPr>
        <w:t xml:space="preserve">a </w:t>
      </w:r>
      <w:r w:rsidR="003F6775" w:rsidRPr="00062730">
        <w:rPr>
          <w:sz w:val="22"/>
          <w:szCs w:val="22"/>
        </w:rPr>
        <w:t xml:space="preserve">partial debt </w:t>
      </w:r>
      <w:r w:rsidR="004517F7" w:rsidRPr="00062730">
        <w:rPr>
          <w:sz w:val="22"/>
          <w:szCs w:val="22"/>
        </w:rPr>
        <w:t>forgiveness</w:t>
      </w:r>
      <w:r w:rsidR="003F6775" w:rsidRPr="00062730">
        <w:rPr>
          <w:sz w:val="22"/>
          <w:szCs w:val="22"/>
        </w:rPr>
        <w:t xml:space="preserve"> </w:t>
      </w:r>
      <w:r w:rsidR="00485B06" w:rsidRPr="00062730">
        <w:rPr>
          <w:sz w:val="22"/>
          <w:szCs w:val="22"/>
        </w:rPr>
        <w:t xml:space="preserve">and </w:t>
      </w:r>
      <w:r w:rsidRPr="00062730">
        <w:rPr>
          <w:sz w:val="22"/>
          <w:szCs w:val="22"/>
        </w:rPr>
        <w:t xml:space="preserve">some element of a debt-equity </w:t>
      </w:r>
      <w:r w:rsidR="00485B06" w:rsidRPr="00062730">
        <w:rPr>
          <w:sz w:val="22"/>
          <w:szCs w:val="22"/>
        </w:rPr>
        <w:t>conversion</w:t>
      </w:r>
      <w:r w:rsidR="003F6775" w:rsidRPr="00062730">
        <w:rPr>
          <w:sz w:val="22"/>
          <w:szCs w:val="22"/>
        </w:rPr>
        <w:t xml:space="preserve">. </w:t>
      </w:r>
      <w:r w:rsidRPr="00062730">
        <w:rPr>
          <w:sz w:val="22"/>
          <w:szCs w:val="22"/>
        </w:rPr>
        <w:t>Ano</w:t>
      </w:r>
      <w:r w:rsidR="003F6775" w:rsidRPr="00062730">
        <w:rPr>
          <w:sz w:val="22"/>
          <w:szCs w:val="22"/>
        </w:rPr>
        <w:t xml:space="preserve">ther solution could </w:t>
      </w:r>
      <w:r w:rsidRPr="00062730">
        <w:rPr>
          <w:sz w:val="22"/>
          <w:szCs w:val="22"/>
        </w:rPr>
        <w:t xml:space="preserve">well </w:t>
      </w:r>
      <w:r w:rsidR="003F6775" w:rsidRPr="00062730">
        <w:rPr>
          <w:sz w:val="22"/>
          <w:szCs w:val="22"/>
        </w:rPr>
        <w:t xml:space="preserve">be </w:t>
      </w:r>
      <w:r w:rsidRPr="00062730">
        <w:rPr>
          <w:sz w:val="22"/>
          <w:szCs w:val="22"/>
        </w:rPr>
        <w:t xml:space="preserve">the </w:t>
      </w:r>
      <w:r w:rsidR="003F6775" w:rsidRPr="00062730">
        <w:rPr>
          <w:sz w:val="22"/>
          <w:szCs w:val="22"/>
        </w:rPr>
        <w:t>bankruptcy of the concern and</w:t>
      </w:r>
      <w:r w:rsidRPr="00062730">
        <w:rPr>
          <w:sz w:val="22"/>
          <w:szCs w:val="22"/>
        </w:rPr>
        <w:t xml:space="preserve"> its subsidiaries</w:t>
      </w:r>
      <w:r w:rsidR="003F6775" w:rsidRPr="00062730">
        <w:rPr>
          <w:sz w:val="22"/>
          <w:szCs w:val="22"/>
        </w:rPr>
        <w:t>.</w:t>
      </w:r>
      <w:r w:rsidR="001F25E9" w:rsidRPr="00062730">
        <w:rPr>
          <w:sz w:val="22"/>
          <w:szCs w:val="22"/>
        </w:rPr>
        <w:t xml:space="preserve"> </w:t>
      </w:r>
      <w:r w:rsidR="00166992" w:rsidRPr="00062730">
        <w:rPr>
          <w:sz w:val="22"/>
          <w:szCs w:val="22"/>
        </w:rPr>
        <w:t>However, the case also raises the possibility of a conflict between courts, which will make the achievement of a coordinated sol</w:t>
      </w:r>
      <w:r w:rsidR="002573A9">
        <w:rPr>
          <w:sz w:val="22"/>
          <w:szCs w:val="22"/>
        </w:rPr>
        <w:t>ution that much more difficult, though the interests of the employees will depend on such a solution being found.</w:t>
      </w:r>
    </w:p>
    <w:p w14:paraId="070B500C" w14:textId="77777777" w:rsidR="002573A9" w:rsidRDefault="002573A9" w:rsidP="001F25E9">
      <w:pPr>
        <w:jc w:val="both"/>
        <w:rPr>
          <w:sz w:val="22"/>
          <w:szCs w:val="22"/>
        </w:rPr>
      </w:pPr>
    </w:p>
    <w:p w14:paraId="580A9694" w14:textId="77777777" w:rsidR="00166992" w:rsidRPr="00062730" w:rsidRDefault="00166992" w:rsidP="001F25E9">
      <w:pPr>
        <w:jc w:val="both"/>
        <w:rPr>
          <w:sz w:val="22"/>
          <w:szCs w:val="22"/>
        </w:rPr>
      </w:pPr>
      <w:r w:rsidRPr="00062730">
        <w:rPr>
          <w:sz w:val="22"/>
          <w:szCs w:val="22"/>
        </w:rPr>
        <w:t xml:space="preserve">The </w:t>
      </w:r>
      <w:proofErr w:type="spellStart"/>
      <w:r w:rsidRPr="00062730">
        <w:rPr>
          <w:i/>
          <w:sz w:val="22"/>
          <w:szCs w:val="22"/>
        </w:rPr>
        <w:t>Agrokor</w:t>
      </w:r>
      <w:proofErr w:type="spellEnd"/>
      <w:r w:rsidRPr="00062730">
        <w:rPr>
          <w:sz w:val="22"/>
          <w:szCs w:val="22"/>
        </w:rPr>
        <w:t xml:space="preserve"> case is an example of the </w:t>
      </w:r>
      <w:r w:rsidR="001F25E9" w:rsidRPr="00062730">
        <w:rPr>
          <w:sz w:val="22"/>
          <w:szCs w:val="22"/>
        </w:rPr>
        <w:t>rise and fall of a former Yugoslavia</w:t>
      </w:r>
      <w:r w:rsidRPr="00062730">
        <w:rPr>
          <w:sz w:val="22"/>
          <w:szCs w:val="22"/>
        </w:rPr>
        <w:t>n company</w:t>
      </w:r>
      <w:r w:rsidR="001F25E9" w:rsidRPr="00062730">
        <w:rPr>
          <w:sz w:val="22"/>
          <w:szCs w:val="22"/>
        </w:rPr>
        <w:t xml:space="preserve"> which was</w:t>
      </w:r>
      <w:r w:rsidRPr="00062730">
        <w:rPr>
          <w:sz w:val="22"/>
          <w:szCs w:val="22"/>
        </w:rPr>
        <w:t>,</w:t>
      </w:r>
      <w:r w:rsidR="001F25E9" w:rsidRPr="00062730">
        <w:rPr>
          <w:sz w:val="22"/>
          <w:szCs w:val="22"/>
        </w:rPr>
        <w:t xml:space="preserve"> in </w:t>
      </w:r>
      <w:r w:rsidRPr="00062730">
        <w:rPr>
          <w:sz w:val="22"/>
          <w:szCs w:val="22"/>
        </w:rPr>
        <w:t xml:space="preserve">many </w:t>
      </w:r>
      <w:r w:rsidR="001F25E9" w:rsidRPr="00062730">
        <w:rPr>
          <w:sz w:val="22"/>
          <w:szCs w:val="22"/>
        </w:rPr>
        <w:t>ways</w:t>
      </w:r>
      <w:r w:rsidRPr="00062730">
        <w:rPr>
          <w:sz w:val="22"/>
          <w:szCs w:val="22"/>
        </w:rPr>
        <w:t>,</w:t>
      </w:r>
      <w:r w:rsidR="001F25E9" w:rsidRPr="00062730">
        <w:rPr>
          <w:sz w:val="22"/>
          <w:szCs w:val="22"/>
        </w:rPr>
        <w:t xml:space="preserve"> granted privileges by the state, </w:t>
      </w:r>
      <w:r w:rsidRPr="00062730">
        <w:rPr>
          <w:sz w:val="22"/>
          <w:szCs w:val="22"/>
        </w:rPr>
        <w:t xml:space="preserve">even </w:t>
      </w:r>
      <w:r w:rsidR="001F25E9" w:rsidRPr="00062730">
        <w:rPr>
          <w:sz w:val="22"/>
          <w:szCs w:val="22"/>
        </w:rPr>
        <w:t xml:space="preserve">though it was privately owned. </w:t>
      </w:r>
      <w:r w:rsidRPr="00062730">
        <w:rPr>
          <w:sz w:val="22"/>
          <w:szCs w:val="22"/>
        </w:rPr>
        <w:t xml:space="preserve">The attempts by the </w:t>
      </w:r>
      <w:r w:rsidRPr="00062730">
        <w:rPr>
          <w:sz w:val="22"/>
          <w:szCs w:val="22"/>
        </w:rPr>
        <w:lastRenderedPageBreak/>
        <w:t xml:space="preserve">group to obtain credit for expansion and to also survive economic difficulties illustrates the difficulties such businesses have had in making the transition to the private sector. It will be interesting to see, not only what outcome now awaits the </w:t>
      </w:r>
      <w:proofErr w:type="spellStart"/>
      <w:r w:rsidRPr="00062730">
        <w:rPr>
          <w:i/>
          <w:sz w:val="22"/>
          <w:szCs w:val="22"/>
        </w:rPr>
        <w:t>Agrokor</w:t>
      </w:r>
      <w:proofErr w:type="spellEnd"/>
      <w:r w:rsidRPr="00062730">
        <w:rPr>
          <w:sz w:val="22"/>
          <w:szCs w:val="22"/>
        </w:rPr>
        <w:t xml:space="preserve"> group, but also what other companies with similar </w:t>
      </w:r>
      <w:r w:rsidR="002573A9">
        <w:rPr>
          <w:sz w:val="22"/>
          <w:szCs w:val="22"/>
        </w:rPr>
        <w:t xml:space="preserve">state </w:t>
      </w:r>
      <w:r w:rsidRPr="00062730">
        <w:rPr>
          <w:sz w:val="22"/>
          <w:szCs w:val="22"/>
        </w:rPr>
        <w:t xml:space="preserve">origins </w:t>
      </w:r>
      <w:r w:rsidR="002573A9">
        <w:rPr>
          <w:sz w:val="22"/>
          <w:szCs w:val="22"/>
        </w:rPr>
        <w:t xml:space="preserve">may </w:t>
      </w:r>
      <w:r w:rsidRPr="00062730">
        <w:rPr>
          <w:sz w:val="22"/>
          <w:szCs w:val="22"/>
        </w:rPr>
        <w:t>face difficulties in the future.</w:t>
      </w:r>
    </w:p>
    <w:p w14:paraId="293F8AC7" w14:textId="77777777" w:rsidR="00166992" w:rsidRPr="00062730" w:rsidRDefault="00166992" w:rsidP="001F25E9">
      <w:pPr>
        <w:jc w:val="both"/>
        <w:rPr>
          <w:sz w:val="22"/>
          <w:szCs w:val="22"/>
        </w:rPr>
      </w:pPr>
    </w:p>
    <w:p w14:paraId="05BBB410" w14:textId="77777777" w:rsidR="00B62413" w:rsidRPr="00062730" w:rsidRDefault="00062730" w:rsidP="00C621FA">
      <w:pPr>
        <w:rPr>
          <w:sz w:val="22"/>
          <w:szCs w:val="22"/>
        </w:rPr>
      </w:pPr>
      <w:proofErr w:type="spellStart"/>
      <w:r w:rsidRPr="00062730">
        <w:rPr>
          <w:sz w:val="22"/>
          <w:szCs w:val="22"/>
        </w:rPr>
        <w:t>Dr</w:t>
      </w:r>
      <w:proofErr w:type="spellEnd"/>
      <w:r w:rsidRPr="00062730">
        <w:rPr>
          <w:sz w:val="22"/>
          <w:szCs w:val="22"/>
        </w:rPr>
        <w:t xml:space="preserve"> </w:t>
      </w:r>
      <w:proofErr w:type="spellStart"/>
      <w:r w:rsidR="00B62413" w:rsidRPr="00062730">
        <w:rPr>
          <w:sz w:val="22"/>
          <w:szCs w:val="22"/>
        </w:rPr>
        <w:t>Djuro</w:t>
      </w:r>
      <w:proofErr w:type="spellEnd"/>
      <w:r w:rsidR="00B62413" w:rsidRPr="00062730">
        <w:rPr>
          <w:sz w:val="22"/>
          <w:szCs w:val="22"/>
        </w:rPr>
        <w:t xml:space="preserve"> M. </w:t>
      </w:r>
      <w:proofErr w:type="spellStart"/>
      <w:r w:rsidR="00B62413" w:rsidRPr="00062730">
        <w:rPr>
          <w:sz w:val="22"/>
          <w:szCs w:val="22"/>
        </w:rPr>
        <w:t>Djuric</w:t>
      </w:r>
      <w:proofErr w:type="spellEnd"/>
    </w:p>
    <w:p w14:paraId="0CF76D08" w14:textId="77777777" w:rsidR="00B62413" w:rsidRPr="00062730" w:rsidRDefault="00B62413" w:rsidP="00C621FA">
      <w:pPr>
        <w:rPr>
          <w:sz w:val="22"/>
          <w:szCs w:val="22"/>
        </w:rPr>
      </w:pPr>
      <w:r w:rsidRPr="00062730">
        <w:rPr>
          <w:sz w:val="22"/>
          <w:szCs w:val="22"/>
        </w:rPr>
        <w:t>Lecturer</w:t>
      </w:r>
      <w:r w:rsidR="00062730" w:rsidRPr="00062730">
        <w:rPr>
          <w:sz w:val="22"/>
          <w:szCs w:val="22"/>
        </w:rPr>
        <w:t>,</w:t>
      </w:r>
      <w:r w:rsidRPr="00062730">
        <w:rPr>
          <w:sz w:val="22"/>
          <w:szCs w:val="22"/>
        </w:rPr>
        <w:t xml:space="preserve"> College of Applied Studies for Economi</w:t>
      </w:r>
      <w:r w:rsidR="00062730" w:rsidRPr="00062730">
        <w:rPr>
          <w:sz w:val="22"/>
          <w:szCs w:val="22"/>
        </w:rPr>
        <w:t>cs and Administration, Belgrade</w:t>
      </w:r>
    </w:p>
    <w:p w14:paraId="0B1E8D9F" w14:textId="77777777" w:rsidR="00062730" w:rsidRPr="00062730" w:rsidRDefault="00062730" w:rsidP="00C621FA">
      <w:pPr>
        <w:rPr>
          <w:sz w:val="22"/>
          <w:szCs w:val="22"/>
          <w:lang w:val="fr-FR"/>
        </w:rPr>
      </w:pPr>
      <w:r w:rsidRPr="00062730">
        <w:rPr>
          <w:sz w:val="22"/>
          <w:szCs w:val="22"/>
          <w:lang w:val="fr-FR"/>
        </w:rPr>
        <w:t>&lt;</w:t>
      </w:r>
      <w:proofErr w:type="gramStart"/>
      <w:r w:rsidRPr="00062730">
        <w:rPr>
          <w:sz w:val="22"/>
          <w:szCs w:val="22"/>
          <w:lang w:val="fr-FR"/>
        </w:rPr>
        <w:t>djuro.mdjuric@gmail.com</w:t>
      </w:r>
      <w:proofErr w:type="gramEnd"/>
      <w:r w:rsidRPr="00062730">
        <w:rPr>
          <w:sz w:val="22"/>
          <w:szCs w:val="22"/>
          <w:lang w:val="fr-FR"/>
        </w:rPr>
        <w:t>&gt;</w:t>
      </w:r>
    </w:p>
    <w:p w14:paraId="2E2BCBB4" w14:textId="77777777" w:rsidR="00062730" w:rsidRPr="00062730" w:rsidRDefault="00062730" w:rsidP="00C621FA">
      <w:pPr>
        <w:rPr>
          <w:sz w:val="22"/>
          <w:szCs w:val="22"/>
          <w:lang w:val="fr-FR"/>
        </w:rPr>
      </w:pPr>
    </w:p>
    <w:p w14:paraId="6132820B" w14:textId="77777777" w:rsidR="00062730" w:rsidRPr="00062730" w:rsidRDefault="00062730" w:rsidP="00C621FA">
      <w:pPr>
        <w:rPr>
          <w:sz w:val="22"/>
          <w:szCs w:val="22"/>
          <w:lang w:val="fr-FR"/>
        </w:rPr>
      </w:pPr>
      <w:proofErr w:type="gramStart"/>
      <w:r w:rsidRPr="00062730">
        <w:rPr>
          <w:sz w:val="22"/>
          <w:szCs w:val="22"/>
          <w:lang w:val="fr-FR"/>
        </w:rPr>
        <w:t>and</w:t>
      </w:r>
      <w:proofErr w:type="gramEnd"/>
    </w:p>
    <w:p w14:paraId="69B3CF0A" w14:textId="77777777" w:rsidR="00062730" w:rsidRPr="00062730" w:rsidRDefault="00062730" w:rsidP="00C621FA">
      <w:pPr>
        <w:rPr>
          <w:sz w:val="22"/>
          <w:szCs w:val="22"/>
          <w:lang w:val="fr-FR"/>
        </w:rPr>
      </w:pPr>
    </w:p>
    <w:p w14:paraId="321A93D1" w14:textId="77777777" w:rsidR="00B62413" w:rsidRPr="00062730" w:rsidRDefault="00062730" w:rsidP="00C621FA">
      <w:pPr>
        <w:rPr>
          <w:sz w:val="22"/>
          <w:szCs w:val="22"/>
          <w:lang w:val="fr-FR"/>
        </w:rPr>
      </w:pPr>
      <w:r w:rsidRPr="00062730">
        <w:rPr>
          <w:sz w:val="22"/>
          <w:szCs w:val="22"/>
          <w:lang w:val="fr-FR"/>
        </w:rPr>
        <w:t xml:space="preserve">Dr </w:t>
      </w:r>
      <w:r w:rsidR="00B62413" w:rsidRPr="00062730">
        <w:rPr>
          <w:sz w:val="22"/>
          <w:szCs w:val="22"/>
          <w:lang w:val="fr-FR"/>
        </w:rPr>
        <w:t>Vladimir M. Jovanovic</w:t>
      </w:r>
    </w:p>
    <w:p w14:paraId="40A582F5" w14:textId="77777777" w:rsidR="002573A9" w:rsidRDefault="00B62413" w:rsidP="00C621FA">
      <w:pPr>
        <w:rPr>
          <w:sz w:val="22"/>
          <w:szCs w:val="22"/>
        </w:rPr>
      </w:pPr>
      <w:r w:rsidRPr="00062730">
        <w:rPr>
          <w:sz w:val="22"/>
          <w:szCs w:val="22"/>
        </w:rPr>
        <w:t>Associate Professor</w:t>
      </w:r>
      <w:r w:rsidR="00062730" w:rsidRPr="00062730">
        <w:rPr>
          <w:sz w:val="22"/>
          <w:szCs w:val="22"/>
        </w:rPr>
        <w:t>,</w:t>
      </w:r>
      <w:r w:rsidRPr="00062730">
        <w:rPr>
          <w:sz w:val="22"/>
          <w:szCs w:val="22"/>
        </w:rPr>
        <w:t xml:space="preserve"> </w:t>
      </w:r>
      <w:r w:rsidR="00062730" w:rsidRPr="00062730">
        <w:rPr>
          <w:sz w:val="22"/>
          <w:szCs w:val="22"/>
        </w:rPr>
        <w:t xml:space="preserve">University </w:t>
      </w:r>
      <w:r w:rsidRPr="00062730">
        <w:rPr>
          <w:sz w:val="22"/>
          <w:szCs w:val="22"/>
        </w:rPr>
        <w:t>Business Academy</w:t>
      </w:r>
    </w:p>
    <w:p w14:paraId="289DB62A" w14:textId="77777777" w:rsidR="00B62413" w:rsidRPr="00062730" w:rsidRDefault="00B62413" w:rsidP="00C621FA">
      <w:pPr>
        <w:rPr>
          <w:sz w:val="22"/>
          <w:szCs w:val="22"/>
        </w:rPr>
      </w:pPr>
      <w:r w:rsidRPr="00062730">
        <w:rPr>
          <w:sz w:val="22"/>
          <w:szCs w:val="22"/>
        </w:rPr>
        <w:t>Faculty of Economics and Engineering Management</w:t>
      </w:r>
      <w:r w:rsidR="00062730" w:rsidRPr="00062730">
        <w:rPr>
          <w:sz w:val="22"/>
          <w:szCs w:val="22"/>
        </w:rPr>
        <w:t>, University of Novi Sad</w:t>
      </w:r>
    </w:p>
    <w:p w14:paraId="456235D6" w14:textId="77777777" w:rsidR="00B62413" w:rsidRPr="00062730" w:rsidRDefault="00062730" w:rsidP="00C621FA">
      <w:pPr>
        <w:rPr>
          <w:sz w:val="22"/>
          <w:szCs w:val="22"/>
        </w:rPr>
      </w:pPr>
      <w:r w:rsidRPr="00062730">
        <w:rPr>
          <w:sz w:val="22"/>
          <w:szCs w:val="22"/>
        </w:rPr>
        <w:t>&lt;jovanovicvld@gmail.com&gt;</w:t>
      </w:r>
    </w:p>
    <w:sectPr w:rsidR="00B62413" w:rsidRPr="00062730" w:rsidSect="00166AE0">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9692F" w14:textId="77777777" w:rsidR="00443363" w:rsidRDefault="00443363" w:rsidP="003C51BC">
      <w:r>
        <w:separator/>
      </w:r>
    </w:p>
  </w:endnote>
  <w:endnote w:type="continuationSeparator" w:id="0">
    <w:p w14:paraId="288665C2" w14:textId="77777777" w:rsidR="00443363" w:rsidRDefault="00443363" w:rsidP="003C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CF3B" w14:textId="77777777" w:rsidR="009873AC" w:rsidRDefault="00562E10">
    <w:pPr>
      <w:pStyle w:val="Footer"/>
      <w:jc w:val="right"/>
    </w:pPr>
    <w:r>
      <w:fldChar w:fldCharType="begin"/>
    </w:r>
    <w:r w:rsidR="00C46E1B">
      <w:instrText xml:space="preserve"> PAGE   \* MERGEFORMAT </w:instrText>
    </w:r>
    <w:r>
      <w:fldChar w:fldCharType="separate"/>
    </w:r>
    <w:r w:rsidR="00B8353F">
      <w:rPr>
        <w:noProof/>
      </w:rPr>
      <w:t>2</w:t>
    </w:r>
    <w:r>
      <w:rPr>
        <w:noProof/>
      </w:rPr>
      <w:fldChar w:fldCharType="end"/>
    </w:r>
  </w:p>
  <w:p w14:paraId="46AE0BD6" w14:textId="77777777" w:rsidR="009873AC" w:rsidRDefault="004433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9E475" w14:textId="77777777" w:rsidR="00443363" w:rsidRDefault="00443363" w:rsidP="003C51BC">
      <w:r>
        <w:separator/>
      </w:r>
    </w:p>
  </w:footnote>
  <w:footnote w:type="continuationSeparator" w:id="0">
    <w:p w14:paraId="2C785E3C" w14:textId="77777777" w:rsidR="00443363" w:rsidRDefault="00443363" w:rsidP="003C51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BBF9" w14:textId="77777777" w:rsidR="00C621FA" w:rsidRDefault="00C621FA" w:rsidP="00C621FA">
    <w:pPr>
      <w:pStyle w:val="Header"/>
      <w:rPr>
        <w:rFonts w:ascii="Arial" w:hAnsi="Arial" w:cs="Arial"/>
      </w:rPr>
    </w:pPr>
    <w:r>
      <w:rPr>
        <w:rFonts w:ascii="Arial" w:hAnsi="Arial" w:cs="Arial"/>
      </w:rPr>
      <w:t>Inside Story</w:t>
    </w:r>
    <w:r w:rsidRPr="00FA64B5">
      <w:rPr>
        <w:rFonts w:ascii="Arial" w:hAnsi="Arial" w:cs="Arial"/>
      </w:rPr>
      <w:t xml:space="preserve"> </w:t>
    </w:r>
    <w:r>
      <w:rPr>
        <w:rFonts w:ascii="Arial" w:hAnsi="Arial" w:cs="Arial"/>
      </w:rPr>
      <w:t xml:space="preserve">(October </w:t>
    </w:r>
    <w:r w:rsidRPr="00FA64B5">
      <w:rPr>
        <w:rFonts w:ascii="Arial" w:hAnsi="Arial" w:cs="Arial"/>
      </w:rPr>
      <w:t>2017</w:t>
    </w:r>
    <w:r>
      <w:rPr>
        <w:rFonts w:ascii="Arial" w:hAnsi="Arial" w:cs="Arial"/>
      </w:rPr>
      <w:t>)</w:t>
    </w:r>
  </w:p>
  <w:p w14:paraId="3B4735EB" w14:textId="77777777" w:rsidR="00C621FA" w:rsidRPr="00C621FA" w:rsidRDefault="00C621FA">
    <w:pPr>
      <w:pStyle w:val="Header"/>
      <w:rPr>
        <w:rFonts w:ascii="Arial" w:hAnsi="Arial" w:cs="Arial"/>
      </w:rPr>
    </w:pPr>
    <w:proofErr w:type="spellStart"/>
    <w:r>
      <w:rPr>
        <w:rFonts w:ascii="Arial" w:hAnsi="Arial" w:cs="Arial"/>
      </w:rPr>
      <w:t>Djuro</w:t>
    </w:r>
    <w:proofErr w:type="spellEnd"/>
    <w:r>
      <w:rPr>
        <w:rFonts w:ascii="Arial" w:hAnsi="Arial" w:cs="Arial"/>
      </w:rPr>
      <w:t xml:space="preserve"> </w:t>
    </w:r>
    <w:proofErr w:type="spellStart"/>
    <w:r>
      <w:rPr>
        <w:rFonts w:ascii="Arial" w:hAnsi="Arial" w:cs="Arial"/>
      </w:rPr>
      <w:t>Djuric</w:t>
    </w:r>
    <w:proofErr w:type="spellEnd"/>
    <w:r>
      <w:rPr>
        <w:rFonts w:ascii="Arial" w:hAnsi="Arial" w:cs="Arial"/>
      </w:rPr>
      <w:t xml:space="preserve"> and Vladimir </w:t>
    </w:r>
    <w:proofErr w:type="spellStart"/>
    <w:r>
      <w:rPr>
        <w:rFonts w:ascii="Arial" w:hAnsi="Arial" w:cs="Arial"/>
      </w:rPr>
      <w:t>Jovanovic</w:t>
    </w:r>
    <w:proofErr w:type="spellEnd"/>
    <w:r>
      <w:rPr>
        <w:rFonts w:ascii="Arial" w:hAnsi="Arial" w:cs="Arial"/>
      </w:rPr>
      <w:t xml:space="preserve"> (Serbia)</w:t>
    </w:r>
  </w:p>
  <w:p w14:paraId="35EC58E1" w14:textId="77777777" w:rsidR="00C621FA" w:rsidRDefault="00C62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51BC"/>
    <w:rsid w:val="0000193A"/>
    <w:rsid w:val="00001C39"/>
    <w:rsid w:val="0000620E"/>
    <w:rsid w:val="00062730"/>
    <w:rsid w:val="00166992"/>
    <w:rsid w:val="001F25E9"/>
    <w:rsid w:val="001F6BF8"/>
    <w:rsid w:val="00205428"/>
    <w:rsid w:val="00225C90"/>
    <w:rsid w:val="002573A9"/>
    <w:rsid w:val="002B3056"/>
    <w:rsid w:val="003C51BC"/>
    <w:rsid w:val="003F6775"/>
    <w:rsid w:val="0040562E"/>
    <w:rsid w:val="00443363"/>
    <w:rsid w:val="004476EE"/>
    <w:rsid w:val="004517F7"/>
    <w:rsid w:val="00485B06"/>
    <w:rsid w:val="00533741"/>
    <w:rsid w:val="00540944"/>
    <w:rsid w:val="00552484"/>
    <w:rsid w:val="00562E10"/>
    <w:rsid w:val="005D64C0"/>
    <w:rsid w:val="005E5FE6"/>
    <w:rsid w:val="00660546"/>
    <w:rsid w:val="006913D1"/>
    <w:rsid w:val="00785D3D"/>
    <w:rsid w:val="007A1C80"/>
    <w:rsid w:val="007A7B50"/>
    <w:rsid w:val="0083439E"/>
    <w:rsid w:val="00837CB2"/>
    <w:rsid w:val="008C322A"/>
    <w:rsid w:val="009D74B5"/>
    <w:rsid w:val="00A96D32"/>
    <w:rsid w:val="00AF2ADC"/>
    <w:rsid w:val="00B62413"/>
    <w:rsid w:val="00B70F42"/>
    <w:rsid w:val="00B7374A"/>
    <w:rsid w:val="00B8353F"/>
    <w:rsid w:val="00B90C8A"/>
    <w:rsid w:val="00BF1B56"/>
    <w:rsid w:val="00C01713"/>
    <w:rsid w:val="00C46E1B"/>
    <w:rsid w:val="00C57014"/>
    <w:rsid w:val="00C621FA"/>
    <w:rsid w:val="00D83F6C"/>
    <w:rsid w:val="00E03AB1"/>
    <w:rsid w:val="00F82A7B"/>
    <w:rsid w:val="00FE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069F"/>
  <w15:docId w15:val="{FDEED5F2-7A5E-4AB8-A08E-6E7E8E2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51B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1BC"/>
    <w:pPr>
      <w:tabs>
        <w:tab w:val="center" w:pos="4680"/>
        <w:tab w:val="right" w:pos="9360"/>
      </w:tabs>
    </w:pPr>
  </w:style>
  <w:style w:type="character" w:customStyle="1" w:styleId="FooterChar">
    <w:name w:val="Footer Char"/>
    <w:basedOn w:val="DefaultParagraphFont"/>
    <w:link w:val="Footer"/>
    <w:uiPriority w:val="99"/>
    <w:rsid w:val="003C51BC"/>
    <w:rPr>
      <w:rFonts w:ascii="Times New Roman" w:eastAsia="Calibri" w:hAnsi="Times New Roman" w:cs="Times New Roman"/>
      <w:sz w:val="20"/>
      <w:szCs w:val="20"/>
    </w:rPr>
  </w:style>
  <w:style w:type="paragraph" w:styleId="FootnoteText">
    <w:name w:val="footnote text"/>
    <w:basedOn w:val="Normal"/>
    <w:link w:val="FootnoteTextChar"/>
    <w:unhideWhenUsed/>
    <w:rsid w:val="003C51BC"/>
  </w:style>
  <w:style w:type="character" w:customStyle="1" w:styleId="FootnoteTextChar">
    <w:name w:val="Footnote Text Char"/>
    <w:basedOn w:val="DefaultParagraphFont"/>
    <w:link w:val="FootnoteText"/>
    <w:rsid w:val="003C51BC"/>
    <w:rPr>
      <w:rFonts w:ascii="Times New Roman" w:eastAsia="Calibri" w:hAnsi="Times New Roman" w:cs="Times New Roman"/>
      <w:sz w:val="20"/>
      <w:szCs w:val="20"/>
    </w:rPr>
  </w:style>
  <w:style w:type="character" w:styleId="FootnoteReference">
    <w:name w:val="footnote reference"/>
    <w:semiHidden/>
    <w:unhideWhenUsed/>
    <w:rsid w:val="003C51BC"/>
    <w:rPr>
      <w:vertAlign w:val="superscript"/>
    </w:rPr>
  </w:style>
  <w:style w:type="paragraph" w:styleId="NoSpacing">
    <w:name w:val="No Spacing"/>
    <w:uiPriority w:val="1"/>
    <w:qFormat/>
    <w:rsid w:val="003C51BC"/>
    <w:pPr>
      <w:spacing w:after="0" w:line="240" w:lineRule="auto"/>
    </w:pPr>
    <w:rPr>
      <w:rFonts w:ascii="Calibri" w:eastAsia="Calibri" w:hAnsi="Calibri" w:cs="Times New Roman"/>
      <w:lang w:val="de-DE"/>
    </w:rPr>
  </w:style>
  <w:style w:type="character" w:customStyle="1" w:styleId="st">
    <w:name w:val="st"/>
    <w:basedOn w:val="DefaultParagraphFont"/>
    <w:rsid w:val="003C51BC"/>
  </w:style>
  <w:style w:type="character" w:styleId="Emphasis">
    <w:name w:val="Emphasis"/>
    <w:basedOn w:val="DefaultParagraphFont"/>
    <w:uiPriority w:val="20"/>
    <w:qFormat/>
    <w:rsid w:val="003C51BC"/>
    <w:rPr>
      <w:i/>
      <w:iCs/>
    </w:rPr>
  </w:style>
  <w:style w:type="character" w:customStyle="1" w:styleId="cpy">
    <w:name w:val="cpy"/>
    <w:basedOn w:val="DefaultParagraphFont"/>
    <w:rsid w:val="003C51BC"/>
  </w:style>
  <w:style w:type="paragraph" w:styleId="Header">
    <w:name w:val="header"/>
    <w:basedOn w:val="Normal"/>
    <w:link w:val="HeaderChar"/>
    <w:uiPriority w:val="99"/>
    <w:unhideWhenUsed/>
    <w:rsid w:val="00C621FA"/>
    <w:pPr>
      <w:tabs>
        <w:tab w:val="center" w:pos="4513"/>
        <w:tab w:val="right" w:pos="9026"/>
      </w:tabs>
    </w:pPr>
  </w:style>
  <w:style w:type="character" w:customStyle="1" w:styleId="HeaderChar">
    <w:name w:val="Header Char"/>
    <w:basedOn w:val="DefaultParagraphFont"/>
    <w:link w:val="Header"/>
    <w:uiPriority w:val="99"/>
    <w:rsid w:val="00C621FA"/>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8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1246</Words>
  <Characters>7107</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Newson</cp:lastModifiedBy>
  <cp:revision>26</cp:revision>
  <dcterms:created xsi:type="dcterms:W3CDTF">2017-10-17T13:33:00Z</dcterms:created>
  <dcterms:modified xsi:type="dcterms:W3CDTF">2017-10-26T10:42:00Z</dcterms:modified>
</cp:coreProperties>
</file>