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659EA" w14:textId="77777777" w:rsidR="00042890" w:rsidRDefault="00042890" w:rsidP="00042890">
      <w:pPr>
        <w:spacing w:after="0"/>
        <w:jc w:val="center"/>
        <w:rPr>
          <w:rFonts w:ascii="Times New Roman" w:hAnsi="Times New Roman"/>
          <w:b/>
          <w:sz w:val="22"/>
          <w:szCs w:val="22"/>
          <w:u w:val="single"/>
        </w:rPr>
      </w:pPr>
      <w:r w:rsidRPr="00357374">
        <w:rPr>
          <w:rFonts w:ascii="Verdana" w:eastAsia="Cambria" w:hAnsi="Verdana"/>
          <w:b/>
          <w:noProof/>
          <w:sz w:val="36"/>
          <w:szCs w:val="36"/>
        </w:rPr>
        <w:drawing>
          <wp:inline distT="0" distB="0" distL="0" distR="0" wp14:anchorId="77D0AFAB" wp14:editId="1BF026E4">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599413CA" w14:textId="77777777" w:rsidR="00042890" w:rsidRDefault="00042890" w:rsidP="00C2522B">
      <w:pPr>
        <w:spacing w:after="0"/>
        <w:rPr>
          <w:rFonts w:ascii="Times New Roman" w:hAnsi="Times New Roman"/>
          <w:b/>
          <w:sz w:val="22"/>
          <w:szCs w:val="22"/>
          <w:u w:val="single"/>
        </w:rPr>
      </w:pPr>
    </w:p>
    <w:p w14:paraId="20C8058D" w14:textId="77777777" w:rsidR="00C2522B" w:rsidRPr="00C2522B" w:rsidRDefault="00C2522B" w:rsidP="00042890">
      <w:pPr>
        <w:spacing w:after="0"/>
        <w:jc w:val="center"/>
        <w:rPr>
          <w:rFonts w:ascii="Times New Roman" w:hAnsi="Times New Roman"/>
          <w:b/>
          <w:sz w:val="22"/>
          <w:szCs w:val="22"/>
          <w:u w:val="single"/>
        </w:rPr>
      </w:pPr>
      <w:bookmarkStart w:id="0" w:name="_GoBack"/>
      <w:r w:rsidRPr="00C2522B">
        <w:rPr>
          <w:rFonts w:ascii="Times New Roman" w:hAnsi="Times New Roman"/>
          <w:b/>
          <w:sz w:val="22"/>
          <w:szCs w:val="22"/>
          <w:u w:val="single"/>
        </w:rPr>
        <w:t>Directors</w:t>
      </w:r>
      <w:r w:rsidR="003021B6">
        <w:rPr>
          <w:rFonts w:ascii="Times New Roman" w:hAnsi="Times New Roman"/>
          <w:b/>
          <w:sz w:val="22"/>
          <w:szCs w:val="22"/>
          <w:u w:val="single"/>
        </w:rPr>
        <w:t>’</w:t>
      </w:r>
      <w:r w:rsidRPr="00C2522B">
        <w:rPr>
          <w:rFonts w:ascii="Times New Roman" w:hAnsi="Times New Roman"/>
          <w:b/>
          <w:sz w:val="22"/>
          <w:szCs w:val="22"/>
          <w:u w:val="single"/>
        </w:rPr>
        <w:t xml:space="preserve"> Duties in Jersey: In it for the Long Haul</w:t>
      </w:r>
      <w:r>
        <w:rPr>
          <w:rFonts w:ascii="Times New Roman" w:hAnsi="Times New Roman"/>
          <w:b/>
          <w:sz w:val="22"/>
          <w:szCs w:val="22"/>
          <w:u w:val="single"/>
        </w:rPr>
        <w:t>!</w:t>
      </w:r>
    </w:p>
    <w:bookmarkEnd w:id="0"/>
    <w:p w14:paraId="3489AB8B" w14:textId="77777777" w:rsidR="00C2522B" w:rsidRPr="00C2522B" w:rsidRDefault="00C2522B" w:rsidP="00C2522B">
      <w:pPr>
        <w:spacing w:after="0"/>
        <w:rPr>
          <w:rFonts w:ascii="Times New Roman" w:hAnsi="Times New Roman"/>
          <w:sz w:val="22"/>
          <w:szCs w:val="22"/>
        </w:rPr>
      </w:pPr>
    </w:p>
    <w:p w14:paraId="2086CB9D" w14:textId="77777777" w:rsidR="00B40F88" w:rsidRPr="00C2522B" w:rsidRDefault="00404D9A" w:rsidP="00C2522B">
      <w:pPr>
        <w:spacing w:after="0"/>
        <w:rPr>
          <w:rFonts w:ascii="Times New Roman" w:hAnsi="Times New Roman"/>
          <w:sz w:val="22"/>
          <w:szCs w:val="22"/>
        </w:rPr>
      </w:pPr>
      <w:r w:rsidRPr="00C2522B">
        <w:rPr>
          <w:rFonts w:ascii="Times New Roman" w:hAnsi="Times New Roman"/>
          <w:sz w:val="22"/>
          <w:szCs w:val="22"/>
        </w:rPr>
        <w:t xml:space="preserve">The </w:t>
      </w:r>
      <w:r w:rsidR="003021B6">
        <w:rPr>
          <w:rFonts w:ascii="Times New Roman" w:hAnsi="Times New Roman"/>
          <w:sz w:val="22"/>
          <w:szCs w:val="22"/>
        </w:rPr>
        <w:t>i</w:t>
      </w:r>
      <w:r w:rsidRPr="00C2522B">
        <w:rPr>
          <w:rFonts w:ascii="Times New Roman" w:hAnsi="Times New Roman"/>
          <w:sz w:val="22"/>
          <w:szCs w:val="22"/>
        </w:rPr>
        <w:t>sland of Jersey</w:t>
      </w:r>
      <w:r w:rsidR="003021B6">
        <w:rPr>
          <w:rFonts w:ascii="Times New Roman" w:hAnsi="Times New Roman"/>
          <w:sz w:val="22"/>
          <w:szCs w:val="22"/>
        </w:rPr>
        <w:t>,</w:t>
      </w:r>
      <w:r w:rsidRPr="00C2522B">
        <w:rPr>
          <w:rFonts w:ascii="Times New Roman" w:hAnsi="Times New Roman"/>
          <w:sz w:val="22"/>
          <w:szCs w:val="22"/>
        </w:rPr>
        <w:t xml:space="preserve"> along with most other international financial centres</w:t>
      </w:r>
      <w:r w:rsidR="003021B6">
        <w:rPr>
          <w:rFonts w:ascii="Times New Roman" w:hAnsi="Times New Roman"/>
          <w:sz w:val="22"/>
          <w:szCs w:val="22"/>
        </w:rPr>
        <w:t>,</w:t>
      </w:r>
      <w:r w:rsidRPr="00C2522B">
        <w:rPr>
          <w:rFonts w:ascii="Times New Roman" w:hAnsi="Times New Roman"/>
          <w:sz w:val="22"/>
          <w:szCs w:val="22"/>
        </w:rPr>
        <w:t xml:space="preserve"> offers a range of services to the corporations and </w:t>
      </w:r>
      <w:r w:rsidR="000921F0" w:rsidRPr="00C2522B">
        <w:rPr>
          <w:rFonts w:ascii="Times New Roman" w:hAnsi="Times New Roman"/>
          <w:sz w:val="22"/>
          <w:szCs w:val="22"/>
        </w:rPr>
        <w:t>individual</w:t>
      </w:r>
      <w:r w:rsidRPr="00C2522B">
        <w:rPr>
          <w:rFonts w:ascii="Times New Roman" w:hAnsi="Times New Roman"/>
          <w:sz w:val="22"/>
          <w:szCs w:val="22"/>
        </w:rPr>
        <w:t xml:space="preserve"> who wish to take advantage of </w:t>
      </w:r>
      <w:r w:rsidR="004F57B8" w:rsidRPr="00C2522B">
        <w:rPr>
          <w:rFonts w:ascii="Times New Roman" w:hAnsi="Times New Roman"/>
          <w:sz w:val="22"/>
          <w:szCs w:val="22"/>
        </w:rPr>
        <w:t xml:space="preserve">the benefits of doing business </w:t>
      </w:r>
      <w:r w:rsidRPr="00C2522B">
        <w:rPr>
          <w:rFonts w:ascii="Times New Roman" w:hAnsi="Times New Roman"/>
          <w:sz w:val="22"/>
          <w:szCs w:val="22"/>
        </w:rPr>
        <w:t>offshore.</w:t>
      </w:r>
      <w:r w:rsidR="00C2522B" w:rsidRPr="00C2522B">
        <w:rPr>
          <w:rFonts w:ascii="Times New Roman" w:hAnsi="Times New Roman"/>
          <w:sz w:val="22"/>
          <w:szCs w:val="22"/>
        </w:rPr>
        <w:t xml:space="preserve"> </w:t>
      </w:r>
      <w:r w:rsidRPr="00C2522B">
        <w:rPr>
          <w:rFonts w:ascii="Times New Roman" w:hAnsi="Times New Roman"/>
          <w:sz w:val="22"/>
          <w:szCs w:val="22"/>
        </w:rPr>
        <w:t xml:space="preserve">Among the most important </w:t>
      </w:r>
      <w:r w:rsidR="00976F27" w:rsidRPr="00C2522B">
        <w:rPr>
          <w:rFonts w:ascii="Times New Roman" w:hAnsi="Times New Roman"/>
          <w:sz w:val="22"/>
          <w:szCs w:val="22"/>
        </w:rPr>
        <w:t xml:space="preserve">sectors is </w:t>
      </w:r>
      <w:r w:rsidRPr="00C2522B">
        <w:rPr>
          <w:rFonts w:ascii="Times New Roman" w:hAnsi="Times New Roman"/>
          <w:sz w:val="22"/>
          <w:szCs w:val="22"/>
        </w:rPr>
        <w:t xml:space="preserve">the </w:t>
      </w:r>
      <w:r w:rsidR="000921F0" w:rsidRPr="00C2522B">
        <w:rPr>
          <w:rFonts w:ascii="Times New Roman" w:hAnsi="Times New Roman"/>
          <w:sz w:val="22"/>
          <w:szCs w:val="22"/>
        </w:rPr>
        <w:t>provision</w:t>
      </w:r>
      <w:r w:rsidRPr="00C2522B">
        <w:rPr>
          <w:rFonts w:ascii="Times New Roman" w:hAnsi="Times New Roman"/>
          <w:sz w:val="22"/>
          <w:szCs w:val="22"/>
        </w:rPr>
        <w:t xml:space="preserve"> of </w:t>
      </w:r>
      <w:r w:rsidR="000921F0" w:rsidRPr="00C2522B">
        <w:rPr>
          <w:rFonts w:ascii="Times New Roman" w:hAnsi="Times New Roman"/>
          <w:sz w:val="22"/>
          <w:szCs w:val="22"/>
        </w:rPr>
        <w:t>corporate</w:t>
      </w:r>
      <w:r w:rsidRPr="00C2522B">
        <w:rPr>
          <w:rFonts w:ascii="Times New Roman" w:hAnsi="Times New Roman"/>
          <w:sz w:val="22"/>
          <w:szCs w:val="22"/>
        </w:rPr>
        <w:t xml:space="preserve"> services</w:t>
      </w:r>
      <w:r w:rsidR="00976F27" w:rsidRPr="00C2522B">
        <w:rPr>
          <w:rFonts w:ascii="Times New Roman" w:hAnsi="Times New Roman"/>
          <w:sz w:val="22"/>
          <w:szCs w:val="22"/>
        </w:rPr>
        <w:t xml:space="preserve">, </w:t>
      </w:r>
      <w:r w:rsidR="000921F0" w:rsidRPr="00C2522B">
        <w:rPr>
          <w:rFonts w:ascii="Times New Roman" w:hAnsi="Times New Roman"/>
          <w:sz w:val="22"/>
          <w:szCs w:val="22"/>
        </w:rPr>
        <w:t>typically including</w:t>
      </w:r>
      <w:r w:rsidRPr="00C2522B">
        <w:rPr>
          <w:rFonts w:ascii="Times New Roman" w:hAnsi="Times New Roman"/>
          <w:sz w:val="22"/>
          <w:szCs w:val="22"/>
        </w:rPr>
        <w:t xml:space="preserve"> a package of accounting</w:t>
      </w:r>
      <w:r w:rsidR="00976F27" w:rsidRPr="00C2522B">
        <w:rPr>
          <w:rFonts w:ascii="Times New Roman" w:hAnsi="Times New Roman"/>
          <w:sz w:val="22"/>
          <w:szCs w:val="22"/>
        </w:rPr>
        <w:t xml:space="preserve">, </w:t>
      </w:r>
      <w:r w:rsidR="000921F0" w:rsidRPr="00C2522B">
        <w:rPr>
          <w:rFonts w:ascii="Times New Roman" w:hAnsi="Times New Roman"/>
          <w:sz w:val="22"/>
          <w:szCs w:val="22"/>
        </w:rPr>
        <w:t>administrative</w:t>
      </w:r>
      <w:r w:rsidRPr="00C2522B">
        <w:rPr>
          <w:rFonts w:ascii="Times New Roman" w:hAnsi="Times New Roman"/>
          <w:sz w:val="22"/>
          <w:szCs w:val="22"/>
        </w:rPr>
        <w:t xml:space="preserve"> and statutory filing services.</w:t>
      </w:r>
      <w:r w:rsidR="00C2522B" w:rsidRPr="00C2522B">
        <w:rPr>
          <w:rFonts w:ascii="Times New Roman" w:hAnsi="Times New Roman"/>
          <w:sz w:val="22"/>
          <w:szCs w:val="22"/>
        </w:rPr>
        <w:t xml:space="preserve"> </w:t>
      </w:r>
      <w:r w:rsidRPr="00C2522B">
        <w:rPr>
          <w:rFonts w:ascii="Times New Roman" w:hAnsi="Times New Roman"/>
          <w:sz w:val="22"/>
          <w:szCs w:val="22"/>
        </w:rPr>
        <w:t>More often than not</w:t>
      </w:r>
      <w:r w:rsidR="003021B6">
        <w:rPr>
          <w:rFonts w:ascii="Times New Roman" w:hAnsi="Times New Roman"/>
          <w:sz w:val="22"/>
          <w:szCs w:val="22"/>
        </w:rPr>
        <w:t>,</w:t>
      </w:r>
      <w:r w:rsidRPr="00C2522B">
        <w:rPr>
          <w:rFonts w:ascii="Times New Roman" w:hAnsi="Times New Roman"/>
          <w:sz w:val="22"/>
          <w:szCs w:val="22"/>
        </w:rPr>
        <w:t xml:space="preserve"> th</w:t>
      </w:r>
      <w:r w:rsidR="00976F27" w:rsidRPr="00C2522B">
        <w:rPr>
          <w:rFonts w:ascii="Times New Roman" w:hAnsi="Times New Roman"/>
          <w:sz w:val="22"/>
          <w:szCs w:val="22"/>
        </w:rPr>
        <w:t xml:space="preserve">at </w:t>
      </w:r>
      <w:r w:rsidRPr="00C2522B">
        <w:rPr>
          <w:rFonts w:ascii="Times New Roman" w:hAnsi="Times New Roman"/>
          <w:sz w:val="22"/>
          <w:szCs w:val="22"/>
        </w:rPr>
        <w:t xml:space="preserve">package </w:t>
      </w:r>
      <w:r w:rsidR="00976F27" w:rsidRPr="00C2522B">
        <w:rPr>
          <w:rFonts w:ascii="Times New Roman" w:hAnsi="Times New Roman"/>
          <w:sz w:val="22"/>
          <w:szCs w:val="22"/>
        </w:rPr>
        <w:t xml:space="preserve">might </w:t>
      </w:r>
      <w:r w:rsidRPr="00C2522B">
        <w:rPr>
          <w:rFonts w:ascii="Times New Roman" w:hAnsi="Times New Roman"/>
          <w:sz w:val="22"/>
          <w:szCs w:val="22"/>
        </w:rPr>
        <w:t>also include providing local corporate or individual directors</w:t>
      </w:r>
      <w:r w:rsidR="00976F27" w:rsidRPr="00C2522B">
        <w:rPr>
          <w:rFonts w:ascii="Times New Roman" w:hAnsi="Times New Roman"/>
          <w:sz w:val="22"/>
          <w:szCs w:val="22"/>
        </w:rPr>
        <w:t xml:space="preserve"> to supervise and manage complex offshore structures</w:t>
      </w:r>
      <w:r w:rsidRPr="00C2522B">
        <w:rPr>
          <w:rFonts w:ascii="Times New Roman" w:hAnsi="Times New Roman"/>
          <w:sz w:val="22"/>
          <w:szCs w:val="22"/>
        </w:rPr>
        <w:t xml:space="preserve">. </w:t>
      </w:r>
      <w:r w:rsidR="00976F27" w:rsidRPr="00C2522B">
        <w:rPr>
          <w:rFonts w:ascii="Times New Roman" w:hAnsi="Times New Roman"/>
          <w:sz w:val="22"/>
          <w:szCs w:val="22"/>
        </w:rPr>
        <w:t>And f</w:t>
      </w:r>
      <w:r w:rsidRPr="00C2522B">
        <w:rPr>
          <w:rFonts w:ascii="Times New Roman" w:hAnsi="Times New Roman"/>
          <w:sz w:val="22"/>
          <w:szCs w:val="22"/>
        </w:rPr>
        <w:t xml:space="preserve">or </w:t>
      </w:r>
      <w:r w:rsidR="00976F27" w:rsidRPr="00C2522B">
        <w:rPr>
          <w:rFonts w:ascii="Times New Roman" w:hAnsi="Times New Roman"/>
          <w:sz w:val="22"/>
          <w:szCs w:val="22"/>
        </w:rPr>
        <w:t>Jersey</w:t>
      </w:r>
      <w:r w:rsidR="003021B6">
        <w:rPr>
          <w:rFonts w:ascii="Times New Roman" w:hAnsi="Times New Roman"/>
          <w:sz w:val="22"/>
          <w:szCs w:val="22"/>
        </w:rPr>
        <w:t>’</w:t>
      </w:r>
      <w:r w:rsidR="00976F27" w:rsidRPr="00C2522B">
        <w:rPr>
          <w:rFonts w:ascii="Times New Roman" w:hAnsi="Times New Roman"/>
          <w:sz w:val="22"/>
          <w:szCs w:val="22"/>
        </w:rPr>
        <w:t xml:space="preserve">s globally respected investment </w:t>
      </w:r>
      <w:r w:rsidRPr="00C2522B">
        <w:rPr>
          <w:rFonts w:ascii="Times New Roman" w:hAnsi="Times New Roman"/>
          <w:sz w:val="22"/>
          <w:szCs w:val="22"/>
        </w:rPr>
        <w:t>funds industry</w:t>
      </w:r>
      <w:r w:rsidR="00976F27" w:rsidRPr="00C2522B">
        <w:rPr>
          <w:rFonts w:ascii="Times New Roman" w:hAnsi="Times New Roman"/>
          <w:sz w:val="22"/>
          <w:szCs w:val="22"/>
        </w:rPr>
        <w:t>,</w:t>
      </w:r>
      <w:r w:rsidRPr="00C2522B">
        <w:rPr>
          <w:rFonts w:ascii="Times New Roman" w:hAnsi="Times New Roman"/>
          <w:sz w:val="22"/>
          <w:szCs w:val="22"/>
        </w:rPr>
        <w:t xml:space="preserve"> the availability of a pool of talented non-executive directors can be essential to deal with compliance </w:t>
      </w:r>
      <w:r w:rsidR="000921F0" w:rsidRPr="00C2522B">
        <w:rPr>
          <w:rFonts w:ascii="Times New Roman" w:hAnsi="Times New Roman"/>
          <w:sz w:val="22"/>
          <w:szCs w:val="22"/>
        </w:rPr>
        <w:t>obligations</w:t>
      </w:r>
      <w:r w:rsidR="00B40F88" w:rsidRPr="00C2522B">
        <w:rPr>
          <w:rFonts w:ascii="Times New Roman" w:hAnsi="Times New Roman"/>
          <w:sz w:val="22"/>
          <w:szCs w:val="22"/>
        </w:rPr>
        <w:t xml:space="preserve"> or </w:t>
      </w:r>
      <w:r w:rsidRPr="00C2522B">
        <w:rPr>
          <w:rFonts w:ascii="Times New Roman" w:hAnsi="Times New Roman"/>
          <w:sz w:val="22"/>
          <w:szCs w:val="22"/>
        </w:rPr>
        <w:t xml:space="preserve">to give </w:t>
      </w:r>
      <w:r w:rsidR="00B40F88" w:rsidRPr="00C2522B">
        <w:rPr>
          <w:rFonts w:ascii="Times New Roman" w:hAnsi="Times New Roman"/>
          <w:sz w:val="22"/>
          <w:szCs w:val="22"/>
        </w:rPr>
        <w:t>credibility to products being offered to the market</w:t>
      </w:r>
      <w:r w:rsidRPr="00C2522B">
        <w:rPr>
          <w:rFonts w:ascii="Times New Roman" w:hAnsi="Times New Roman"/>
          <w:sz w:val="22"/>
          <w:szCs w:val="22"/>
        </w:rPr>
        <w:t>.</w:t>
      </w:r>
    </w:p>
    <w:p w14:paraId="6E3E10E3" w14:textId="77777777" w:rsidR="00C2522B" w:rsidRDefault="00C2522B" w:rsidP="00C2522B">
      <w:pPr>
        <w:spacing w:after="0"/>
        <w:rPr>
          <w:rFonts w:ascii="Times New Roman" w:hAnsi="Times New Roman"/>
          <w:sz w:val="22"/>
          <w:szCs w:val="22"/>
        </w:rPr>
      </w:pPr>
    </w:p>
    <w:p w14:paraId="5E1ABFE9" w14:textId="77777777" w:rsidR="00A34959" w:rsidRPr="00C2522B" w:rsidRDefault="00976F27" w:rsidP="00C2522B">
      <w:pPr>
        <w:spacing w:after="0"/>
        <w:rPr>
          <w:rFonts w:ascii="Times New Roman" w:hAnsi="Times New Roman"/>
          <w:sz w:val="22"/>
          <w:szCs w:val="22"/>
        </w:rPr>
      </w:pPr>
      <w:r w:rsidRPr="00C2522B">
        <w:rPr>
          <w:rFonts w:ascii="Times New Roman" w:hAnsi="Times New Roman"/>
          <w:sz w:val="22"/>
          <w:szCs w:val="22"/>
        </w:rPr>
        <w:t>O</w:t>
      </w:r>
      <w:r w:rsidR="00B40F88" w:rsidRPr="00C2522B">
        <w:rPr>
          <w:rFonts w:ascii="Times New Roman" w:hAnsi="Times New Roman"/>
          <w:sz w:val="22"/>
          <w:szCs w:val="22"/>
        </w:rPr>
        <w:t>n the face of it</w:t>
      </w:r>
      <w:r w:rsidRPr="00C2522B">
        <w:rPr>
          <w:rFonts w:ascii="Times New Roman" w:hAnsi="Times New Roman"/>
          <w:sz w:val="22"/>
          <w:szCs w:val="22"/>
        </w:rPr>
        <w:t>, 2017 may turn out to be</w:t>
      </w:r>
      <w:r w:rsidR="00B40F88" w:rsidRPr="00C2522B">
        <w:rPr>
          <w:rFonts w:ascii="Times New Roman" w:hAnsi="Times New Roman"/>
          <w:sz w:val="22"/>
          <w:szCs w:val="22"/>
        </w:rPr>
        <w:t xml:space="preserve"> an important legal y</w:t>
      </w:r>
      <w:r w:rsidR="00340FF0" w:rsidRPr="00C2522B">
        <w:rPr>
          <w:rFonts w:ascii="Times New Roman" w:hAnsi="Times New Roman"/>
          <w:sz w:val="22"/>
          <w:szCs w:val="22"/>
        </w:rPr>
        <w:t>e</w:t>
      </w:r>
      <w:r w:rsidR="00B40F88" w:rsidRPr="00C2522B">
        <w:rPr>
          <w:rFonts w:ascii="Times New Roman" w:hAnsi="Times New Roman"/>
          <w:sz w:val="22"/>
          <w:szCs w:val="22"/>
        </w:rPr>
        <w:t>ar for</w:t>
      </w:r>
      <w:r w:rsidR="00340FF0" w:rsidRPr="00C2522B">
        <w:rPr>
          <w:rFonts w:ascii="Times New Roman" w:hAnsi="Times New Roman"/>
          <w:sz w:val="22"/>
          <w:szCs w:val="22"/>
        </w:rPr>
        <w:t xml:space="preserve"> </w:t>
      </w:r>
      <w:r w:rsidR="0098305D" w:rsidRPr="00C2522B">
        <w:rPr>
          <w:rFonts w:ascii="Times New Roman" w:hAnsi="Times New Roman"/>
          <w:sz w:val="22"/>
          <w:szCs w:val="22"/>
        </w:rPr>
        <w:t>the professional director</w:t>
      </w:r>
      <w:r w:rsidRPr="00C2522B">
        <w:rPr>
          <w:rFonts w:ascii="Times New Roman" w:hAnsi="Times New Roman"/>
          <w:sz w:val="22"/>
          <w:szCs w:val="22"/>
        </w:rPr>
        <w:t>ship</w:t>
      </w:r>
      <w:r w:rsidR="0098305D" w:rsidRPr="00C2522B">
        <w:rPr>
          <w:rFonts w:ascii="Times New Roman" w:hAnsi="Times New Roman"/>
          <w:sz w:val="22"/>
          <w:szCs w:val="22"/>
        </w:rPr>
        <w:t xml:space="preserve"> sector of </w:t>
      </w:r>
      <w:r w:rsidRPr="00C2522B">
        <w:rPr>
          <w:rFonts w:ascii="Times New Roman" w:hAnsi="Times New Roman"/>
          <w:sz w:val="22"/>
          <w:szCs w:val="22"/>
        </w:rPr>
        <w:t>Jersey</w:t>
      </w:r>
      <w:r w:rsidR="003021B6">
        <w:rPr>
          <w:rFonts w:ascii="Times New Roman" w:hAnsi="Times New Roman"/>
          <w:sz w:val="22"/>
          <w:szCs w:val="22"/>
        </w:rPr>
        <w:t>’</w:t>
      </w:r>
      <w:r w:rsidRPr="00C2522B">
        <w:rPr>
          <w:rFonts w:ascii="Times New Roman" w:hAnsi="Times New Roman"/>
          <w:sz w:val="22"/>
          <w:szCs w:val="22"/>
        </w:rPr>
        <w:t xml:space="preserve">s </w:t>
      </w:r>
      <w:r w:rsidR="00340FF0" w:rsidRPr="00C2522B">
        <w:rPr>
          <w:rFonts w:ascii="Times New Roman" w:hAnsi="Times New Roman"/>
          <w:sz w:val="22"/>
          <w:szCs w:val="22"/>
        </w:rPr>
        <w:t>financial services ind</w:t>
      </w:r>
      <w:r w:rsidR="00B40F88" w:rsidRPr="00C2522B">
        <w:rPr>
          <w:rFonts w:ascii="Times New Roman" w:hAnsi="Times New Roman"/>
          <w:sz w:val="22"/>
          <w:szCs w:val="22"/>
        </w:rPr>
        <w:t>ustry</w:t>
      </w:r>
      <w:r w:rsidR="0098305D" w:rsidRPr="00C2522B">
        <w:rPr>
          <w:rFonts w:ascii="Times New Roman" w:hAnsi="Times New Roman"/>
          <w:sz w:val="22"/>
          <w:szCs w:val="22"/>
        </w:rPr>
        <w:t>.</w:t>
      </w:r>
      <w:r w:rsidR="00C2522B" w:rsidRPr="00C2522B">
        <w:rPr>
          <w:rFonts w:ascii="Times New Roman" w:hAnsi="Times New Roman"/>
          <w:sz w:val="22"/>
          <w:szCs w:val="22"/>
        </w:rPr>
        <w:t xml:space="preserve"> </w:t>
      </w:r>
      <w:r w:rsidR="004F57B8" w:rsidRPr="00C2522B">
        <w:rPr>
          <w:rFonts w:ascii="Times New Roman" w:hAnsi="Times New Roman"/>
          <w:sz w:val="22"/>
          <w:szCs w:val="22"/>
        </w:rPr>
        <w:t>So</w:t>
      </w:r>
      <w:r w:rsidR="005E7C6B" w:rsidRPr="00C2522B">
        <w:rPr>
          <w:rFonts w:ascii="Times New Roman" w:hAnsi="Times New Roman"/>
          <w:sz w:val="22"/>
          <w:szCs w:val="22"/>
        </w:rPr>
        <w:t>me of th</w:t>
      </w:r>
      <w:r w:rsidR="004F57B8" w:rsidRPr="00C2522B">
        <w:rPr>
          <w:rFonts w:ascii="Times New Roman" w:hAnsi="Times New Roman"/>
          <w:sz w:val="22"/>
          <w:szCs w:val="22"/>
        </w:rPr>
        <w:t>e</w:t>
      </w:r>
      <w:r w:rsidR="005E7C6B" w:rsidRPr="00C2522B">
        <w:rPr>
          <w:rFonts w:ascii="Times New Roman" w:hAnsi="Times New Roman"/>
          <w:sz w:val="22"/>
          <w:szCs w:val="22"/>
        </w:rPr>
        <w:t xml:space="preserve"> </w:t>
      </w:r>
      <w:r w:rsidR="005D79E3" w:rsidRPr="00C2522B">
        <w:rPr>
          <w:rFonts w:ascii="Times New Roman" w:hAnsi="Times New Roman"/>
          <w:sz w:val="22"/>
          <w:szCs w:val="22"/>
        </w:rPr>
        <w:t xml:space="preserve">latest legal analysis may be </w:t>
      </w:r>
      <w:r w:rsidRPr="00C2522B">
        <w:rPr>
          <w:rFonts w:ascii="Times New Roman" w:hAnsi="Times New Roman"/>
          <w:sz w:val="22"/>
          <w:szCs w:val="22"/>
        </w:rPr>
        <w:t xml:space="preserve">have originated overseas </w:t>
      </w:r>
      <w:r w:rsidR="004F57B8" w:rsidRPr="00C2522B">
        <w:rPr>
          <w:rFonts w:ascii="Times New Roman" w:hAnsi="Times New Roman"/>
          <w:sz w:val="22"/>
          <w:szCs w:val="22"/>
        </w:rPr>
        <w:t>and i</w:t>
      </w:r>
      <w:r w:rsidRPr="00C2522B">
        <w:rPr>
          <w:rFonts w:ascii="Times New Roman" w:hAnsi="Times New Roman"/>
          <w:sz w:val="22"/>
          <w:szCs w:val="22"/>
        </w:rPr>
        <w:t xml:space="preserve">s </w:t>
      </w:r>
      <w:r w:rsidR="004F57B8" w:rsidRPr="00C2522B">
        <w:rPr>
          <w:rFonts w:ascii="Times New Roman" w:hAnsi="Times New Roman"/>
          <w:sz w:val="22"/>
          <w:szCs w:val="22"/>
        </w:rPr>
        <w:t>familiar to most practitioners</w:t>
      </w:r>
      <w:r w:rsidR="005D79E3" w:rsidRPr="00C2522B">
        <w:rPr>
          <w:rFonts w:ascii="Times New Roman" w:hAnsi="Times New Roman"/>
          <w:sz w:val="22"/>
          <w:szCs w:val="22"/>
        </w:rPr>
        <w:t xml:space="preserve">, </w:t>
      </w:r>
      <w:r w:rsidR="004F57B8" w:rsidRPr="00C2522B">
        <w:rPr>
          <w:rFonts w:ascii="Times New Roman" w:hAnsi="Times New Roman"/>
          <w:sz w:val="22"/>
          <w:szCs w:val="22"/>
        </w:rPr>
        <w:t xml:space="preserve">but </w:t>
      </w:r>
      <w:r w:rsidR="005D79E3" w:rsidRPr="00C2522B">
        <w:rPr>
          <w:rFonts w:ascii="Times New Roman" w:hAnsi="Times New Roman"/>
          <w:sz w:val="22"/>
          <w:szCs w:val="22"/>
        </w:rPr>
        <w:t xml:space="preserve">2017 has </w:t>
      </w:r>
      <w:r w:rsidRPr="00C2522B">
        <w:rPr>
          <w:rFonts w:ascii="Times New Roman" w:hAnsi="Times New Roman"/>
          <w:sz w:val="22"/>
          <w:szCs w:val="22"/>
        </w:rPr>
        <w:t xml:space="preserve">seen one case with a </w:t>
      </w:r>
      <w:r w:rsidR="005D79E3" w:rsidRPr="00C2522B">
        <w:rPr>
          <w:rFonts w:ascii="Times New Roman" w:hAnsi="Times New Roman"/>
          <w:sz w:val="22"/>
          <w:szCs w:val="22"/>
        </w:rPr>
        <w:t xml:space="preserve">particular Jersey gloss which </w:t>
      </w:r>
      <w:r w:rsidR="005E7C6B" w:rsidRPr="00C2522B">
        <w:rPr>
          <w:rFonts w:ascii="Times New Roman" w:hAnsi="Times New Roman"/>
          <w:sz w:val="22"/>
          <w:szCs w:val="22"/>
        </w:rPr>
        <w:t xml:space="preserve">will be relevant to professional </w:t>
      </w:r>
      <w:r w:rsidR="000921F0" w:rsidRPr="00C2522B">
        <w:rPr>
          <w:rFonts w:ascii="Times New Roman" w:hAnsi="Times New Roman"/>
          <w:sz w:val="22"/>
          <w:szCs w:val="22"/>
        </w:rPr>
        <w:t>directors</w:t>
      </w:r>
      <w:r w:rsidR="005E7C6B" w:rsidRPr="00C2522B">
        <w:rPr>
          <w:rFonts w:ascii="Times New Roman" w:hAnsi="Times New Roman"/>
          <w:sz w:val="22"/>
          <w:szCs w:val="22"/>
        </w:rPr>
        <w:t xml:space="preserve"> in </w:t>
      </w:r>
      <w:r w:rsidR="000921F0" w:rsidRPr="00C2522B">
        <w:rPr>
          <w:rFonts w:ascii="Times New Roman" w:hAnsi="Times New Roman"/>
          <w:sz w:val="22"/>
          <w:szCs w:val="22"/>
        </w:rPr>
        <w:t>Jersey</w:t>
      </w:r>
      <w:r w:rsidR="005E7C6B" w:rsidRPr="00C2522B">
        <w:rPr>
          <w:rFonts w:ascii="Times New Roman" w:hAnsi="Times New Roman"/>
          <w:sz w:val="22"/>
          <w:szCs w:val="22"/>
        </w:rPr>
        <w:t xml:space="preserve"> of whatever standing.</w:t>
      </w:r>
    </w:p>
    <w:p w14:paraId="434139C4" w14:textId="77777777" w:rsidR="00C2522B" w:rsidRDefault="00C2522B" w:rsidP="00C2522B">
      <w:pPr>
        <w:spacing w:after="0"/>
        <w:rPr>
          <w:rFonts w:ascii="Times New Roman" w:hAnsi="Times New Roman"/>
          <w:sz w:val="22"/>
          <w:szCs w:val="22"/>
          <w:u w:val="single"/>
        </w:rPr>
      </w:pPr>
    </w:p>
    <w:p w14:paraId="3851F22A" w14:textId="77777777" w:rsidR="005E7C6B" w:rsidRPr="003021B6" w:rsidRDefault="005E7C6B" w:rsidP="00C2522B">
      <w:pPr>
        <w:spacing w:after="0"/>
        <w:rPr>
          <w:rFonts w:ascii="Times New Roman" w:hAnsi="Times New Roman"/>
          <w:b/>
          <w:sz w:val="22"/>
          <w:szCs w:val="22"/>
          <w:u w:val="single"/>
        </w:rPr>
      </w:pPr>
      <w:r w:rsidRPr="003021B6">
        <w:rPr>
          <w:rFonts w:ascii="Times New Roman" w:hAnsi="Times New Roman"/>
          <w:b/>
          <w:sz w:val="22"/>
          <w:szCs w:val="22"/>
          <w:u w:val="single"/>
        </w:rPr>
        <w:t>Jersey</w:t>
      </w:r>
      <w:r w:rsidR="003021B6" w:rsidRPr="003021B6">
        <w:rPr>
          <w:rFonts w:ascii="Times New Roman" w:hAnsi="Times New Roman"/>
          <w:b/>
          <w:sz w:val="22"/>
          <w:szCs w:val="22"/>
          <w:u w:val="single"/>
        </w:rPr>
        <w:t>’</w:t>
      </w:r>
      <w:r w:rsidRPr="003021B6">
        <w:rPr>
          <w:rFonts w:ascii="Times New Roman" w:hAnsi="Times New Roman"/>
          <w:b/>
          <w:sz w:val="22"/>
          <w:szCs w:val="22"/>
          <w:u w:val="single"/>
        </w:rPr>
        <w:t xml:space="preserve">s </w:t>
      </w:r>
      <w:r w:rsidR="00C2522B" w:rsidRPr="003021B6">
        <w:rPr>
          <w:rFonts w:ascii="Times New Roman" w:hAnsi="Times New Roman"/>
          <w:b/>
          <w:sz w:val="22"/>
          <w:szCs w:val="22"/>
          <w:u w:val="single"/>
        </w:rPr>
        <w:t>L</w:t>
      </w:r>
      <w:r w:rsidRPr="003021B6">
        <w:rPr>
          <w:rFonts w:ascii="Times New Roman" w:hAnsi="Times New Roman"/>
          <w:b/>
          <w:sz w:val="22"/>
          <w:szCs w:val="22"/>
          <w:u w:val="single"/>
        </w:rPr>
        <w:t xml:space="preserve">egal </w:t>
      </w:r>
      <w:r w:rsidR="00C2522B" w:rsidRPr="003021B6">
        <w:rPr>
          <w:rFonts w:ascii="Times New Roman" w:hAnsi="Times New Roman"/>
          <w:b/>
          <w:sz w:val="22"/>
          <w:szCs w:val="22"/>
          <w:u w:val="single"/>
        </w:rPr>
        <w:t>F</w:t>
      </w:r>
      <w:r w:rsidRPr="003021B6">
        <w:rPr>
          <w:rFonts w:ascii="Times New Roman" w:hAnsi="Times New Roman"/>
          <w:b/>
          <w:sz w:val="22"/>
          <w:szCs w:val="22"/>
          <w:u w:val="single"/>
        </w:rPr>
        <w:t>ramework</w:t>
      </w:r>
    </w:p>
    <w:p w14:paraId="3AC4068E" w14:textId="77777777" w:rsidR="00C2522B" w:rsidRDefault="00C2522B" w:rsidP="00C2522B">
      <w:pPr>
        <w:spacing w:after="0"/>
        <w:rPr>
          <w:rFonts w:ascii="Times New Roman" w:hAnsi="Times New Roman"/>
          <w:sz w:val="22"/>
          <w:szCs w:val="22"/>
        </w:rPr>
      </w:pPr>
    </w:p>
    <w:p w14:paraId="0D3C5280" w14:textId="77777777" w:rsidR="000C4532" w:rsidRDefault="000921F0" w:rsidP="00C2522B">
      <w:pPr>
        <w:spacing w:after="0"/>
        <w:rPr>
          <w:rFonts w:ascii="Times New Roman" w:hAnsi="Times New Roman"/>
          <w:sz w:val="22"/>
          <w:szCs w:val="22"/>
        </w:rPr>
      </w:pPr>
      <w:r w:rsidRPr="00C2522B">
        <w:rPr>
          <w:rFonts w:ascii="Times New Roman" w:hAnsi="Times New Roman"/>
          <w:sz w:val="22"/>
          <w:szCs w:val="22"/>
        </w:rPr>
        <w:t xml:space="preserve">The </w:t>
      </w:r>
      <w:r w:rsidR="004F57B8" w:rsidRPr="00C2522B">
        <w:rPr>
          <w:rFonts w:ascii="Times New Roman" w:hAnsi="Times New Roman"/>
          <w:sz w:val="22"/>
          <w:szCs w:val="22"/>
        </w:rPr>
        <w:t xml:space="preserve">scope and nature of </w:t>
      </w:r>
      <w:r w:rsidRPr="00C2522B">
        <w:rPr>
          <w:rFonts w:ascii="Times New Roman" w:hAnsi="Times New Roman"/>
          <w:sz w:val="22"/>
          <w:szCs w:val="22"/>
        </w:rPr>
        <w:t>statutory duties owed to a company by its directors have been relatively free from litigation in Jersey.</w:t>
      </w:r>
      <w:r w:rsidR="00C2522B" w:rsidRPr="00C2522B">
        <w:rPr>
          <w:rFonts w:ascii="Times New Roman" w:hAnsi="Times New Roman"/>
          <w:sz w:val="22"/>
          <w:szCs w:val="22"/>
        </w:rPr>
        <w:t xml:space="preserve"> </w:t>
      </w:r>
      <w:r w:rsidR="0098305D" w:rsidRPr="00C2522B">
        <w:rPr>
          <w:rFonts w:ascii="Times New Roman" w:hAnsi="Times New Roman"/>
          <w:sz w:val="22"/>
          <w:szCs w:val="22"/>
        </w:rPr>
        <w:t>The Jersey statute</w:t>
      </w:r>
      <w:r w:rsidR="00C2522B">
        <w:rPr>
          <w:rFonts w:ascii="Times New Roman" w:hAnsi="Times New Roman"/>
          <w:sz w:val="22"/>
          <w:szCs w:val="22"/>
        </w:rPr>
        <w:t>:</w:t>
      </w:r>
      <w:r w:rsidR="0098305D" w:rsidRPr="00C2522B">
        <w:rPr>
          <w:rFonts w:ascii="Times New Roman" w:hAnsi="Times New Roman"/>
          <w:sz w:val="22"/>
          <w:szCs w:val="22"/>
        </w:rPr>
        <w:t xml:space="preserve"> </w:t>
      </w:r>
      <w:r w:rsidR="000C4532" w:rsidRPr="00C2522B">
        <w:rPr>
          <w:rFonts w:ascii="Times New Roman" w:hAnsi="Times New Roman"/>
          <w:sz w:val="22"/>
          <w:szCs w:val="22"/>
        </w:rPr>
        <w:t>Article 74 of the Companies (Jersey) Law 1991</w:t>
      </w:r>
      <w:r w:rsidR="003021B6">
        <w:rPr>
          <w:rFonts w:ascii="Times New Roman" w:hAnsi="Times New Roman"/>
          <w:sz w:val="22"/>
          <w:szCs w:val="22"/>
        </w:rPr>
        <w:t>,</w:t>
      </w:r>
      <w:r w:rsidR="000C4532" w:rsidRPr="00C2522B">
        <w:rPr>
          <w:rFonts w:ascii="Times New Roman" w:hAnsi="Times New Roman"/>
          <w:sz w:val="22"/>
          <w:szCs w:val="22"/>
        </w:rPr>
        <w:t xml:space="preserve"> </w:t>
      </w:r>
      <w:r w:rsidR="0098305D" w:rsidRPr="00C2522B">
        <w:rPr>
          <w:rFonts w:ascii="Times New Roman" w:hAnsi="Times New Roman"/>
          <w:sz w:val="22"/>
          <w:szCs w:val="22"/>
        </w:rPr>
        <w:t xml:space="preserve">lacks the particularity of the English Companies Act 2006 but </w:t>
      </w:r>
      <w:r w:rsidR="000C4532" w:rsidRPr="00C2522B">
        <w:rPr>
          <w:rFonts w:ascii="Times New Roman" w:hAnsi="Times New Roman"/>
          <w:sz w:val="22"/>
          <w:szCs w:val="22"/>
        </w:rPr>
        <w:t xml:space="preserve">enacts </w:t>
      </w:r>
      <w:r w:rsidR="0098305D" w:rsidRPr="00C2522B">
        <w:rPr>
          <w:rFonts w:ascii="Times New Roman" w:hAnsi="Times New Roman"/>
          <w:sz w:val="22"/>
          <w:szCs w:val="22"/>
        </w:rPr>
        <w:t xml:space="preserve">some </w:t>
      </w:r>
      <w:r w:rsidR="000C4532" w:rsidRPr="00C2522B">
        <w:rPr>
          <w:rFonts w:ascii="Times New Roman" w:hAnsi="Times New Roman"/>
          <w:sz w:val="22"/>
          <w:szCs w:val="22"/>
        </w:rPr>
        <w:t>basic duties:</w:t>
      </w:r>
    </w:p>
    <w:p w14:paraId="5E35B4F7" w14:textId="77777777" w:rsidR="00C2522B" w:rsidRPr="00C2522B" w:rsidRDefault="00C2522B" w:rsidP="00C2522B">
      <w:pPr>
        <w:spacing w:after="0"/>
        <w:rPr>
          <w:rFonts w:ascii="Times New Roman" w:hAnsi="Times New Roman"/>
          <w:sz w:val="22"/>
          <w:szCs w:val="22"/>
        </w:rPr>
      </w:pPr>
    </w:p>
    <w:p w14:paraId="4D6C57F9" w14:textId="77777777" w:rsidR="000C4532" w:rsidRPr="00C2522B" w:rsidRDefault="003021B6" w:rsidP="00C2522B">
      <w:pPr>
        <w:pStyle w:val="Default"/>
        <w:tabs>
          <w:tab w:val="left" w:pos="851"/>
        </w:tabs>
        <w:ind w:left="851" w:hanging="567"/>
        <w:rPr>
          <w:i/>
          <w:sz w:val="22"/>
          <w:szCs w:val="22"/>
        </w:rPr>
      </w:pPr>
      <w:r>
        <w:rPr>
          <w:i/>
          <w:sz w:val="22"/>
          <w:szCs w:val="22"/>
        </w:rPr>
        <w:t>“</w:t>
      </w:r>
      <w:r w:rsidR="000C4532" w:rsidRPr="00C2522B">
        <w:rPr>
          <w:i/>
          <w:sz w:val="22"/>
          <w:szCs w:val="22"/>
        </w:rPr>
        <w:t>(1)</w:t>
      </w:r>
      <w:r w:rsidR="000C4532" w:rsidRPr="00C2522B">
        <w:rPr>
          <w:i/>
          <w:sz w:val="22"/>
          <w:szCs w:val="22"/>
        </w:rPr>
        <w:tab/>
        <w:t>A director, in exercising the director</w:t>
      </w:r>
      <w:r>
        <w:rPr>
          <w:i/>
          <w:sz w:val="22"/>
          <w:szCs w:val="22"/>
        </w:rPr>
        <w:t>’</w:t>
      </w:r>
      <w:r w:rsidR="000C4532" w:rsidRPr="00C2522B">
        <w:rPr>
          <w:i/>
          <w:sz w:val="22"/>
          <w:szCs w:val="22"/>
        </w:rPr>
        <w:t>s powers and discharging the director</w:t>
      </w:r>
      <w:r>
        <w:rPr>
          <w:i/>
          <w:sz w:val="22"/>
          <w:szCs w:val="22"/>
        </w:rPr>
        <w:t>’</w:t>
      </w:r>
      <w:r w:rsidR="000C4532" w:rsidRPr="00C2522B">
        <w:rPr>
          <w:i/>
          <w:sz w:val="22"/>
          <w:szCs w:val="22"/>
        </w:rPr>
        <w:t xml:space="preserve">s duties, shall – </w:t>
      </w:r>
    </w:p>
    <w:p w14:paraId="5077C90B" w14:textId="77777777" w:rsidR="000C4532" w:rsidRPr="00C2522B" w:rsidRDefault="000C4532" w:rsidP="00C2522B">
      <w:pPr>
        <w:pStyle w:val="Default"/>
        <w:tabs>
          <w:tab w:val="left" w:pos="1418"/>
        </w:tabs>
        <w:ind w:left="1418" w:hanging="567"/>
        <w:rPr>
          <w:i/>
          <w:sz w:val="22"/>
          <w:szCs w:val="22"/>
        </w:rPr>
      </w:pPr>
      <w:r w:rsidRPr="00C2522B">
        <w:rPr>
          <w:i/>
          <w:sz w:val="22"/>
          <w:szCs w:val="22"/>
        </w:rPr>
        <w:t>(a)</w:t>
      </w:r>
      <w:r w:rsidRPr="00C2522B">
        <w:rPr>
          <w:i/>
          <w:sz w:val="22"/>
          <w:szCs w:val="22"/>
        </w:rPr>
        <w:tab/>
        <w:t xml:space="preserve">act honestly and in good faith with a view to the best interests of the company; and </w:t>
      </w:r>
    </w:p>
    <w:p w14:paraId="1E687FD1" w14:textId="77777777" w:rsidR="000C4532" w:rsidRPr="00C2522B" w:rsidRDefault="000C4532" w:rsidP="00C2522B">
      <w:pPr>
        <w:tabs>
          <w:tab w:val="left" w:pos="1418"/>
        </w:tabs>
        <w:spacing w:after="0"/>
        <w:ind w:left="1418" w:hanging="567"/>
        <w:rPr>
          <w:rFonts w:ascii="Times New Roman" w:hAnsi="Times New Roman"/>
          <w:i/>
          <w:sz w:val="22"/>
          <w:szCs w:val="22"/>
        </w:rPr>
      </w:pPr>
      <w:r w:rsidRPr="00C2522B">
        <w:rPr>
          <w:rFonts w:ascii="Times New Roman" w:hAnsi="Times New Roman"/>
          <w:i/>
          <w:sz w:val="22"/>
          <w:szCs w:val="22"/>
        </w:rPr>
        <w:t>(b)</w:t>
      </w:r>
      <w:r w:rsidRPr="00C2522B">
        <w:rPr>
          <w:rFonts w:ascii="Times New Roman" w:hAnsi="Times New Roman"/>
          <w:i/>
          <w:sz w:val="22"/>
          <w:szCs w:val="22"/>
        </w:rPr>
        <w:tab/>
        <w:t>exercise the care, diligence and skill that a reasonably prudent person would exercise in comparable circumstances.</w:t>
      </w:r>
      <w:r w:rsidR="003021B6">
        <w:rPr>
          <w:rFonts w:ascii="Times New Roman" w:hAnsi="Times New Roman"/>
          <w:i/>
          <w:sz w:val="22"/>
          <w:szCs w:val="22"/>
        </w:rPr>
        <w:t>”</w:t>
      </w:r>
    </w:p>
    <w:p w14:paraId="29FC4015" w14:textId="77777777" w:rsidR="00C2522B" w:rsidRDefault="00C2522B" w:rsidP="00C2522B">
      <w:pPr>
        <w:spacing w:after="0"/>
        <w:rPr>
          <w:rFonts w:ascii="Times New Roman" w:hAnsi="Times New Roman"/>
          <w:sz w:val="22"/>
          <w:szCs w:val="22"/>
        </w:rPr>
      </w:pPr>
    </w:p>
    <w:p w14:paraId="4D332039" w14:textId="77777777" w:rsidR="0098305D" w:rsidRPr="00C2522B" w:rsidRDefault="0098305D" w:rsidP="00C2522B">
      <w:pPr>
        <w:spacing w:after="0"/>
        <w:rPr>
          <w:rFonts w:ascii="Times New Roman" w:hAnsi="Times New Roman"/>
          <w:sz w:val="22"/>
          <w:szCs w:val="22"/>
        </w:rPr>
      </w:pPr>
      <w:r w:rsidRPr="00C2522B">
        <w:rPr>
          <w:rFonts w:ascii="Times New Roman" w:hAnsi="Times New Roman"/>
          <w:sz w:val="22"/>
          <w:szCs w:val="22"/>
        </w:rPr>
        <w:t>W</w:t>
      </w:r>
      <w:r w:rsidR="000C4532" w:rsidRPr="00C2522B">
        <w:rPr>
          <w:rFonts w:ascii="Times New Roman" w:hAnsi="Times New Roman"/>
          <w:sz w:val="22"/>
          <w:szCs w:val="22"/>
        </w:rPr>
        <w:t xml:space="preserve">hile Jersey is a customary law jurisdiction with </w:t>
      </w:r>
      <w:r w:rsidR="000921F0" w:rsidRPr="00C2522B">
        <w:rPr>
          <w:rFonts w:ascii="Times New Roman" w:hAnsi="Times New Roman"/>
          <w:sz w:val="22"/>
          <w:szCs w:val="22"/>
        </w:rPr>
        <w:t>a legal</w:t>
      </w:r>
      <w:r w:rsidR="000C4532" w:rsidRPr="00C2522B">
        <w:rPr>
          <w:rFonts w:ascii="Times New Roman" w:hAnsi="Times New Roman"/>
          <w:sz w:val="22"/>
          <w:szCs w:val="22"/>
        </w:rPr>
        <w:t xml:space="preserve"> tradition </w:t>
      </w:r>
      <w:r w:rsidRPr="00C2522B">
        <w:rPr>
          <w:rFonts w:ascii="Times New Roman" w:hAnsi="Times New Roman"/>
          <w:sz w:val="22"/>
          <w:szCs w:val="22"/>
        </w:rPr>
        <w:t xml:space="preserve">derived </w:t>
      </w:r>
      <w:r w:rsidR="000C4532" w:rsidRPr="00C2522B">
        <w:rPr>
          <w:rFonts w:ascii="Times New Roman" w:hAnsi="Times New Roman"/>
          <w:sz w:val="22"/>
          <w:szCs w:val="22"/>
        </w:rPr>
        <w:t xml:space="preserve">on Norman French law, the </w:t>
      </w:r>
      <w:r w:rsidR="003518FD" w:rsidRPr="00C2522B">
        <w:rPr>
          <w:rFonts w:ascii="Times New Roman" w:hAnsi="Times New Roman"/>
          <w:sz w:val="22"/>
          <w:szCs w:val="22"/>
        </w:rPr>
        <w:t xml:space="preserve">learning of the </w:t>
      </w:r>
      <w:r w:rsidR="000C4532" w:rsidRPr="00C2522B">
        <w:rPr>
          <w:rFonts w:ascii="Times New Roman" w:hAnsi="Times New Roman"/>
          <w:sz w:val="22"/>
          <w:szCs w:val="22"/>
        </w:rPr>
        <w:t xml:space="preserve">Commonwealth Courts </w:t>
      </w:r>
      <w:r w:rsidR="003518FD" w:rsidRPr="00C2522B">
        <w:rPr>
          <w:rFonts w:ascii="Times New Roman" w:hAnsi="Times New Roman"/>
          <w:sz w:val="22"/>
          <w:szCs w:val="22"/>
        </w:rPr>
        <w:t xml:space="preserve">is highly </w:t>
      </w:r>
      <w:r w:rsidR="000C4532" w:rsidRPr="00C2522B">
        <w:rPr>
          <w:rFonts w:ascii="Times New Roman" w:hAnsi="Times New Roman"/>
          <w:sz w:val="22"/>
          <w:szCs w:val="22"/>
        </w:rPr>
        <w:t xml:space="preserve">persuasive </w:t>
      </w:r>
      <w:r w:rsidR="003518FD" w:rsidRPr="00C2522B">
        <w:rPr>
          <w:rFonts w:ascii="Times New Roman" w:hAnsi="Times New Roman"/>
          <w:sz w:val="22"/>
          <w:szCs w:val="22"/>
        </w:rPr>
        <w:t xml:space="preserve">in considering statutory provisions with a shared </w:t>
      </w:r>
      <w:r w:rsidRPr="00C2522B">
        <w:rPr>
          <w:rFonts w:ascii="Times New Roman" w:hAnsi="Times New Roman"/>
          <w:sz w:val="22"/>
          <w:szCs w:val="22"/>
        </w:rPr>
        <w:t xml:space="preserve">heritage as in the case of the Jersey Law and the </w:t>
      </w:r>
      <w:r w:rsidR="00C2522B">
        <w:rPr>
          <w:rFonts w:ascii="Times New Roman" w:hAnsi="Times New Roman"/>
          <w:sz w:val="22"/>
          <w:szCs w:val="22"/>
        </w:rPr>
        <w:t>UK</w:t>
      </w:r>
      <w:r w:rsidRPr="00C2522B">
        <w:rPr>
          <w:rFonts w:ascii="Times New Roman" w:hAnsi="Times New Roman"/>
          <w:sz w:val="22"/>
          <w:szCs w:val="22"/>
        </w:rPr>
        <w:t xml:space="preserve"> </w:t>
      </w:r>
      <w:r w:rsidR="000921F0" w:rsidRPr="00C2522B">
        <w:rPr>
          <w:rFonts w:ascii="Times New Roman" w:hAnsi="Times New Roman"/>
          <w:sz w:val="22"/>
          <w:szCs w:val="22"/>
        </w:rPr>
        <w:t>Companies</w:t>
      </w:r>
      <w:r w:rsidRPr="00C2522B">
        <w:rPr>
          <w:rFonts w:ascii="Times New Roman" w:hAnsi="Times New Roman"/>
          <w:sz w:val="22"/>
          <w:szCs w:val="22"/>
        </w:rPr>
        <w:t xml:space="preserve"> Act 200</w:t>
      </w:r>
      <w:r w:rsidR="00C2522B">
        <w:rPr>
          <w:rFonts w:ascii="Times New Roman" w:hAnsi="Times New Roman"/>
          <w:sz w:val="22"/>
          <w:szCs w:val="22"/>
        </w:rPr>
        <w:t>6</w:t>
      </w:r>
      <w:r w:rsidRPr="00C2522B">
        <w:rPr>
          <w:rFonts w:ascii="Times New Roman" w:hAnsi="Times New Roman"/>
          <w:sz w:val="22"/>
          <w:szCs w:val="22"/>
        </w:rPr>
        <w:t xml:space="preserve"> which have a common ancestor in the </w:t>
      </w:r>
      <w:r w:rsidR="00C2522B">
        <w:rPr>
          <w:rFonts w:ascii="Times New Roman" w:hAnsi="Times New Roman"/>
          <w:sz w:val="22"/>
          <w:szCs w:val="22"/>
        </w:rPr>
        <w:t xml:space="preserve">UK </w:t>
      </w:r>
      <w:r w:rsidRPr="00C2522B">
        <w:rPr>
          <w:rFonts w:ascii="Times New Roman" w:hAnsi="Times New Roman"/>
          <w:sz w:val="22"/>
          <w:szCs w:val="22"/>
        </w:rPr>
        <w:t>Companies</w:t>
      </w:r>
      <w:r w:rsidR="00C2522B">
        <w:rPr>
          <w:rFonts w:ascii="Times New Roman" w:hAnsi="Times New Roman"/>
          <w:sz w:val="22"/>
          <w:szCs w:val="22"/>
        </w:rPr>
        <w:t xml:space="preserve"> Act 1985</w:t>
      </w:r>
      <w:r w:rsidR="003518FD" w:rsidRPr="00C2522B">
        <w:rPr>
          <w:rFonts w:ascii="Times New Roman" w:hAnsi="Times New Roman"/>
          <w:sz w:val="22"/>
          <w:szCs w:val="22"/>
        </w:rPr>
        <w:t>.</w:t>
      </w:r>
      <w:r w:rsidR="00C2522B" w:rsidRPr="00C2522B">
        <w:rPr>
          <w:rFonts w:ascii="Times New Roman" w:hAnsi="Times New Roman"/>
          <w:sz w:val="22"/>
          <w:szCs w:val="22"/>
        </w:rPr>
        <w:t xml:space="preserve"> </w:t>
      </w:r>
      <w:r w:rsidR="004F57B8" w:rsidRPr="00C2522B">
        <w:rPr>
          <w:rFonts w:ascii="Times New Roman" w:hAnsi="Times New Roman"/>
          <w:sz w:val="22"/>
          <w:szCs w:val="22"/>
        </w:rPr>
        <w:t>With that in mind</w:t>
      </w:r>
      <w:r w:rsidR="00C2522B">
        <w:rPr>
          <w:rFonts w:ascii="Times New Roman" w:hAnsi="Times New Roman"/>
          <w:sz w:val="22"/>
          <w:szCs w:val="22"/>
        </w:rPr>
        <w:t>,</w:t>
      </w:r>
      <w:r w:rsidR="004F57B8" w:rsidRPr="00C2522B">
        <w:rPr>
          <w:rFonts w:ascii="Times New Roman" w:hAnsi="Times New Roman"/>
          <w:sz w:val="22"/>
          <w:szCs w:val="22"/>
        </w:rPr>
        <w:t xml:space="preserve"> the Jersey jurisprudence for directors leans heavily on the English authorities but develops alongside the law of Guernsey which shares a French heritage.</w:t>
      </w:r>
    </w:p>
    <w:p w14:paraId="3D680632" w14:textId="77777777" w:rsidR="00C2522B" w:rsidRDefault="00C2522B" w:rsidP="00C2522B">
      <w:pPr>
        <w:spacing w:after="0"/>
        <w:rPr>
          <w:rFonts w:ascii="Times New Roman" w:hAnsi="Times New Roman"/>
          <w:sz w:val="22"/>
          <w:szCs w:val="22"/>
          <w:u w:val="single"/>
        </w:rPr>
      </w:pPr>
    </w:p>
    <w:p w14:paraId="5AC27DAF" w14:textId="77777777" w:rsidR="00593E77" w:rsidRPr="003021B6" w:rsidRDefault="00593E77" w:rsidP="00C2522B">
      <w:pPr>
        <w:spacing w:after="0"/>
        <w:rPr>
          <w:rFonts w:ascii="Times New Roman" w:hAnsi="Times New Roman"/>
          <w:i/>
          <w:sz w:val="22"/>
          <w:szCs w:val="22"/>
        </w:rPr>
      </w:pPr>
      <w:r w:rsidRPr="003021B6">
        <w:rPr>
          <w:rFonts w:ascii="Times New Roman" w:hAnsi="Times New Roman"/>
          <w:i/>
          <w:sz w:val="22"/>
          <w:szCs w:val="22"/>
        </w:rPr>
        <w:t>Carlyle</w:t>
      </w:r>
    </w:p>
    <w:p w14:paraId="725C9463" w14:textId="77777777" w:rsidR="00C2522B" w:rsidRDefault="00C2522B" w:rsidP="00C2522B">
      <w:pPr>
        <w:spacing w:after="0"/>
        <w:rPr>
          <w:rFonts w:ascii="Times New Roman" w:hAnsi="Times New Roman"/>
          <w:sz w:val="22"/>
          <w:szCs w:val="22"/>
        </w:rPr>
      </w:pPr>
    </w:p>
    <w:p w14:paraId="64B596CB" w14:textId="77777777" w:rsidR="005D79E3" w:rsidRPr="00C2522B" w:rsidRDefault="004F57B8" w:rsidP="00C2522B">
      <w:pPr>
        <w:spacing w:after="0"/>
        <w:rPr>
          <w:rFonts w:ascii="Times New Roman" w:hAnsi="Times New Roman"/>
          <w:sz w:val="22"/>
          <w:szCs w:val="22"/>
        </w:rPr>
      </w:pPr>
      <w:r w:rsidRPr="00C2522B">
        <w:rPr>
          <w:rFonts w:ascii="Times New Roman" w:hAnsi="Times New Roman"/>
          <w:sz w:val="22"/>
          <w:szCs w:val="22"/>
        </w:rPr>
        <w:t>In this note</w:t>
      </w:r>
      <w:r w:rsidR="00C2522B">
        <w:rPr>
          <w:rFonts w:ascii="Times New Roman" w:hAnsi="Times New Roman"/>
          <w:sz w:val="22"/>
          <w:szCs w:val="22"/>
        </w:rPr>
        <w:t>,</w:t>
      </w:r>
      <w:r w:rsidRPr="00C2522B">
        <w:rPr>
          <w:rFonts w:ascii="Times New Roman" w:hAnsi="Times New Roman"/>
          <w:sz w:val="22"/>
          <w:szCs w:val="22"/>
        </w:rPr>
        <w:t xml:space="preserve"> </w:t>
      </w:r>
      <w:r w:rsidR="000033DF" w:rsidRPr="00C2522B">
        <w:rPr>
          <w:rFonts w:ascii="Times New Roman" w:hAnsi="Times New Roman"/>
          <w:sz w:val="22"/>
          <w:szCs w:val="22"/>
        </w:rPr>
        <w:t>i</w:t>
      </w:r>
      <w:r w:rsidR="00740F50" w:rsidRPr="00C2522B">
        <w:rPr>
          <w:rFonts w:ascii="Times New Roman" w:hAnsi="Times New Roman"/>
          <w:sz w:val="22"/>
          <w:szCs w:val="22"/>
        </w:rPr>
        <w:t xml:space="preserve">t is not possible to give anything close to a full analysis of </w:t>
      </w:r>
      <w:r w:rsidRPr="00C2522B">
        <w:rPr>
          <w:rFonts w:ascii="Times New Roman" w:hAnsi="Times New Roman"/>
          <w:sz w:val="22"/>
          <w:szCs w:val="22"/>
        </w:rPr>
        <w:t>HH Marshall QC</w:t>
      </w:r>
      <w:r w:rsidR="003021B6">
        <w:rPr>
          <w:rFonts w:ascii="Times New Roman" w:hAnsi="Times New Roman"/>
          <w:sz w:val="22"/>
          <w:szCs w:val="22"/>
        </w:rPr>
        <w:t>’</w:t>
      </w:r>
      <w:r w:rsidRPr="00C2522B">
        <w:rPr>
          <w:rFonts w:ascii="Times New Roman" w:hAnsi="Times New Roman"/>
          <w:sz w:val="22"/>
          <w:szCs w:val="22"/>
        </w:rPr>
        <w:t xml:space="preserve">s judgment in </w:t>
      </w:r>
      <w:r w:rsidR="00740F50" w:rsidRPr="00C2522B">
        <w:rPr>
          <w:rFonts w:ascii="Times New Roman" w:hAnsi="Times New Roman"/>
          <w:sz w:val="22"/>
          <w:szCs w:val="22"/>
        </w:rPr>
        <w:t xml:space="preserve">the </w:t>
      </w:r>
      <w:r w:rsidR="005D79E3" w:rsidRPr="00C2522B">
        <w:rPr>
          <w:rFonts w:ascii="Times New Roman" w:hAnsi="Times New Roman"/>
          <w:sz w:val="22"/>
          <w:szCs w:val="22"/>
        </w:rPr>
        <w:t xml:space="preserve">Guernsey </w:t>
      </w:r>
      <w:r w:rsidR="00740F50" w:rsidRPr="00C2522B">
        <w:rPr>
          <w:rFonts w:ascii="Times New Roman" w:hAnsi="Times New Roman"/>
          <w:sz w:val="22"/>
          <w:szCs w:val="22"/>
        </w:rPr>
        <w:t xml:space="preserve">case of </w:t>
      </w:r>
      <w:r w:rsidR="00740F50" w:rsidRPr="00C2522B">
        <w:rPr>
          <w:rFonts w:ascii="Times New Roman" w:hAnsi="Times New Roman"/>
          <w:i/>
          <w:sz w:val="22"/>
          <w:szCs w:val="22"/>
        </w:rPr>
        <w:t>Carlyle Capital Corporation Limited (in Liquidation)</w:t>
      </w:r>
      <w:r w:rsidR="00C2522B">
        <w:rPr>
          <w:rFonts w:ascii="Times New Roman" w:hAnsi="Times New Roman"/>
          <w:i/>
          <w:sz w:val="22"/>
          <w:szCs w:val="22"/>
        </w:rPr>
        <w:t xml:space="preserve"> and others v. Conway and other</w:t>
      </w:r>
      <w:r w:rsidR="00C2522B">
        <w:rPr>
          <w:rFonts w:ascii="Times New Roman" w:hAnsi="Times New Roman"/>
          <w:sz w:val="22"/>
          <w:szCs w:val="22"/>
        </w:rPr>
        <w:t>,</w:t>
      </w:r>
      <w:r w:rsidR="00740F50" w:rsidRPr="00C2522B">
        <w:rPr>
          <w:rStyle w:val="FootnoteReference"/>
          <w:rFonts w:ascii="Times New Roman" w:hAnsi="Times New Roman"/>
          <w:sz w:val="22"/>
          <w:szCs w:val="22"/>
        </w:rPr>
        <w:footnoteReference w:id="1"/>
      </w:r>
      <w:r w:rsidR="00740F50" w:rsidRPr="00C2522B">
        <w:rPr>
          <w:rFonts w:ascii="Times New Roman" w:hAnsi="Times New Roman"/>
          <w:sz w:val="22"/>
          <w:szCs w:val="22"/>
        </w:rPr>
        <w:t xml:space="preserve"> </w:t>
      </w:r>
      <w:r w:rsidRPr="00C2522B">
        <w:rPr>
          <w:rFonts w:ascii="Times New Roman" w:hAnsi="Times New Roman"/>
          <w:sz w:val="22"/>
          <w:szCs w:val="22"/>
        </w:rPr>
        <w:t>which runs to 572 pages</w:t>
      </w:r>
      <w:r w:rsidR="00740F50" w:rsidRPr="00C2522B">
        <w:rPr>
          <w:rFonts w:ascii="Times New Roman" w:hAnsi="Times New Roman"/>
          <w:sz w:val="22"/>
          <w:szCs w:val="22"/>
        </w:rPr>
        <w:t>.</w:t>
      </w:r>
      <w:r w:rsidR="00C2522B" w:rsidRPr="00C2522B">
        <w:rPr>
          <w:rFonts w:ascii="Times New Roman" w:hAnsi="Times New Roman"/>
          <w:sz w:val="22"/>
          <w:szCs w:val="22"/>
        </w:rPr>
        <w:t xml:space="preserve"> </w:t>
      </w:r>
      <w:r w:rsidRPr="00C2522B">
        <w:rPr>
          <w:rFonts w:ascii="Times New Roman" w:hAnsi="Times New Roman"/>
          <w:sz w:val="22"/>
          <w:szCs w:val="22"/>
        </w:rPr>
        <w:t>But d</w:t>
      </w:r>
      <w:r w:rsidR="005D79E3" w:rsidRPr="00C2522B">
        <w:rPr>
          <w:rFonts w:ascii="Times New Roman" w:hAnsi="Times New Roman"/>
          <w:sz w:val="22"/>
          <w:szCs w:val="22"/>
        </w:rPr>
        <w:t>espite its length</w:t>
      </w:r>
      <w:r w:rsidR="00C2522B">
        <w:rPr>
          <w:rFonts w:ascii="Times New Roman" w:hAnsi="Times New Roman"/>
          <w:sz w:val="22"/>
          <w:szCs w:val="22"/>
        </w:rPr>
        <w:t>,</w:t>
      </w:r>
      <w:r w:rsidR="005D79E3" w:rsidRPr="00C2522B">
        <w:rPr>
          <w:rFonts w:ascii="Times New Roman" w:hAnsi="Times New Roman"/>
          <w:sz w:val="22"/>
          <w:szCs w:val="22"/>
        </w:rPr>
        <w:t xml:space="preserve"> it does not appear that </w:t>
      </w:r>
      <w:r w:rsidR="005D79E3" w:rsidRPr="00C2522B">
        <w:rPr>
          <w:rFonts w:ascii="Times New Roman" w:hAnsi="Times New Roman"/>
          <w:i/>
          <w:sz w:val="22"/>
          <w:szCs w:val="22"/>
        </w:rPr>
        <w:t>Carlyle</w:t>
      </w:r>
      <w:r w:rsidR="005D79E3" w:rsidRPr="00C2522B">
        <w:rPr>
          <w:rFonts w:ascii="Times New Roman" w:hAnsi="Times New Roman"/>
          <w:sz w:val="22"/>
          <w:szCs w:val="22"/>
        </w:rPr>
        <w:t xml:space="preserve"> </w:t>
      </w:r>
      <w:r w:rsidR="00740F50" w:rsidRPr="00C2522B">
        <w:rPr>
          <w:rFonts w:ascii="Times New Roman" w:hAnsi="Times New Roman"/>
          <w:sz w:val="22"/>
          <w:szCs w:val="22"/>
        </w:rPr>
        <w:t>advance</w:t>
      </w:r>
      <w:r w:rsidR="005D79E3" w:rsidRPr="00C2522B">
        <w:rPr>
          <w:rFonts w:ascii="Times New Roman" w:hAnsi="Times New Roman"/>
          <w:sz w:val="22"/>
          <w:szCs w:val="22"/>
        </w:rPr>
        <w:t>s</w:t>
      </w:r>
      <w:r w:rsidR="00740F50" w:rsidRPr="00C2522B">
        <w:rPr>
          <w:rFonts w:ascii="Times New Roman" w:hAnsi="Times New Roman"/>
          <w:sz w:val="22"/>
          <w:szCs w:val="22"/>
        </w:rPr>
        <w:t xml:space="preserve"> any revolutionary a</w:t>
      </w:r>
      <w:r w:rsidR="005D79E3" w:rsidRPr="00C2522B">
        <w:rPr>
          <w:rFonts w:ascii="Times New Roman" w:hAnsi="Times New Roman"/>
          <w:sz w:val="22"/>
          <w:szCs w:val="22"/>
        </w:rPr>
        <w:t>nalysis</w:t>
      </w:r>
      <w:r w:rsidR="000033DF" w:rsidRPr="00C2522B">
        <w:rPr>
          <w:rFonts w:ascii="Times New Roman" w:hAnsi="Times New Roman"/>
          <w:sz w:val="22"/>
          <w:szCs w:val="22"/>
        </w:rPr>
        <w:t>,</w:t>
      </w:r>
      <w:r w:rsidR="005D79E3" w:rsidRPr="00C2522B">
        <w:rPr>
          <w:rFonts w:ascii="Times New Roman" w:hAnsi="Times New Roman"/>
          <w:sz w:val="22"/>
          <w:szCs w:val="22"/>
        </w:rPr>
        <w:t xml:space="preserve"> </w:t>
      </w:r>
      <w:r w:rsidR="00740F50" w:rsidRPr="00C2522B">
        <w:rPr>
          <w:rFonts w:ascii="Times New Roman" w:hAnsi="Times New Roman"/>
          <w:sz w:val="22"/>
          <w:szCs w:val="22"/>
        </w:rPr>
        <w:t>in the face of some adventurous submissions from the Plaintiffs</w:t>
      </w:r>
      <w:r w:rsidR="005D79E3" w:rsidRPr="00C2522B">
        <w:rPr>
          <w:rFonts w:ascii="Times New Roman" w:hAnsi="Times New Roman"/>
          <w:sz w:val="22"/>
          <w:szCs w:val="22"/>
        </w:rPr>
        <w:t xml:space="preserve"> set out in </w:t>
      </w:r>
      <w:r w:rsidR="005D79E3" w:rsidRPr="00C2522B">
        <w:rPr>
          <w:rFonts w:ascii="Times New Roman" w:hAnsi="Times New Roman"/>
          <w:sz w:val="22"/>
          <w:szCs w:val="22"/>
        </w:rPr>
        <w:lastRenderedPageBreak/>
        <w:t xml:space="preserve">183 discrete claims, </w:t>
      </w:r>
      <w:r w:rsidR="00740F50" w:rsidRPr="00C2522B">
        <w:rPr>
          <w:rFonts w:ascii="Times New Roman" w:hAnsi="Times New Roman"/>
          <w:sz w:val="22"/>
          <w:szCs w:val="22"/>
        </w:rPr>
        <w:t xml:space="preserve">seeking to fix the directors </w:t>
      </w:r>
      <w:r w:rsidR="005D79E3" w:rsidRPr="00C2522B">
        <w:rPr>
          <w:rFonts w:ascii="Times New Roman" w:hAnsi="Times New Roman"/>
          <w:sz w:val="22"/>
          <w:szCs w:val="22"/>
        </w:rPr>
        <w:t xml:space="preserve">of </w:t>
      </w:r>
      <w:r w:rsidR="00740F50" w:rsidRPr="00C2522B">
        <w:rPr>
          <w:rFonts w:ascii="Times New Roman" w:hAnsi="Times New Roman"/>
          <w:sz w:val="22"/>
          <w:szCs w:val="22"/>
        </w:rPr>
        <w:t xml:space="preserve">a fund which invested in </w:t>
      </w:r>
      <w:r w:rsidR="005D79E3" w:rsidRPr="00C2522B">
        <w:rPr>
          <w:rFonts w:ascii="Times New Roman" w:hAnsi="Times New Roman"/>
          <w:i/>
          <w:sz w:val="22"/>
          <w:szCs w:val="22"/>
        </w:rPr>
        <w:t xml:space="preserve">Fannie Mae </w:t>
      </w:r>
      <w:r w:rsidR="005D79E3" w:rsidRPr="00C2522B">
        <w:rPr>
          <w:rFonts w:ascii="Times New Roman" w:hAnsi="Times New Roman"/>
          <w:sz w:val="22"/>
          <w:szCs w:val="22"/>
        </w:rPr>
        <w:t xml:space="preserve">and </w:t>
      </w:r>
      <w:r w:rsidR="005D79E3" w:rsidRPr="00C2522B">
        <w:rPr>
          <w:rFonts w:ascii="Times New Roman" w:hAnsi="Times New Roman"/>
          <w:i/>
          <w:sz w:val="22"/>
          <w:szCs w:val="22"/>
        </w:rPr>
        <w:t>Freddie Mac</w:t>
      </w:r>
      <w:r w:rsidR="005D79E3" w:rsidRPr="00C2522B">
        <w:rPr>
          <w:rFonts w:ascii="Times New Roman" w:hAnsi="Times New Roman"/>
          <w:sz w:val="22"/>
          <w:szCs w:val="22"/>
        </w:rPr>
        <w:t xml:space="preserve"> issued securities </w:t>
      </w:r>
      <w:r w:rsidR="003021B6">
        <w:rPr>
          <w:rFonts w:ascii="Times New Roman" w:hAnsi="Times New Roman"/>
          <w:sz w:val="22"/>
          <w:szCs w:val="22"/>
        </w:rPr>
        <w:t>with</w:t>
      </w:r>
      <w:r w:rsidR="000033DF" w:rsidRPr="00C2522B">
        <w:rPr>
          <w:rFonts w:ascii="Times New Roman" w:hAnsi="Times New Roman"/>
          <w:sz w:val="22"/>
          <w:szCs w:val="22"/>
        </w:rPr>
        <w:t xml:space="preserve"> </w:t>
      </w:r>
      <w:r w:rsidR="005D79E3" w:rsidRPr="00C2522B">
        <w:rPr>
          <w:rFonts w:ascii="Times New Roman" w:hAnsi="Times New Roman"/>
          <w:sz w:val="22"/>
          <w:szCs w:val="22"/>
        </w:rPr>
        <w:t xml:space="preserve">liability for a wide range of acts </w:t>
      </w:r>
      <w:r w:rsidR="00877CBB" w:rsidRPr="00C2522B">
        <w:rPr>
          <w:rFonts w:ascii="Times New Roman" w:hAnsi="Times New Roman"/>
          <w:sz w:val="22"/>
          <w:szCs w:val="22"/>
        </w:rPr>
        <w:t>in breach of fiduciary du</w:t>
      </w:r>
      <w:r w:rsidR="005D79E3" w:rsidRPr="00C2522B">
        <w:rPr>
          <w:rFonts w:ascii="Times New Roman" w:hAnsi="Times New Roman"/>
          <w:sz w:val="22"/>
          <w:szCs w:val="22"/>
        </w:rPr>
        <w:t>t</w:t>
      </w:r>
      <w:r w:rsidR="00877CBB" w:rsidRPr="00C2522B">
        <w:rPr>
          <w:rFonts w:ascii="Times New Roman" w:hAnsi="Times New Roman"/>
          <w:sz w:val="22"/>
          <w:szCs w:val="22"/>
        </w:rPr>
        <w:t>i</w:t>
      </w:r>
      <w:r w:rsidR="005D79E3" w:rsidRPr="00C2522B">
        <w:rPr>
          <w:rFonts w:ascii="Times New Roman" w:hAnsi="Times New Roman"/>
          <w:sz w:val="22"/>
          <w:szCs w:val="22"/>
        </w:rPr>
        <w:t>es amounting to wrongful trading.</w:t>
      </w:r>
    </w:p>
    <w:p w14:paraId="2566DB44" w14:textId="77777777" w:rsidR="00C2522B" w:rsidRDefault="00C2522B" w:rsidP="00C2522B">
      <w:pPr>
        <w:spacing w:after="0"/>
        <w:rPr>
          <w:rFonts w:ascii="Times New Roman" w:hAnsi="Times New Roman"/>
          <w:sz w:val="22"/>
          <w:szCs w:val="22"/>
        </w:rPr>
      </w:pPr>
    </w:p>
    <w:p w14:paraId="75F67A4B" w14:textId="77777777" w:rsidR="00976F27" w:rsidRDefault="004F57B8" w:rsidP="00C2522B">
      <w:pPr>
        <w:spacing w:after="0"/>
        <w:rPr>
          <w:rFonts w:ascii="Times New Roman" w:hAnsi="Times New Roman"/>
          <w:sz w:val="22"/>
          <w:szCs w:val="22"/>
        </w:rPr>
      </w:pPr>
      <w:r w:rsidRPr="00C2522B">
        <w:rPr>
          <w:rFonts w:ascii="Times New Roman" w:hAnsi="Times New Roman"/>
          <w:sz w:val="22"/>
          <w:szCs w:val="22"/>
        </w:rPr>
        <w:t>By way of clarification</w:t>
      </w:r>
      <w:r w:rsidR="00C2522B">
        <w:rPr>
          <w:rFonts w:ascii="Times New Roman" w:hAnsi="Times New Roman"/>
          <w:sz w:val="22"/>
          <w:szCs w:val="22"/>
        </w:rPr>
        <w:t>,</w:t>
      </w:r>
      <w:r w:rsidRPr="00C2522B">
        <w:rPr>
          <w:rFonts w:ascii="Times New Roman" w:hAnsi="Times New Roman"/>
          <w:sz w:val="22"/>
          <w:szCs w:val="22"/>
        </w:rPr>
        <w:t xml:space="preserve"> t</w:t>
      </w:r>
      <w:r w:rsidR="00976F27" w:rsidRPr="00C2522B">
        <w:rPr>
          <w:rFonts w:ascii="Times New Roman" w:hAnsi="Times New Roman"/>
          <w:sz w:val="22"/>
          <w:szCs w:val="22"/>
        </w:rPr>
        <w:t xml:space="preserve">he established range of </w:t>
      </w:r>
      <w:r w:rsidRPr="00C2522B">
        <w:rPr>
          <w:rFonts w:ascii="Times New Roman" w:hAnsi="Times New Roman"/>
          <w:sz w:val="22"/>
          <w:szCs w:val="22"/>
        </w:rPr>
        <w:t xml:space="preserve">a Guernsey </w:t>
      </w:r>
      <w:r w:rsidR="00976F27" w:rsidRPr="00C2522B">
        <w:rPr>
          <w:rFonts w:ascii="Times New Roman" w:hAnsi="Times New Roman"/>
          <w:sz w:val="22"/>
          <w:szCs w:val="22"/>
        </w:rPr>
        <w:t>director</w:t>
      </w:r>
      <w:r w:rsidR="003021B6">
        <w:rPr>
          <w:rFonts w:ascii="Times New Roman" w:hAnsi="Times New Roman"/>
          <w:sz w:val="22"/>
          <w:szCs w:val="22"/>
        </w:rPr>
        <w:t>’</w:t>
      </w:r>
      <w:r w:rsidR="00976F27" w:rsidRPr="00C2522B">
        <w:rPr>
          <w:rFonts w:ascii="Times New Roman" w:hAnsi="Times New Roman"/>
          <w:sz w:val="22"/>
          <w:szCs w:val="22"/>
        </w:rPr>
        <w:t xml:space="preserve">s duties was found to </w:t>
      </w:r>
      <w:r w:rsidR="000921F0" w:rsidRPr="00C2522B">
        <w:rPr>
          <w:rFonts w:ascii="Times New Roman" w:hAnsi="Times New Roman"/>
          <w:sz w:val="22"/>
          <w:szCs w:val="22"/>
        </w:rPr>
        <w:t>broadly</w:t>
      </w:r>
      <w:r w:rsidR="00976F27" w:rsidRPr="00C2522B">
        <w:rPr>
          <w:rFonts w:ascii="Times New Roman" w:hAnsi="Times New Roman"/>
          <w:sz w:val="22"/>
          <w:szCs w:val="22"/>
        </w:rPr>
        <w:t xml:space="preserve"> reflect the English common law position, and the nature of those duties was confirmed as being fiduciary when their common theme </w:t>
      </w:r>
      <w:r w:rsidR="000033DF" w:rsidRPr="00C2522B">
        <w:rPr>
          <w:rFonts w:ascii="Times New Roman" w:hAnsi="Times New Roman"/>
          <w:sz w:val="22"/>
          <w:szCs w:val="22"/>
        </w:rPr>
        <w:t xml:space="preserve">were </w:t>
      </w:r>
      <w:r w:rsidR="00976F27" w:rsidRPr="00C2522B">
        <w:rPr>
          <w:rFonts w:ascii="Times New Roman" w:hAnsi="Times New Roman"/>
          <w:sz w:val="22"/>
          <w:szCs w:val="22"/>
        </w:rPr>
        <w:t>good faith, honesty and loyalty, and non-</w:t>
      </w:r>
      <w:r w:rsidR="000921F0" w:rsidRPr="00C2522B">
        <w:rPr>
          <w:rFonts w:ascii="Times New Roman" w:hAnsi="Times New Roman"/>
          <w:sz w:val="22"/>
          <w:szCs w:val="22"/>
        </w:rPr>
        <w:t>fiduciary</w:t>
      </w:r>
      <w:r w:rsidR="00976F27" w:rsidRPr="00C2522B">
        <w:rPr>
          <w:rFonts w:ascii="Times New Roman" w:hAnsi="Times New Roman"/>
          <w:sz w:val="22"/>
          <w:szCs w:val="22"/>
        </w:rPr>
        <w:t xml:space="preserve"> when relating to mere competence rather than disloyalty or dishonesty.</w:t>
      </w:r>
      <w:r w:rsidR="00C2522B" w:rsidRPr="00C2522B">
        <w:rPr>
          <w:rFonts w:ascii="Times New Roman" w:hAnsi="Times New Roman"/>
          <w:sz w:val="22"/>
          <w:szCs w:val="22"/>
        </w:rPr>
        <w:t xml:space="preserve"> </w:t>
      </w:r>
      <w:r w:rsidR="003C284E" w:rsidRPr="00C2522B">
        <w:rPr>
          <w:rFonts w:ascii="Times New Roman" w:hAnsi="Times New Roman"/>
          <w:sz w:val="22"/>
          <w:szCs w:val="22"/>
        </w:rPr>
        <w:t xml:space="preserve">An interesting aside was that the Court rejected the argument that a director </w:t>
      </w:r>
      <w:r w:rsidR="000921F0" w:rsidRPr="00C2522B">
        <w:rPr>
          <w:rFonts w:ascii="Times New Roman" w:hAnsi="Times New Roman"/>
          <w:sz w:val="22"/>
          <w:szCs w:val="22"/>
        </w:rPr>
        <w:t>of</w:t>
      </w:r>
      <w:r w:rsidR="003C284E" w:rsidRPr="00C2522B">
        <w:rPr>
          <w:rFonts w:ascii="Times New Roman" w:hAnsi="Times New Roman"/>
          <w:sz w:val="22"/>
          <w:szCs w:val="22"/>
        </w:rPr>
        <w:t xml:space="preserve"> a PLC owed a heightened duty tha</w:t>
      </w:r>
      <w:r w:rsidR="00C2522B">
        <w:rPr>
          <w:rFonts w:ascii="Times New Roman" w:hAnsi="Times New Roman"/>
          <w:sz w:val="22"/>
          <w:szCs w:val="22"/>
        </w:rPr>
        <w:t>n</w:t>
      </w:r>
      <w:r w:rsidR="003C284E" w:rsidRPr="00C2522B">
        <w:rPr>
          <w:rFonts w:ascii="Times New Roman" w:hAnsi="Times New Roman"/>
          <w:sz w:val="22"/>
          <w:szCs w:val="22"/>
        </w:rPr>
        <w:t xml:space="preserve"> that owed by the director of a private company, confirming that it is the office</w:t>
      </w:r>
      <w:r w:rsidR="00C2522B">
        <w:rPr>
          <w:rFonts w:ascii="Times New Roman" w:hAnsi="Times New Roman"/>
          <w:sz w:val="22"/>
          <w:szCs w:val="22"/>
        </w:rPr>
        <w:t>,</w:t>
      </w:r>
      <w:r w:rsidR="003C284E" w:rsidRPr="00C2522B">
        <w:rPr>
          <w:rFonts w:ascii="Times New Roman" w:hAnsi="Times New Roman"/>
          <w:sz w:val="22"/>
          <w:szCs w:val="22"/>
        </w:rPr>
        <w:t xml:space="preserve"> not the </w:t>
      </w:r>
      <w:r w:rsidR="003021B6" w:rsidRPr="00C2522B">
        <w:rPr>
          <w:rFonts w:ascii="Times New Roman" w:hAnsi="Times New Roman"/>
          <w:sz w:val="22"/>
          <w:szCs w:val="22"/>
        </w:rPr>
        <w:t>vehicle</w:t>
      </w:r>
      <w:r w:rsidR="003021B6">
        <w:rPr>
          <w:rFonts w:ascii="Times New Roman" w:hAnsi="Times New Roman"/>
          <w:sz w:val="22"/>
          <w:szCs w:val="22"/>
        </w:rPr>
        <w:t>,</w:t>
      </w:r>
      <w:r w:rsidR="003021B6" w:rsidRPr="00C2522B">
        <w:rPr>
          <w:rFonts w:ascii="Times New Roman" w:hAnsi="Times New Roman"/>
          <w:sz w:val="22"/>
          <w:szCs w:val="22"/>
        </w:rPr>
        <w:t xml:space="preserve"> which</w:t>
      </w:r>
      <w:r w:rsidR="00C2522B">
        <w:rPr>
          <w:rFonts w:ascii="Times New Roman" w:hAnsi="Times New Roman"/>
          <w:sz w:val="22"/>
          <w:szCs w:val="22"/>
        </w:rPr>
        <w:t xml:space="preserve"> is determinative of the duty.</w:t>
      </w:r>
    </w:p>
    <w:p w14:paraId="0BBE911A" w14:textId="77777777" w:rsidR="003021B6" w:rsidRPr="00C2522B" w:rsidRDefault="003021B6" w:rsidP="00C2522B">
      <w:pPr>
        <w:spacing w:after="0"/>
        <w:rPr>
          <w:rFonts w:ascii="Times New Roman" w:hAnsi="Times New Roman"/>
          <w:sz w:val="22"/>
          <w:szCs w:val="22"/>
        </w:rPr>
      </w:pPr>
    </w:p>
    <w:p w14:paraId="28D13DAE" w14:textId="77777777" w:rsidR="003C284E" w:rsidRDefault="000921F0" w:rsidP="00C2522B">
      <w:pPr>
        <w:spacing w:after="0"/>
        <w:rPr>
          <w:rFonts w:ascii="Times New Roman" w:hAnsi="Times New Roman"/>
          <w:sz w:val="22"/>
          <w:szCs w:val="22"/>
        </w:rPr>
      </w:pPr>
      <w:r w:rsidRPr="00C2522B">
        <w:rPr>
          <w:rFonts w:ascii="Times New Roman" w:hAnsi="Times New Roman"/>
          <w:sz w:val="22"/>
          <w:szCs w:val="22"/>
        </w:rPr>
        <w:t>In its case theory</w:t>
      </w:r>
      <w:r w:rsidR="003021B6">
        <w:rPr>
          <w:rFonts w:ascii="Times New Roman" w:hAnsi="Times New Roman"/>
          <w:sz w:val="22"/>
          <w:szCs w:val="22"/>
        </w:rPr>
        <w:t>,</w:t>
      </w:r>
      <w:r w:rsidRPr="00C2522B">
        <w:rPr>
          <w:rFonts w:ascii="Times New Roman" w:hAnsi="Times New Roman"/>
          <w:sz w:val="22"/>
          <w:szCs w:val="22"/>
        </w:rPr>
        <w:t xml:space="preserve"> the Plaintiff contended that a director</w:t>
      </w:r>
      <w:r w:rsidR="003021B6">
        <w:rPr>
          <w:rFonts w:ascii="Times New Roman" w:hAnsi="Times New Roman"/>
          <w:sz w:val="22"/>
          <w:szCs w:val="22"/>
        </w:rPr>
        <w:t>’</w:t>
      </w:r>
      <w:r w:rsidRPr="00C2522B">
        <w:rPr>
          <w:rFonts w:ascii="Times New Roman" w:hAnsi="Times New Roman"/>
          <w:sz w:val="22"/>
          <w:szCs w:val="22"/>
        </w:rPr>
        <w:t>s obligation to act in good faith should be assessed objectively</w:t>
      </w:r>
      <w:r w:rsidR="004F57B8" w:rsidRPr="00C2522B">
        <w:rPr>
          <w:rFonts w:ascii="Times New Roman" w:hAnsi="Times New Roman"/>
          <w:sz w:val="22"/>
          <w:szCs w:val="22"/>
        </w:rPr>
        <w:t xml:space="preserve">, but this was </w:t>
      </w:r>
      <w:r w:rsidR="00A81F5B" w:rsidRPr="00C2522B">
        <w:rPr>
          <w:rFonts w:ascii="Times New Roman" w:hAnsi="Times New Roman"/>
          <w:sz w:val="22"/>
          <w:szCs w:val="22"/>
        </w:rPr>
        <w:t>rejected with</w:t>
      </w:r>
      <w:r w:rsidRPr="00C2522B">
        <w:rPr>
          <w:rFonts w:ascii="Times New Roman" w:hAnsi="Times New Roman"/>
          <w:sz w:val="22"/>
          <w:szCs w:val="22"/>
        </w:rPr>
        <w:t xml:space="preserve"> the Court stating:</w:t>
      </w:r>
    </w:p>
    <w:p w14:paraId="7E380EA1" w14:textId="77777777" w:rsidR="003021B6" w:rsidRPr="00C2522B" w:rsidRDefault="003021B6" w:rsidP="00C2522B">
      <w:pPr>
        <w:spacing w:after="0"/>
        <w:rPr>
          <w:rFonts w:ascii="Times New Roman" w:hAnsi="Times New Roman"/>
          <w:sz w:val="22"/>
          <w:szCs w:val="22"/>
        </w:rPr>
      </w:pPr>
    </w:p>
    <w:p w14:paraId="47962F33" w14:textId="77777777" w:rsidR="003021B6" w:rsidRDefault="003021B6" w:rsidP="00C2522B">
      <w:pPr>
        <w:spacing w:after="0"/>
        <w:ind w:left="284"/>
        <w:rPr>
          <w:rFonts w:ascii="Times New Roman" w:hAnsi="Times New Roman"/>
          <w:sz w:val="22"/>
          <w:szCs w:val="22"/>
        </w:rPr>
      </w:pPr>
      <w:r>
        <w:rPr>
          <w:rFonts w:ascii="Times New Roman" w:hAnsi="Times New Roman"/>
          <w:sz w:val="22"/>
          <w:szCs w:val="22"/>
        </w:rPr>
        <w:t>“</w:t>
      </w:r>
      <w:r w:rsidR="003C284E" w:rsidRPr="00C2522B">
        <w:rPr>
          <w:rFonts w:ascii="Times New Roman" w:hAnsi="Times New Roman"/>
          <w:i/>
          <w:sz w:val="22"/>
          <w:szCs w:val="22"/>
        </w:rPr>
        <w:t xml:space="preserve">There is no fiduciary duty to make an objectively </w:t>
      </w:r>
      <w:r>
        <w:rPr>
          <w:rFonts w:ascii="Times New Roman" w:hAnsi="Times New Roman"/>
          <w:i/>
          <w:sz w:val="22"/>
          <w:szCs w:val="22"/>
        </w:rPr>
        <w:t>“</w:t>
      </w:r>
      <w:r w:rsidR="003C284E" w:rsidRPr="00C2522B">
        <w:rPr>
          <w:rFonts w:ascii="Times New Roman" w:hAnsi="Times New Roman"/>
          <w:i/>
          <w:sz w:val="22"/>
          <w:szCs w:val="22"/>
        </w:rPr>
        <w:t>right</w:t>
      </w:r>
      <w:r>
        <w:rPr>
          <w:rFonts w:ascii="Times New Roman" w:hAnsi="Times New Roman"/>
          <w:i/>
          <w:sz w:val="22"/>
          <w:szCs w:val="22"/>
        </w:rPr>
        <w:t>”</w:t>
      </w:r>
      <w:r w:rsidR="003C284E" w:rsidRPr="00C2522B">
        <w:rPr>
          <w:rFonts w:ascii="Times New Roman" w:hAnsi="Times New Roman"/>
          <w:i/>
          <w:sz w:val="22"/>
          <w:szCs w:val="22"/>
        </w:rPr>
        <w:t xml:space="preserve"> decision</w:t>
      </w:r>
      <w:r>
        <w:rPr>
          <w:rFonts w:ascii="Times New Roman" w:hAnsi="Times New Roman"/>
          <w:sz w:val="22"/>
          <w:szCs w:val="22"/>
        </w:rPr>
        <w:t>”;</w:t>
      </w:r>
    </w:p>
    <w:p w14:paraId="679D82FA" w14:textId="77777777" w:rsidR="003C284E" w:rsidRPr="00C2522B" w:rsidRDefault="003C284E" w:rsidP="00C2522B">
      <w:pPr>
        <w:spacing w:after="0"/>
        <w:ind w:left="284"/>
        <w:rPr>
          <w:rFonts w:ascii="Times New Roman" w:hAnsi="Times New Roman"/>
          <w:sz w:val="22"/>
          <w:szCs w:val="22"/>
        </w:rPr>
      </w:pPr>
      <w:r w:rsidRPr="00C2522B">
        <w:rPr>
          <w:rFonts w:ascii="Times New Roman" w:hAnsi="Times New Roman"/>
          <w:sz w:val="22"/>
          <w:szCs w:val="22"/>
        </w:rPr>
        <w:t>and</w:t>
      </w:r>
    </w:p>
    <w:p w14:paraId="20B6ADA7" w14:textId="77777777" w:rsidR="003C284E" w:rsidRPr="00C2522B" w:rsidRDefault="003021B6" w:rsidP="00C2522B">
      <w:pPr>
        <w:spacing w:after="0"/>
        <w:ind w:left="284"/>
        <w:rPr>
          <w:rFonts w:ascii="Times New Roman" w:hAnsi="Times New Roman"/>
          <w:sz w:val="22"/>
          <w:szCs w:val="22"/>
        </w:rPr>
      </w:pPr>
      <w:r>
        <w:rPr>
          <w:rFonts w:ascii="Times New Roman" w:hAnsi="Times New Roman"/>
          <w:sz w:val="22"/>
          <w:szCs w:val="22"/>
        </w:rPr>
        <w:t>“</w:t>
      </w:r>
      <w:r w:rsidR="003C284E" w:rsidRPr="00C2522B">
        <w:rPr>
          <w:rFonts w:ascii="Times New Roman" w:hAnsi="Times New Roman"/>
          <w:i/>
          <w:sz w:val="22"/>
          <w:szCs w:val="22"/>
        </w:rPr>
        <w:t>… a decision (whether right or wrong) reached by directors cannot be a breach of fiduciary duty if they have honestly made it in what they consider to be the interests of the company, and that therefore a claim for breach of fiduciary duty will only lie where it is shown that the directors did not honestly consider their action to be in the best interests of the company</w:t>
      </w:r>
      <w:r>
        <w:rPr>
          <w:rFonts w:ascii="Times New Roman" w:hAnsi="Times New Roman"/>
          <w:i/>
          <w:sz w:val="22"/>
          <w:szCs w:val="22"/>
        </w:rPr>
        <w:t>.</w:t>
      </w:r>
      <w:r>
        <w:rPr>
          <w:rFonts w:ascii="Times New Roman" w:hAnsi="Times New Roman"/>
          <w:sz w:val="22"/>
          <w:szCs w:val="22"/>
        </w:rPr>
        <w:t>”</w:t>
      </w:r>
    </w:p>
    <w:p w14:paraId="1B30AAAC" w14:textId="77777777" w:rsidR="003021B6" w:rsidRDefault="003021B6" w:rsidP="00C2522B">
      <w:pPr>
        <w:spacing w:after="0"/>
        <w:rPr>
          <w:rFonts w:ascii="Times New Roman" w:hAnsi="Times New Roman"/>
          <w:sz w:val="22"/>
          <w:szCs w:val="22"/>
        </w:rPr>
      </w:pPr>
    </w:p>
    <w:p w14:paraId="35105B82" w14:textId="77777777" w:rsidR="00437BFE" w:rsidRDefault="003C284E" w:rsidP="00C2522B">
      <w:pPr>
        <w:spacing w:after="0"/>
        <w:rPr>
          <w:rFonts w:ascii="Times New Roman" w:hAnsi="Times New Roman"/>
          <w:sz w:val="22"/>
          <w:szCs w:val="22"/>
        </w:rPr>
      </w:pPr>
      <w:r w:rsidRPr="00C2522B">
        <w:rPr>
          <w:rFonts w:ascii="Times New Roman" w:hAnsi="Times New Roman"/>
          <w:sz w:val="22"/>
          <w:szCs w:val="22"/>
        </w:rPr>
        <w:t>It would follow that</w:t>
      </w:r>
      <w:r w:rsidR="003021B6">
        <w:rPr>
          <w:rFonts w:ascii="Times New Roman" w:hAnsi="Times New Roman"/>
          <w:sz w:val="22"/>
          <w:szCs w:val="22"/>
        </w:rPr>
        <w:t>,</w:t>
      </w:r>
      <w:r w:rsidRPr="00C2522B">
        <w:rPr>
          <w:rFonts w:ascii="Times New Roman" w:hAnsi="Times New Roman"/>
          <w:sz w:val="22"/>
          <w:szCs w:val="22"/>
        </w:rPr>
        <w:t xml:space="preserve"> if a director </w:t>
      </w:r>
      <w:r w:rsidR="004F57B8" w:rsidRPr="00C2522B">
        <w:rPr>
          <w:rFonts w:ascii="Times New Roman" w:hAnsi="Times New Roman"/>
          <w:sz w:val="22"/>
          <w:szCs w:val="22"/>
        </w:rPr>
        <w:t>under a fiduciary duty t</w:t>
      </w:r>
      <w:r w:rsidR="00437BFE" w:rsidRPr="00C2522B">
        <w:rPr>
          <w:rFonts w:ascii="Times New Roman" w:hAnsi="Times New Roman"/>
          <w:sz w:val="22"/>
          <w:szCs w:val="22"/>
        </w:rPr>
        <w:t xml:space="preserve">o act in good faith </w:t>
      </w:r>
      <w:r w:rsidRPr="00C2522B">
        <w:rPr>
          <w:rFonts w:ascii="Times New Roman" w:hAnsi="Times New Roman"/>
          <w:sz w:val="22"/>
          <w:szCs w:val="22"/>
        </w:rPr>
        <w:t xml:space="preserve">honestly believes that </w:t>
      </w:r>
      <w:r w:rsidR="00437BFE" w:rsidRPr="00C2522B">
        <w:rPr>
          <w:rFonts w:ascii="Times New Roman" w:hAnsi="Times New Roman"/>
          <w:sz w:val="22"/>
          <w:szCs w:val="22"/>
        </w:rPr>
        <w:t>they are</w:t>
      </w:r>
      <w:r w:rsidRPr="00C2522B">
        <w:rPr>
          <w:rFonts w:ascii="Times New Roman" w:hAnsi="Times New Roman"/>
          <w:sz w:val="22"/>
          <w:szCs w:val="22"/>
        </w:rPr>
        <w:t xml:space="preserve"> acting in the best interests of the company, the fiduciary duty has been </w:t>
      </w:r>
      <w:r w:rsidR="000921F0" w:rsidRPr="00C2522B">
        <w:rPr>
          <w:rFonts w:ascii="Times New Roman" w:hAnsi="Times New Roman"/>
          <w:sz w:val="22"/>
          <w:szCs w:val="22"/>
        </w:rPr>
        <w:t>satisfied</w:t>
      </w:r>
      <w:r w:rsidRPr="00C2522B">
        <w:rPr>
          <w:rFonts w:ascii="Times New Roman" w:hAnsi="Times New Roman"/>
          <w:sz w:val="22"/>
          <w:szCs w:val="22"/>
        </w:rPr>
        <w:t>, even if objectively (and usually viewed with the benefit of hindsight) the act complained of was not in the best interests of the company.</w:t>
      </w:r>
      <w:r w:rsidR="003021B6">
        <w:rPr>
          <w:rFonts w:ascii="Times New Roman" w:hAnsi="Times New Roman"/>
          <w:sz w:val="22"/>
          <w:szCs w:val="22"/>
        </w:rPr>
        <w:t xml:space="preserve"> </w:t>
      </w:r>
      <w:r w:rsidR="000921F0" w:rsidRPr="00C2522B">
        <w:rPr>
          <w:rFonts w:ascii="Times New Roman" w:hAnsi="Times New Roman"/>
          <w:sz w:val="22"/>
          <w:szCs w:val="22"/>
        </w:rPr>
        <w:t>A different analysis was found to apply to the obligation</w:t>
      </w:r>
      <w:r w:rsidR="000033DF" w:rsidRPr="00C2522B">
        <w:rPr>
          <w:rFonts w:ascii="Times New Roman" w:hAnsi="Times New Roman"/>
          <w:sz w:val="22"/>
          <w:szCs w:val="22"/>
        </w:rPr>
        <w:t>s</w:t>
      </w:r>
      <w:r w:rsidR="000921F0" w:rsidRPr="00C2522B">
        <w:rPr>
          <w:rFonts w:ascii="Times New Roman" w:hAnsi="Times New Roman"/>
          <w:sz w:val="22"/>
          <w:szCs w:val="22"/>
        </w:rPr>
        <w:t xml:space="preserve"> to use reasonable care and skill, which </w:t>
      </w:r>
      <w:r w:rsidR="004F57B8" w:rsidRPr="00C2522B">
        <w:rPr>
          <w:rFonts w:ascii="Times New Roman" w:hAnsi="Times New Roman"/>
          <w:sz w:val="22"/>
          <w:szCs w:val="22"/>
        </w:rPr>
        <w:t xml:space="preserve">are still </w:t>
      </w:r>
      <w:r w:rsidR="000921F0" w:rsidRPr="00C2522B">
        <w:rPr>
          <w:rFonts w:ascii="Times New Roman" w:hAnsi="Times New Roman"/>
          <w:sz w:val="22"/>
          <w:szCs w:val="22"/>
        </w:rPr>
        <w:t>evaluated by reference to both subjective and objective factors; the individual director</w:t>
      </w:r>
      <w:r w:rsidR="003021B6">
        <w:rPr>
          <w:rFonts w:ascii="Times New Roman" w:hAnsi="Times New Roman"/>
          <w:sz w:val="22"/>
          <w:szCs w:val="22"/>
        </w:rPr>
        <w:t>’</w:t>
      </w:r>
      <w:r w:rsidR="000921F0" w:rsidRPr="00C2522B">
        <w:rPr>
          <w:rFonts w:ascii="Times New Roman" w:hAnsi="Times New Roman"/>
          <w:sz w:val="22"/>
          <w:szCs w:val="22"/>
        </w:rPr>
        <w:t>s actual knowledge, skill and experience, and the knowledge, skill and experience to be expected of someone fulfilling that director</w:t>
      </w:r>
      <w:r w:rsidR="003021B6">
        <w:rPr>
          <w:rFonts w:ascii="Times New Roman" w:hAnsi="Times New Roman"/>
          <w:sz w:val="22"/>
          <w:szCs w:val="22"/>
        </w:rPr>
        <w:t>’</w:t>
      </w:r>
      <w:r w:rsidR="000921F0" w:rsidRPr="00C2522B">
        <w:rPr>
          <w:rFonts w:ascii="Times New Roman" w:hAnsi="Times New Roman"/>
          <w:sz w:val="22"/>
          <w:szCs w:val="22"/>
        </w:rPr>
        <w:t>s role.</w:t>
      </w:r>
    </w:p>
    <w:p w14:paraId="4F934798" w14:textId="77777777" w:rsidR="003021B6" w:rsidRPr="00C2522B" w:rsidRDefault="003021B6" w:rsidP="00C2522B">
      <w:pPr>
        <w:spacing w:after="0"/>
        <w:rPr>
          <w:rFonts w:ascii="Times New Roman" w:hAnsi="Times New Roman"/>
          <w:sz w:val="22"/>
          <w:szCs w:val="22"/>
        </w:rPr>
      </w:pPr>
    </w:p>
    <w:p w14:paraId="602E62FD" w14:textId="77777777" w:rsidR="004F57B8" w:rsidRDefault="004F57B8" w:rsidP="00C2522B">
      <w:pPr>
        <w:spacing w:after="0"/>
        <w:rPr>
          <w:rFonts w:ascii="Times New Roman" w:hAnsi="Times New Roman"/>
          <w:sz w:val="22"/>
          <w:szCs w:val="22"/>
        </w:rPr>
      </w:pPr>
      <w:r w:rsidRPr="00C2522B">
        <w:rPr>
          <w:rFonts w:ascii="Times New Roman" w:hAnsi="Times New Roman"/>
          <w:sz w:val="22"/>
          <w:szCs w:val="22"/>
        </w:rPr>
        <w:t>In respect of these issues at least, then the Jersey position seems relatively clear and cogent, and the English insp</w:t>
      </w:r>
      <w:r w:rsidR="003021B6">
        <w:rPr>
          <w:rFonts w:ascii="Times New Roman" w:hAnsi="Times New Roman"/>
          <w:sz w:val="22"/>
          <w:szCs w:val="22"/>
        </w:rPr>
        <w:t>ired status quo is undisturbed.</w:t>
      </w:r>
    </w:p>
    <w:p w14:paraId="6E987CC4" w14:textId="77777777" w:rsidR="003021B6" w:rsidRPr="00C2522B" w:rsidRDefault="003021B6" w:rsidP="00C2522B">
      <w:pPr>
        <w:spacing w:after="0"/>
        <w:rPr>
          <w:rFonts w:ascii="Times New Roman" w:hAnsi="Times New Roman"/>
          <w:sz w:val="22"/>
          <w:szCs w:val="22"/>
        </w:rPr>
      </w:pPr>
    </w:p>
    <w:p w14:paraId="6AF76AE1" w14:textId="77777777" w:rsidR="00340FF0" w:rsidRPr="003021B6" w:rsidRDefault="003021B6" w:rsidP="00C2522B">
      <w:pPr>
        <w:spacing w:after="0"/>
        <w:rPr>
          <w:rFonts w:ascii="Times New Roman" w:hAnsi="Times New Roman"/>
          <w:i/>
          <w:sz w:val="22"/>
          <w:szCs w:val="22"/>
        </w:rPr>
      </w:pPr>
      <w:r w:rsidRPr="003021B6">
        <w:rPr>
          <w:rFonts w:ascii="Times New Roman" w:hAnsi="Times New Roman"/>
          <w:i/>
          <w:sz w:val="22"/>
          <w:szCs w:val="22"/>
        </w:rPr>
        <w:t>The Dishonest Mr Ivey</w:t>
      </w:r>
    </w:p>
    <w:p w14:paraId="30CC275C" w14:textId="77777777" w:rsidR="003021B6" w:rsidRPr="00C2522B" w:rsidRDefault="003021B6" w:rsidP="00C2522B">
      <w:pPr>
        <w:spacing w:after="0"/>
        <w:rPr>
          <w:rFonts w:ascii="Times New Roman" w:hAnsi="Times New Roman"/>
          <w:sz w:val="22"/>
          <w:szCs w:val="22"/>
          <w:u w:val="single"/>
        </w:rPr>
      </w:pPr>
    </w:p>
    <w:p w14:paraId="230EC45F" w14:textId="77777777" w:rsidR="003C69AB" w:rsidRDefault="000921F0" w:rsidP="00C2522B">
      <w:pPr>
        <w:spacing w:after="0"/>
        <w:rPr>
          <w:rFonts w:ascii="Times New Roman" w:hAnsi="Times New Roman"/>
          <w:sz w:val="22"/>
          <w:szCs w:val="22"/>
        </w:rPr>
      </w:pPr>
      <w:r w:rsidRPr="00C2522B">
        <w:rPr>
          <w:rFonts w:ascii="Times New Roman" w:hAnsi="Times New Roman"/>
          <w:sz w:val="22"/>
          <w:szCs w:val="22"/>
        </w:rPr>
        <w:t xml:space="preserve">Guidance relevant to the treatment of the honesty or otherwise of directors has also received attention in the </w:t>
      </w:r>
      <w:r w:rsidR="003021B6">
        <w:rPr>
          <w:rFonts w:ascii="Times New Roman" w:hAnsi="Times New Roman"/>
          <w:sz w:val="22"/>
          <w:szCs w:val="22"/>
        </w:rPr>
        <w:t>UK</w:t>
      </w:r>
      <w:r w:rsidRPr="00C2522B">
        <w:rPr>
          <w:rFonts w:ascii="Times New Roman" w:hAnsi="Times New Roman"/>
          <w:sz w:val="22"/>
          <w:szCs w:val="22"/>
        </w:rPr>
        <w:t xml:space="preserve"> Supreme </w:t>
      </w:r>
      <w:r w:rsidR="004F57B8" w:rsidRPr="00C2522B">
        <w:rPr>
          <w:rFonts w:ascii="Times New Roman" w:hAnsi="Times New Roman"/>
          <w:sz w:val="22"/>
          <w:szCs w:val="22"/>
        </w:rPr>
        <w:t>Court in 2017</w:t>
      </w:r>
      <w:r w:rsidRPr="00C2522B">
        <w:rPr>
          <w:rFonts w:ascii="Times New Roman" w:hAnsi="Times New Roman"/>
          <w:sz w:val="22"/>
          <w:szCs w:val="22"/>
        </w:rPr>
        <w:t>, but</w:t>
      </w:r>
      <w:r w:rsidR="003021B6">
        <w:rPr>
          <w:rFonts w:ascii="Times New Roman" w:hAnsi="Times New Roman"/>
          <w:sz w:val="22"/>
          <w:szCs w:val="22"/>
        </w:rPr>
        <w:t>,</w:t>
      </w:r>
      <w:r w:rsidRPr="00C2522B">
        <w:rPr>
          <w:rFonts w:ascii="Times New Roman" w:hAnsi="Times New Roman"/>
          <w:sz w:val="22"/>
          <w:szCs w:val="22"/>
        </w:rPr>
        <w:t xml:space="preserve"> curiously</w:t>
      </w:r>
      <w:r w:rsidR="003021B6">
        <w:rPr>
          <w:rFonts w:ascii="Times New Roman" w:hAnsi="Times New Roman"/>
          <w:sz w:val="22"/>
          <w:szCs w:val="22"/>
        </w:rPr>
        <w:t>,</w:t>
      </w:r>
      <w:r w:rsidRPr="00C2522B">
        <w:rPr>
          <w:rFonts w:ascii="Times New Roman" w:hAnsi="Times New Roman"/>
          <w:sz w:val="22"/>
          <w:szCs w:val="22"/>
        </w:rPr>
        <w:t xml:space="preserve"> it fell to a civil case to clarify the inconsistency between the civil and criminal tests for dishonesty by confirming that the civil test should prevail.</w:t>
      </w:r>
      <w:r w:rsidR="00C2522B" w:rsidRPr="00C2522B">
        <w:rPr>
          <w:rFonts w:ascii="Times New Roman" w:hAnsi="Times New Roman"/>
          <w:sz w:val="22"/>
          <w:szCs w:val="22"/>
        </w:rPr>
        <w:t xml:space="preserve"> </w:t>
      </w:r>
      <w:r w:rsidR="005E7C6B" w:rsidRPr="00C2522B">
        <w:rPr>
          <w:rFonts w:ascii="Times New Roman" w:hAnsi="Times New Roman"/>
          <w:sz w:val="22"/>
          <w:szCs w:val="22"/>
        </w:rPr>
        <w:t xml:space="preserve">In the newsworthy case of </w:t>
      </w:r>
      <w:r w:rsidR="005E7C6B" w:rsidRPr="00C2522B">
        <w:rPr>
          <w:rFonts w:ascii="Times New Roman" w:hAnsi="Times New Roman"/>
          <w:i/>
          <w:sz w:val="22"/>
          <w:szCs w:val="22"/>
        </w:rPr>
        <w:t>Ivey v. Genting Casinos (UK) Ltd</w:t>
      </w:r>
      <w:r w:rsidR="003021B6">
        <w:rPr>
          <w:rFonts w:ascii="Times New Roman" w:hAnsi="Times New Roman"/>
          <w:sz w:val="22"/>
          <w:szCs w:val="22"/>
        </w:rPr>
        <w:t>,</w:t>
      </w:r>
      <w:r w:rsidR="005E7C6B" w:rsidRPr="00C2522B">
        <w:rPr>
          <w:rStyle w:val="FootnoteReference"/>
          <w:rFonts w:ascii="Times New Roman" w:hAnsi="Times New Roman"/>
          <w:sz w:val="22"/>
          <w:szCs w:val="22"/>
        </w:rPr>
        <w:footnoteReference w:id="2"/>
      </w:r>
      <w:r w:rsidR="00C2522B" w:rsidRPr="00C2522B">
        <w:rPr>
          <w:rFonts w:ascii="Times New Roman" w:hAnsi="Times New Roman"/>
          <w:sz w:val="22"/>
          <w:szCs w:val="22"/>
        </w:rPr>
        <w:t xml:space="preserve"> </w:t>
      </w:r>
      <w:r w:rsidR="005E7C6B" w:rsidRPr="00C2522B">
        <w:rPr>
          <w:rFonts w:ascii="Times New Roman" w:hAnsi="Times New Roman"/>
          <w:sz w:val="22"/>
          <w:szCs w:val="22"/>
        </w:rPr>
        <w:t xml:space="preserve">a </w:t>
      </w:r>
      <w:r w:rsidRPr="00C2522B">
        <w:rPr>
          <w:rFonts w:ascii="Times New Roman" w:hAnsi="Times New Roman"/>
          <w:sz w:val="22"/>
          <w:szCs w:val="22"/>
        </w:rPr>
        <w:t>professional</w:t>
      </w:r>
      <w:r w:rsidR="005E7C6B" w:rsidRPr="00C2522B">
        <w:rPr>
          <w:rFonts w:ascii="Times New Roman" w:hAnsi="Times New Roman"/>
          <w:sz w:val="22"/>
          <w:szCs w:val="22"/>
        </w:rPr>
        <w:t xml:space="preserve"> poker player sought </w:t>
      </w:r>
      <w:r w:rsidRPr="00C2522B">
        <w:rPr>
          <w:rFonts w:ascii="Times New Roman" w:hAnsi="Times New Roman"/>
          <w:sz w:val="22"/>
          <w:szCs w:val="22"/>
        </w:rPr>
        <w:t>to enforce</w:t>
      </w:r>
      <w:r w:rsidR="005E7C6B" w:rsidRPr="00C2522B">
        <w:rPr>
          <w:rFonts w:ascii="Times New Roman" w:hAnsi="Times New Roman"/>
          <w:sz w:val="22"/>
          <w:szCs w:val="22"/>
        </w:rPr>
        <w:t xml:space="preserve"> an obligation to </w:t>
      </w:r>
      <w:r w:rsidRPr="00C2522B">
        <w:rPr>
          <w:rFonts w:ascii="Times New Roman" w:hAnsi="Times New Roman"/>
          <w:sz w:val="22"/>
          <w:szCs w:val="22"/>
        </w:rPr>
        <w:t>pay out</w:t>
      </w:r>
      <w:r w:rsidR="005E7C6B" w:rsidRPr="00C2522B">
        <w:rPr>
          <w:rFonts w:ascii="Times New Roman" w:hAnsi="Times New Roman"/>
          <w:sz w:val="22"/>
          <w:szCs w:val="22"/>
        </w:rPr>
        <w:t xml:space="preserve"> on a £7.7m gambling debt when he admitted that he </w:t>
      </w:r>
      <w:r w:rsidR="003C69AB" w:rsidRPr="00C2522B">
        <w:rPr>
          <w:rFonts w:ascii="Times New Roman" w:hAnsi="Times New Roman"/>
          <w:sz w:val="22"/>
          <w:szCs w:val="22"/>
        </w:rPr>
        <w:t xml:space="preserve">was </w:t>
      </w:r>
      <w:r w:rsidRPr="00C2522B">
        <w:rPr>
          <w:rFonts w:ascii="Times New Roman" w:hAnsi="Times New Roman"/>
          <w:sz w:val="22"/>
          <w:szCs w:val="22"/>
        </w:rPr>
        <w:t>guilty</w:t>
      </w:r>
      <w:r w:rsidR="003C69AB" w:rsidRPr="00C2522B">
        <w:rPr>
          <w:rFonts w:ascii="Times New Roman" w:hAnsi="Times New Roman"/>
          <w:sz w:val="22"/>
          <w:szCs w:val="22"/>
        </w:rPr>
        <w:t xml:space="preserve"> of the </w:t>
      </w:r>
      <w:r w:rsidR="004F57B8" w:rsidRPr="00C2522B">
        <w:rPr>
          <w:rFonts w:ascii="Times New Roman" w:hAnsi="Times New Roman"/>
          <w:sz w:val="22"/>
          <w:szCs w:val="22"/>
        </w:rPr>
        <w:t xml:space="preserve">questionable </w:t>
      </w:r>
      <w:r w:rsidR="003C69AB" w:rsidRPr="00C2522B">
        <w:rPr>
          <w:rFonts w:ascii="Times New Roman" w:hAnsi="Times New Roman"/>
          <w:sz w:val="22"/>
          <w:szCs w:val="22"/>
        </w:rPr>
        <w:t xml:space="preserve">conduct </w:t>
      </w:r>
      <w:r w:rsidR="003021B6">
        <w:rPr>
          <w:rFonts w:ascii="Times New Roman" w:hAnsi="Times New Roman"/>
          <w:sz w:val="22"/>
          <w:szCs w:val="22"/>
        </w:rPr>
        <w:t xml:space="preserve">of which </w:t>
      </w:r>
      <w:r w:rsidR="003C69AB" w:rsidRPr="00C2522B">
        <w:rPr>
          <w:rFonts w:ascii="Times New Roman" w:hAnsi="Times New Roman"/>
          <w:sz w:val="22"/>
          <w:szCs w:val="22"/>
        </w:rPr>
        <w:t>the casino complained</w:t>
      </w:r>
      <w:r w:rsidR="005E7C6B" w:rsidRPr="00C2522B">
        <w:rPr>
          <w:rFonts w:ascii="Times New Roman" w:hAnsi="Times New Roman"/>
          <w:sz w:val="22"/>
          <w:szCs w:val="22"/>
        </w:rPr>
        <w:t>.</w:t>
      </w:r>
      <w:r w:rsidR="00C2522B" w:rsidRPr="00C2522B">
        <w:rPr>
          <w:rFonts w:ascii="Times New Roman" w:hAnsi="Times New Roman"/>
          <w:sz w:val="22"/>
          <w:szCs w:val="22"/>
        </w:rPr>
        <w:t xml:space="preserve"> </w:t>
      </w:r>
      <w:r w:rsidR="005E7C6B" w:rsidRPr="00C2522B">
        <w:rPr>
          <w:rFonts w:ascii="Times New Roman" w:hAnsi="Times New Roman"/>
          <w:sz w:val="22"/>
          <w:szCs w:val="22"/>
        </w:rPr>
        <w:t xml:space="preserve">The defence rested on whether Ivey had </w:t>
      </w:r>
      <w:r w:rsidR="003C69AB" w:rsidRPr="00C2522B">
        <w:rPr>
          <w:rFonts w:ascii="Times New Roman" w:hAnsi="Times New Roman"/>
          <w:sz w:val="22"/>
          <w:szCs w:val="22"/>
        </w:rPr>
        <w:t xml:space="preserve">been dishonest and </w:t>
      </w:r>
      <w:r w:rsidR="004F57B8" w:rsidRPr="00C2522B">
        <w:rPr>
          <w:rFonts w:ascii="Times New Roman" w:hAnsi="Times New Roman"/>
          <w:sz w:val="22"/>
          <w:szCs w:val="22"/>
        </w:rPr>
        <w:t xml:space="preserve">had </w:t>
      </w:r>
      <w:r w:rsidR="000033DF" w:rsidRPr="00C2522B">
        <w:rPr>
          <w:rFonts w:ascii="Times New Roman" w:hAnsi="Times New Roman"/>
          <w:sz w:val="22"/>
          <w:szCs w:val="22"/>
        </w:rPr>
        <w:t xml:space="preserve">therefore </w:t>
      </w:r>
      <w:r w:rsidR="005E7C6B" w:rsidRPr="00C2522B">
        <w:rPr>
          <w:rFonts w:ascii="Times New Roman" w:hAnsi="Times New Roman"/>
          <w:sz w:val="22"/>
          <w:szCs w:val="22"/>
        </w:rPr>
        <w:t>cheated contrary to section 42 of the Gambling Act 2006</w:t>
      </w:r>
      <w:r w:rsidR="004F57B8" w:rsidRPr="00C2522B">
        <w:rPr>
          <w:rFonts w:ascii="Times New Roman" w:hAnsi="Times New Roman"/>
          <w:sz w:val="22"/>
          <w:szCs w:val="22"/>
        </w:rPr>
        <w:t xml:space="preserve"> (</w:t>
      </w:r>
      <w:r w:rsidR="003C69AB" w:rsidRPr="00C2522B">
        <w:rPr>
          <w:rFonts w:ascii="Times New Roman" w:hAnsi="Times New Roman"/>
          <w:sz w:val="22"/>
          <w:szCs w:val="22"/>
        </w:rPr>
        <w:t>a criminal offence</w:t>
      </w:r>
      <w:r w:rsidR="004F57B8" w:rsidRPr="00C2522B">
        <w:rPr>
          <w:rFonts w:ascii="Times New Roman" w:hAnsi="Times New Roman"/>
          <w:sz w:val="22"/>
          <w:szCs w:val="22"/>
        </w:rPr>
        <w:t>)</w:t>
      </w:r>
      <w:r w:rsidR="003C69AB" w:rsidRPr="00C2522B">
        <w:rPr>
          <w:rFonts w:ascii="Times New Roman" w:hAnsi="Times New Roman"/>
          <w:sz w:val="22"/>
          <w:szCs w:val="22"/>
        </w:rPr>
        <w:t xml:space="preserve"> which would have </w:t>
      </w:r>
      <w:r w:rsidR="004F57B8" w:rsidRPr="00C2522B">
        <w:rPr>
          <w:rFonts w:ascii="Times New Roman" w:hAnsi="Times New Roman"/>
          <w:sz w:val="22"/>
          <w:szCs w:val="22"/>
        </w:rPr>
        <w:t xml:space="preserve">been a </w:t>
      </w:r>
      <w:r w:rsidR="003C69AB" w:rsidRPr="00C2522B">
        <w:rPr>
          <w:rFonts w:ascii="Times New Roman" w:hAnsi="Times New Roman"/>
          <w:sz w:val="22"/>
          <w:szCs w:val="22"/>
        </w:rPr>
        <w:t xml:space="preserve">breach </w:t>
      </w:r>
      <w:r w:rsidR="004F57B8" w:rsidRPr="00C2522B">
        <w:rPr>
          <w:rFonts w:ascii="Times New Roman" w:hAnsi="Times New Roman"/>
          <w:sz w:val="22"/>
          <w:szCs w:val="22"/>
        </w:rPr>
        <w:t xml:space="preserve">of </w:t>
      </w:r>
      <w:r w:rsidR="003C69AB" w:rsidRPr="00C2522B">
        <w:rPr>
          <w:rFonts w:ascii="Times New Roman" w:hAnsi="Times New Roman"/>
          <w:sz w:val="22"/>
          <w:szCs w:val="22"/>
        </w:rPr>
        <w:t>an implied term of the contract between Ivey and the</w:t>
      </w:r>
      <w:r w:rsidR="004F57B8" w:rsidRPr="00C2522B">
        <w:rPr>
          <w:rFonts w:ascii="Times New Roman" w:hAnsi="Times New Roman"/>
          <w:sz w:val="22"/>
          <w:szCs w:val="22"/>
        </w:rPr>
        <w:t xml:space="preserve"> Casino.</w:t>
      </w:r>
    </w:p>
    <w:p w14:paraId="08904316" w14:textId="77777777" w:rsidR="003021B6" w:rsidRPr="00C2522B" w:rsidRDefault="003021B6" w:rsidP="00C2522B">
      <w:pPr>
        <w:spacing w:after="0"/>
        <w:rPr>
          <w:rFonts w:ascii="Times New Roman" w:hAnsi="Times New Roman"/>
          <w:sz w:val="22"/>
          <w:szCs w:val="22"/>
        </w:rPr>
      </w:pPr>
    </w:p>
    <w:p w14:paraId="216A5CEA" w14:textId="77777777" w:rsidR="00772427" w:rsidRPr="00C2522B" w:rsidRDefault="003C69AB" w:rsidP="00C2522B">
      <w:pPr>
        <w:spacing w:after="0"/>
        <w:rPr>
          <w:rFonts w:ascii="Times New Roman" w:hAnsi="Times New Roman"/>
          <w:sz w:val="22"/>
          <w:szCs w:val="22"/>
          <w:shd w:val="clear" w:color="auto" w:fill="FFFFFF"/>
        </w:rPr>
      </w:pPr>
      <w:r w:rsidRPr="00C2522B">
        <w:rPr>
          <w:rFonts w:ascii="Times New Roman" w:hAnsi="Times New Roman"/>
          <w:sz w:val="22"/>
          <w:szCs w:val="22"/>
          <w:shd w:val="clear" w:color="auto" w:fill="FFFFFF"/>
        </w:rPr>
        <w:t xml:space="preserve">Following </w:t>
      </w:r>
      <w:r w:rsidRPr="00C2522B">
        <w:rPr>
          <w:rFonts w:ascii="Times New Roman" w:hAnsi="Times New Roman"/>
          <w:i/>
          <w:sz w:val="22"/>
          <w:szCs w:val="22"/>
          <w:shd w:val="clear" w:color="auto" w:fill="FFFFFF"/>
        </w:rPr>
        <w:t>R. v Ghosh</w:t>
      </w:r>
      <w:r w:rsidR="003021B6">
        <w:rPr>
          <w:rFonts w:ascii="Times New Roman" w:hAnsi="Times New Roman"/>
          <w:sz w:val="22"/>
          <w:szCs w:val="22"/>
          <w:shd w:val="clear" w:color="auto" w:fill="FFFFFF"/>
        </w:rPr>
        <w:t>,</w:t>
      </w:r>
      <w:r w:rsidRPr="00C2522B">
        <w:rPr>
          <w:rStyle w:val="FootnoteReference"/>
          <w:rFonts w:ascii="Times New Roman" w:hAnsi="Times New Roman"/>
          <w:sz w:val="22"/>
          <w:szCs w:val="22"/>
          <w:shd w:val="clear" w:color="auto" w:fill="FFFFFF"/>
        </w:rPr>
        <w:footnoteReference w:id="3"/>
      </w:r>
      <w:r w:rsidRPr="00C2522B">
        <w:rPr>
          <w:rFonts w:ascii="Times New Roman" w:hAnsi="Times New Roman"/>
          <w:sz w:val="22"/>
          <w:szCs w:val="22"/>
          <w:shd w:val="clear" w:color="auto" w:fill="FFFFFF"/>
        </w:rPr>
        <w:t xml:space="preserve"> Ivey</w:t>
      </w:r>
      <w:r w:rsidR="003021B6">
        <w:rPr>
          <w:rFonts w:ascii="Times New Roman" w:hAnsi="Times New Roman"/>
          <w:sz w:val="22"/>
          <w:szCs w:val="22"/>
          <w:shd w:val="clear" w:color="auto" w:fill="FFFFFF"/>
        </w:rPr>
        <w:t>’</w:t>
      </w:r>
      <w:r w:rsidRPr="00C2522B">
        <w:rPr>
          <w:rFonts w:ascii="Times New Roman" w:hAnsi="Times New Roman"/>
          <w:sz w:val="22"/>
          <w:szCs w:val="22"/>
          <w:shd w:val="clear" w:color="auto" w:fill="FFFFFF"/>
        </w:rPr>
        <w:t xml:space="preserve">s position was that the Court should apply a two-stage test for dishonesty: </w:t>
      </w:r>
      <w:r w:rsidR="004F57B8" w:rsidRPr="00C2522B">
        <w:rPr>
          <w:rFonts w:ascii="Times New Roman" w:hAnsi="Times New Roman"/>
          <w:sz w:val="22"/>
          <w:szCs w:val="22"/>
          <w:shd w:val="clear" w:color="auto" w:fill="FFFFFF"/>
        </w:rPr>
        <w:t xml:space="preserve">determining </w:t>
      </w:r>
      <w:r w:rsidRPr="00C2522B">
        <w:rPr>
          <w:rFonts w:ascii="Times New Roman" w:hAnsi="Times New Roman"/>
          <w:sz w:val="22"/>
          <w:szCs w:val="22"/>
          <w:shd w:val="clear" w:color="auto" w:fill="FFFFFF"/>
        </w:rPr>
        <w:t xml:space="preserve">whether the conduct complained of was dishonest by the lay objective standards of ordinary reasonable and honest people, and if so whether </w:t>
      </w:r>
      <w:r w:rsidR="004F57B8" w:rsidRPr="00C2522B">
        <w:rPr>
          <w:rFonts w:ascii="Times New Roman" w:hAnsi="Times New Roman"/>
          <w:sz w:val="22"/>
          <w:szCs w:val="22"/>
          <w:shd w:val="clear" w:color="auto" w:fill="FFFFFF"/>
        </w:rPr>
        <w:t>he</w:t>
      </w:r>
      <w:r w:rsidR="00C2522B" w:rsidRPr="00C2522B">
        <w:rPr>
          <w:rFonts w:ascii="Times New Roman" w:hAnsi="Times New Roman"/>
          <w:sz w:val="22"/>
          <w:szCs w:val="22"/>
          <w:shd w:val="clear" w:color="auto" w:fill="FFFFFF"/>
        </w:rPr>
        <w:t xml:space="preserve"> </w:t>
      </w:r>
      <w:r w:rsidRPr="00C2522B">
        <w:rPr>
          <w:rFonts w:ascii="Times New Roman" w:hAnsi="Times New Roman"/>
          <w:sz w:val="22"/>
          <w:szCs w:val="22"/>
          <w:shd w:val="clear" w:color="auto" w:fill="FFFFFF"/>
        </w:rPr>
        <w:t>must have realised that ordinary honest people would so regard the behaviour. The obvious problem is that</w:t>
      </w:r>
      <w:r w:rsidR="003021B6">
        <w:rPr>
          <w:rFonts w:ascii="Times New Roman" w:hAnsi="Times New Roman"/>
          <w:sz w:val="22"/>
          <w:szCs w:val="22"/>
          <w:shd w:val="clear" w:color="auto" w:fill="FFFFFF"/>
        </w:rPr>
        <w:t>,</w:t>
      </w:r>
      <w:r w:rsidRPr="00C2522B">
        <w:rPr>
          <w:rFonts w:ascii="Times New Roman" w:hAnsi="Times New Roman"/>
          <w:sz w:val="22"/>
          <w:szCs w:val="22"/>
          <w:shd w:val="clear" w:color="auto" w:fill="FFFFFF"/>
        </w:rPr>
        <w:t xml:space="preserve"> the more warped </w:t>
      </w:r>
      <w:r w:rsidR="004F57B8" w:rsidRPr="00C2522B">
        <w:rPr>
          <w:rFonts w:ascii="Times New Roman" w:hAnsi="Times New Roman"/>
          <w:sz w:val="22"/>
          <w:szCs w:val="22"/>
          <w:shd w:val="clear" w:color="auto" w:fill="FFFFFF"/>
        </w:rPr>
        <w:t>Mr Ivey</w:t>
      </w:r>
      <w:r w:rsidR="003021B6">
        <w:rPr>
          <w:rFonts w:ascii="Times New Roman" w:hAnsi="Times New Roman"/>
          <w:sz w:val="22"/>
          <w:szCs w:val="22"/>
          <w:shd w:val="clear" w:color="auto" w:fill="FFFFFF"/>
        </w:rPr>
        <w:t>’</w:t>
      </w:r>
      <w:r w:rsidR="004F57B8" w:rsidRPr="00C2522B">
        <w:rPr>
          <w:rFonts w:ascii="Times New Roman" w:hAnsi="Times New Roman"/>
          <w:sz w:val="22"/>
          <w:szCs w:val="22"/>
          <w:shd w:val="clear" w:color="auto" w:fill="FFFFFF"/>
        </w:rPr>
        <w:t xml:space="preserve">s </w:t>
      </w:r>
      <w:r w:rsidRPr="00C2522B">
        <w:rPr>
          <w:rFonts w:ascii="Times New Roman" w:hAnsi="Times New Roman"/>
          <w:sz w:val="22"/>
          <w:szCs w:val="22"/>
          <w:shd w:val="clear" w:color="auto" w:fill="FFFFFF"/>
        </w:rPr>
        <w:t>standards of honesty w</w:t>
      </w:r>
      <w:r w:rsidR="004F57B8" w:rsidRPr="00C2522B">
        <w:rPr>
          <w:rFonts w:ascii="Times New Roman" w:hAnsi="Times New Roman"/>
          <w:sz w:val="22"/>
          <w:szCs w:val="22"/>
          <w:shd w:val="clear" w:color="auto" w:fill="FFFFFF"/>
        </w:rPr>
        <w:t>ere</w:t>
      </w:r>
      <w:r w:rsidRPr="00C2522B">
        <w:rPr>
          <w:rFonts w:ascii="Times New Roman" w:hAnsi="Times New Roman"/>
          <w:sz w:val="22"/>
          <w:szCs w:val="22"/>
          <w:shd w:val="clear" w:color="auto" w:fill="FFFFFF"/>
        </w:rPr>
        <w:t xml:space="preserve">, the less likely was a </w:t>
      </w:r>
      <w:r w:rsidR="000033DF" w:rsidRPr="00C2522B">
        <w:rPr>
          <w:rFonts w:ascii="Times New Roman" w:hAnsi="Times New Roman"/>
          <w:sz w:val="22"/>
          <w:szCs w:val="22"/>
          <w:shd w:val="clear" w:color="auto" w:fill="FFFFFF"/>
        </w:rPr>
        <w:t>finding of dishonesty</w:t>
      </w:r>
      <w:r w:rsidR="004F57B8" w:rsidRPr="00C2522B">
        <w:rPr>
          <w:rFonts w:ascii="Times New Roman" w:hAnsi="Times New Roman"/>
          <w:sz w:val="22"/>
          <w:szCs w:val="22"/>
          <w:shd w:val="clear" w:color="auto" w:fill="FFFFFF"/>
        </w:rPr>
        <w:t>.</w:t>
      </w:r>
      <w:r w:rsidR="00C2522B" w:rsidRPr="00C2522B">
        <w:rPr>
          <w:rFonts w:ascii="Times New Roman" w:hAnsi="Times New Roman"/>
          <w:sz w:val="22"/>
          <w:szCs w:val="22"/>
          <w:shd w:val="clear" w:color="auto" w:fill="FFFFFF"/>
        </w:rPr>
        <w:t xml:space="preserve"> </w:t>
      </w:r>
      <w:r w:rsidR="004F57B8" w:rsidRPr="00C2522B">
        <w:rPr>
          <w:rFonts w:ascii="Times New Roman" w:hAnsi="Times New Roman"/>
          <w:sz w:val="22"/>
          <w:szCs w:val="22"/>
          <w:shd w:val="clear" w:color="auto" w:fill="FFFFFF"/>
        </w:rPr>
        <w:t xml:space="preserve">The Court </w:t>
      </w:r>
      <w:r w:rsidRPr="00C2522B">
        <w:rPr>
          <w:rFonts w:ascii="Times New Roman" w:hAnsi="Times New Roman"/>
          <w:sz w:val="22"/>
          <w:szCs w:val="22"/>
          <w:shd w:val="clear" w:color="auto" w:fill="FFFFFF"/>
        </w:rPr>
        <w:t xml:space="preserve">rejected </w:t>
      </w:r>
      <w:r w:rsidR="004F57B8" w:rsidRPr="00C2522B">
        <w:rPr>
          <w:rFonts w:ascii="Times New Roman" w:hAnsi="Times New Roman"/>
          <w:sz w:val="22"/>
          <w:szCs w:val="22"/>
          <w:shd w:val="clear" w:color="auto" w:fill="FFFFFF"/>
        </w:rPr>
        <w:t xml:space="preserve">this </w:t>
      </w:r>
      <w:r w:rsidR="004F57B8" w:rsidRPr="00C2522B">
        <w:rPr>
          <w:rFonts w:ascii="Times New Roman" w:hAnsi="Times New Roman"/>
          <w:sz w:val="22"/>
          <w:szCs w:val="22"/>
          <w:shd w:val="clear" w:color="auto" w:fill="FFFFFF"/>
        </w:rPr>
        <w:lastRenderedPageBreak/>
        <w:t xml:space="preserve">approach </w:t>
      </w:r>
      <w:r w:rsidRPr="00C2522B">
        <w:rPr>
          <w:rFonts w:ascii="Times New Roman" w:hAnsi="Times New Roman"/>
          <w:sz w:val="22"/>
          <w:szCs w:val="22"/>
          <w:shd w:val="clear" w:color="auto" w:fill="FFFFFF"/>
        </w:rPr>
        <w:t xml:space="preserve">and the troubling second limb </w:t>
      </w:r>
      <w:r w:rsidR="004F57B8" w:rsidRPr="00C2522B">
        <w:rPr>
          <w:rFonts w:ascii="Times New Roman" w:hAnsi="Times New Roman"/>
          <w:sz w:val="22"/>
          <w:szCs w:val="22"/>
          <w:shd w:val="clear" w:color="auto" w:fill="FFFFFF"/>
        </w:rPr>
        <w:t xml:space="preserve">was </w:t>
      </w:r>
      <w:r w:rsidRPr="00C2522B">
        <w:rPr>
          <w:rFonts w:ascii="Times New Roman" w:hAnsi="Times New Roman"/>
          <w:sz w:val="22"/>
          <w:szCs w:val="22"/>
          <w:shd w:val="clear" w:color="auto" w:fill="FFFFFF"/>
        </w:rPr>
        <w:t xml:space="preserve">rejected </w:t>
      </w:r>
      <w:r w:rsidR="004F57B8" w:rsidRPr="00C2522B">
        <w:rPr>
          <w:rFonts w:ascii="Times New Roman" w:hAnsi="Times New Roman"/>
          <w:sz w:val="22"/>
          <w:szCs w:val="22"/>
          <w:shd w:val="clear" w:color="auto" w:fill="FFFFFF"/>
        </w:rPr>
        <w:t xml:space="preserve">following </w:t>
      </w:r>
      <w:r w:rsidRPr="00C2522B">
        <w:rPr>
          <w:rFonts w:ascii="Times New Roman" w:hAnsi="Times New Roman"/>
          <w:i/>
          <w:sz w:val="22"/>
          <w:szCs w:val="22"/>
          <w:shd w:val="clear" w:color="auto" w:fill="FFFFFF"/>
        </w:rPr>
        <w:t>In re Barlow Clowes International Ltd (In Liquidation)</w:t>
      </w:r>
      <w:r w:rsidR="003021B6" w:rsidRPr="003021B6">
        <w:rPr>
          <w:rFonts w:ascii="Times New Roman" w:hAnsi="Times New Roman"/>
          <w:sz w:val="22"/>
          <w:szCs w:val="22"/>
          <w:shd w:val="clear" w:color="auto" w:fill="FFFFFF"/>
        </w:rPr>
        <w:t>.</w:t>
      </w:r>
      <w:r w:rsidRPr="00C2522B">
        <w:rPr>
          <w:rStyle w:val="FootnoteReference"/>
          <w:rFonts w:ascii="Times New Roman" w:hAnsi="Times New Roman"/>
          <w:sz w:val="22"/>
          <w:szCs w:val="22"/>
          <w:shd w:val="clear" w:color="auto" w:fill="FFFFFF"/>
        </w:rPr>
        <w:footnoteReference w:id="4"/>
      </w:r>
    </w:p>
    <w:p w14:paraId="087B4026" w14:textId="77777777" w:rsidR="003021B6" w:rsidRDefault="003021B6" w:rsidP="00C2522B">
      <w:pPr>
        <w:spacing w:after="0"/>
        <w:rPr>
          <w:rFonts w:ascii="Times New Roman" w:hAnsi="Times New Roman"/>
          <w:sz w:val="22"/>
          <w:szCs w:val="22"/>
          <w:shd w:val="clear" w:color="auto" w:fill="FFFFFF"/>
        </w:rPr>
      </w:pPr>
    </w:p>
    <w:p w14:paraId="7B589BB0" w14:textId="77777777" w:rsidR="00340FF0" w:rsidRDefault="000921F0" w:rsidP="00C2522B">
      <w:pPr>
        <w:spacing w:after="0"/>
        <w:rPr>
          <w:rFonts w:ascii="Times New Roman" w:hAnsi="Times New Roman"/>
          <w:color w:val="000000"/>
          <w:sz w:val="22"/>
          <w:szCs w:val="22"/>
          <w:shd w:val="clear" w:color="auto" w:fill="FFFFFF"/>
        </w:rPr>
      </w:pPr>
      <w:r w:rsidRPr="00C2522B">
        <w:rPr>
          <w:rFonts w:ascii="Times New Roman" w:hAnsi="Times New Roman"/>
          <w:sz w:val="22"/>
          <w:szCs w:val="22"/>
          <w:shd w:val="clear" w:color="auto" w:fill="FFFFFF"/>
        </w:rPr>
        <w:t xml:space="preserve">It would be wrong to say that </w:t>
      </w:r>
      <w:r w:rsidRPr="00C2522B">
        <w:rPr>
          <w:rFonts w:ascii="Times New Roman" w:hAnsi="Times New Roman"/>
          <w:i/>
          <w:sz w:val="22"/>
          <w:szCs w:val="22"/>
          <w:shd w:val="clear" w:color="auto" w:fill="FFFFFF"/>
        </w:rPr>
        <w:t>Ivey</w:t>
      </w:r>
      <w:r w:rsidRPr="00C2522B">
        <w:rPr>
          <w:rFonts w:ascii="Times New Roman" w:hAnsi="Times New Roman"/>
          <w:sz w:val="22"/>
          <w:szCs w:val="22"/>
          <w:shd w:val="clear" w:color="auto" w:fill="FFFFFF"/>
        </w:rPr>
        <w:t xml:space="preserve"> creates a wholly object</w:t>
      </w:r>
      <w:r w:rsidR="003021B6">
        <w:rPr>
          <w:rFonts w:ascii="Times New Roman" w:hAnsi="Times New Roman"/>
          <w:sz w:val="22"/>
          <w:szCs w:val="22"/>
          <w:shd w:val="clear" w:color="auto" w:fill="FFFFFF"/>
        </w:rPr>
        <w:t>ive test for dishonesty; rather,</w:t>
      </w:r>
      <w:r w:rsidRPr="00C2522B">
        <w:rPr>
          <w:rFonts w:ascii="Times New Roman" w:hAnsi="Times New Roman"/>
          <w:sz w:val="22"/>
          <w:szCs w:val="22"/>
          <w:shd w:val="clear" w:color="auto" w:fill="FFFFFF"/>
        </w:rPr>
        <w:t xml:space="preserve"> a protagonist</w:t>
      </w:r>
      <w:r w:rsidR="003021B6">
        <w:rPr>
          <w:rFonts w:ascii="Times New Roman" w:hAnsi="Times New Roman"/>
          <w:sz w:val="22"/>
          <w:szCs w:val="22"/>
          <w:shd w:val="clear" w:color="auto" w:fill="FFFFFF"/>
        </w:rPr>
        <w:t>’</w:t>
      </w:r>
      <w:r w:rsidRPr="00C2522B">
        <w:rPr>
          <w:rFonts w:ascii="Times New Roman" w:hAnsi="Times New Roman"/>
          <w:sz w:val="22"/>
          <w:szCs w:val="22"/>
          <w:shd w:val="clear" w:color="auto" w:fill="FFFFFF"/>
        </w:rPr>
        <w:t>s subjective state of mind must be evaluated by reference to an objective assessment of honesty.</w:t>
      </w:r>
      <w:r w:rsidR="003021B6">
        <w:rPr>
          <w:rFonts w:ascii="Times New Roman" w:hAnsi="Times New Roman"/>
          <w:sz w:val="22"/>
          <w:szCs w:val="22"/>
          <w:shd w:val="clear" w:color="auto" w:fill="FFFFFF"/>
        </w:rPr>
        <w:t xml:space="preserve"> </w:t>
      </w:r>
      <w:r w:rsidR="00593E77" w:rsidRPr="00C2522B">
        <w:rPr>
          <w:rFonts w:ascii="Times New Roman" w:hAnsi="Times New Roman"/>
          <w:sz w:val="22"/>
          <w:szCs w:val="22"/>
          <w:shd w:val="clear" w:color="auto" w:fill="FFFFFF"/>
        </w:rPr>
        <w:t>On</w:t>
      </w:r>
      <w:r w:rsidR="00772427" w:rsidRPr="00C2522B">
        <w:rPr>
          <w:rFonts w:ascii="Times New Roman" w:hAnsi="Times New Roman"/>
          <w:sz w:val="22"/>
          <w:szCs w:val="22"/>
          <w:shd w:val="clear" w:color="auto" w:fill="FFFFFF"/>
        </w:rPr>
        <w:t xml:space="preserve"> that basis, </w:t>
      </w:r>
      <w:r w:rsidR="00593E77" w:rsidRPr="00C2522B">
        <w:rPr>
          <w:rFonts w:ascii="Times New Roman" w:hAnsi="Times New Roman"/>
          <w:sz w:val="22"/>
          <w:szCs w:val="22"/>
          <w:shd w:val="clear" w:color="auto" w:fill="FFFFFF"/>
        </w:rPr>
        <w:t>a</w:t>
      </w:r>
      <w:r w:rsidR="00772427" w:rsidRPr="00C2522B">
        <w:rPr>
          <w:rFonts w:ascii="Times New Roman" w:hAnsi="Times New Roman"/>
          <w:sz w:val="22"/>
          <w:szCs w:val="22"/>
          <w:shd w:val="clear" w:color="auto" w:fill="FFFFFF"/>
        </w:rPr>
        <w:t xml:space="preserve"> director arguing that they mistakenly but honestly believed that their conduct was consistent with industry standards may no longer ha</w:t>
      </w:r>
      <w:r w:rsidR="000033DF" w:rsidRPr="00C2522B">
        <w:rPr>
          <w:rFonts w:ascii="Times New Roman" w:hAnsi="Times New Roman"/>
          <w:sz w:val="22"/>
          <w:szCs w:val="22"/>
          <w:shd w:val="clear" w:color="auto" w:fill="FFFFFF"/>
        </w:rPr>
        <w:t>ve</w:t>
      </w:r>
      <w:r w:rsidR="00772427" w:rsidRPr="00C2522B">
        <w:rPr>
          <w:rFonts w:ascii="Times New Roman" w:hAnsi="Times New Roman"/>
          <w:sz w:val="22"/>
          <w:szCs w:val="22"/>
          <w:shd w:val="clear" w:color="auto" w:fill="FFFFFF"/>
        </w:rPr>
        <w:t xml:space="preserve"> a defence</w:t>
      </w:r>
      <w:r w:rsidR="00F90C01" w:rsidRPr="00C2522B">
        <w:rPr>
          <w:rFonts w:ascii="Times New Roman" w:hAnsi="Times New Roman"/>
          <w:sz w:val="22"/>
          <w:szCs w:val="22"/>
          <w:shd w:val="clear" w:color="auto" w:fill="FFFFFF"/>
        </w:rPr>
        <w:t xml:space="preserve"> in a criminal context</w:t>
      </w:r>
      <w:r w:rsidR="00772427" w:rsidRPr="00C2522B">
        <w:rPr>
          <w:rFonts w:ascii="Times New Roman" w:hAnsi="Times New Roman"/>
          <w:sz w:val="22"/>
          <w:szCs w:val="22"/>
          <w:shd w:val="clear" w:color="auto" w:fill="FFFFFF"/>
        </w:rPr>
        <w:t>.</w:t>
      </w:r>
      <w:r w:rsidR="00C2522B" w:rsidRPr="00C2522B">
        <w:rPr>
          <w:rFonts w:ascii="Times New Roman" w:hAnsi="Times New Roman"/>
          <w:sz w:val="22"/>
          <w:szCs w:val="22"/>
        </w:rPr>
        <w:t xml:space="preserve"> </w:t>
      </w:r>
      <w:r w:rsidR="001F119D" w:rsidRPr="00C2522B">
        <w:rPr>
          <w:rFonts w:ascii="Times New Roman" w:hAnsi="Times New Roman"/>
          <w:sz w:val="22"/>
          <w:szCs w:val="22"/>
        </w:rPr>
        <w:t>Further, t</w:t>
      </w:r>
      <w:r w:rsidR="00593E77" w:rsidRPr="00C2522B">
        <w:rPr>
          <w:rFonts w:ascii="Times New Roman" w:hAnsi="Times New Roman"/>
          <w:color w:val="000000"/>
          <w:sz w:val="22"/>
          <w:szCs w:val="22"/>
          <w:shd w:val="clear" w:color="auto" w:fill="FFFFFF"/>
        </w:rPr>
        <w:t>he extent to which other areas of a company director</w:t>
      </w:r>
      <w:r w:rsidR="003021B6">
        <w:rPr>
          <w:rFonts w:ascii="Times New Roman" w:hAnsi="Times New Roman"/>
          <w:color w:val="000000"/>
          <w:sz w:val="22"/>
          <w:szCs w:val="22"/>
          <w:shd w:val="clear" w:color="auto" w:fill="FFFFFF"/>
        </w:rPr>
        <w:t>’</w:t>
      </w:r>
      <w:r w:rsidR="00593E77" w:rsidRPr="00C2522B">
        <w:rPr>
          <w:rFonts w:ascii="Times New Roman" w:hAnsi="Times New Roman"/>
          <w:color w:val="000000"/>
          <w:sz w:val="22"/>
          <w:szCs w:val="22"/>
          <w:shd w:val="clear" w:color="auto" w:fill="FFFFFF"/>
        </w:rPr>
        <w:t>s activities may be impacted is unclear</w:t>
      </w:r>
      <w:r w:rsidR="003021B6">
        <w:rPr>
          <w:rFonts w:ascii="Times New Roman" w:hAnsi="Times New Roman"/>
          <w:color w:val="000000"/>
          <w:sz w:val="22"/>
          <w:szCs w:val="22"/>
          <w:shd w:val="clear" w:color="auto" w:fill="FFFFFF"/>
        </w:rPr>
        <w:t>,</w:t>
      </w:r>
      <w:r w:rsidR="00593E77" w:rsidRPr="00C2522B">
        <w:rPr>
          <w:rFonts w:ascii="Times New Roman" w:hAnsi="Times New Roman"/>
          <w:color w:val="000000"/>
          <w:sz w:val="22"/>
          <w:szCs w:val="22"/>
          <w:shd w:val="clear" w:color="auto" w:fill="FFFFFF"/>
        </w:rPr>
        <w:t xml:space="preserve"> but there will inevitably be a growing list </w:t>
      </w:r>
      <w:r w:rsidR="00F90C01" w:rsidRPr="00C2522B">
        <w:rPr>
          <w:rFonts w:ascii="Times New Roman" w:hAnsi="Times New Roman"/>
          <w:color w:val="000000"/>
          <w:sz w:val="22"/>
          <w:szCs w:val="22"/>
          <w:shd w:val="clear" w:color="auto" w:fill="FFFFFF"/>
        </w:rPr>
        <w:t>of concerns</w:t>
      </w:r>
      <w:r w:rsidR="003021B6">
        <w:rPr>
          <w:rFonts w:ascii="Times New Roman" w:hAnsi="Times New Roman"/>
          <w:color w:val="000000"/>
          <w:sz w:val="22"/>
          <w:szCs w:val="22"/>
          <w:shd w:val="clear" w:color="auto" w:fill="FFFFFF"/>
        </w:rPr>
        <w:t>,</w:t>
      </w:r>
      <w:r w:rsidR="00F90C01" w:rsidRPr="00C2522B">
        <w:rPr>
          <w:rFonts w:ascii="Times New Roman" w:hAnsi="Times New Roman"/>
          <w:color w:val="000000"/>
          <w:sz w:val="22"/>
          <w:szCs w:val="22"/>
          <w:shd w:val="clear" w:color="auto" w:fill="FFFFFF"/>
        </w:rPr>
        <w:t xml:space="preserve"> </w:t>
      </w:r>
      <w:r w:rsidR="00593E77" w:rsidRPr="00C2522B">
        <w:rPr>
          <w:rFonts w:ascii="Times New Roman" w:hAnsi="Times New Roman"/>
          <w:color w:val="000000"/>
          <w:sz w:val="22"/>
          <w:szCs w:val="22"/>
          <w:shd w:val="clear" w:color="auto" w:fill="FFFFFF"/>
        </w:rPr>
        <w:t xml:space="preserve">including </w:t>
      </w:r>
      <w:r w:rsidR="00340FF0" w:rsidRPr="00C2522B">
        <w:rPr>
          <w:rFonts w:ascii="Times New Roman" w:hAnsi="Times New Roman"/>
          <w:color w:val="000000"/>
          <w:sz w:val="22"/>
          <w:szCs w:val="22"/>
          <w:shd w:val="clear" w:color="auto" w:fill="FFFFFF"/>
        </w:rPr>
        <w:t>insurance policies that refer</w:t>
      </w:r>
      <w:r w:rsidR="00593E77" w:rsidRPr="00C2522B">
        <w:rPr>
          <w:rFonts w:ascii="Times New Roman" w:hAnsi="Times New Roman"/>
          <w:color w:val="000000"/>
          <w:sz w:val="22"/>
          <w:szCs w:val="22"/>
          <w:shd w:val="clear" w:color="auto" w:fill="FFFFFF"/>
        </w:rPr>
        <w:t xml:space="preserve"> to </w:t>
      </w:r>
      <w:r w:rsidR="00340FF0" w:rsidRPr="00C2522B">
        <w:rPr>
          <w:rFonts w:ascii="Times New Roman" w:hAnsi="Times New Roman"/>
          <w:color w:val="000000"/>
          <w:sz w:val="22"/>
          <w:szCs w:val="22"/>
          <w:shd w:val="clear" w:color="auto" w:fill="FFFFFF"/>
        </w:rPr>
        <w:t xml:space="preserve">dishonest conduct </w:t>
      </w:r>
      <w:r w:rsidR="00F90C01" w:rsidRPr="00C2522B">
        <w:rPr>
          <w:rFonts w:ascii="Times New Roman" w:hAnsi="Times New Roman"/>
          <w:color w:val="000000"/>
          <w:sz w:val="22"/>
          <w:szCs w:val="22"/>
          <w:shd w:val="clear" w:color="auto" w:fill="FFFFFF"/>
        </w:rPr>
        <w:t xml:space="preserve">judged </w:t>
      </w:r>
      <w:r w:rsidR="00340FF0" w:rsidRPr="00C2522B">
        <w:rPr>
          <w:rFonts w:ascii="Times New Roman" w:hAnsi="Times New Roman"/>
          <w:color w:val="000000"/>
          <w:sz w:val="22"/>
          <w:szCs w:val="22"/>
          <w:shd w:val="clear" w:color="auto" w:fill="FFFFFF"/>
        </w:rPr>
        <w:t xml:space="preserve">according to criminal dishonesty </w:t>
      </w:r>
      <w:r w:rsidR="003021B6">
        <w:rPr>
          <w:rFonts w:ascii="Times New Roman" w:hAnsi="Times New Roman"/>
          <w:color w:val="000000"/>
          <w:sz w:val="22"/>
          <w:szCs w:val="22"/>
          <w:shd w:val="clear" w:color="auto" w:fill="FFFFFF"/>
        </w:rPr>
        <w:t>as well as</w:t>
      </w:r>
      <w:r w:rsidR="00340FF0" w:rsidRPr="00C2522B">
        <w:rPr>
          <w:rFonts w:ascii="Times New Roman" w:hAnsi="Times New Roman"/>
          <w:color w:val="000000"/>
          <w:sz w:val="22"/>
          <w:szCs w:val="22"/>
          <w:shd w:val="clear" w:color="auto" w:fill="FFFFFF"/>
        </w:rPr>
        <w:t xml:space="preserve"> </w:t>
      </w:r>
      <w:r w:rsidR="00593E77" w:rsidRPr="00C2522B">
        <w:rPr>
          <w:rFonts w:ascii="Times New Roman" w:hAnsi="Times New Roman"/>
          <w:color w:val="000000"/>
          <w:sz w:val="22"/>
          <w:szCs w:val="22"/>
          <w:shd w:val="clear" w:color="auto" w:fill="FFFFFF"/>
        </w:rPr>
        <w:t xml:space="preserve">any number of </w:t>
      </w:r>
      <w:r w:rsidR="00340FF0" w:rsidRPr="00C2522B">
        <w:rPr>
          <w:rFonts w:ascii="Times New Roman" w:hAnsi="Times New Roman"/>
          <w:color w:val="000000"/>
          <w:sz w:val="22"/>
          <w:szCs w:val="22"/>
          <w:shd w:val="clear" w:color="auto" w:fill="FFFFFF"/>
        </w:rPr>
        <w:t>professional disciplinary procedures</w:t>
      </w:r>
      <w:r w:rsidR="00F90C01" w:rsidRPr="00C2522B">
        <w:rPr>
          <w:rFonts w:ascii="Times New Roman" w:hAnsi="Times New Roman"/>
          <w:color w:val="000000"/>
          <w:sz w:val="22"/>
          <w:szCs w:val="22"/>
          <w:shd w:val="clear" w:color="auto" w:fill="FFFFFF"/>
        </w:rPr>
        <w:t>.</w:t>
      </w:r>
    </w:p>
    <w:p w14:paraId="11599D63" w14:textId="77777777" w:rsidR="003021B6" w:rsidRPr="003021B6" w:rsidRDefault="003021B6" w:rsidP="00C2522B">
      <w:pPr>
        <w:spacing w:after="0"/>
        <w:rPr>
          <w:rFonts w:ascii="Times New Roman" w:hAnsi="Times New Roman"/>
          <w:sz w:val="22"/>
          <w:szCs w:val="22"/>
          <w:shd w:val="clear" w:color="auto" w:fill="FFFFFF"/>
        </w:rPr>
      </w:pPr>
    </w:p>
    <w:p w14:paraId="35F7888D" w14:textId="77777777" w:rsidR="00867725" w:rsidRPr="003021B6" w:rsidRDefault="00867725" w:rsidP="00C2522B">
      <w:pPr>
        <w:spacing w:after="0"/>
        <w:rPr>
          <w:rFonts w:ascii="Times New Roman" w:hAnsi="Times New Roman"/>
          <w:i/>
          <w:color w:val="000000"/>
          <w:sz w:val="22"/>
          <w:szCs w:val="22"/>
          <w:shd w:val="clear" w:color="auto" w:fill="FFFFFF"/>
        </w:rPr>
      </w:pPr>
      <w:r w:rsidRPr="003021B6">
        <w:rPr>
          <w:rFonts w:ascii="Times New Roman" w:hAnsi="Times New Roman"/>
          <w:i/>
          <w:color w:val="000000"/>
          <w:sz w:val="22"/>
          <w:szCs w:val="22"/>
          <w:shd w:val="clear" w:color="auto" w:fill="FFFFFF"/>
        </w:rPr>
        <w:t>O</w:t>
      </w:r>
      <w:r w:rsidR="003021B6" w:rsidRPr="003021B6">
        <w:rPr>
          <w:rFonts w:ascii="Times New Roman" w:hAnsi="Times New Roman"/>
          <w:i/>
          <w:color w:val="000000"/>
          <w:sz w:val="22"/>
          <w:szCs w:val="22"/>
          <w:shd w:val="clear" w:color="auto" w:fill="FFFFFF"/>
        </w:rPr>
        <w:t>’</w:t>
      </w:r>
      <w:r w:rsidRPr="003021B6">
        <w:rPr>
          <w:rFonts w:ascii="Times New Roman" w:hAnsi="Times New Roman"/>
          <w:i/>
          <w:color w:val="000000"/>
          <w:sz w:val="22"/>
          <w:szCs w:val="22"/>
          <w:shd w:val="clear" w:color="auto" w:fill="FFFFFF"/>
        </w:rPr>
        <w:t>Keefe v. Caner</w:t>
      </w:r>
    </w:p>
    <w:p w14:paraId="743E5BCA" w14:textId="77777777" w:rsidR="003021B6" w:rsidRDefault="003021B6" w:rsidP="00C2522B">
      <w:pPr>
        <w:spacing w:after="0"/>
        <w:rPr>
          <w:rFonts w:ascii="Times New Roman" w:hAnsi="Times New Roman"/>
          <w:color w:val="000000"/>
          <w:sz w:val="22"/>
          <w:szCs w:val="22"/>
          <w:shd w:val="clear" w:color="auto" w:fill="FFFFFF"/>
        </w:rPr>
      </w:pPr>
    </w:p>
    <w:p w14:paraId="17545B08" w14:textId="77777777" w:rsidR="00593E77" w:rsidRPr="00C2522B" w:rsidRDefault="00593E77" w:rsidP="00C2522B">
      <w:pPr>
        <w:spacing w:after="0"/>
        <w:rPr>
          <w:rFonts w:ascii="Times New Roman" w:hAnsi="Times New Roman"/>
          <w:color w:val="000000"/>
          <w:sz w:val="22"/>
          <w:szCs w:val="22"/>
          <w:shd w:val="clear" w:color="auto" w:fill="FFFFFF"/>
        </w:rPr>
      </w:pPr>
      <w:r w:rsidRPr="00C2522B">
        <w:rPr>
          <w:rFonts w:ascii="Times New Roman" w:hAnsi="Times New Roman"/>
          <w:color w:val="000000"/>
          <w:sz w:val="22"/>
          <w:szCs w:val="22"/>
          <w:shd w:val="clear" w:color="auto" w:fill="FFFFFF"/>
        </w:rPr>
        <w:t xml:space="preserve">If the cases of </w:t>
      </w:r>
      <w:r w:rsidRPr="00C2522B">
        <w:rPr>
          <w:rFonts w:ascii="Times New Roman" w:hAnsi="Times New Roman"/>
          <w:i/>
          <w:color w:val="000000"/>
          <w:sz w:val="22"/>
          <w:szCs w:val="22"/>
          <w:shd w:val="clear" w:color="auto" w:fill="FFFFFF"/>
        </w:rPr>
        <w:t>Carlyle</w:t>
      </w:r>
      <w:r w:rsidRPr="00C2522B">
        <w:rPr>
          <w:rFonts w:ascii="Times New Roman" w:hAnsi="Times New Roman"/>
          <w:color w:val="000000"/>
          <w:sz w:val="22"/>
          <w:szCs w:val="22"/>
          <w:shd w:val="clear" w:color="auto" w:fill="FFFFFF"/>
        </w:rPr>
        <w:t xml:space="preserve"> and </w:t>
      </w:r>
      <w:r w:rsidRPr="00C2522B">
        <w:rPr>
          <w:rFonts w:ascii="Times New Roman" w:hAnsi="Times New Roman"/>
          <w:i/>
          <w:color w:val="000000"/>
          <w:sz w:val="22"/>
          <w:szCs w:val="22"/>
          <w:shd w:val="clear" w:color="auto" w:fill="FFFFFF"/>
        </w:rPr>
        <w:t>Ivey</w:t>
      </w:r>
      <w:r w:rsidRPr="00C2522B">
        <w:rPr>
          <w:rFonts w:ascii="Times New Roman" w:hAnsi="Times New Roman"/>
          <w:color w:val="000000"/>
          <w:sz w:val="22"/>
          <w:szCs w:val="22"/>
          <w:shd w:val="clear" w:color="auto" w:fill="FFFFFF"/>
        </w:rPr>
        <w:t xml:space="preserve"> are foreign cases</w:t>
      </w:r>
      <w:r w:rsidR="003021B6">
        <w:rPr>
          <w:rFonts w:ascii="Times New Roman" w:hAnsi="Times New Roman"/>
          <w:color w:val="000000"/>
          <w:sz w:val="22"/>
          <w:szCs w:val="22"/>
          <w:shd w:val="clear" w:color="auto" w:fill="FFFFFF"/>
        </w:rPr>
        <w:t>,</w:t>
      </w:r>
      <w:r w:rsidRPr="00C2522B">
        <w:rPr>
          <w:rFonts w:ascii="Times New Roman" w:hAnsi="Times New Roman"/>
          <w:color w:val="000000"/>
          <w:sz w:val="22"/>
          <w:szCs w:val="22"/>
          <w:shd w:val="clear" w:color="auto" w:fill="FFFFFF"/>
        </w:rPr>
        <w:t xml:space="preserve"> which </w:t>
      </w:r>
      <w:r w:rsidR="000921F0" w:rsidRPr="00C2522B">
        <w:rPr>
          <w:rFonts w:ascii="Times New Roman" w:hAnsi="Times New Roman"/>
          <w:color w:val="000000"/>
          <w:sz w:val="22"/>
          <w:szCs w:val="22"/>
          <w:shd w:val="clear" w:color="auto" w:fill="FFFFFF"/>
        </w:rPr>
        <w:t>will</w:t>
      </w:r>
      <w:r w:rsidRPr="00C2522B">
        <w:rPr>
          <w:rFonts w:ascii="Times New Roman" w:hAnsi="Times New Roman"/>
          <w:color w:val="000000"/>
          <w:sz w:val="22"/>
          <w:szCs w:val="22"/>
          <w:shd w:val="clear" w:color="auto" w:fill="FFFFFF"/>
        </w:rPr>
        <w:t xml:space="preserve"> be relied upon in the Royal </w:t>
      </w:r>
      <w:r w:rsidR="000921F0" w:rsidRPr="00C2522B">
        <w:rPr>
          <w:rFonts w:ascii="Times New Roman" w:hAnsi="Times New Roman"/>
          <w:color w:val="000000"/>
          <w:sz w:val="22"/>
          <w:szCs w:val="22"/>
          <w:shd w:val="clear" w:color="auto" w:fill="FFFFFF"/>
        </w:rPr>
        <w:t>Court</w:t>
      </w:r>
      <w:r w:rsidRPr="00C2522B">
        <w:rPr>
          <w:rFonts w:ascii="Times New Roman" w:hAnsi="Times New Roman"/>
          <w:color w:val="000000"/>
          <w:sz w:val="22"/>
          <w:szCs w:val="22"/>
          <w:shd w:val="clear" w:color="auto" w:fill="FFFFFF"/>
        </w:rPr>
        <w:t xml:space="preserve"> of Jersey by ref</w:t>
      </w:r>
      <w:r w:rsidR="00877CBB" w:rsidRPr="00C2522B">
        <w:rPr>
          <w:rFonts w:ascii="Times New Roman" w:hAnsi="Times New Roman"/>
          <w:color w:val="000000"/>
          <w:sz w:val="22"/>
          <w:szCs w:val="22"/>
          <w:shd w:val="clear" w:color="auto" w:fill="FFFFFF"/>
        </w:rPr>
        <w:t>e</w:t>
      </w:r>
      <w:r w:rsidRPr="00C2522B">
        <w:rPr>
          <w:rFonts w:ascii="Times New Roman" w:hAnsi="Times New Roman"/>
          <w:color w:val="000000"/>
          <w:sz w:val="22"/>
          <w:szCs w:val="22"/>
          <w:shd w:val="clear" w:color="auto" w:fill="FFFFFF"/>
        </w:rPr>
        <w:t xml:space="preserve">rence to a common </w:t>
      </w:r>
      <w:r w:rsidR="001F119D" w:rsidRPr="00C2522B">
        <w:rPr>
          <w:rFonts w:ascii="Times New Roman" w:hAnsi="Times New Roman"/>
          <w:color w:val="000000"/>
          <w:sz w:val="22"/>
          <w:szCs w:val="22"/>
          <w:shd w:val="clear" w:color="auto" w:fill="FFFFFF"/>
        </w:rPr>
        <w:t xml:space="preserve">legal </w:t>
      </w:r>
      <w:r w:rsidR="000921F0" w:rsidRPr="00C2522B">
        <w:rPr>
          <w:rFonts w:ascii="Times New Roman" w:hAnsi="Times New Roman"/>
          <w:color w:val="000000"/>
          <w:sz w:val="22"/>
          <w:szCs w:val="22"/>
          <w:shd w:val="clear" w:color="auto" w:fill="FFFFFF"/>
        </w:rPr>
        <w:t>heritage</w:t>
      </w:r>
      <w:r w:rsidRPr="00C2522B">
        <w:rPr>
          <w:rFonts w:ascii="Times New Roman" w:hAnsi="Times New Roman"/>
          <w:color w:val="000000"/>
          <w:sz w:val="22"/>
          <w:szCs w:val="22"/>
          <w:shd w:val="clear" w:color="auto" w:fill="FFFFFF"/>
        </w:rPr>
        <w:t xml:space="preserve">, the case of </w:t>
      </w:r>
      <w:r w:rsidR="00623598" w:rsidRPr="00C2522B">
        <w:rPr>
          <w:rFonts w:ascii="Times New Roman" w:hAnsi="Times New Roman"/>
          <w:i/>
          <w:color w:val="000000"/>
          <w:sz w:val="22"/>
          <w:szCs w:val="22"/>
          <w:shd w:val="clear" w:color="auto" w:fill="FFFFFF"/>
        </w:rPr>
        <w:t>O</w:t>
      </w:r>
      <w:r w:rsidR="003021B6">
        <w:rPr>
          <w:rFonts w:ascii="Times New Roman" w:hAnsi="Times New Roman"/>
          <w:i/>
          <w:color w:val="000000"/>
          <w:sz w:val="22"/>
          <w:szCs w:val="22"/>
          <w:shd w:val="clear" w:color="auto" w:fill="FFFFFF"/>
        </w:rPr>
        <w:t>’</w:t>
      </w:r>
      <w:r w:rsidR="00623598" w:rsidRPr="00C2522B">
        <w:rPr>
          <w:rFonts w:ascii="Times New Roman" w:hAnsi="Times New Roman"/>
          <w:i/>
          <w:color w:val="000000"/>
          <w:sz w:val="22"/>
          <w:szCs w:val="22"/>
          <w:shd w:val="clear" w:color="auto" w:fill="FFFFFF"/>
        </w:rPr>
        <w:t>Keefe v. Caner</w:t>
      </w:r>
      <w:r w:rsidR="00867725" w:rsidRPr="00C2522B">
        <w:rPr>
          <w:rStyle w:val="FootnoteReference"/>
          <w:rFonts w:ascii="Times New Roman" w:hAnsi="Times New Roman"/>
          <w:color w:val="000000"/>
          <w:sz w:val="22"/>
          <w:szCs w:val="22"/>
          <w:shd w:val="clear" w:color="auto" w:fill="FFFFFF"/>
        </w:rPr>
        <w:footnoteReference w:id="5"/>
      </w:r>
      <w:r w:rsidR="00623598" w:rsidRPr="00C2522B">
        <w:rPr>
          <w:rFonts w:ascii="Times New Roman" w:hAnsi="Times New Roman"/>
          <w:color w:val="000000"/>
          <w:sz w:val="22"/>
          <w:szCs w:val="22"/>
          <w:shd w:val="clear" w:color="auto" w:fill="FFFFFF"/>
        </w:rPr>
        <w:t xml:space="preserve"> is a curiosity in that</w:t>
      </w:r>
      <w:r w:rsidR="00F90C01" w:rsidRPr="00C2522B">
        <w:rPr>
          <w:rFonts w:ascii="Times New Roman" w:hAnsi="Times New Roman"/>
          <w:color w:val="000000"/>
          <w:sz w:val="22"/>
          <w:szCs w:val="22"/>
          <w:shd w:val="clear" w:color="auto" w:fill="FFFFFF"/>
        </w:rPr>
        <w:t xml:space="preserve"> </w:t>
      </w:r>
      <w:r w:rsidR="00623598" w:rsidRPr="00C2522B">
        <w:rPr>
          <w:rFonts w:ascii="Times New Roman" w:hAnsi="Times New Roman"/>
          <w:color w:val="000000"/>
          <w:sz w:val="22"/>
          <w:szCs w:val="22"/>
          <w:shd w:val="clear" w:color="auto" w:fill="FFFFFF"/>
        </w:rPr>
        <w:t>a substantive but controversial point of Jersey law was determined at a hearing on preliminary issue in the English High Court.</w:t>
      </w:r>
    </w:p>
    <w:p w14:paraId="1A35051F" w14:textId="77777777" w:rsidR="003021B6" w:rsidRDefault="003021B6" w:rsidP="00C2522B">
      <w:pPr>
        <w:spacing w:after="0"/>
        <w:rPr>
          <w:rFonts w:ascii="Times New Roman" w:hAnsi="Times New Roman"/>
          <w:sz w:val="22"/>
          <w:szCs w:val="22"/>
        </w:rPr>
      </w:pPr>
    </w:p>
    <w:p w14:paraId="7F12271D" w14:textId="77777777" w:rsidR="00623598" w:rsidRDefault="00867725" w:rsidP="00C2522B">
      <w:pPr>
        <w:spacing w:after="0"/>
        <w:rPr>
          <w:rFonts w:ascii="Times New Roman" w:hAnsi="Times New Roman"/>
          <w:sz w:val="22"/>
          <w:szCs w:val="22"/>
        </w:rPr>
      </w:pPr>
      <w:r w:rsidRPr="00C2522B">
        <w:rPr>
          <w:rFonts w:ascii="Times New Roman" w:hAnsi="Times New Roman"/>
          <w:sz w:val="22"/>
          <w:szCs w:val="22"/>
        </w:rPr>
        <w:t>The preliminary issue was a point on time.</w:t>
      </w:r>
      <w:r w:rsidR="00C2522B" w:rsidRPr="00C2522B">
        <w:rPr>
          <w:rFonts w:ascii="Times New Roman" w:hAnsi="Times New Roman"/>
          <w:sz w:val="22"/>
          <w:szCs w:val="22"/>
        </w:rPr>
        <w:t xml:space="preserve"> </w:t>
      </w:r>
      <w:r w:rsidRPr="00C2522B">
        <w:rPr>
          <w:rFonts w:ascii="Times New Roman" w:hAnsi="Times New Roman"/>
          <w:sz w:val="22"/>
          <w:szCs w:val="22"/>
        </w:rPr>
        <w:t>L</w:t>
      </w:r>
      <w:r w:rsidR="00623598" w:rsidRPr="00C2522B">
        <w:rPr>
          <w:rFonts w:ascii="Times New Roman" w:hAnsi="Times New Roman"/>
          <w:sz w:val="22"/>
          <w:szCs w:val="22"/>
        </w:rPr>
        <w:t xml:space="preserve">imitation, or properly </w:t>
      </w:r>
      <w:r w:rsidR="00623598" w:rsidRPr="00C2522B">
        <w:rPr>
          <w:rFonts w:ascii="Times New Roman" w:hAnsi="Times New Roman"/>
          <w:i/>
          <w:sz w:val="22"/>
          <w:szCs w:val="22"/>
        </w:rPr>
        <w:t>prescription</w:t>
      </w:r>
      <w:r w:rsidR="00623598" w:rsidRPr="00C2522B">
        <w:rPr>
          <w:rFonts w:ascii="Times New Roman" w:hAnsi="Times New Roman"/>
          <w:sz w:val="22"/>
          <w:szCs w:val="22"/>
        </w:rPr>
        <w:t xml:space="preserve"> in Jersey</w:t>
      </w:r>
      <w:r w:rsidRPr="00C2522B">
        <w:rPr>
          <w:rFonts w:ascii="Times New Roman" w:hAnsi="Times New Roman"/>
          <w:sz w:val="22"/>
          <w:szCs w:val="22"/>
        </w:rPr>
        <w:t xml:space="preserve">, </w:t>
      </w:r>
      <w:r w:rsidR="00623598" w:rsidRPr="00C2522B">
        <w:rPr>
          <w:rFonts w:ascii="Times New Roman" w:hAnsi="Times New Roman"/>
          <w:sz w:val="22"/>
          <w:szCs w:val="22"/>
        </w:rPr>
        <w:t xml:space="preserve">is not codified </w:t>
      </w:r>
      <w:r w:rsidR="00F90C01" w:rsidRPr="00C2522B">
        <w:rPr>
          <w:rFonts w:ascii="Times New Roman" w:hAnsi="Times New Roman"/>
          <w:sz w:val="22"/>
          <w:szCs w:val="22"/>
        </w:rPr>
        <w:t xml:space="preserve">by </w:t>
      </w:r>
      <w:r w:rsidR="001F119D" w:rsidRPr="00C2522B">
        <w:rPr>
          <w:rFonts w:ascii="Times New Roman" w:hAnsi="Times New Roman"/>
          <w:sz w:val="22"/>
          <w:szCs w:val="22"/>
        </w:rPr>
        <w:t>Jersey</w:t>
      </w:r>
      <w:r w:rsidR="00F90C01" w:rsidRPr="00C2522B">
        <w:rPr>
          <w:rFonts w:ascii="Times New Roman" w:hAnsi="Times New Roman"/>
          <w:sz w:val="22"/>
          <w:szCs w:val="22"/>
        </w:rPr>
        <w:t xml:space="preserve"> law</w:t>
      </w:r>
      <w:r w:rsidR="001F119D" w:rsidRPr="00C2522B">
        <w:rPr>
          <w:rFonts w:ascii="Times New Roman" w:hAnsi="Times New Roman"/>
          <w:sz w:val="22"/>
          <w:szCs w:val="22"/>
        </w:rPr>
        <w:t>.</w:t>
      </w:r>
      <w:r w:rsidR="00C2522B" w:rsidRPr="00C2522B">
        <w:rPr>
          <w:rFonts w:ascii="Times New Roman" w:hAnsi="Times New Roman"/>
          <w:sz w:val="22"/>
          <w:szCs w:val="22"/>
        </w:rPr>
        <w:t xml:space="preserve"> </w:t>
      </w:r>
      <w:r w:rsidR="001F119D" w:rsidRPr="00C2522B">
        <w:rPr>
          <w:rFonts w:ascii="Times New Roman" w:hAnsi="Times New Roman"/>
          <w:sz w:val="22"/>
          <w:szCs w:val="22"/>
        </w:rPr>
        <w:t xml:space="preserve">Over time there </w:t>
      </w:r>
      <w:r w:rsidR="00623598" w:rsidRPr="00C2522B">
        <w:rPr>
          <w:rFonts w:ascii="Times New Roman" w:hAnsi="Times New Roman"/>
          <w:sz w:val="22"/>
          <w:szCs w:val="22"/>
        </w:rPr>
        <w:t>has been at least a perceived conflict between the French commentators, particul</w:t>
      </w:r>
      <w:r w:rsidR="00877CBB" w:rsidRPr="00C2522B">
        <w:rPr>
          <w:rFonts w:ascii="Times New Roman" w:hAnsi="Times New Roman"/>
          <w:sz w:val="22"/>
          <w:szCs w:val="22"/>
        </w:rPr>
        <w:t>a</w:t>
      </w:r>
      <w:r w:rsidR="00623598" w:rsidRPr="00C2522B">
        <w:rPr>
          <w:rFonts w:ascii="Times New Roman" w:hAnsi="Times New Roman"/>
          <w:sz w:val="22"/>
          <w:szCs w:val="22"/>
        </w:rPr>
        <w:t xml:space="preserve">rly </w:t>
      </w:r>
      <w:r w:rsidR="00623598" w:rsidRPr="00C2522B">
        <w:rPr>
          <w:rFonts w:ascii="Times New Roman" w:hAnsi="Times New Roman"/>
          <w:i/>
          <w:sz w:val="22"/>
          <w:szCs w:val="22"/>
        </w:rPr>
        <w:t>Pothier</w:t>
      </w:r>
      <w:r w:rsidR="00623598" w:rsidRPr="00C2522B">
        <w:rPr>
          <w:rFonts w:ascii="Times New Roman" w:hAnsi="Times New Roman"/>
          <w:sz w:val="22"/>
          <w:szCs w:val="22"/>
        </w:rPr>
        <w:t xml:space="preserve">, </w:t>
      </w:r>
      <w:r w:rsidR="00877CBB" w:rsidRPr="00C2522B">
        <w:rPr>
          <w:rFonts w:ascii="Times New Roman" w:hAnsi="Times New Roman"/>
          <w:sz w:val="22"/>
          <w:szCs w:val="22"/>
        </w:rPr>
        <w:t xml:space="preserve">and the </w:t>
      </w:r>
      <w:r w:rsidR="00623598" w:rsidRPr="00C2522B">
        <w:rPr>
          <w:rFonts w:ascii="Times New Roman" w:hAnsi="Times New Roman"/>
          <w:sz w:val="22"/>
          <w:szCs w:val="22"/>
        </w:rPr>
        <w:t>Royal Court in</w:t>
      </w:r>
      <w:r w:rsidR="00877CBB" w:rsidRPr="00C2522B">
        <w:rPr>
          <w:rFonts w:ascii="Times New Roman" w:hAnsi="Times New Roman"/>
          <w:sz w:val="22"/>
          <w:szCs w:val="22"/>
        </w:rPr>
        <w:t xml:space="preserve"> both</w:t>
      </w:r>
      <w:r w:rsidR="00623598" w:rsidRPr="00C2522B">
        <w:rPr>
          <w:rFonts w:ascii="Times New Roman" w:hAnsi="Times New Roman"/>
          <w:sz w:val="22"/>
          <w:szCs w:val="22"/>
        </w:rPr>
        <w:t xml:space="preserve"> </w:t>
      </w:r>
      <w:r w:rsidR="00877CBB" w:rsidRPr="00C2522B">
        <w:rPr>
          <w:rFonts w:ascii="Times New Roman" w:hAnsi="Times New Roman"/>
          <w:i/>
          <w:sz w:val="22"/>
          <w:szCs w:val="22"/>
        </w:rPr>
        <w:t>Re the Esteem Settlement</w:t>
      </w:r>
      <w:r w:rsidR="00877CBB" w:rsidRPr="00C2522B">
        <w:rPr>
          <w:rStyle w:val="FootnoteReference"/>
          <w:rFonts w:ascii="Times New Roman" w:hAnsi="Times New Roman"/>
          <w:sz w:val="22"/>
          <w:szCs w:val="22"/>
        </w:rPr>
        <w:footnoteReference w:id="6"/>
      </w:r>
      <w:r w:rsidR="00877CBB" w:rsidRPr="00C2522B">
        <w:rPr>
          <w:rFonts w:ascii="Times New Roman" w:hAnsi="Times New Roman"/>
          <w:sz w:val="22"/>
          <w:szCs w:val="22"/>
        </w:rPr>
        <w:t xml:space="preserve"> and </w:t>
      </w:r>
      <w:r w:rsidR="00877CBB" w:rsidRPr="00C2522B">
        <w:rPr>
          <w:rFonts w:ascii="Times New Roman" w:hAnsi="Times New Roman"/>
          <w:i/>
          <w:sz w:val="22"/>
          <w:szCs w:val="22"/>
        </w:rPr>
        <w:t>Nolan v. Minerva Trust Company Limited</w:t>
      </w:r>
      <w:r w:rsidR="00877CBB" w:rsidRPr="00C2522B">
        <w:rPr>
          <w:rStyle w:val="FootnoteReference"/>
          <w:rFonts w:ascii="Times New Roman" w:hAnsi="Times New Roman"/>
          <w:sz w:val="22"/>
          <w:szCs w:val="22"/>
        </w:rPr>
        <w:footnoteReference w:id="7"/>
      </w:r>
      <w:r w:rsidR="001F119D" w:rsidRPr="00C2522B">
        <w:rPr>
          <w:rFonts w:ascii="Times New Roman" w:hAnsi="Times New Roman"/>
          <w:sz w:val="22"/>
          <w:szCs w:val="22"/>
        </w:rPr>
        <w:t xml:space="preserve"> as to the proper prescription period for a claim </w:t>
      </w:r>
      <w:r w:rsidR="00F90C01" w:rsidRPr="00C2522B">
        <w:rPr>
          <w:rFonts w:ascii="Times New Roman" w:hAnsi="Times New Roman"/>
          <w:sz w:val="22"/>
          <w:szCs w:val="22"/>
        </w:rPr>
        <w:t>for breach of a director</w:t>
      </w:r>
      <w:r w:rsidR="003021B6">
        <w:rPr>
          <w:rFonts w:ascii="Times New Roman" w:hAnsi="Times New Roman"/>
          <w:sz w:val="22"/>
          <w:szCs w:val="22"/>
        </w:rPr>
        <w:t>’</w:t>
      </w:r>
      <w:r w:rsidR="00F90C01" w:rsidRPr="00C2522B">
        <w:rPr>
          <w:rFonts w:ascii="Times New Roman" w:hAnsi="Times New Roman"/>
          <w:sz w:val="22"/>
          <w:szCs w:val="22"/>
        </w:rPr>
        <w:t>s duty</w:t>
      </w:r>
      <w:r w:rsidR="00877CBB" w:rsidRPr="00C2522B">
        <w:rPr>
          <w:rFonts w:ascii="Times New Roman" w:hAnsi="Times New Roman"/>
          <w:sz w:val="22"/>
          <w:szCs w:val="22"/>
        </w:rPr>
        <w:t>.</w:t>
      </w:r>
      <w:r w:rsidR="00C2522B" w:rsidRPr="00C2522B">
        <w:rPr>
          <w:rFonts w:ascii="Times New Roman" w:hAnsi="Times New Roman"/>
          <w:sz w:val="22"/>
          <w:szCs w:val="22"/>
        </w:rPr>
        <w:t xml:space="preserve"> </w:t>
      </w:r>
      <w:r w:rsidR="000921F0" w:rsidRPr="00C2522B">
        <w:rPr>
          <w:rFonts w:ascii="Times New Roman" w:hAnsi="Times New Roman"/>
          <w:sz w:val="22"/>
          <w:szCs w:val="22"/>
        </w:rPr>
        <w:t>Having</w:t>
      </w:r>
      <w:r w:rsidRPr="00C2522B">
        <w:rPr>
          <w:rFonts w:ascii="Times New Roman" w:hAnsi="Times New Roman"/>
          <w:sz w:val="22"/>
          <w:szCs w:val="22"/>
        </w:rPr>
        <w:t xml:space="preserve"> received expert evidence from three Jersey Advocates</w:t>
      </w:r>
      <w:r w:rsidR="003021B6">
        <w:rPr>
          <w:rFonts w:ascii="Times New Roman" w:hAnsi="Times New Roman"/>
          <w:sz w:val="22"/>
          <w:szCs w:val="22"/>
        </w:rPr>
        <w:t>,</w:t>
      </w:r>
      <w:r w:rsidRPr="00C2522B">
        <w:rPr>
          <w:rFonts w:ascii="Times New Roman" w:hAnsi="Times New Roman"/>
          <w:sz w:val="22"/>
          <w:szCs w:val="22"/>
        </w:rPr>
        <w:t xml:space="preserve"> the </w:t>
      </w:r>
      <w:r w:rsidR="000921F0" w:rsidRPr="00C2522B">
        <w:rPr>
          <w:rFonts w:ascii="Times New Roman" w:hAnsi="Times New Roman"/>
          <w:sz w:val="22"/>
          <w:szCs w:val="22"/>
        </w:rPr>
        <w:t>High</w:t>
      </w:r>
      <w:r w:rsidRPr="00C2522B">
        <w:rPr>
          <w:rFonts w:ascii="Times New Roman" w:hAnsi="Times New Roman"/>
          <w:sz w:val="22"/>
          <w:szCs w:val="22"/>
        </w:rPr>
        <w:t xml:space="preserve"> Court resolved the issue of the prescription period</w:t>
      </w:r>
      <w:r w:rsidR="00437BFE" w:rsidRPr="00C2522B">
        <w:rPr>
          <w:rFonts w:ascii="Times New Roman" w:hAnsi="Times New Roman"/>
          <w:sz w:val="22"/>
          <w:szCs w:val="22"/>
        </w:rPr>
        <w:t xml:space="preserve"> applicable to </w:t>
      </w:r>
      <w:r w:rsidR="00F90C01" w:rsidRPr="00C2522B">
        <w:rPr>
          <w:rFonts w:ascii="Times New Roman" w:hAnsi="Times New Roman"/>
          <w:sz w:val="22"/>
          <w:szCs w:val="22"/>
        </w:rPr>
        <w:t xml:space="preserve">such </w:t>
      </w:r>
      <w:r w:rsidR="00437BFE" w:rsidRPr="00C2522B">
        <w:rPr>
          <w:rFonts w:ascii="Times New Roman" w:hAnsi="Times New Roman"/>
          <w:sz w:val="22"/>
          <w:szCs w:val="22"/>
        </w:rPr>
        <w:t xml:space="preserve">a claim </w:t>
      </w:r>
      <w:r w:rsidR="00F90C01" w:rsidRPr="00C2522B">
        <w:rPr>
          <w:rFonts w:ascii="Times New Roman" w:hAnsi="Times New Roman"/>
          <w:sz w:val="22"/>
          <w:szCs w:val="22"/>
        </w:rPr>
        <w:t xml:space="preserve">by fixing it </w:t>
      </w:r>
      <w:r w:rsidR="001F119D" w:rsidRPr="00C2522B">
        <w:rPr>
          <w:rFonts w:ascii="Times New Roman" w:hAnsi="Times New Roman"/>
          <w:sz w:val="22"/>
          <w:szCs w:val="22"/>
        </w:rPr>
        <w:t>at a lengthy 10 years</w:t>
      </w:r>
      <w:r w:rsidR="00437BFE" w:rsidRPr="00C2522B">
        <w:rPr>
          <w:rFonts w:ascii="Times New Roman" w:hAnsi="Times New Roman"/>
          <w:sz w:val="22"/>
          <w:szCs w:val="22"/>
        </w:rPr>
        <w:t>.</w:t>
      </w:r>
    </w:p>
    <w:p w14:paraId="76736DDB" w14:textId="77777777" w:rsidR="003021B6" w:rsidRPr="00C2522B" w:rsidRDefault="003021B6" w:rsidP="00C2522B">
      <w:pPr>
        <w:spacing w:after="0"/>
        <w:rPr>
          <w:rFonts w:ascii="Times New Roman" w:hAnsi="Times New Roman"/>
          <w:sz w:val="22"/>
          <w:szCs w:val="22"/>
        </w:rPr>
      </w:pPr>
    </w:p>
    <w:p w14:paraId="454A612C" w14:textId="77777777" w:rsidR="00877CBB" w:rsidRDefault="00437BFE" w:rsidP="00C2522B">
      <w:pPr>
        <w:spacing w:after="0"/>
        <w:rPr>
          <w:rFonts w:ascii="Times New Roman" w:hAnsi="Times New Roman"/>
          <w:sz w:val="22"/>
          <w:szCs w:val="22"/>
        </w:rPr>
      </w:pPr>
      <w:r w:rsidRPr="00C2522B">
        <w:rPr>
          <w:rFonts w:ascii="Times New Roman" w:hAnsi="Times New Roman"/>
          <w:sz w:val="22"/>
          <w:szCs w:val="22"/>
        </w:rPr>
        <w:t xml:space="preserve">A </w:t>
      </w:r>
      <w:r w:rsidR="000921F0" w:rsidRPr="00C2522B">
        <w:rPr>
          <w:rFonts w:ascii="Times New Roman" w:hAnsi="Times New Roman"/>
          <w:sz w:val="22"/>
          <w:szCs w:val="22"/>
        </w:rPr>
        <w:t>rebuttable</w:t>
      </w:r>
      <w:r w:rsidRPr="00C2522B">
        <w:rPr>
          <w:rFonts w:ascii="Times New Roman" w:hAnsi="Times New Roman"/>
          <w:sz w:val="22"/>
          <w:szCs w:val="22"/>
        </w:rPr>
        <w:t xml:space="preserve"> </w:t>
      </w:r>
      <w:r w:rsidR="000921F0" w:rsidRPr="00C2522B">
        <w:rPr>
          <w:rFonts w:ascii="Times New Roman" w:hAnsi="Times New Roman"/>
          <w:sz w:val="22"/>
          <w:szCs w:val="22"/>
        </w:rPr>
        <w:t>presumption</w:t>
      </w:r>
      <w:r w:rsidRPr="00C2522B">
        <w:rPr>
          <w:rFonts w:ascii="Times New Roman" w:hAnsi="Times New Roman"/>
          <w:sz w:val="22"/>
          <w:szCs w:val="22"/>
        </w:rPr>
        <w:t xml:space="preserve"> for a </w:t>
      </w:r>
      <w:r w:rsidR="003021B6">
        <w:rPr>
          <w:rFonts w:ascii="Times New Roman" w:hAnsi="Times New Roman"/>
          <w:sz w:val="22"/>
          <w:szCs w:val="22"/>
        </w:rPr>
        <w:t>prescription period</w:t>
      </w:r>
      <w:r w:rsidR="00877CBB" w:rsidRPr="00C2522B">
        <w:rPr>
          <w:rFonts w:ascii="Times New Roman" w:hAnsi="Times New Roman"/>
          <w:sz w:val="22"/>
          <w:szCs w:val="22"/>
        </w:rPr>
        <w:t xml:space="preserve"> </w:t>
      </w:r>
      <w:r w:rsidRPr="00C2522B">
        <w:rPr>
          <w:rFonts w:ascii="Times New Roman" w:hAnsi="Times New Roman"/>
          <w:sz w:val="22"/>
          <w:szCs w:val="22"/>
        </w:rPr>
        <w:t xml:space="preserve">of </w:t>
      </w:r>
      <w:r w:rsidR="00877CBB" w:rsidRPr="00C2522B">
        <w:rPr>
          <w:rFonts w:ascii="Times New Roman" w:hAnsi="Times New Roman"/>
          <w:sz w:val="22"/>
          <w:szCs w:val="22"/>
        </w:rPr>
        <w:t xml:space="preserve">10 years </w:t>
      </w:r>
      <w:r w:rsidRPr="00C2522B">
        <w:rPr>
          <w:rFonts w:ascii="Times New Roman" w:hAnsi="Times New Roman"/>
          <w:sz w:val="22"/>
          <w:szCs w:val="22"/>
        </w:rPr>
        <w:t xml:space="preserve">has long been </w:t>
      </w:r>
      <w:r w:rsidR="00C96534" w:rsidRPr="00C2522B">
        <w:rPr>
          <w:rFonts w:ascii="Times New Roman" w:hAnsi="Times New Roman"/>
          <w:sz w:val="22"/>
          <w:szCs w:val="22"/>
        </w:rPr>
        <w:t>applied to</w:t>
      </w:r>
      <w:r w:rsidRPr="00C2522B">
        <w:rPr>
          <w:rFonts w:ascii="Times New Roman" w:hAnsi="Times New Roman"/>
          <w:sz w:val="22"/>
          <w:szCs w:val="22"/>
        </w:rPr>
        <w:t xml:space="preserve"> </w:t>
      </w:r>
      <w:r w:rsidR="00877CBB" w:rsidRPr="00C2522B">
        <w:rPr>
          <w:rFonts w:ascii="Times New Roman" w:hAnsi="Times New Roman"/>
          <w:sz w:val="22"/>
          <w:szCs w:val="22"/>
        </w:rPr>
        <w:t xml:space="preserve">an </w:t>
      </w:r>
      <w:r w:rsidR="003021B6">
        <w:rPr>
          <w:rFonts w:ascii="Times New Roman" w:hAnsi="Times New Roman"/>
          <w:sz w:val="22"/>
          <w:szCs w:val="22"/>
        </w:rPr>
        <w:t>“</w:t>
      </w:r>
      <w:r w:rsidR="00877CBB" w:rsidRPr="00C2522B">
        <w:rPr>
          <w:rFonts w:ascii="Times New Roman" w:hAnsi="Times New Roman"/>
          <w:i/>
          <w:sz w:val="22"/>
          <w:szCs w:val="22"/>
        </w:rPr>
        <w:t>action person</w:t>
      </w:r>
      <w:r w:rsidR="003021B6">
        <w:rPr>
          <w:rFonts w:ascii="Times New Roman" w:hAnsi="Times New Roman"/>
          <w:i/>
          <w:sz w:val="22"/>
          <w:szCs w:val="22"/>
        </w:rPr>
        <w:t>ne</w:t>
      </w:r>
      <w:r w:rsidR="00877CBB" w:rsidRPr="00C2522B">
        <w:rPr>
          <w:rFonts w:ascii="Times New Roman" w:hAnsi="Times New Roman"/>
          <w:i/>
          <w:sz w:val="22"/>
          <w:szCs w:val="22"/>
        </w:rPr>
        <w:t>lle mobil</w:t>
      </w:r>
      <w:r w:rsidR="003021B6">
        <w:rPr>
          <w:rFonts w:ascii="Times New Roman" w:hAnsi="Times New Roman"/>
          <w:i/>
          <w:sz w:val="22"/>
          <w:szCs w:val="22"/>
        </w:rPr>
        <w:t>i</w:t>
      </w:r>
      <w:r w:rsidR="00877CBB" w:rsidRPr="00C2522B">
        <w:rPr>
          <w:rFonts w:ascii="Times New Roman" w:hAnsi="Times New Roman"/>
          <w:i/>
          <w:sz w:val="22"/>
          <w:szCs w:val="22"/>
        </w:rPr>
        <w:t>ère</w:t>
      </w:r>
      <w:r w:rsidR="003021B6">
        <w:rPr>
          <w:rFonts w:ascii="Times New Roman" w:hAnsi="Times New Roman"/>
          <w:sz w:val="22"/>
          <w:szCs w:val="22"/>
        </w:rPr>
        <w:t>”</w:t>
      </w:r>
      <w:r w:rsidR="00877CBB" w:rsidRPr="00C2522B">
        <w:rPr>
          <w:rFonts w:ascii="Times New Roman" w:hAnsi="Times New Roman"/>
          <w:sz w:val="22"/>
          <w:szCs w:val="22"/>
        </w:rPr>
        <w:t xml:space="preserve"> </w:t>
      </w:r>
      <w:r w:rsidRPr="00C2522B">
        <w:rPr>
          <w:rFonts w:ascii="Times New Roman" w:hAnsi="Times New Roman"/>
          <w:sz w:val="22"/>
          <w:szCs w:val="22"/>
        </w:rPr>
        <w:t>(an action founded on a personal obligation)</w:t>
      </w:r>
      <w:r w:rsidR="003021B6">
        <w:rPr>
          <w:rFonts w:ascii="Times New Roman" w:hAnsi="Times New Roman"/>
          <w:sz w:val="22"/>
          <w:szCs w:val="22"/>
        </w:rPr>
        <w:t>,</w:t>
      </w:r>
      <w:r w:rsidRPr="00C2522B">
        <w:rPr>
          <w:rFonts w:ascii="Times New Roman" w:hAnsi="Times New Roman"/>
          <w:sz w:val="22"/>
          <w:szCs w:val="22"/>
        </w:rPr>
        <w:t xml:space="preserve"> but while particular statutes had operated to clearly rebut that presumption, a fashion had developed to </w:t>
      </w:r>
      <w:r w:rsidR="001F119D" w:rsidRPr="00C2522B">
        <w:rPr>
          <w:rFonts w:ascii="Times New Roman" w:hAnsi="Times New Roman"/>
          <w:sz w:val="22"/>
          <w:szCs w:val="22"/>
        </w:rPr>
        <w:t xml:space="preserve">seek to </w:t>
      </w:r>
      <w:r w:rsidRPr="00C2522B">
        <w:rPr>
          <w:rFonts w:ascii="Times New Roman" w:hAnsi="Times New Roman"/>
          <w:sz w:val="22"/>
          <w:szCs w:val="22"/>
        </w:rPr>
        <w:t xml:space="preserve">rebut </w:t>
      </w:r>
      <w:r w:rsidR="00F90C01" w:rsidRPr="00C2522B">
        <w:rPr>
          <w:rFonts w:ascii="Times New Roman" w:hAnsi="Times New Roman"/>
          <w:sz w:val="22"/>
          <w:szCs w:val="22"/>
        </w:rPr>
        <w:t xml:space="preserve">it </w:t>
      </w:r>
      <w:r w:rsidRPr="00C2522B">
        <w:rPr>
          <w:rFonts w:ascii="Times New Roman" w:hAnsi="Times New Roman"/>
          <w:sz w:val="22"/>
          <w:szCs w:val="22"/>
        </w:rPr>
        <w:t xml:space="preserve">by asserting that </w:t>
      </w:r>
      <w:r w:rsidR="001F119D" w:rsidRPr="00C2522B">
        <w:rPr>
          <w:rFonts w:ascii="Times New Roman" w:hAnsi="Times New Roman"/>
          <w:sz w:val="22"/>
          <w:szCs w:val="22"/>
        </w:rPr>
        <w:t>a</w:t>
      </w:r>
      <w:r w:rsidRPr="00C2522B">
        <w:rPr>
          <w:rFonts w:ascii="Times New Roman" w:hAnsi="Times New Roman"/>
          <w:sz w:val="22"/>
          <w:szCs w:val="22"/>
        </w:rPr>
        <w:t xml:space="preserve"> distinct but </w:t>
      </w:r>
      <w:r w:rsidR="003021B6">
        <w:rPr>
          <w:rFonts w:ascii="Times New Roman" w:hAnsi="Times New Roman"/>
          <w:sz w:val="22"/>
          <w:szCs w:val="22"/>
        </w:rPr>
        <w:t>“</w:t>
      </w:r>
      <w:r w:rsidRPr="00C2522B">
        <w:rPr>
          <w:rFonts w:ascii="Times New Roman" w:hAnsi="Times New Roman"/>
          <w:sz w:val="22"/>
          <w:szCs w:val="22"/>
        </w:rPr>
        <w:t>related</w:t>
      </w:r>
      <w:r w:rsidR="003021B6">
        <w:rPr>
          <w:rFonts w:ascii="Times New Roman" w:hAnsi="Times New Roman"/>
          <w:sz w:val="22"/>
          <w:szCs w:val="22"/>
        </w:rPr>
        <w:t>”</w:t>
      </w:r>
      <w:r w:rsidRPr="00C2522B">
        <w:rPr>
          <w:rFonts w:ascii="Times New Roman" w:hAnsi="Times New Roman"/>
          <w:sz w:val="22"/>
          <w:szCs w:val="22"/>
        </w:rPr>
        <w:t xml:space="preserve"> cause of action was </w:t>
      </w:r>
      <w:r w:rsidR="003021B6">
        <w:rPr>
          <w:rFonts w:ascii="Times New Roman" w:hAnsi="Times New Roman"/>
          <w:sz w:val="22"/>
          <w:szCs w:val="22"/>
        </w:rPr>
        <w:t>“</w:t>
      </w:r>
      <w:r w:rsidR="000921F0" w:rsidRPr="00C2522B">
        <w:rPr>
          <w:rFonts w:ascii="Times New Roman" w:hAnsi="Times New Roman"/>
          <w:sz w:val="22"/>
          <w:szCs w:val="22"/>
        </w:rPr>
        <w:t>analogous</w:t>
      </w:r>
      <w:r w:rsidR="003021B6">
        <w:rPr>
          <w:rFonts w:ascii="Times New Roman" w:hAnsi="Times New Roman"/>
          <w:sz w:val="22"/>
          <w:szCs w:val="22"/>
        </w:rPr>
        <w:t xml:space="preserve">”. </w:t>
      </w:r>
      <w:r w:rsidR="00C96534" w:rsidRPr="00C2522B">
        <w:rPr>
          <w:rFonts w:ascii="Times New Roman" w:hAnsi="Times New Roman"/>
          <w:sz w:val="22"/>
          <w:szCs w:val="22"/>
        </w:rPr>
        <w:t xml:space="preserve">In </w:t>
      </w:r>
      <w:r w:rsidR="00C96534" w:rsidRPr="00C2522B">
        <w:rPr>
          <w:rFonts w:ascii="Times New Roman" w:hAnsi="Times New Roman"/>
          <w:i/>
          <w:sz w:val="22"/>
          <w:szCs w:val="22"/>
        </w:rPr>
        <w:t>O</w:t>
      </w:r>
      <w:r w:rsidR="003021B6">
        <w:rPr>
          <w:rFonts w:ascii="Times New Roman" w:hAnsi="Times New Roman"/>
          <w:i/>
          <w:sz w:val="22"/>
          <w:szCs w:val="22"/>
        </w:rPr>
        <w:t>’</w:t>
      </w:r>
      <w:r w:rsidR="00C96534" w:rsidRPr="00C2522B">
        <w:rPr>
          <w:rFonts w:ascii="Times New Roman" w:hAnsi="Times New Roman"/>
          <w:i/>
          <w:sz w:val="22"/>
          <w:szCs w:val="22"/>
        </w:rPr>
        <w:t>Keefe</w:t>
      </w:r>
      <w:r w:rsidR="003021B6">
        <w:rPr>
          <w:rFonts w:ascii="Times New Roman" w:hAnsi="Times New Roman"/>
          <w:sz w:val="22"/>
          <w:szCs w:val="22"/>
        </w:rPr>
        <w:t>,</w:t>
      </w:r>
      <w:r w:rsidR="00C96534" w:rsidRPr="00C2522B">
        <w:rPr>
          <w:rFonts w:ascii="Times New Roman" w:hAnsi="Times New Roman"/>
          <w:i/>
          <w:sz w:val="22"/>
          <w:szCs w:val="22"/>
        </w:rPr>
        <w:t xml:space="preserve"> </w:t>
      </w:r>
      <w:r w:rsidR="00C96534" w:rsidRPr="00C2522B">
        <w:rPr>
          <w:rFonts w:ascii="Times New Roman" w:hAnsi="Times New Roman"/>
          <w:sz w:val="22"/>
          <w:szCs w:val="22"/>
        </w:rPr>
        <w:t>t</w:t>
      </w:r>
      <w:r w:rsidRPr="00C2522B">
        <w:rPr>
          <w:rFonts w:ascii="Times New Roman" w:hAnsi="Times New Roman"/>
          <w:sz w:val="22"/>
          <w:szCs w:val="22"/>
        </w:rPr>
        <w:t xml:space="preserve">he Court </w:t>
      </w:r>
      <w:r w:rsidR="00F90C01" w:rsidRPr="00C2522B">
        <w:rPr>
          <w:rFonts w:ascii="Times New Roman" w:hAnsi="Times New Roman"/>
          <w:sz w:val="22"/>
          <w:szCs w:val="22"/>
        </w:rPr>
        <w:t>confirmed the analogy principle</w:t>
      </w:r>
      <w:r w:rsidR="003021B6">
        <w:rPr>
          <w:rFonts w:ascii="Times New Roman" w:hAnsi="Times New Roman"/>
          <w:sz w:val="22"/>
          <w:szCs w:val="22"/>
        </w:rPr>
        <w:t>,</w:t>
      </w:r>
      <w:r w:rsidR="00F90C01" w:rsidRPr="00C2522B">
        <w:rPr>
          <w:rFonts w:ascii="Times New Roman" w:hAnsi="Times New Roman"/>
          <w:sz w:val="22"/>
          <w:szCs w:val="22"/>
        </w:rPr>
        <w:t xml:space="preserve"> but </w:t>
      </w:r>
      <w:r w:rsidRPr="00C2522B">
        <w:rPr>
          <w:rFonts w:ascii="Times New Roman" w:hAnsi="Times New Roman"/>
          <w:sz w:val="22"/>
          <w:szCs w:val="22"/>
        </w:rPr>
        <w:t>rejected</w:t>
      </w:r>
      <w:r w:rsidR="003021B6">
        <w:rPr>
          <w:rFonts w:ascii="Times New Roman" w:hAnsi="Times New Roman"/>
          <w:sz w:val="22"/>
          <w:szCs w:val="22"/>
        </w:rPr>
        <w:t xml:space="preserve"> arguments that a breach of Article </w:t>
      </w:r>
      <w:r w:rsidRPr="00C2522B">
        <w:rPr>
          <w:rFonts w:ascii="Times New Roman" w:hAnsi="Times New Roman"/>
          <w:sz w:val="22"/>
          <w:szCs w:val="22"/>
        </w:rPr>
        <w:t xml:space="preserve">74 </w:t>
      </w:r>
      <w:r w:rsidR="00F90C01" w:rsidRPr="00C2522B">
        <w:rPr>
          <w:rFonts w:ascii="Times New Roman" w:hAnsi="Times New Roman"/>
          <w:sz w:val="22"/>
          <w:szCs w:val="22"/>
        </w:rPr>
        <w:t>was analogous to a tort or a trust</w:t>
      </w:r>
      <w:r w:rsidR="003021B6">
        <w:rPr>
          <w:rFonts w:ascii="Times New Roman" w:hAnsi="Times New Roman"/>
          <w:sz w:val="22"/>
          <w:szCs w:val="22"/>
        </w:rPr>
        <w:t>,</w:t>
      </w:r>
      <w:r w:rsidR="00F90C01" w:rsidRPr="00C2522B">
        <w:rPr>
          <w:rFonts w:ascii="Times New Roman" w:hAnsi="Times New Roman"/>
          <w:sz w:val="22"/>
          <w:szCs w:val="22"/>
        </w:rPr>
        <w:t xml:space="preserve"> both of which have separate statutory </w:t>
      </w:r>
      <w:r w:rsidR="003021B6" w:rsidRPr="00C2522B">
        <w:rPr>
          <w:rFonts w:ascii="Times New Roman" w:hAnsi="Times New Roman"/>
          <w:sz w:val="22"/>
          <w:szCs w:val="22"/>
        </w:rPr>
        <w:t xml:space="preserve">periods </w:t>
      </w:r>
      <w:r w:rsidR="003021B6">
        <w:rPr>
          <w:rFonts w:ascii="Times New Roman" w:hAnsi="Times New Roman"/>
          <w:sz w:val="22"/>
          <w:szCs w:val="22"/>
        </w:rPr>
        <w:t xml:space="preserve">of </w:t>
      </w:r>
      <w:r w:rsidR="00F90C01" w:rsidRPr="00C2522B">
        <w:rPr>
          <w:rFonts w:ascii="Times New Roman" w:hAnsi="Times New Roman"/>
          <w:sz w:val="22"/>
          <w:szCs w:val="22"/>
        </w:rPr>
        <w:t>3 year</w:t>
      </w:r>
      <w:r w:rsidR="003021B6">
        <w:rPr>
          <w:rFonts w:ascii="Times New Roman" w:hAnsi="Times New Roman"/>
          <w:sz w:val="22"/>
          <w:szCs w:val="22"/>
        </w:rPr>
        <w:t>s,</w:t>
      </w:r>
      <w:r w:rsidR="00F90C01" w:rsidRPr="00C2522B">
        <w:rPr>
          <w:rFonts w:ascii="Times New Roman" w:hAnsi="Times New Roman"/>
          <w:sz w:val="22"/>
          <w:szCs w:val="22"/>
        </w:rPr>
        <w:t xml:space="preserve"> because it was a breach of a </w:t>
      </w:r>
      <w:r w:rsidR="001F119D" w:rsidRPr="00C2522B">
        <w:rPr>
          <w:rFonts w:ascii="Times New Roman" w:hAnsi="Times New Roman"/>
          <w:sz w:val="22"/>
          <w:szCs w:val="22"/>
        </w:rPr>
        <w:t xml:space="preserve">statutory duty which </w:t>
      </w:r>
      <w:r w:rsidR="00F90C01" w:rsidRPr="00C2522B">
        <w:rPr>
          <w:rFonts w:ascii="Times New Roman" w:hAnsi="Times New Roman"/>
          <w:sz w:val="22"/>
          <w:szCs w:val="22"/>
        </w:rPr>
        <w:t xml:space="preserve">had a coincidental </w:t>
      </w:r>
      <w:r w:rsidR="001F119D" w:rsidRPr="00C2522B">
        <w:rPr>
          <w:rFonts w:ascii="Times New Roman" w:hAnsi="Times New Roman"/>
          <w:sz w:val="22"/>
          <w:szCs w:val="22"/>
        </w:rPr>
        <w:t>fiduciary duty</w:t>
      </w:r>
      <w:r w:rsidR="00F90C01" w:rsidRPr="00C2522B">
        <w:rPr>
          <w:rFonts w:ascii="Times New Roman" w:hAnsi="Times New Roman"/>
          <w:sz w:val="22"/>
          <w:szCs w:val="22"/>
        </w:rPr>
        <w:t>.</w:t>
      </w:r>
    </w:p>
    <w:p w14:paraId="517E9D24" w14:textId="77777777" w:rsidR="003021B6" w:rsidRPr="00C2522B" w:rsidRDefault="003021B6" w:rsidP="00C2522B">
      <w:pPr>
        <w:spacing w:after="0"/>
        <w:rPr>
          <w:rFonts w:ascii="Times New Roman" w:hAnsi="Times New Roman"/>
          <w:sz w:val="22"/>
          <w:szCs w:val="22"/>
        </w:rPr>
      </w:pPr>
    </w:p>
    <w:p w14:paraId="015F44D9" w14:textId="77777777" w:rsidR="00F90C01" w:rsidRDefault="00F90C01" w:rsidP="00C2522B">
      <w:pPr>
        <w:spacing w:after="0"/>
        <w:rPr>
          <w:rFonts w:ascii="Times New Roman" w:hAnsi="Times New Roman"/>
          <w:sz w:val="22"/>
          <w:szCs w:val="22"/>
        </w:rPr>
      </w:pPr>
      <w:r w:rsidRPr="00C2522B">
        <w:rPr>
          <w:rFonts w:ascii="Times New Roman" w:hAnsi="Times New Roman"/>
          <w:sz w:val="22"/>
          <w:szCs w:val="22"/>
        </w:rPr>
        <w:t>In Jersey</w:t>
      </w:r>
      <w:r w:rsidR="003021B6">
        <w:rPr>
          <w:rFonts w:ascii="Times New Roman" w:hAnsi="Times New Roman"/>
          <w:sz w:val="22"/>
          <w:szCs w:val="22"/>
        </w:rPr>
        <w:t>,</w:t>
      </w:r>
      <w:r w:rsidRPr="00C2522B">
        <w:rPr>
          <w:rFonts w:ascii="Times New Roman" w:hAnsi="Times New Roman"/>
          <w:sz w:val="22"/>
          <w:szCs w:val="22"/>
        </w:rPr>
        <w:t xml:space="preserve"> the existence of an </w:t>
      </w:r>
      <w:r w:rsidR="00623598" w:rsidRPr="00C2522B">
        <w:rPr>
          <w:rFonts w:ascii="Times New Roman" w:hAnsi="Times New Roman"/>
          <w:i/>
          <w:sz w:val="22"/>
          <w:szCs w:val="22"/>
        </w:rPr>
        <w:t>empêch</w:t>
      </w:r>
      <w:r w:rsidR="003021B6">
        <w:rPr>
          <w:rFonts w:ascii="Times New Roman" w:hAnsi="Times New Roman"/>
          <w:i/>
          <w:sz w:val="22"/>
          <w:szCs w:val="22"/>
        </w:rPr>
        <w:t>e</w:t>
      </w:r>
      <w:r w:rsidR="00623598" w:rsidRPr="00C2522B">
        <w:rPr>
          <w:rFonts w:ascii="Times New Roman" w:hAnsi="Times New Roman"/>
          <w:i/>
          <w:sz w:val="22"/>
          <w:szCs w:val="22"/>
        </w:rPr>
        <w:t>ment</w:t>
      </w:r>
      <w:r w:rsidR="00877CBB" w:rsidRPr="00C2522B">
        <w:rPr>
          <w:rFonts w:ascii="Times New Roman" w:hAnsi="Times New Roman"/>
          <w:i/>
          <w:sz w:val="22"/>
          <w:szCs w:val="22"/>
        </w:rPr>
        <w:t xml:space="preserve"> d</w:t>
      </w:r>
      <w:r w:rsidR="003021B6">
        <w:rPr>
          <w:rFonts w:ascii="Times New Roman" w:hAnsi="Times New Roman"/>
          <w:i/>
          <w:sz w:val="22"/>
          <w:szCs w:val="22"/>
        </w:rPr>
        <w:t>’</w:t>
      </w:r>
      <w:r w:rsidR="00877CBB" w:rsidRPr="00C2522B">
        <w:rPr>
          <w:rFonts w:ascii="Times New Roman" w:hAnsi="Times New Roman"/>
          <w:i/>
          <w:sz w:val="22"/>
          <w:szCs w:val="22"/>
        </w:rPr>
        <w:t>agir</w:t>
      </w:r>
      <w:r w:rsidRPr="00C2522B">
        <w:rPr>
          <w:rFonts w:ascii="Times New Roman" w:hAnsi="Times New Roman"/>
          <w:sz w:val="22"/>
          <w:szCs w:val="22"/>
        </w:rPr>
        <w:t xml:space="preserve"> </w:t>
      </w:r>
      <w:r w:rsidR="00C96534" w:rsidRPr="00C2522B">
        <w:rPr>
          <w:rFonts w:ascii="Times New Roman" w:hAnsi="Times New Roman"/>
          <w:sz w:val="22"/>
          <w:szCs w:val="22"/>
        </w:rPr>
        <w:t>stops the prescription period running</w:t>
      </w:r>
      <w:r w:rsidRPr="00C2522B">
        <w:rPr>
          <w:rFonts w:ascii="Times New Roman" w:hAnsi="Times New Roman"/>
          <w:sz w:val="22"/>
          <w:szCs w:val="22"/>
        </w:rPr>
        <w:t>.</w:t>
      </w:r>
      <w:r w:rsidR="00C2522B" w:rsidRPr="00C2522B">
        <w:rPr>
          <w:rFonts w:ascii="Times New Roman" w:hAnsi="Times New Roman"/>
          <w:sz w:val="22"/>
          <w:szCs w:val="22"/>
        </w:rPr>
        <w:t xml:space="preserve"> </w:t>
      </w:r>
      <w:r w:rsidRPr="00C2522B">
        <w:rPr>
          <w:rFonts w:ascii="Times New Roman" w:hAnsi="Times New Roman"/>
          <w:sz w:val="22"/>
          <w:szCs w:val="22"/>
        </w:rPr>
        <w:t xml:space="preserve">An </w:t>
      </w:r>
      <w:r w:rsidRPr="003021B6">
        <w:rPr>
          <w:rFonts w:ascii="Times New Roman" w:hAnsi="Times New Roman"/>
          <w:i/>
          <w:sz w:val="22"/>
          <w:szCs w:val="22"/>
        </w:rPr>
        <w:t>empêchement</w:t>
      </w:r>
      <w:r w:rsidRPr="00C2522B">
        <w:rPr>
          <w:rFonts w:ascii="Times New Roman" w:hAnsi="Times New Roman"/>
          <w:sz w:val="22"/>
          <w:szCs w:val="22"/>
        </w:rPr>
        <w:t xml:space="preserve"> arises</w:t>
      </w:r>
      <w:r w:rsidR="00C96534" w:rsidRPr="00C2522B">
        <w:rPr>
          <w:rFonts w:ascii="Times New Roman" w:hAnsi="Times New Roman"/>
          <w:sz w:val="22"/>
          <w:szCs w:val="22"/>
        </w:rPr>
        <w:t xml:space="preserve"> where an innocent party is legally or practically unable to act due to lack of legal capacity</w:t>
      </w:r>
      <w:r w:rsidRPr="00C2522B">
        <w:rPr>
          <w:rFonts w:ascii="Times New Roman" w:hAnsi="Times New Roman"/>
          <w:sz w:val="22"/>
          <w:szCs w:val="22"/>
        </w:rPr>
        <w:t xml:space="preserve"> </w:t>
      </w:r>
      <w:r w:rsidR="00C96534" w:rsidRPr="00C2522B">
        <w:rPr>
          <w:rFonts w:ascii="Times New Roman" w:hAnsi="Times New Roman"/>
          <w:sz w:val="22"/>
          <w:szCs w:val="22"/>
        </w:rPr>
        <w:t xml:space="preserve">or practical capacity </w:t>
      </w:r>
      <w:r w:rsidR="000921F0" w:rsidRPr="00C2522B">
        <w:rPr>
          <w:rFonts w:ascii="Times New Roman" w:hAnsi="Times New Roman"/>
          <w:sz w:val="22"/>
          <w:szCs w:val="22"/>
        </w:rPr>
        <w:t>objectively</w:t>
      </w:r>
      <w:r w:rsidR="00C96534" w:rsidRPr="00C2522B">
        <w:rPr>
          <w:rFonts w:ascii="Times New Roman" w:hAnsi="Times New Roman"/>
          <w:sz w:val="22"/>
          <w:szCs w:val="22"/>
        </w:rPr>
        <w:t xml:space="preserve"> assessed</w:t>
      </w:r>
      <w:r w:rsidRPr="00C2522B">
        <w:rPr>
          <w:rFonts w:ascii="Times New Roman" w:hAnsi="Times New Roman"/>
          <w:sz w:val="22"/>
          <w:szCs w:val="22"/>
        </w:rPr>
        <w:t>.</w:t>
      </w:r>
      <w:r w:rsidR="00C2522B" w:rsidRPr="00C2522B">
        <w:rPr>
          <w:rFonts w:ascii="Times New Roman" w:hAnsi="Times New Roman"/>
          <w:sz w:val="22"/>
          <w:szCs w:val="22"/>
        </w:rPr>
        <w:t xml:space="preserve"> </w:t>
      </w:r>
      <w:r w:rsidRPr="00C2522B">
        <w:rPr>
          <w:rFonts w:ascii="Times New Roman" w:hAnsi="Times New Roman"/>
          <w:sz w:val="22"/>
          <w:szCs w:val="22"/>
        </w:rPr>
        <w:t xml:space="preserve">This issue has been rarely litigated, </w:t>
      </w:r>
      <w:r w:rsidR="001F119D" w:rsidRPr="00C2522B">
        <w:rPr>
          <w:rFonts w:ascii="Times New Roman" w:hAnsi="Times New Roman"/>
          <w:sz w:val="22"/>
          <w:szCs w:val="22"/>
        </w:rPr>
        <w:t xml:space="preserve">but it </w:t>
      </w:r>
      <w:r w:rsidRPr="00C2522B">
        <w:rPr>
          <w:rFonts w:ascii="Times New Roman" w:hAnsi="Times New Roman"/>
          <w:sz w:val="22"/>
          <w:szCs w:val="22"/>
        </w:rPr>
        <w:t xml:space="preserve">could </w:t>
      </w:r>
      <w:r w:rsidR="001F119D" w:rsidRPr="00C2522B">
        <w:rPr>
          <w:rFonts w:ascii="Times New Roman" w:hAnsi="Times New Roman"/>
          <w:sz w:val="22"/>
          <w:szCs w:val="22"/>
        </w:rPr>
        <w:t xml:space="preserve">only operate to increase the </w:t>
      </w:r>
      <w:r w:rsidR="00A81F5B" w:rsidRPr="00C2522B">
        <w:rPr>
          <w:rFonts w:ascii="Times New Roman" w:hAnsi="Times New Roman"/>
          <w:sz w:val="22"/>
          <w:szCs w:val="22"/>
        </w:rPr>
        <w:t>prescription</w:t>
      </w:r>
      <w:r w:rsidR="001F119D" w:rsidRPr="00C2522B">
        <w:rPr>
          <w:rFonts w:ascii="Times New Roman" w:hAnsi="Times New Roman"/>
          <w:sz w:val="22"/>
          <w:szCs w:val="22"/>
        </w:rPr>
        <w:t xml:space="preserve"> period</w:t>
      </w:r>
      <w:r w:rsidR="003021B6">
        <w:rPr>
          <w:rFonts w:ascii="Times New Roman" w:hAnsi="Times New Roman"/>
          <w:sz w:val="22"/>
          <w:szCs w:val="22"/>
        </w:rPr>
        <w:t xml:space="preserve">. </w:t>
      </w:r>
      <w:r w:rsidR="001F119D" w:rsidRPr="00C2522B">
        <w:rPr>
          <w:rFonts w:ascii="Times New Roman" w:hAnsi="Times New Roman"/>
          <w:sz w:val="22"/>
          <w:szCs w:val="22"/>
        </w:rPr>
        <w:t>The Court found</w:t>
      </w:r>
      <w:r w:rsidR="003021B6">
        <w:rPr>
          <w:rFonts w:ascii="Times New Roman" w:hAnsi="Times New Roman"/>
          <w:sz w:val="22"/>
          <w:szCs w:val="22"/>
        </w:rPr>
        <w:t>,</w:t>
      </w:r>
      <w:r w:rsidR="001F119D" w:rsidRPr="00C2522B">
        <w:rPr>
          <w:rFonts w:ascii="Times New Roman" w:hAnsi="Times New Roman"/>
          <w:sz w:val="22"/>
          <w:szCs w:val="22"/>
        </w:rPr>
        <w:t xml:space="preserve"> on the expert evidence it had received, there was no reason to depart from the 10 year period and that the presumption had therefore not been rebutted in respect of Article 74 claims</w:t>
      </w:r>
      <w:r w:rsidR="00577785" w:rsidRPr="00C2522B">
        <w:rPr>
          <w:rFonts w:ascii="Times New Roman" w:hAnsi="Times New Roman"/>
          <w:sz w:val="22"/>
          <w:szCs w:val="22"/>
        </w:rPr>
        <w:t>.</w:t>
      </w:r>
      <w:r w:rsidR="00C2522B" w:rsidRPr="00C2522B">
        <w:rPr>
          <w:rFonts w:ascii="Times New Roman" w:hAnsi="Times New Roman"/>
          <w:sz w:val="22"/>
          <w:szCs w:val="22"/>
        </w:rPr>
        <w:t xml:space="preserve"> </w:t>
      </w:r>
      <w:r w:rsidR="00577785" w:rsidRPr="00C2522B">
        <w:rPr>
          <w:rFonts w:ascii="Times New Roman" w:hAnsi="Times New Roman"/>
          <w:sz w:val="22"/>
          <w:szCs w:val="22"/>
        </w:rPr>
        <w:t xml:space="preserve">This confirmed </w:t>
      </w:r>
      <w:r w:rsidR="001F119D" w:rsidRPr="00C2522B">
        <w:rPr>
          <w:rFonts w:ascii="Times New Roman" w:hAnsi="Times New Roman"/>
          <w:sz w:val="22"/>
          <w:szCs w:val="22"/>
        </w:rPr>
        <w:t xml:space="preserve">a prescription period </w:t>
      </w:r>
      <w:r w:rsidRPr="00C2522B">
        <w:rPr>
          <w:rFonts w:ascii="Times New Roman" w:hAnsi="Times New Roman"/>
          <w:sz w:val="22"/>
          <w:szCs w:val="22"/>
        </w:rPr>
        <w:t xml:space="preserve">in Jersey </w:t>
      </w:r>
      <w:r w:rsidR="001F119D" w:rsidRPr="00C2522B">
        <w:rPr>
          <w:rFonts w:ascii="Times New Roman" w:hAnsi="Times New Roman"/>
          <w:sz w:val="22"/>
          <w:szCs w:val="22"/>
        </w:rPr>
        <w:t xml:space="preserve">which is 4 years longer that the default period in the UK and other </w:t>
      </w:r>
      <w:r w:rsidR="003021B6">
        <w:rPr>
          <w:rFonts w:ascii="Times New Roman" w:hAnsi="Times New Roman"/>
          <w:sz w:val="22"/>
          <w:szCs w:val="22"/>
        </w:rPr>
        <w:t>C</w:t>
      </w:r>
      <w:r w:rsidR="001F119D" w:rsidRPr="00C2522B">
        <w:rPr>
          <w:rFonts w:ascii="Times New Roman" w:hAnsi="Times New Roman"/>
          <w:sz w:val="22"/>
          <w:szCs w:val="22"/>
        </w:rPr>
        <w:t>ommonwealth jurisdiction</w:t>
      </w:r>
      <w:r w:rsidR="003021B6">
        <w:rPr>
          <w:rFonts w:ascii="Times New Roman" w:hAnsi="Times New Roman"/>
          <w:sz w:val="22"/>
          <w:szCs w:val="22"/>
        </w:rPr>
        <w:t>s</w:t>
      </w:r>
      <w:r w:rsidR="001F119D" w:rsidRPr="00C2522B">
        <w:rPr>
          <w:rFonts w:ascii="Times New Roman" w:hAnsi="Times New Roman"/>
          <w:sz w:val="22"/>
          <w:szCs w:val="22"/>
        </w:rPr>
        <w:t>.</w:t>
      </w:r>
    </w:p>
    <w:p w14:paraId="3EE0F958" w14:textId="77777777" w:rsidR="003021B6" w:rsidRPr="00C2522B" w:rsidRDefault="003021B6" w:rsidP="00C2522B">
      <w:pPr>
        <w:spacing w:after="0"/>
        <w:rPr>
          <w:rFonts w:ascii="Times New Roman" w:hAnsi="Times New Roman"/>
          <w:sz w:val="22"/>
          <w:szCs w:val="22"/>
        </w:rPr>
      </w:pPr>
    </w:p>
    <w:p w14:paraId="57CA8DDE" w14:textId="77777777" w:rsidR="00557A0F" w:rsidRPr="003021B6" w:rsidRDefault="00557A0F" w:rsidP="00C2522B">
      <w:pPr>
        <w:spacing w:after="0"/>
        <w:rPr>
          <w:rFonts w:ascii="Times New Roman" w:hAnsi="Times New Roman"/>
          <w:b/>
          <w:sz w:val="22"/>
          <w:szCs w:val="22"/>
          <w:u w:val="single"/>
        </w:rPr>
      </w:pPr>
      <w:r w:rsidRPr="003021B6">
        <w:rPr>
          <w:rFonts w:ascii="Times New Roman" w:hAnsi="Times New Roman"/>
          <w:b/>
          <w:sz w:val="22"/>
          <w:szCs w:val="22"/>
          <w:u w:val="single"/>
        </w:rPr>
        <w:t xml:space="preserve">The </w:t>
      </w:r>
      <w:r w:rsidR="003021B6" w:rsidRPr="003021B6">
        <w:rPr>
          <w:rFonts w:ascii="Times New Roman" w:hAnsi="Times New Roman"/>
          <w:b/>
          <w:sz w:val="22"/>
          <w:szCs w:val="22"/>
          <w:u w:val="single"/>
        </w:rPr>
        <w:t>F</w:t>
      </w:r>
      <w:r w:rsidRPr="003021B6">
        <w:rPr>
          <w:rFonts w:ascii="Times New Roman" w:hAnsi="Times New Roman"/>
          <w:b/>
          <w:sz w:val="22"/>
          <w:szCs w:val="22"/>
          <w:u w:val="single"/>
        </w:rPr>
        <w:t>uture</w:t>
      </w:r>
      <w:r w:rsidR="001F119D" w:rsidRPr="003021B6">
        <w:rPr>
          <w:rFonts w:ascii="Times New Roman" w:hAnsi="Times New Roman"/>
          <w:b/>
          <w:sz w:val="22"/>
          <w:szCs w:val="22"/>
          <w:u w:val="single"/>
        </w:rPr>
        <w:t xml:space="preserve"> and the </w:t>
      </w:r>
      <w:r w:rsidR="003021B6" w:rsidRPr="003021B6">
        <w:rPr>
          <w:rFonts w:ascii="Times New Roman" w:hAnsi="Times New Roman"/>
          <w:b/>
          <w:sz w:val="22"/>
          <w:szCs w:val="22"/>
          <w:u w:val="single"/>
        </w:rPr>
        <w:t>P</w:t>
      </w:r>
      <w:r w:rsidR="001F119D" w:rsidRPr="003021B6">
        <w:rPr>
          <w:rFonts w:ascii="Times New Roman" w:hAnsi="Times New Roman"/>
          <w:b/>
          <w:sz w:val="22"/>
          <w:szCs w:val="22"/>
          <w:u w:val="single"/>
        </w:rPr>
        <w:t>ast</w:t>
      </w:r>
    </w:p>
    <w:p w14:paraId="10B16E58" w14:textId="77777777" w:rsidR="003021B6" w:rsidRPr="00C2522B" w:rsidRDefault="003021B6" w:rsidP="00C2522B">
      <w:pPr>
        <w:spacing w:after="0"/>
        <w:rPr>
          <w:rFonts w:ascii="Times New Roman" w:hAnsi="Times New Roman"/>
          <w:sz w:val="22"/>
          <w:szCs w:val="22"/>
          <w:u w:val="single"/>
        </w:rPr>
      </w:pPr>
    </w:p>
    <w:p w14:paraId="01E2E0A4" w14:textId="77777777" w:rsidR="00623598" w:rsidRPr="00C2522B" w:rsidRDefault="00247BAC" w:rsidP="00C2522B">
      <w:pPr>
        <w:spacing w:after="0"/>
        <w:rPr>
          <w:rFonts w:ascii="Times New Roman" w:hAnsi="Times New Roman"/>
          <w:sz w:val="22"/>
          <w:szCs w:val="22"/>
        </w:rPr>
      </w:pPr>
      <w:r w:rsidRPr="00C2522B">
        <w:rPr>
          <w:rFonts w:ascii="Times New Roman" w:hAnsi="Times New Roman"/>
          <w:sz w:val="22"/>
          <w:szCs w:val="22"/>
        </w:rPr>
        <w:t xml:space="preserve">The global financial crisis occurred in 2008 and the rescue plans put into place to recover from that crisis </w:t>
      </w:r>
      <w:r w:rsidR="00557A0F" w:rsidRPr="00C2522B">
        <w:rPr>
          <w:rFonts w:ascii="Times New Roman" w:hAnsi="Times New Roman"/>
          <w:sz w:val="22"/>
          <w:szCs w:val="22"/>
        </w:rPr>
        <w:t xml:space="preserve">were </w:t>
      </w:r>
      <w:r w:rsidR="000921F0" w:rsidRPr="00C2522B">
        <w:rPr>
          <w:rFonts w:ascii="Times New Roman" w:hAnsi="Times New Roman"/>
          <w:sz w:val="22"/>
          <w:szCs w:val="22"/>
        </w:rPr>
        <w:t>conceived</w:t>
      </w:r>
      <w:r w:rsidR="00557A0F" w:rsidRPr="00C2522B">
        <w:rPr>
          <w:rFonts w:ascii="Times New Roman" w:hAnsi="Times New Roman"/>
          <w:sz w:val="22"/>
          <w:szCs w:val="22"/>
        </w:rPr>
        <w:t xml:space="preserve"> and implemented in 2009 and 2010.</w:t>
      </w:r>
      <w:r w:rsidR="00847988">
        <w:rPr>
          <w:rFonts w:ascii="Times New Roman" w:hAnsi="Times New Roman"/>
          <w:sz w:val="22"/>
          <w:szCs w:val="22"/>
        </w:rPr>
        <w:t xml:space="preserve"> </w:t>
      </w:r>
      <w:r w:rsidR="00557A0F" w:rsidRPr="00C2522B">
        <w:rPr>
          <w:rFonts w:ascii="Times New Roman" w:hAnsi="Times New Roman"/>
          <w:sz w:val="22"/>
          <w:szCs w:val="22"/>
        </w:rPr>
        <w:t xml:space="preserve">Regardless of whether a </w:t>
      </w:r>
      <w:r w:rsidR="000921F0" w:rsidRPr="00C2522B">
        <w:rPr>
          <w:rFonts w:ascii="Times New Roman" w:hAnsi="Times New Roman"/>
          <w:sz w:val="22"/>
          <w:szCs w:val="22"/>
        </w:rPr>
        <w:t>company</w:t>
      </w:r>
      <w:r w:rsidR="003021B6">
        <w:rPr>
          <w:rFonts w:ascii="Times New Roman" w:hAnsi="Times New Roman"/>
          <w:sz w:val="22"/>
          <w:szCs w:val="22"/>
        </w:rPr>
        <w:t>’</w:t>
      </w:r>
      <w:r w:rsidR="000921F0" w:rsidRPr="00C2522B">
        <w:rPr>
          <w:rFonts w:ascii="Times New Roman" w:hAnsi="Times New Roman"/>
          <w:sz w:val="22"/>
          <w:szCs w:val="22"/>
        </w:rPr>
        <w:t>s</w:t>
      </w:r>
      <w:r w:rsidR="00557A0F" w:rsidRPr="00C2522B">
        <w:rPr>
          <w:rFonts w:ascii="Times New Roman" w:hAnsi="Times New Roman"/>
          <w:sz w:val="22"/>
          <w:szCs w:val="22"/>
        </w:rPr>
        <w:t xml:space="preserve"> failure to change its board or the lack of the appointment of a liquidator may have given rise to an </w:t>
      </w:r>
      <w:r w:rsidR="00557A0F" w:rsidRPr="00C2522B">
        <w:rPr>
          <w:rFonts w:ascii="Times New Roman" w:hAnsi="Times New Roman"/>
          <w:i/>
          <w:sz w:val="22"/>
          <w:szCs w:val="22"/>
        </w:rPr>
        <w:t>empêch</w:t>
      </w:r>
      <w:r w:rsidR="003021B6">
        <w:rPr>
          <w:rFonts w:ascii="Times New Roman" w:hAnsi="Times New Roman"/>
          <w:i/>
          <w:sz w:val="22"/>
          <w:szCs w:val="22"/>
        </w:rPr>
        <w:t>e</w:t>
      </w:r>
      <w:r w:rsidR="00557A0F" w:rsidRPr="00C2522B">
        <w:rPr>
          <w:rFonts w:ascii="Times New Roman" w:hAnsi="Times New Roman"/>
          <w:i/>
          <w:sz w:val="22"/>
          <w:szCs w:val="22"/>
        </w:rPr>
        <w:t>ment</w:t>
      </w:r>
      <w:r w:rsidR="00557A0F" w:rsidRPr="00C2522B">
        <w:rPr>
          <w:rFonts w:ascii="Times New Roman" w:hAnsi="Times New Roman"/>
          <w:sz w:val="22"/>
          <w:szCs w:val="22"/>
        </w:rPr>
        <w:t xml:space="preserve">, the decision in </w:t>
      </w:r>
      <w:r w:rsidR="00557A0F" w:rsidRPr="00C2522B">
        <w:rPr>
          <w:rFonts w:ascii="Times New Roman" w:hAnsi="Times New Roman"/>
          <w:i/>
          <w:sz w:val="22"/>
          <w:szCs w:val="22"/>
        </w:rPr>
        <w:t>O</w:t>
      </w:r>
      <w:r w:rsidR="003021B6">
        <w:rPr>
          <w:rFonts w:ascii="Times New Roman" w:hAnsi="Times New Roman"/>
          <w:i/>
          <w:sz w:val="22"/>
          <w:szCs w:val="22"/>
        </w:rPr>
        <w:t>’</w:t>
      </w:r>
      <w:r w:rsidR="00557A0F" w:rsidRPr="00C2522B">
        <w:rPr>
          <w:rFonts w:ascii="Times New Roman" w:hAnsi="Times New Roman"/>
          <w:i/>
          <w:sz w:val="22"/>
          <w:szCs w:val="22"/>
        </w:rPr>
        <w:t>Keefe</w:t>
      </w:r>
      <w:r w:rsidR="00557A0F" w:rsidRPr="00C2522B">
        <w:rPr>
          <w:rFonts w:ascii="Times New Roman" w:hAnsi="Times New Roman"/>
          <w:sz w:val="22"/>
          <w:szCs w:val="22"/>
        </w:rPr>
        <w:t xml:space="preserve"> means that Jersey directors </w:t>
      </w:r>
      <w:r w:rsidR="00577785" w:rsidRPr="00C2522B">
        <w:rPr>
          <w:rFonts w:ascii="Times New Roman" w:hAnsi="Times New Roman"/>
          <w:sz w:val="22"/>
          <w:szCs w:val="22"/>
        </w:rPr>
        <w:t xml:space="preserve">or their insurers might </w:t>
      </w:r>
      <w:r w:rsidR="00557A0F" w:rsidRPr="00C2522B">
        <w:rPr>
          <w:rFonts w:ascii="Times New Roman" w:hAnsi="Times New Roman"/>
          <w:sz w:val="22"/>
          <w:szCs w:val="22"/>
        </w:rPr>
        <w:t xml:space="preserve">still be liable </w:t>
      </w:r>
      <w:r w:rsidR="00557A0F" w:rsidRPr="00C2522B">
        <w:rPr>
          <w:rFonts w:ascii="Times New Roman" w:hAnsi="Times New Roman"/>
          <w:sz w:val="22"/>
          <w:szCs w:val="22"/>
        </w:rPr>
        <w:lastRenderedPageBreak/>
        <w:t xml:space="preserve">for actions taken up to 10 years ago, but </w:t>
      </w:r>
      <w:r w:rsidR="001F119D" w:rsidRPr="00C2522B">
        <w:rPr>
          <w:rFonts w:ascii="Times New Roman" w:hAnsi="Times New Roman"/>
          <w:sz w:val="22"/>
          <w:szCs w:val="22"/>
        </w:rPr>
        <w:t xml:space="preserve">they will now </w:t>
      </w:r>
      <w:r w:rsidR="00557A0F" w:rsidRPr="00C2522B">
        <w:rPr>
          <w:rFonts w:ascii="Times New Roman" w:hAnsi="Times New Roman"/>
          <w:sz w:val="22"/>
          <w:szCs w:val="22"/>
        </w:rPr>
        <w:t xml:space="preserve">be judged by </w:t>
      </w:r>
      <w:r w:rsidR="001F119D" w:rsidRPr="00C2522B">
        <w:rPr>
          <w:rFonts w:ascii="Times New Roman" w:hAnsi="Times New Roman"/>
          <w:sz w:val="22"/>
          <w:szCs w:val="22"/>
        </w:rPr>
        <w:t xml:space="preserve">reference to </w:t>
      </w:r>
      <w:r w:rsidR="00557A0F" w:rsidRPr="00C2522B">
        <w:rPr>
          <w:rFonts w:ascii="Times New Roman" w:hAnsi="Times New Roman"/>
          <w:sz w:val="22"/>
          <w:szCs w:val="22"/>
        </w:rPr>
        <w:t xml:space="preserve">the </w:t>
      </w:r>
      <w:r w:rsidR="001F119D" w:rsidRPr="00C2522B">
        <w:rPr>
          <w:rFonts w:ascii="Times New Roman" w:hAnsi="Times New Roman"/>
          <w:sz w:val="22"/>
          <w:szCs w:val="22"/>
        </w:rPr>
        <w:t xml:space="preserve">clear and cogent </w:t>
      </w:r>
      <w:r w:rsidR="00557A0F" w:rsidRPr="00C2522B">
        <w:rPr>
          <w:rFonts w:ascii="Times New Roman" w:hAnsi="Times New Roman"/>
          <w:sz w:val="22"/>
          <w:szCs w:val="22"/>
        </w:rPr>
        <w:t>standards of 2017</w:t>
      </w:r>
      <w:r w:rsidR="001F119D" w:rsidRPr="00C2522B">
        <w:rPr>
          <w:rFonts w:ascii="Times New Roman" w:hAnsi="Times New Roman"/>
          <w:sz w:val="22"/>
          <w:szCs w:val="22"/>
        </w:rPr>
        <w:t>,</w:t>
      </w:r>
      <w:r w:rsidR="00557A0F" w:rsidRPr="00C2522B">
        <w:rPr>
          <w:rFonts w:ascii="Times New Roman" w:hAnsi="Times New Roman"/>
          <w:sz w:val="22"/>
          <w:szCs w:val="22"/>
        </w:rPr>
        <w:t xml:space="preserve"> </w:t>
      </w:r>
      <w:r w:rsidR="001F119D" w:rsidRPr="00C2522B">
        <w:rPr>
          <w:rFonts w:ascii="Times New Roman" w:hAnsi="Times New Roman"/>
          <w:sz w:val="22"/>
          <w:szCs w:val="22"/>
        </w:rPr>
        <w:t>including th</w:t>
      </w:r>
      <w:r w:rsidR="00557A0F" w:rsidRPr="00C2522B">
        <w:rPr>
          <w:rFonts w:ascii="Times New Roman" w:hAnsi="Times New Roman"/>
          <w:sz w:val="22"/>
          <w:szCs w:val="22"/>
        </w:rPr>
        <w:t xml:space="preserve">e </w:t>
      </w:r>
      <w:r w:rsidR="001F119D" w:rsidRPr="00C2522B">
        <w:rPr>
          <w:rFonts w:ascii="Times New Roman" w:hAnsi="Times New Roman"/>
          <w:sz w:val="22"/>
          <w:szCs w:val="22"/>
        </w:rPr>
        <w:t xml:space="preserve">insight from </w:t>
      </w:r>
      <w:r w:rsidR="00557A0F" w:rsidRPr="00C2522B">
        <w:rPr>
          <w:rFonts w:ascii="Times New Roman" w:hAnsi="Times New Roman"/>
          <w:sz w:val="22"/>
          <w:szCs w:val="22"/>
        </w:rPr>
        <w:t xml:space="preserve">the decisions in </w:t>
      </w:r>
      <w:r w:rsidR="00557A0F" w:rsidRPr="00C2522B">
        <w:rPr>
          <w:rFonts w:ascii="Times New Roman" w:hAnsi="Times New Roman"/>
          <w:i/>
          <w:sz w:val="22"/>
          <w:szCs w:val="22"/>
        </w:rPr>
        <w:t>Carlyle</w:t>
      </w:r>
      <w:r w:rsidR="00557A0F" w:rsidRPr="00C2522B">
        <w:rPr>
          <w:rFonts w:ascii="Times New Roman" w:hAnsi="Times New Roman"/>
          <w:sz w:val="22"/>
          <w:szCs w:val="22"/>
        </w:rPr>
        <w:t xml:space="preserve"> and </w:t>
      </w:r>
      <w:r w:rsidR="00557A0F" w:rsidRPr="00C2522B">
        <w:rPr>
          <w:rFonts w:ascii="Times New Roman" w:hAnsi="Times New Roman"/>
          <w:i/>
          <w:sz w:val="22"/>
          <w:szCs w:val="22"/>
        </w:rPr>
        <w:t>Ivey</w:t>
      </w:r>
      <w:r w:rsidR="00557A0F" w:rsidRPr="00C2522B">
        <w:rPr>
          <w:rFonts w:ascii="Times New Roman" w:hAnsi="Times New Roman"/>
          <w:sz w:val="22"/>
          <w:szCs w:val="22"/>
        </w:rPr>
        <w:t>.</w:t>
      </w:r>
    </w:p>
    <w:sectPr w:rsidR="00623598" w:rsidRPr="00C2522B"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6BA64" w14:textId="77777777" w:rsidR="009D6143" w:rsidRDefault="009D6143">
      <w:r>
        <w:separator/>
      </w:r>
    </w:p>
  </w:endnote>
  <w:endnote w:type="continuationSeparator" w:id="0">
    <w:p w14:paraId="3779400F" w14:textId="77777777" w:rsidR="009D6143" w:rsidRDefault="009D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D43B" w14:textId="77777777" w:rsidR="00AD3470" w:rsidRPr="001C5080" w:rsidRDefault="00AD3470"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81E8F" w14:textId="77777777" w:rsidR="009D6143" w:rsidRDefault="009D6143">
      <w:r>
        <w:separator/>
      </w:r>
    </w:p>
  </w:footnote>
  <w:footnote w:type="continuationSeparator" w:id="0">
    <w:p w14:paraId="6032658A" w14:textId="77777777" w:rsidR="009D6143" w:rsidRDefault="009D6143">
      <w:r>
        <w:continuationSeparator/>
      </w:r>
    </w:p>
  </w:footnote>
  <w:footnote w:id="1">
    <w:p w14:paraId="69815E0A"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[2017] Civil Action No. 1510</w:t>
      </w:r>
      <w:r w:rsidR="00C2522B">
        <w:rPr>
          <w:rFonts w:ascii="Times New Roman" w:hAnsi="Times New Roman"/>
          <w:sz w:val="18"/>
          <w:szCs w:val="18"/>
        </w:rPr>
        <w:t>.</w:t>
      </w:r>
    </w:p>
  </w:footnote>
  <w:footnote w:id="2">
    <w:p w14:paraId="230194AE"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003021B6">
        <w:rPr>
          <w:rFonts w:ascii="Times New Roman" w:hAnsi="Times New Roman"/>
          <w:sz w:val="18"/>
          <w:szCs w:val="18"/>
        </w:rPr>
        <w:t xml:space="preserve"> [2017] 3 WLR 1212.</w:t>
      </w:r>
    </w:p>
  </w:footnote>
  <w:footnote w:id="3">
    <w:p w14:paraId="0EB19208"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w:t>
      </w:r>
      <w:r w:rsidR="003021B6">
        <w:rPr>
          <w:rFonts w:ascii="Times New Roman" w:hAnsi="Times New Roman"/>
          <w:sz w:val="18"/>
          <w:szCs w:val="18"/>
        </w:rPr>
        <w:t>[1982] QB</w:t>
      </w:r>
      <w:r w:rsidRPr="00C2522B">
        <w:rPr>
          <w:rFonts w:ascii="Times New Roman" w:hAnsi="Times New Roman"/>
          <w:sz w:val="18"/>
          <w:szCs w:val="18"/>
        </w:rPr>
        <w:t xml:space="preserve"> 1053</w:t>
      </w:r>
      <w:r w:rsidR="003021B6">
        <w:rPr>
          <w:rFonts w:ascii="Times New Roman" w:hAnsi="Times New Roman"/>
          <w:sz w:val="18"/>
          <w:szCs w:val="18"/>
        </w:rPr>
        <w:t>.</w:t>
      </w:r>
    </w:p>
  </w:footnote>
  <w:footnote w:id="4">
    <w:p w14:paraId="4D3C06EF"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[2005] UKPC 37</w:t>
      </w:r>
      <w:r w:rsidR="003021B6">
        <w:rPr>
          <w:rFonts w:ascii="Times New Roman" w:hAnsi="Times New Roman"/>
          <w:sz w:val="18"/>
          <w:szCs w:val="18"/>
        </w:rPr>
        <w:t>.</w:t>
      </w:r>
    </w:p>
  </w:footnote>
  <w:footnote w:id="5">
    <w:p w14:paraId="12E2EA59"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[2017] EWHC 1105 (Ch)</w:t>
      </w:r>
      <w:r w:rsidR="003021B6">
        <w:rPr>
          <w:rFonts w:ascii="Times New Roman" w:hAnsi="Times New Roman"/>
          <w:sz w:val="18"/>
          <w:szCs w:val="18"/>
        </w:rPr>
        <w:t>.</w:t>
      </w:r>
    </w:p>
  </w:footnote>
  <w:footnote w:id="6">
    <w:p w14:paraId="264524E9"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[2002] JLR 53</w:t>
      </w:r>
      <w:r w:rsidR="003021B6">
        <w:rPr>
          <w:rFonts w:ascii="Times New Roman" w:hAnsi="Times New Roman"/>
          <w:sz w:val="18"/>
          <w:szCs w:val="18"/>
        </w:rPr>
        <w:t>.</w:t>
      </w:r>
    </w:p>
  </w:footnote>
  <w:footnote w:id="7">
    <w:p w14:paraId="45A5CA8C" w14:textId="77777777" w:rsidR="00AD3470" w:rsidRPr="00C2522B" w:rsidRDefault="00AD3470">
      <w:pPr>
        <w:pStyle w:val="FootnoteText"/>
        <w:rPr>
          <w:rFonts w:ascii="Times New Roman" w:hAnsi="Times New Roman"/>
          <w:sz w:val="18"/>
          <w:szCs w:val="18"/>
        </w:rPr>
      </w:pPr>
      <w:r w:rsidRPr="00C2522B">
        <w:rPr>
          <w:rStyle w:val="FootnoteReference"/>
          <w:rFonts w:ascii="Times New Roman" w:hAnsi="Times New Roman"/>
          <w:sz w:val="18"/>
          <w:szCs w:val="18"/>
        </w:rPr>
        <w:footnoteRef/>
      </w:r>
      <w:r w:rsidRPr="00C2522B">
        <w:rPr>
          <w:rFonts w:ascii="Times New Roman" w:hAnsi="Times New Roman"/>
          <w:sz w:val="18"/>
          <w:szCs w:val="18"/>
        </w:rPr>
        <w:t xml:space="preserve"> [2014] JRC 078A</w:t>
      </w:r>
      <w:r w:rsidR="003021B6">
        <w:rPr>
          <w:rFonts w:ascii="Times New Roman" w:hAnsi="Times New Roman"/>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C2B3" w14:textId="77777777" w:rsidR="00C2522B" w:rsidRPr="00C2522B" w:rsidRDefault="00C2522B" w:rsidP="00C2522B">
    <w:pPr>
      <w:pStyle w:val="Header"/>
      <w:spacing w:after="0"/>
      <w:rPr>
        <w:rFonts w:ascii="Arial" w:hAnsi="Arial" w:cs="Arial"/>
        <w:b/>
      </w:rPr>
    </w:pPr>
    <w:r w:rsidRPr="00C2522B">
      <w:rPr>
        <w:rFonts w:ascii="Arial" w:hAnsi="Arial" w:cs="Arial"/>
        <w:b/>
      </w:rPr>
      <w:t>Inside Story (November 2017)</w:t>
    </w:r>
  </w:p>
  <w:p w14:paraId="153A0A66" w14:textId="77777777" w:rsidR="00C2522B" w:rsidRPr="00C2522B" w:rsidRDefault="00C2522B" w:rsidP="00C2522B">
    <w:pPr>
      <w:pStyle w:val="Header"/>
      <w:spacing w:after="0"/>
      <w:rPr>
        <w:rFonts w:ascii="Arial" w:hAnsi="Arial" w:cs="Arial"/>
        <w:b/>
      </w:rPr>
    </w:pPr>
    <w:r w:rsidRPr="00C2522B">
      <w:rPr>
        <w:rFonts w:ascii="Arial" w:hAnsi="Arial" w:cs="Arial"/>
        <w:b/>
      </w:rPr>
      <w:t>Jeremy Garrood (Jersey)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7">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9">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6"/>
  </w:num>
  <w:num w:numId="2">
    <w:abstractNumId w:val="3"/>
  </w:num>
  <w:num w:numId="3">
    <w:abstractNumId w:val="11"/>
  </w:num>
  <w:num w:numId="4">
    <w:abstractNumId w:val="7"/>
  </w:num>
  <w:num w:numId="5">
    <w:abstractNumId w:val="8"/>
  </w:num>
  <w:num w:numId="6">
    <w:abstractNumId w:val="12"/>
  </w:num>
  <w:num w:numId="7">
    <w:abstractNumId w:val="0"/>
  </w:num>
  <w:num w:numId="8">
    <w:abstractNumId w:val="5"/>
  </w:num>
  <w:num w:numId="9">
    <w:abstractNumId w:val="2"/>
  </w:num>
  <w:num w:numId="10">
    <w:abstractNumId w:val="1"/>
  </w:num>
  <w:num w:numId="11">
    <w:abstractNumId w:val="10"/>
  </w:num>
  <w:num w:numId="12">
    <w:abstractNumId w:val="4"/>
  </w:num>
  <w:num w:numId="13">
    <w:abstractNumId w:val="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11"/>
  </w:num>
  <w:num w:numId="22">
    <w:abstractNumId w:val="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33DF"/>
    <w:rsid w:val="00042890"/>
    <w:rsid w:val="00086E49"/>
    <w:rsid w:val="000921F0"/>
    <w:rsid w:val="000C4532"/>
    <w:rsid w:val="000D3C8B"/>
    <w:rsid w:val="00141375"/>
    <w:rsid w:val="001C5080"/>
    <w:rsid w:val="001F119D"/>
    <w:rsid w:val="00247BAC"/>
    <w:rsid w:val="003021B6"/>
    <w:rsid w:val="003217E3"/>
    <w:rsid w:val="00340FF0"/>
    <w:rsid w:val="003518FD"/>
    <w:rsid w:val="00395D89"/>
    <w:rsid w:val="003C284E"/>
    <w:rsid w:val="003C69AB"/>
    <w:rsid w:val="00404D9A"/>
    <w:rsid w:val="00437BFE"/>
    <w:rsid w:val="004433C5"/>
    <w:rsid w:val="004B3FED"/>
    <w:rsid w:val="004F57B8"/>
    <w:rsid w:val="00557A0F"/>
    <w:rsid w:val="00577785"/>
    <w:rsid w:val="00593E77"/>
    <w:rsid w:val="005D79E3"/>
    <w:rsid w:val="005E7C6B"/>
    <w:rsid w:val="00623598"/>
    <w:rsid w:val="006441B0"/>
    <w:rsid w:val="006E7E8D"/>
    <w:rsid w:val="00740F50"/>
    <w:rsid w:val="00772427"/>
    <w:rsid w:val="007E1590"/>
    <w:rsid w:val="00847988"/>
    <w:rsid w:val="00867725"/>
    <w:rsid w:val="00877CBB"/>
    <w:rsid w:val="00976F27"/>
    <w:rsid w:val="0098305D"/>
    <w:rsid w:val="009B5E68"/>
    <w:rsid w:val="009D6143"/>
    <w:rsid w:val="00A34959"/>
    <w:rsid w:val="00A81F5B"/>
    <w:rsid w:val="00AD3470"/>
    <w:rsid w:val="00B40F88"/>
    <w:rsid w:val="00BC4C0D"/>
    <w:rsid w:val="00C2522B"/>
    <w:rsid w:val="00C96534"/>
    <w:rsid w:val="00CE09C4"/>
    <w:rsid w:val="00E2501C"/>
    <w:rsid w:val="00EB6116"/>
    <w:rsid w:val="00F20AC6"/>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10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740F50"/>
    <w:pPr>
      <w:spacing w:after="0"/>
    </w:pPr>
    <w:rPr>
      <w:sz w:val="20"/>
    </w:rPr>
  </w:style>
  <w:style w:type="character" w:customStyle="1" w:styleId="FootnoteTextChar">
    <w:name w:val="Footnote Text Char"/>
    <w:basedOn w:val="DefaultParagraphFont"/>
    <w:link w:val="FootnoteText"/>
    <w:rsid w:val="00740F50"/>
    <w:rPr>
      <w:rFonts w:ascii="Calibri" w:hAnsi="Calibri"/>
      <w:sz w:val="20"/>
      <w:szCs w:val="20"/>
    </w:rPr>
  </w:style>
  <w:style w:type="character" w:styleId="FootnoteReference">
    <w:name w:val="footnote reference"/>
    <w:basedOn w:val="DefaultParagraphFont"/>
    <w:rsid w:val="00740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867A-9ED3-054B-AC00-860E5EAD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1509</Words>
  <Characters>8604</Characters>
  <Application>Microsoft Macintosh Word</Application>
  <DocSecurity>0</DocSecurity>
  <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Newson</cp:lastModifiedBy>
  <cp:revision>9</cp:revision>
  <cp:lastPrinted>2017-11-20T20:14:00Z</cp:lastPrinted>
  <dcterms:created xsi:type="dcterms:W3CDTF">2017-11-20T15:13:00Z</dcterms:created>
  <dcterms:modified xsi:type="dcterms:W3CDTF">2017-11-22T15:58:00Z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