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515F" w14:textId="77777777" w:rsidR="00F33825" w:rsidRDefault="00F33825" w:rsidP="00F33825">
      <w:pPr>
        <w:spacing w:line="360" w:lineRule="auto"/>
        <w:jc w:val="center"/>
        <w:rPr>
          <w:b/>
          <w:sz w:val="24"/>
          <w:szCs w:val="24"/>
        </w:rPr>
      </w:pPr>
      <w:r w:rsidRPr="00F33825">
        <w:rPr>
          <w:b/>
          <w:sz w:val="24"/>
          <w:szCs w:val="24"/>
        </w:rPr>
        <w:t xml:space="preserve">Promoting Cross-Border Insolvency Cooperation: </w:t>
      </w:r>
      <w:r w:rsidR="00F47E29">
        <w:rPr>
          <w:b/>
          <w:sz w:val="24"/>
          <w:szCs w:val="24"/>
        </w:rPr>
        <w:br/>
      </w:r>
      <w:bookmarkStart w:id="0" w:name="_GoBack"/>
      <w:bookmarkEnd w:id="0"/>
      <w:r w:rsidRPr="00F33825">
        <w:rPr>
          <w:b/>
          <w:sz w:val="24"/>
          <w:szCs w:val="24"/>
        </w:rPr>
        <w:t xml:space="preserve">Is China’s </w:t>
      </w:r>
      <w:r w:rsidR="00A37FD2">
        <w:rPr>
          <w:b/>
          <w:sz w:val="24"/>
          <w:szCs w:val="24"/>
        </w:rPr>
        <w:t>“Belt and Road”</w:t>
      </w:r>
      <w:r w:rsidRPr="00F33825">
        <w:rPr>
          <w:b/>
          <w:sz w:val="24"/>
          <w:szCs w:val="24"/>
        </w:rPr>
        <w:t xml:space="preserve"> Initiative an Opportunity?</w:t>
      </w:r>
    </w:p>
    <w:p w14:paraId="58348646" w14:textId="77777777" w:rsidR="00542BEF" w:rsidRDefault="00913A97" w:rsidP="005526B7">
      <w:pPr>
        <w:spacing w:line="360" w:lineRule="auto"/>
        <w:jc w:val="both"/>
        <w:rPr>
          <w:sz w:val="24"/>
          <w:szCs w:val="24"/>
        </w:rPr>
      </w:pPr>
      <w:r w:rsidRPr="005526B7">
        <w:rPr>
          <w:sz w:val="24"/>
          <w:szCs w:val="24"/>
        </w:rPr>
        <w:t xml:space="preserve"> </w:t>
      </w:r>
      <w:r w:rsidR="004E1883" w:rsidRPr="005526B7">
        <w:rPr>
          <w:sz w:val="24"/>
          <w:szCs w:val="24"/>
        </w:rPr>
        <w:t>“One Belt, One Road” Initiative</w:t>
      </w:r>
      <w:r w:rsidR="001A2B53">
        <w:rPr>
          <w:sz w:val="24"/>
          <w:szCs w:val="24"/>
        </w:rPr>
        <w:t xml:space="preserve"> (the Initiative)</w:t>
      </w:r>
      <w:r w:rsidR="004E1883" w:rsidRPr="005526B7">
        <w:rPr>
          <w:sz w:val="24"/>
          <w:szCs w:val="24"/>
        </w:rPr>
        <w:t xml:space="preserve"> is one of t</w:t>
      </w:r>
      <w:r w:rsidR="00050C39">
        <w:rPr>
          <w:sz w:val="24"/>
          <w:szCs w:val="24"/>
        </w:rPr>
        <w:t>he most important foreign policies</w:t>
      </w:r>
      <w:r w:rsidR="004E1883" w:rsidRPr="005526B7">
        <w:rPr>
          <w:sz w:val="24"/>
          <w:szCs w:val="24"/>
        </w:rPr>
        <w:t xml:space="preserve"> that the Chinese government has been actively promoting since 2013</w:t>
      </w:r>
      <w:r w:rsidR="001A2B53">
        <w:rPr>
          <w:sz w:val="24"/>
          <w:szCs w:val="24"/>
        </w:rPr>
        <w:t>.</w:t>
      </w:r>
      <w:r w:rsidR="004E1883" w:rsidRPr="005526B7">
        <w:rPr>
          <w:sz w:val="24"/>
          <w:szCs w:val="24"/>
        </w:rPr>
        <w:t xml:space="preserve"> </w:t>
      </w:r>
      <w:r w:rsidR="00791A4D" w:rsidRPr="005526B7">
        <w:rPr>
          <w:sz w:val="24"/>
          <w:szCs w:val="24"/>
        </w:rPr>
        <w:t xml:space="preserve">“One Belt” refers to the “Silk Road Economic Belt”, </w:t>
      </w:r>
      <w:r w:rsidR="00BE01E3">
        <w:rPr>
          <w:sz w:val="24"/>
          <w:szCs w:val="24"/>
        </w:rPr>
        <w:t>which</w:t>
      </w:r>
      <w:r w:rsidR="00791A4D" w:rsidRPr="005526B7">
        <w:rPr>
          <w:sz w:val="24"/>
          <w:szCs w:val="24"/>
        </w:rPr>
        <w:t xml:space="preserve"> was based on the historical trade routes through Eurasia region. </w:t>
      </w:r>
      <w:r w:rsidR="006E5756" w:rsidRPr="005526B7">
        <w:rPr>
          <w:sz w:val="24"/>
          <w:szCs w:val="24"/>
        </w:rPr>
        <w:t>“One Road” refers to the Maritime Silk Road, which focuses on linking</w:t>
      </w:r>
      <w:r w:rsidR="00246F97" w:rsidRPr="005526B7">
        <w:rPr>
          <w:sz w:val="24"/>
          <w:szCs w:val="24"/>
        </w:rPr>
        <w:t xml:space="preserve"> China with Europe </w:t>
      </w:r>
      <w:r w:rsidR="00BE01E3">
        <w:rPr>
          <w:sz w:val="24"/>
          <w:szCs w:val="24"/>
        </w:rPr>
        <w:t>through</w:t>
      </w:r>
      <w:r w:rsidR="00246F97" w:rsidRPr="005526B7">
        <w:rPr>
          <w:sz w:val="24"/>
          <w:szCs w:val="24"/>
        </w:rPr>
        <w:t xml:space="preserve"> </w:t>
      </w:r>
      <w:r w:rsidR="003144F4">
        <w:rPr>
          <w:sz w:val="24"/>
          <w:szCs w:val="24"/>
        </w:rPr>
        <w:t xml:space="preserve">the </w:t>
      </w:r>
      <w:r w:rsidR="00246F97" w:rsidRPr="005526B7">
        <w:rPr>
          <w:sz w:val="24"/>
          <w:szCs w:val="24"/>
        </w:rPr>
        <w:t xml:space="preserve">Pacific Ocean. </w:t>
      </w:r>
      <w:r w:rsidR="00050C39">
        <w:rPr>
          <w:sz w:val="24"/>
          <w:szCs w:val="24"/>
        </w:rPr>
        <w:t>The</w:t>
      </w:r>
      <w:r w:rsidR="00371176">
        <w:rPr>
          <w:sz w:val="24"/>
          <w:szCs w:val="24"/>
        </w:rPr>
        <w:t xml:space="preserve"> areas proposed by the</w:t>
      </w:r>
      <w:r w:rsidR="001A2B53">
        <w:rPr>
          <w:sz w:val="24"/>
          <w:szCs w:val="24"/>
        </w:rPr>
        <w:t xml:space="preserve"> I</w:t>
      </w:r>
      <w:r w:rsidR="00050C39">
        <w:rPr>
          <w:sz w:val="24"/>
          <w:szCs w:val="24"/>
        </w:rPr>
        <w:t xml:space="preserve">nitiative would cover about 70% of world population and </w:t>
      </w:r>
      <w:r w:rsidR="00BB4F43">
        <w:rPr>
          <w:sz w:val="24"/>
          <w:szCs w:val="24"/>
        </w:rPr>
        <w:t>55</w:t>
      </w:r>
      <w:r w:rsidR="00050C39">
        <w:rPr>
          <w:sz w:val="24"/>
          <w:szCs w:val="24"/>
        </w:rPr>
        <w:t>% of global GDP.</w:t>
      </w:r>
      <w:r w:rsidR="00391F18">
        <w:rPr>
          <w:rStyle w:val="FootnoteReference"/>
          <w:sz w:val="24"/>
          <w:szCs w:val="24"/>
        </w:rPr>
        <w:footnoteReference w:id="1"/>
      </w:r>
      <w:r w:rsidR="00050C39">
        <w:rPr>
          <w:sz w:val="24"/>
          <w:szCs w:val="24"/>
        </w:rPr>
        <w:t xml:space="preserve"> </w:t>
      </w:r>
      <w:r w:rsidR="001A2B53">
        <w:rPr>
          <w:sz w:val="24"/>
          <w:szCs w:val="24"/>
        </w:rPr>
        <w:t>With the expansion of the Initiative, cross-border legal issues have attracted more attention. This article is trying to explore the cross-border insolvency issues associated with th</w:t>
      </w:r>
      <w:r w:rsidR="003144F4">
        <w:rPr>
          <w:sz w:val="24"/>
          <w:szCs w:val="24"/>
        </w:rPr>
        <w:t>e development of the Initiative</w:t>
      </w:r>
      <w:r w:rsidR="001A2B53">
        <w:rPr>
          <w:sz w:val="24"/>
          <w:szCs w:val="24"/>
        </w:rPr>
        <w:t xml:space="preserve"> and argued it is necessary to develop a multilateral guidance </w:t>
      </w:r>
      <w:r w:rsidR="00AC2CEB">
        <w:rPr>
          <w:sz w:val="24"/>
          <w:szCs w:val="24"/>
        </w:rPr>
        <w:t>for effectively solving</w:t>
      </w:r>
      <w:r w:rsidR="001A2B53">
        <w:rPr>
          <w:sz w:val="24"/>
          <w:szCs w:val="24"/>
        </w:rPr>
        <w:t xml:space="preserve"> cross-border insolvency issues among participating countries. </w:t>
      </w:r>
    </w:p>
    <w:p w14:paraId="72100052" w14:textId="77777777" w:rsidR="00542BEF" w:rsidRPr="00542BEF" w:rsidRDefault="00BE01E3" w:rsidP="005526B7">
      <w:pPr>
        <w:spacing w:line="360" w:lineRule="auto"/>
        <w:jc w:val="both"/>
        <w:rPr>
          <w:b/>
          <w:sz w:val="24"/>
          <w:szCs w:val="24"/>
        </w:rPr>
      </w:pPr>
      <w:r>
        <w:rPr>
          <w:b/>
          <w:sz w:val="24"/>
          <w:szCs w:val="24"/>
        </w:rPr>
        <w:t xml:space="preserve">The Nature of the </w:t>
      </w:r>
      <w:r w:rsidR="00542BEF" w:rsidRPr="00542BEF">
        <w:rPr>
          <w:b/>
          <w:sz w:val="24"/>
          <w:szCs w:val="24"/>
        </w:rPr>
        <w:t>Initiative</w:t>
      </w:r>
    </w:p>
    <w:p w14:paraId="6AE94245" w14:textId="77777777" w:rsidR="00AF67E0" w:rsidRDefault="00176A72" w:rsidP="005526B7">
      <w:pPr>
        <w:spacing w:line="360" w:lineRule="auto"/>
        <w:jc w:val="both"/>
        <w:rPr>
          <w:sz w:val="24"/>
          <w:szCs w:val="24"/>
        </w:rPr>
      </w:pPr>
      <w:r>
        <w:rPr>
          <w:sz w:val="24"/>
          <w:szCs w:val="24"/>
        </w:rPr>
        <w:t>The proposed initia</w:t>
      </w:r>
      <w:r w:rsidR="00AC2CEB">
        <w:rPr>
          <w:sz w:val="24"/>
          <w:szCs w:val="24"/>
        </w:rPr>
        <w:t xml:space="preserve">tive is trying to encourage international </w:t>
      </w:r>
      <w:r>
        <w:rPr>
          <w:sz w:val="24"/>
          <w:szCs w:val="24"/>
        </w:rPr>
        <w:t xml:space="preserve">cooperation in different areas, including trading, investment, infrastructure and energy. </w:t>
      </w:r>
      <w:r w:rsidR="00AC2CEB">
        <w:rPr>
          <w:sz w:val="24"/>
          <w:szCs w:val="24"/>
        </w:rPr>
        <w:t>T</w:t>
      </w:r>
      <w:r w:rsidR="001A2B53">
        <w:rPr>
          <w:sz w:val="24"/>
          <w:szCs w:val="24"/>
        </w:rPr>
        <w:t>he uniqueness of the I</w:t>
      </w:r>
      <w:r>
        <w:rPr>
          <w:sz w:val="24"/>
          <w:szCs w:val="24"/>
        </w:rPr>
        <w:t xml:space="preserve">nitiative is that it does not try to achieve geopolitical integration among countries; the cooperation </w:t>
      </w:r>
      <w:r w:rsidR="00AC2CEB">
        <w:rPr>
          <w:sz w:val="24"/>
          <w:szCs w:val="24"/>
        </w:rPr>
        <w:t>is</w:t>
      </w:r>
      <w:r>
        <w:rPr>
          <w:sz w:val="24"/>
          <w:szCs w:val="24"/>
        </w:rPr>
        <w:t xml:space="preserve"> based on policy communication and object</w:t>
      </w:r>
      <w:r w:rsidR="00E97313">
        <w:rPr>
          <w:sz w:val="24"/>
          <w:szCs w:val="24"/>
        </w:rPr>
        <w:t xml:space="preserve">ives coordination, </w:t>
      </w:r>
      <w:r w:rsidR="00AC2CEB">
        <w:rPr>
          <w:sz w:val="24"/>
          <w:szCs w:val="24"/>
        </w:rPr>
        <w:t>so it</w:t>
      </w:r>
      <w:r w:rsidR="00E97313">
        <w:rPr>
          <w:sz w:val="24"/>
          <w:szCs w:val="24"/>
        </w:rPr>
        <w:t xml:space="preserve"> will be an open and flexible process.</w:t>
      </w:r>
      <w:r w:rsidR="00391F18">
        <w:rPr>
          <w:rStyle w:val="FootnoteReference"/>
          <w:sz w:val="24"/>
          <w:szCs w:val="24"/>
        </w:rPr>
        <w:footnoteReference w:id="2"/>
      </w:r>
      <w:r w:rsidR="00E97313">
        <w:rPr>
          <w:sz w:val="24"/>
          <w:szCs w:val="24"/>
        </w:rPr>
        <w:t xml:space="preserve"> </w:t>
      </w:r>
      <w:r w:rsidR="00E65077">
        <w:rPr>
          <w:sz w:val="24"/>
          <w:szCs w:val="24"/>
        </w:rPr>
        <w:t>More importantly, the Chinese government also made it clear that, in order to benefit wider areas, the ambitious plan is not limited to the area of Silk Road, and open</w:t>
      </w:r>
      <w:r w:rsidR="00AC2CEB">
        <w:rPr>
          <w:sz w:val="24"/>
          <w:szCs w:val="24"/>
        </w:rPr>
        <w:t>s</w:t>
      </w:r>
      <w:r w:rsidR="00E65077">
        <w:rPr>
          <w:sz w:val="24"/>
          <w:szCs w:val="24"/>
        </w:rPr>
        <w:t xml:space="preserve"> to all the countries and international and regional organisations for engagement.</w:t>
      </w:r>
      <w:r w:rsidR="00391F18">
        <w:rPr>
          <w:rStyle w:val="FootnoteReference"/>
          <w:sz w:val="24"/>
          <w:szCs w:val="24"/>
        </w:rPr>
        <w:footnoteReference w:id="3"/>
      </w:r>
      <w:r w:rsidR="00E65077">
        <w:rPr>
          <w:sz w:val="24"/>
          <w:szCs w:val="24"/>
        </w:rPr>
        <w:t xml:space="preserve"> </w:t>
      </w:r>
    </w:p>
    <w:p w14:paraId="11A05445" w14:textId="77777777" w:rsidR="00165E04" w:rsidRDefault="001A2B53" w:rsidP="005526B7">
      <w:pPr>
        <w:spacing w:line="360" w:lineRule="auto"/>
        <w:jc w:val="both"/>
        <w:rPr>
          <w:sz w:val="24"/>
          <w:szCs w:val="24"/>
        </w:rPr>
      </w:pPr>
      <w:r>
        <w:rPr>
          <w:sz w:val="24"/>
          <w:szCs w:val="24"/>
        </w:rPr>
        <w:t>Specifically, the I</w:t>
      </w:r>
      <w:r w:rsidR="00AF67E0">
        <w:rPr>
          <w:sz w:val="24"/>
          <w:szCs w:val="24"/>
        </w:rPr>
        <w:t xml:space="preserve">nitiative focuses on five </w:t>
      </w:r>
      <w:r w:rsidR="00391F18">
        <w:rPr>
          <w:sz w:val="24"/>
          <w:szCs w:val="24"/>
        </w:rPr>
        <w:t>tasks</w:t>
      </w:r>
      <w:r w:rsidR="000876D4">
        <w:rPr>
          <w:sz w:val="24"/>
          <w:szCs w:val="24"/>
        </w:rPr>
        <w:t xml:space="preserve">, which are </w:t>
      </w:r>
      <w:r w:rsidR="00AF67E0">
        <w:rPr>
          <w:sz w:val="24"/>
          <w:szCs w:val="24"/>
        </w:rPr>
        <w:t>policy communication</w:t>
      </w:r>
      <w:r w:rsidR="000876D4">
        <w:rPr>
          <w:sz w:val="24"/>
          <w:szCs w:val="24"/>
        </w:rPr>
        <w:t xml:space="preserve">, </w:t>
      </w:r>
      <w:r w:rsidR="00AF67E0">
        <w:rPr>
          <w:sz w:val="24"/>
          <w:szCs w:val="24"/>
        </w:rPr>
        <w:t>the connectivity of infrastructure construction</w:t>
      </w:r>
      <w:r w:rsidR="000876D4">
        <w:rPr>
          <w:sz w:val="24"/>
          <w:szCs w:val="24"/>
        </w:rPr>
        <w:t>, facilitating investment and trading, i</w:t>
      </w:r>
      <w:r w:rsidR="00B03855">
        <w:rPr>
          <w:sz w:val="24"/>
          <w:szCs w:val="24"/>
        </w:rPr>
        <w:t>mproving financial cooperation</w:t>
      </w:r>
      <w:r w:rsidR="000876D4">
        <w:rPr>
          <w:sz w:val="24"/>
          <w:szCs w:val="24"/>
        </w:rPr>
        <w:t xml:space="preserve"> integration and</w:t>
      </w:r>
      <w:r w:rsidR="000C5FCE">
        <w:rPr>
          <w:sz w:val="24"/>
          <w:szCs w:val="24"/>
        </w:rPr>
        <w:t xml:space="preserve"> people-to-people communication. </w:t>
      </w:r>
    </w:p>
    <w:p w14:paraId="4ECD90A4" w14:textId="77777777" w:rsidR="00BE01E3" w:rsidRPr="00BE01E3" w:rsidRDefault="00554F25" w:rsidP="005526B7">
      <w:pPr>
        <w:spacing w:line="360" w:lineRule="auto"/>
        <w:jc w:val="both"/>
        <w:rPr>
          <w:sz w:val="24"/>
          <w:szCs w:val="24"/>
        </w:rPr>
      </w:pPr>
      <w:r>
        <w:rPr>
          <w:sz w:val="24"/>
          <w:szCs w:val="24"/>
        </w:rPr>
        <w:t>O</w:t>
      </w:r>
      <w:r w:rsidR="00165E04">
        <w:rPr>
          <w:sz w:val="24"/>
          <w:szCs w:val="24"/>
        </w:rPr>
        <w:t>ne difficulty that many western commentators a</w:t>
      </w:r>
      <w:r w:rsidR="002E7779">
        <w:rPr>
          <w:sz w:val="24"/>
          <w:szCs w:val="24"/>
        </w:rPr>
        <w:t>re facing is how to define the I</w:t>
      </w:r>
      <w:r w:rsidR="00165E04">
        <w:rPr>
          <w:sz w:val="24"/>
          <w:szCs w:val="24"/>
        </w:rPr>
        <w:t>nitiative proposed by China.</w:t>
      </w:r>
      <w:r w:rsidR="00391F18">
        <w:rPr>
          <w:rStyle w:val="FootnoteReference"/>
          <w:sz w:val="24"/>
          <w:szCs w:val="24"/>
        </w:rPr>
        <w:footnoteReference w:id="4"/>
      </w:r>
      <w:r w:rsidR="00165E04">
        <w:rPr>
          <w:sz w:val="24"/>
          <w:szCs w:val="24"/>
        </w:rPr>
        <w:t xml:space="preserve"> Especially from </w:t>
      </w:r>
      <w:r w:rsidR="003144F4">
        <w:rPr>
          <w:sz w:val="24"/>
          <w:szCs w:val="24"/>
        </w:rPr>
        <w:t xml:space="preserve">the </w:t>
      </w:r>
      <w:r w:rsidR="00165E04">
        <w:rPr>
          <w:sz w:val="24"/>
          <w:szCs w:val="24"/>
        </w:rPr>
        <w:t xml:space="preserve">legal point of view, it is difficult to give it an appropriate conceptual </w:t>
      </w:r>
      <w:r w:rsidR="00165E04">
        <w:rPr>
          <w:sz w:val="24"/>
          <w:szCs w:val="24"/>
        </w:rPr>
        <w:lastRenderedPageBreak/>
        <w:t>analysis.</w:t>
      </w:r>
      <w:r w:rsidR="00391F18">
        <w:rPr>
          <w:rStyle w:val="FootnoteReference"/>
          <w:sz w:val="24"/>
          <w:szCs w:val="24"/>
        </w:rPr>
        <w:footnoteReference w:id="5"/>
      </w:r>
      <w:r w:rsidR="00D57DE9">
        <w:rPr>
          <w:sz w:val="24"/>
          <w:szCs w:val="24"/>
        </w:rPr>
        <w:t xml:space="preserve"> </w:t>
      </w:r>
      <w:r w:rsidR="00165E04">
        <w:rPr>
          <w:sz w:val="24"/>
          <w:szCs w:val="24"/>
        </w:rPr>
        <w:t xml:space="preserve">Some argued that the purpose of Chinese government is to </w:t>
      </w:r>
      <w:r>
        <w:rPr>
          <w:sz w:val="24"/>
          <w:szCs w:val="24"/>
        </w:rPr>
        <w:t xml:space="preserve">build </w:t>
      </w:r>
      <w:r w:rsidR="002E7779">
        <w:rPr>
          <w:sz w:val="24"/>
          <w:szCs w:val="24"/>
        </w:rPr>
        <w:t xml:space="preserve">a </w:t>
      </w:r>
      <w:r>
        <w:rPr>
          <w:sz w:val="24"/>
          <w:szCs w:val="24"/>
        </w:rPr>
        <w:t>regional economic integration.</w:t>
      </w:r>
      <w:r w:rsidR="00391F18">
        <w:rPr>
          <w:rStyle w:val="FootnoteReference"/>
          <w:sz w:val="24"/>
          <w:szCs w:val="24"/>
        </w:rPr>
        <w:footnoteReference w:id="6"/>
      </w:r>
      <w:r w:rsidR="002E7779">
        <w:rPr>
          <w:sz w:val="24"/>
          <w:szCs w:val="24"/>
        </w:rPr>
        <w:t xml:space="preserve"> </w:t>
      </w:r>
      <w:r>
        <w:rPr>
          <w:sz w:val="24"/>
          <w:szCs w:val="24"/>
        </w:rPr>
        <w:t>However,</w:t>
      </w:r>
      <w:r w:rsidR="00D15091">
        <w:rPr>
          <w:sz w:val="24"/>
          <w:szCs w:val="24"/>
        </w:rPr>
        <w:t xml:space="preserve"> the action plan also emphasised that the free flow would be achieved </w:t>
      </w:r>
      <w:r w:rsidR="003144F4">
        <w:rPr>
          <w:sz w:val="24"/>
          <w:szCs w:val="24"/>
        </w:rPr>
        <w:t>through</w:t>
      </w:r>
      <w:r w:rsidR="00D15091">
        <w:rPr>
          <w:sz w:val="24"/>
          <w:szCs w:val="24"/>
        </w:rPr>
        <w:t xml:space="preserve"> in-depth regional economic cooperation and policy coordination; so it would be an open and flexible economic system balancing diff</w:t>
      </w:r>
      <w:r w:rsidR="008F77F0">
        <w:rPr>
          <w:sz w:val="24"/>
          <w:szCs w:val="24"/>
        </w:rPr>
        <w:t>erent countries</w:t>
      </w:r>
      <w:r w:rsidR="002A58E8">
        <w:rPr>
          <w:sz w:val="24"/>
          <w:szCs w:val="24"/>
        </w:rPr>
        <w:t>’ benefits</w:t>
      </w:r>
      <w:r w:rsidR="008F77F0">
        <w:rPr>
          <w:sz w:val="24"/>
          <w:szCs w:val="24"/>
        </w:rPr>
        <w:t>.</w:t>
      </w:r>
      <w:r w:rsidR="00391F18">
        <w:rPr>
          <w:rStyle w:val="FootnoteReference"/>
          <w:sz w:val="24"/>
          <w:szCs w:val="24"/>
        </w:rPr>
        <w:footnoteReference w:id="7"/>
      </w:r>
      <w:r w:rsidR="008F77F0">
        <w:rPr>
          <w:sz w:val="24"/>
          <w:szCs w:val="24"/>
        </w:rPr>
        <w:t xml:space="preserve"> </w:t>
      </w:r>
      <w:r w:rsidR="002E7779">
        <w:rPr>
          <w:sz w:val="24"/>
          <w:szCs w:val="24"/>
        </w:rPr>
        <w:t>The fact that the I</w:t>
      </w:r>
      <w:r w:rsidR="00224109">
        <w:rPr>
          <w:sz w:val="24"/>
          <w:szCs w:val="24"/>
        </w:rPr>
        <w:t>nitiative is open to all countries or organisations to join also illustrate</w:t>
      </w:r>
      <w:r w:rsidR="004E5216">
        <w:rPr>
          <w:sz w:val="24"/>
          <w:szCs w:val="24"/>
        </w:rPr>
        <w:t>s</w:t>
      </w:r>
      <w:r w:rsidR="00224109">
        <w:rPr>
          <w:sz w:val="24"/>
          <w:szCs w:val="24"/>
        </w:rPr>
        <w:t xml:space="preserve"> </w:t>
      </w:r>
      <w:r w:rsidR="002E7779">
        <w:rPr>
          <w:sz w:val="24"/>
          <w:szCs w:val="24"/>
        </w:rPr>
        <w:t>it</w:t>
      </w:r>
      <w:r w:rsidR="00112AA0">
        <w:rPr>
          <w:sz w:val="24"/>
          <w:szCs w:val="24"/>
        </w:rPr>
        <w:t xml:space="preserve"> is beyond regional</w:t>
      </w:r>
      <w:r w:rsidR="002E7779">
        <w:rPr>
          <w:sz w:val="24"/>
          <w:szCs w:val="24"/>
        </w:rPr>
        <w:t xml:space="preserve"> or any</w:t>
      </w:r>
      <w:r w:rsidR="00112AA0">
        <w:rPr>
          <w:sz w:val="24"/>
          <w:szCs w:val="24"/>
        </w:rPr>
        <w:t xml:space="preserve"> boundaries.</w:t>
      </w:r>
      <w:r w:rsidR="004E5216">
        <w:rPr>
          <w:sz w:val="24"/>
          <w:szCs w:val="24"/>
        </w:rPr>
        <w:t xml:space="preserve"> Additionally, there are no conventional arrangements or conventions for countries to sign under the initiative, and in-depth governmental cooperation would be achieved through making full use of existing agreements at bilateral, regional or multilateral levels.</w:t>
      </w:r>
      <w:r w:rsidR="001303F9">
        <w:rPr>
          <w:sz w:val="24"/>
          <w:szCs w:val="24"/>
        </w:rPr>
        <w:t xml:space="preserve"> Based on those special factors, “One Belt, One Road” </w:t>
      </w:r>
      <w:r w:rsidR="00655E51">
        <w:rPr>
          <w:sz w:val="24"/>
          <w:szCs w:val="24"/>
        </w:rPr>
        <w:t>Initiative</w:t>
      </w:r>
      <w:r w:rsidR="001303F9">
        <w:rPr>
          <w:sz w:val="24"/>
          <w:szCs w:val="24"/>
        </w:rPr>
        <w:t xml:space="preserve"> </w:t>
      </w:r>
      <w:r w:rsidR="00AB20A5">
        <w:rPr>
          <w:sz w:val="24"/>
          <w:szCs w:val="24"/>
        </w:rPr>
        <w:t xml:space="preserve">should be defined </w:t>
      </w:r>
      <w:r w:rsidR="001303F9">
        <w:rPr>
          <w:sz w:val="24"/>
          <w:szCs w:val="24"/>
        </w:rPr>
        <w:t>as a new model of global governance.</w:t>
      </w:r>
      <w:r w:rsidR="00391F18">
        <w:rPr>
          <w:rStyle w:val="FootnoteReference"/>
          <w:sz w:val="24"/>
          <w:szCs w:val="24"/>
        </w:rPr>
        <w:footnoteReference w:id="8"/>
      </w:r>
      <w:r w:rsidR="001303F9">
        <w:rPr>
          <w:sz w:val="24"/>
          <w:szCs w:val="24"/>
        </w:rPr>
        <w:t xml:space="preserve"> </w:t>
      </w:r>
      <w:r w:rsidR="00655E51">
        <w:rPr>
          <w:sz w:val="24"/>
          <w:szCs w:val="24"/>
        </w:rPr>
        <w:t>This</w:t>
      </w:r>
      <w:r w:rsidR="00827C41">
        <w:rPr>
          <w:sz w:val="24"/>
          <w:szCs w:val="24"/>
        </w:rPr>
        <w:t xml:space="preserve"> new model explores new methods of international cooperation at a more integrated level.</w:t>
      </w:r>
      <w:r w:rsidR="00391F18">
        <w:rPr>
          <w:rStyle w:val="FootnoteReference"/>
          <w:sz w:val="24"/>
          <w:szCs w:val="24"/>
        </w:rPr>
        <w:footnoteReference w:id="9"/>
      </w:r>
      <w:r w:rsidR="00827C41">
        <w:rPr>
          <w:sz w:val="24"/>
          <w:szCs w:val="24"/>
        </w:rPr>
        <w:t xml:space="preserve"> </w:t>
      </w:r>
    </w:p>
    <w:p w14:paraId="3F32B88C" w14:textId="77777777" w:rsidR="00BE01E3" w:rsidRDefault="00BE01E3" w:rsidP="005526B7">
      <w:pPr>
        <w:spacing w:line="360" w:lineRule="auto"/>
        <w:jc w:val="both"/>
        <w:rPr>
          <w:b/>
          <w:sz w:val="24"/>
          <w:szCs w:val="24"/>
        </w:rPr>
      </w:pPr>
      <w:r w:rsidRPr="00BE01E3">
        <w:rPr>
          <w:b/>
          <w:sz w:val="24"/>
          <w:szCs w:val="24"/>
        </w:rPr>
        <w:t>The Initiative and Cross-Border Insolvency</w:t>
      </w:r>
    </w:p>
    <w:p w14:paraId="17DEABF4" w14:textId="77777777" w:rsidR="00FB460F" w:rsidRDefault="00BE01E3" w:rsidP="005526B7">
      <w:pPr>
        <w:spacing w:line="360" w:lineRule="auto"/>
        <w:jc w:val="both"/>
        <w:rPr>
          <w:sz w:val="24"/>
          <w:szCs w:val="24"/>
        </w:rPr>
      </w:pPr>
      <w:r>
        <w:rPr>
          <w:sz w:val="24"/>
          <w:szCs w:val="24"/>
        </w:rPr>
        <w:t>A</w:t>
      </w:r>
      <w:r w:rsidR="00685D77">
        <w:rPr>
          <w:sz w:val="24"/>
          <w:szCs w:val="24"/>
        </w:rPr>
        <w:t xml:space="preserve">s noted by the Supreme People’s Court </w:t>
      </w:r>
      <w:r w:rsidR="00227718">
        <w:rPr>
          <w:sz w:val="24"/>
          <w:szCs w:val="24"/>
        </w:rPr>
        <w:t xml:space="preserve">in </w:t>
      </w:r>
      <w:r w:rsidR="00157019">
        <w:rPr>
          <w:sz w:val="24"/>
          <w:szCs w:val="24"/>
        </w:rPr>
        <w:t xml:space="preserve">Opinions on </w:t>
      </w:r>
      <w:r w:rsidR="00157019" w:rsidRPr="00157019">
        <w:rPr>
          <w:sz w:val="24"/>
          <w:szCs w:val="24"/>
        </w:rPr>
        <w:t>Providing Judicial Services and Safeguards for the Construction of the “Belt and Road”</w:t>
      </w:r>
      <w:r w:rsidR="00227718">
        <w:rPr>
          <w:sz w:val="24"/>
          <w:szCs w:val="24"/>
        </w:rPr>
        <w:t xml:space="preserve">, “to establish the international </w:t>
      </w:r>
      <w:r w:rsidR="002D7A04">
        <w:rPr>
          <w:sz w:val="24"/>
          <w:szCs w:val="24"/>
        </w:rPr>
        <w:t>cooperation system, rule by law is an important safeguard and judicial assistance is indispensable.</w:t>
      </w:r>
      <w:r w:rsidR="00227718">
        <w:rPr>
          <w:sz w:val="24"/>
          <w:szCs w:val="24"/>
        </w:rPr>
        <w:t>”</w:t>
      </w:r>
      <w:r w:rsidR="00856DCA">
        <w:rPr>
          <w:rStyle w:val="FootnoteReference"/>
          <w:sz w:val="24"/>
          <w:szCs w:val="24"/>
        </w:rPr>
        <w:footnoteReference w:id="10"/>
      </w:r>
      <w:r w:rsidR="002D7A04">
        <w:rPr>
          <w:sz w:val="24"/>
          <w:szCs w:val="24"/>
        </w:rPr>
        <w:t xml:space="preserve"> </w:t>
      </w:r>
      <w:r w:rsidR="009124A3">
        <w:rPr>
          <w:sz w:val="24"/>
          <w:szCs w:val="24"/>
        </w:rPr>
        <w:t>Specifically</w:t>
      </w:r>
      <w:r w:rsidR="00C02AF3">
        <w:rPr>
          <w:sz w:val="24"/>
          <w:szCs w:val="24"/>
        </w:rPr>
        <w:t>, s</w:t>
      </w:r>
      <w:r w:rsidR="007A2A78">
        <w:rPr>
          <w:sz w:val="24"/>
          <w:szCs w:val="24"/>
        </w:rPr>
        <w:t>ince one of the priority is to facilitate investment and</w:t>
      </w:r>
      <w:r w:rsidR="00C02AF3">
        <w:rPr>
          <w:sz w:val="24"/>
          <w:szCs w:val="24"/>
        </w:rPr>
        <w:t xml:space="preserve"> trade among involved countries, it is foreseeable that commercial and investment activities would experience a significant growth with</w:t>
      </w:r>
      <w:r w:rsidR="00F625EE">
        <w:rPr>
          <w:sz w:val="24"/>
          <w:szCs w:val="24"/>
        </w:rPr>
        <w:t xml:space="preserve"> conditions such as </w:t>
      </w:r>
      <w:r w:rsidR="00C02AF3">
        <w:rPr>
          <w:sz w:val="24"/>
          <w:szCs w:val="24"/>
        </w:rPr>
        <w:t>lower trading barriers</w:t>
      </w:r>
      <w:r w:rsidR="007466B1">
        <w:rPr>
          <w:sz w:val="24"/>
          <w:szCs w:val="24"/>
        </w:rPr>
        <w:t xml:space="preserve"> and better supporting policies</w:t>
      </w:r>
      <w:r w:rsidR="001D7A5F">
        <w:rPr>
          <w:sz w:val="24"/>
          <w:szCs w:val="24"/>
        </w:rPr>
        <w:t>. As a result, the demand for cross-border dispute solutions is bound to increase</w:t>
      </w:r>
      <w:r w:rsidR="009124A3">
        <w:rPr>
          <w:sz w:val="24"/>
          <w:szCs w:val="24"/>
        </w:rPr>
        <w:t>.</w:t>
      </w:r>
      <w:r w:rsidR="00BC5439">
        <w:rPr>
          <w:sz w:val="24"/>
          <w:szCs w:val="24"/>
        </w:rPr>
        <w:t xml:space="preserve"> Therefore, the Supreme Court further noted that building an effective system for solving cross-border legal issues is essential</w:t>
      </w:r>
      <w:r w:rsidR="00F625EE">
        <w:rPr>
          <w:sz w:val="24"/>
          <w:szCs w:val="24"/>
        </w:rPr>
        <w:t xml:space="preserve"> for the Initiative</w:t>
      </w:r>
      <w:r w:rsidR="008A5F55">
        <w:rPr>
          <w:sz w:val="24"/>
          <w:szCs w:val="24"/>
        </w:rPr>
        <w:t>, which should eliminate legal uncertainties and promote commercial stability.</w:t>
      </w:r>
      <w:r w:rsidR="00856DCA">
        <w:rPr>
          <w:rStyle w:val="FootnoteReference"/>
          <w:sz w:val="24"/>
          <w:szCs w:val="24"/>
        </w:rPr>
        <w:footnoteReference w:id="11"/>
      </w:r>
      <w:r w:rsidR="00930A8C">
        <w:rPr>
          <w:sz w:val="24"/>
          <w:szCs w:val="24"/>
        </w:rPr>
        <w:t xml:space="preserve"> </w:t>
      </w:r>
    </w:p>
    <w:p w14:paraId="547761FE" w14:textId="77777777" w:rsidR="00443B49" w:rsidRPr="005526B7" w:rsidRDefault="004A3C49" w:rsidP="00443B49">
      <w:pPr>
        <w:spacing w:line="360" w:lineRule="auto"/>
        <w:jc w:val="both"/>
        <w:rPr>
          <w:sz w:val="24"/>
          <w:szCs w:val="24"/>
        </w:rPr>
      </w:pPr>
      <w:r>
        <w:rPr>
          <w:sz w:val="24"/>
          <w:szCs w:val="24"/>
        </w:rPr>
        <w:t xml:space="preserve">Currently, </w:t>
      </w:r>
      <w:r w:rsidR="003144F4">
        <w:rPr>
          <w:sz w:val="24"/>
          <w:szCs w:val="24"/>
        </w:rPr>
        <w:t>most</w:t>
      </w:r>
      <w:r w:rsidR="00443B49">
        <w:rPr>
          <w:sz w:val="24"/>
          <w:szCs w:val="24"/>
        </w:rPr>
        <w:t xml:space="preserve"> Asian countries are still applying </w:t>
      </w:r>
      <w:r w:rsidR="003144F4">
        <w:rPr>
          <w:sz w:val="24"/>
          <w:szCs w:val="24"/>
        </w:rPr>
        <w:t>the t</w:t>
      </w:r>
      <w:r w:rsidR="00443B49">
        <w:rPr>
          <w:sz w:val="24"/>
          <w:szCs w:val="24"/>
        </w:rPr>
        <w:t>raditional territorial approach to solve cross-border insolvency issues. Some countries have addressed cross-border issues under domestic insolvency system, but those laws usually have some limitations in practice. For instance, under Chinese insolvency system, the recognition of foreign proceeding</w:t>
      </w:r>
      <w:r w:rsidR="004800B1">
        <w:rPr>
          <w:sz w:val="24"/>
          <w:szCs w:val="24"/>
        </w:rPr>
        <w:t>s</w:t>
      </w:r>
      <w:r w:rsidR="00443B49">
        <w:rPr>
          <w:sz w:val="24"/>
          <w:szCs w:val="24"/>
        </w:rPr>
        <w:t xml:space="preserve"> will be decided based on the </w:t>
      </w:r>
      <w:r w:rsidR="00443B49">
        <w:rPr>
          <w:sz w:val="24"/>
          <w:szCs w:val="24"/>
        </w:rPr>
        <w:lastRenderedPageBreak/>
        <w:t>existence of the principle of reciprocity or bilateral agreement between China and the foreign country.</w:t>
      </w:r>
      <w:r w:rsidR="00074666">
        <w:rPr>
          <w:rStyle w:val="FootnoteReference"/>
          <w:sz w:val="24"/>
          <w:szCs w:val="24"/>
        </w:rPr>
        <w:footnoteReference w:id="12"/>
      </w:r>
      <w:r w:rsidR="00443B49">
        <w:rPr>
          <w:sz w:val="24"/>
          <w:szCs w:val="24"/>
        </w:rPr>
        <w:t xml:space="preserve"> However, among those countries covered by the Initiative, only one</w:t>
      </w:r>
      <w:r w:rsidR="003144F4">
        <w:rPr>
          <w:sz w:val="24"/>
          <w:szCs w:val="24"/>
        </w:rPr>
        <w:t>-</w:t>
      </w:r>
      <w:r w:rsidR="00443B49">
        <w:rPr>
          <w:sz w:val="24"/>
          <w:szCs w:val="24"/>
        </w:rPr>
        <w:t xml:space="preserve">third of them has signed bilateral agreement on judicial assistance and judgment recognition with China and some of those agreements do not </w:t>
      </w:r>
      <w:r w:rsidR="004800B1">
        <w:rPr>
          <w:sz w:val="24"/>
          <w:szCs w:val="24"/>
        </w:rPr>
        <w:t>cover</w:t>
      </w:r>
      <w:r w:rsidR="00443B49">
        <w:rPr>
          <w:sz w:val="24"/>
          <w:szCs w:val="24"/>
        </w:rPr>
        <w:t xml:space="preserve"> insolvency issues.</w:t>
      </w:r>
      <w:r w:rsidR="00074666">
        <w:rPr>
          <w:rStyle w:val="FootnoteReference"/>
          <w:sz w:val="24"/>
          <w:szCs w:val="24"/>
        </w:rPr>
        <w:footnoteReference w:id="13"/>
      </w:r>
      <w:r w:rsidR="00443B49">
        <w:rPr>
          <w:sz w:val="24"/>
          <w:szCs w:val="24"/>
        </w:rPr>
        <w:t xml:space="preserve"> The application of reciprocity largely depends on whether the foreign courts have recognised similar Chinese cases before.</w:t>
      </w:r>
      <w:r w:rsidR="00913A97">
        <w:rPr>
          <w:sz w:val="24"/>
          <w:szCs w:val="24"/>
        </w:rPr>
        <w:t xml:space="preserve"> T</w:t>
      </w:r>
      <w:r w:rsidR="00443B49">
        <w:rPr>
          <w:sz w:val="24"/>
          <w:szCs w:val="24"/>
        </w:rPr>
        <w:t xml:space="preserve">hose bilateral approaches only can provide solutions for issues between two countries, so it does not have any regional or international effects. Since the Initiative is trying to develop a free trading network among involved countries, </w:t>
      </w:r>
      <w:r w:rsidR="004800B1">
        <w:rPr>
          <w:sz w:val="24"/>
          <w:szCs w:val="24"/>
        </w:rPr>
        <w:t>it</w:t>
      </w:r>
      <w:r w:rsidR="00443B49">
        <w:rPr>
          <w:sz w:val="24"/>
          <w:szCs w:val="24"/>
        </w:rPr>
        <w:t xml:space="preserve"> needs an effective and </w:t>
      </w:r>
      <w:r w:rsidR="00443B49" w:rsidRPr="00443B49">
        <w:rPr>
          <w:sz w:val="24"/>
          <w:szCs w:val="24"/>
        </w:rPr>
        <w:t>harmonious</w:t>
      </w:r>
      <w:r w:rsidR="00443B49">
        <w:rPr>
          <w:sz w:val="24"/>
          <w:szCs w:val="24"/>
        </w:rPr>
        <w:t xml:space="preserve"> cross-border insolvency standard that could be accepted by participating jurisdictions. </w:t>
      </w:r>
      <w:r w:rsidR="009A5802">
        <w:rPr>
          <w:sz w:val="24"/>
          <w:szCs w:val="24"/>
        </w:rPr>
        <w:t xml:space="preserve">The Chinese Supreme Court </w:t>
      </w:r>
      <w:r w:rsidR="00E94A3C">
        <w:rPr>
          <w:sz w:val="24"/>
          <w:szCs w:val="24"/>
        </w:rPr>
        <w:t xml:space="preserve">recommended that, in order to create </w:t>
      </w:r>
      <w:r w:rsidR="003144F4">
        <w:rPr>
          <w:sz w:val="24"/>
          <w:szCs w:val="24"/>
        </w:rPr>
        <w:t xml:space="preserve">a </w:t>
      </w:r>
      <w:r w:rsidR="00E94A3C">
        <w:rPr>
          <w:sz w:val="24"/>
          <w:szCs w:val="24"/>
        </w:rPr>
        <w:t>better trading environment, China should be more active to establish and promote relevant international rules.</w:t>
      </w:r>
      <w:r w:rsidR="00074666">
        <w:rPr>
          <w:rStyle w:val="FootnoteReference"/>
          <w:sz w:val="24"/>
          <w:szCs w:val="24"/>
        </w:rPr>
        <w:footnoteReference w:id="14"/>
      </w:r>
      <w:r w:rsidR="00443B49">
        <w:rPr>
          <w:sz w:val="24"/>
          <w:szCs w:val="24"/>
        </w:rPr>
        <w:t xml:space="preserve"> </w:t>
      </w:r>
    </w:p>
    <w:p w14:paraId="02F72984" w14:textId="77777777" w:rsidR="001678DC" w:rsidRDefault="007802CD" w:rsidP="005526B7">
      <w:pPr>
        <w:spacing w:line="360" w:lineRule="auto"/>
        <w:jc w:val="both"/>
        <w:rPr>
          <w:sz w:val="24"/>
          <w:szCs w:val="24"/>
        </w:rPr>
      </w:pPr>
      <w:r>
        <w:rPr>
          <w:sz w:val="24"/>
          <w:szCs w:val="24"/>
        </w:rPr>
        <w:t xml:space="preserve">It would be a challenging </w:t>
      </w:r>
      <w:r w:rsidR="00C57BAE">
        <w:rPr>
          <w:sz w:val="24"/>
          <w:szCs w:val="24"/>
        </w:rPr>
        <w:t>job</w:t>
      </w:r>
      <w:r>
        <w:rPr>
          <w:sz w:val="24"/>
          <w:szCs w:val="24"/>
        </w:rPr>
        <w:t xml:space="preserve"> to develop an international</w:t>
      </w:r>
      <w:r w:rsidR="003144F4">
        <w:rPr>
          <w:sz w:val="24"/>
          <w:szCs w:val="24"/>
        </w:rPr>
        <w:t xml:space="preserve"> cross-border insolvency regime</w:t>
      </w:r>
      <w:r>
        <w:rPr>
          <w:sz w:val="24"/>
          <w:szCs w:val="24"/>
        </w:rPr>
        <w:t xml:space="preserve"> since such system needs to balance all different legal systems and legal cultures. </w:t>
      </w:r>
      <w:r w:rsidR="00C57BAE">
        <w:rPr>
          <w:sz w:val="24"/>
          <w:szCs w:val="24"/>
        </w:rPr>
        <w:t>So far, t</w:t>
      </w:r>
      <w:r w:rsidR="00787C10">
        <w:rPr>
          <w:sz w:val="24"/>
          <w:szCs w:val="24"/>
        </w:rPr>
        <w:t>he</w:t>
      </w:r>
      <w:r w:rsidR="004A3C49">
        <w:rPr>
          <w:sz w:val="24"/>
          <w:szCs w:val="24"/>
        </w:rPr>
        <w:t xml:space="preserve"> most successful international experiences for establishing cross-border insolvency system are the UNCITRAL Model Law on Cross-Border Insolvency and the EU Regulation</w:t>
      </w:r>
      <w:r w:rsidR="0075056B">
        <w:rPr>
          <w:sz w:val="24"/>
          <w:szCs w:val="24"/>
        </w:rPr>
        <w:t>.</w:t>
      </w:r>
      <w:r w:rsidR="00E61E09">
        <w:rPr>
          <w:rStyle w:val="FootnoteReference"/>
          <w:sz w:val="24"/>
          <w:szCs w:val="24"/>
        </w:rPr>
        <w:footnoteReference w:id="15"/>
      </w:r>
      <w:r w:rsidR="0075056B">
        <w:rPr>
          <w:sz w:val="24"/>
          <w:szCs w:val="24"/>
        </w:rPr>
        <w:t xml:space="preserve"> </w:t>
      </w:r>
      <w:r w:rsidR="00ED1109">
        <w:rPr>
          <w:sz w:val="24"/>
          <w:szCs w:val="24"/>
        </w:rPr>
        <w:t>Both regimes were established based on the co</w:t>
      </w:r>
      <w:r w:rsidR="009F0019">
        <w:rPr>
          <w:sz w:val="24"/>
          <w:szCs w:val="24"/>
        </w:rPr>
        <w:t>ncept of modified universalism.</w:t>
      </w:r>
      <w:r w:rsidR="00787C10">
        <w:rPr>
          <w:sz w:val="24"/>
          <w:szCs w:val="24"/>
        </w:rPr>
        <w:t xml:space="preserve"> The UNCITRAL Model Law has been recognised as</w:t>
      </w:r>
      <w:r w:rsidR="001678DC">
        <w:rPr>
          <w:sz w:val="24"/>
          <w:szCs w:val="24"/>
        </w:rPr>
        <w:t xml:space="preserve"> an effective and</w:t>
      </w:r>
      <w:r w:rsidR="00787C10">
        <w:rPr>
          <w:sz w:val="24"/>
          <w:szCs w:val="24"/>
        </w:rPr>
        <w:t xml:space="preserve"> </w:t>
      </w:r>
      <w:r w:rsidR="001678DC">
        <w:rPr>
          <w:sz w:val="24"/>
          <w:szCs w:val="24"/>
        </w:rPr>
        <w:t>acceptable</w:t>
      </w:r>
      <w:r w:rsidR="00787C10">
        <w:rPr>
          <w:sz w:val="24"/>
          <w:szCs w:val="24"/>
        </w:rPr>
        <w:t xml:space="preserve"> system </w:t>
      </w:r>
      <w:r w:rsidR="001678DC">
        <w:rPr>
          <w:sz w:val="24"/>
          <w:szCs w:val="24"/>
        </w:rPr>
        <w:t>that can</w:t>
      </w:r>
      <w:r w:rsidR="00787C10">
        <w:rPr>
          <w:sz w:val="24"/>
          <w:szCs w:val="24"/>
        </w:rPr>
        <w:t xml:space="preserve"> be </w:t>
      </w:r>
      <w:r w:rsidR="0075056B">
        <w:rPr>
          <w:sz w:val="24"/>
          <w:szCs w:val="24"/>
        </w:rPr>
        <w:t>adopted by different legal systems</w:t>
      </w:r>
      <w:r w:rsidR="001678DC">
        <w:rPr>
          <w:sz w:val="24"/>
          <w:szCs w:val="24"/>
        </w:rPr>
        <w:t>.</w:t>
      </w:r>
      <w:r w:rsidR="00E61E09">
        <w:rPr>
          <w:rStyle w:val="FootnoteReference"/>
          <w:sz w:val="24"/>
          <w:szCs w:val="24"/>
        </w:rPr>
        <w:footnoteReference w:id="16"/>
      </w:r>
      <w:r w:rsidR="00936D2A">
        <w:rPr>
          <w:sz w:val="24"/>
          <w:szCs w:val="24"/>
        </w:rPr>
        <w:t xml:space="preserve"> </w:t>
      </w:r>
      <w:r w:rsidR="001678DC">
        <w:rPr>
          <w:sz w:val="24"/>
          <w:szCs w:val="24"/>
        </w:rPr>
        <w:t xml:space="preserve">However, </w:t>
      </w:r>
      <w:r w:rsidR="0075056B">
        <w:rPr>
          <w:sz w:val="24"/>
          <w:szCs w:val="24"/>
        </w:rPr>
        <w:t xml:space="preserve">the Law has not been </w:t>
      </w:r>
      <w:r w:rsidR="001678DC">
        <w:rPr>
          <w:sz w:val="24"/>
          <w:szCs w:val="24"/>
        </w:rPr>
        <w:t>very popular</w:t>
      </w:r>
      <w:r w:rsidR="0075056B">
        <w:rPr>
          <w:sz w:val="24"/>
          <w:szCs w:val="24"/>
        </w:rPr>
        <w:t xml:space="preserve"> among Asian countries</w:t>
      </w:r>
      <w:r w:rsidR="00560D21">
        <w:rPr>
          <w:sz w:val="24"/>
          <w:szCs w:val="24"/>
        </w:rPr>
        <w:t>.</w:t>
      </w:r>
      <w:r w:rsidR="009F0019">
        <w:rPr>
          <w:sz w:val="24"/>
          <w:szCs w:val="24"/>
        </w:rPr>
        <w:t xml:space="preserve"> Currently only three Asian countries (Japan, South Korea and Singapore) have </w:t>
      </w:r>
      <w:r w:rsidR="001678DC">
        <w:rPr>
          <w:sz w:val="24"/>
          <w:szCs w:val="24"/>
        </w:rPr>
        <w:t>adopted the UNCITRAL Model Law.</w:t>
      </w:r>
      <w:r w:rsidR="00E61E09">
        <w:rPr>
          <w:rStyle w:val="FootnoteReference"/>
          <w:sz w:val="24"/>
          <w:szCs w:val="24"/>
        </w:rPr>
        <w:footnoteReference w:id="17"/>
      </w:r>
      <w:r w:rsidR="001678DC">
        <w:rPr>
          <w:sz w:val="24"/>
          <w:szCs w:val="24"/>
        </w:rPr>
        <w:t xml:space="preserve"> </w:t>
      </w:r>
      <w:r w:rsidR="00936D2A">
        <w:rPr>
          <w:sz w:val="24"/>
          <w:szCs w:val="24"/>
        </w:rPr>
        <w:t xml:space="preserve">Compared with the flexibility of the Model Law, the EU Regulation has more binding </w:t>
      </w:r>
      <w:r w:rsidR="00C57BAE">
        <w:rPr>
          <w:sz w:val="24"/>
          <w:szCs w:val="24"/>
        </w:rPr>
        <w:t>features among</w:t>
      </w:r>
      <w:r w:rsidR="00957B97">
        <w:rPr>
          <w:sz w:val="24"/>
          <w:szCs w:val="24"/>
        </w:rPr>
        <w:t xml:space="preserve"> member states. </w:t>
      </w:r>
      <w:r w:rsidR="00004B10">
        <w:rPr>
          <w:sz w:val="24"/>
          <w:szCs w:val="24"/>
        </w:rPr>
        <w:t>Under the regulation, the rules for jurisdiction and choice of law are</w:t>
      </w:r>
      <w:r w:rsidR="00C57BAE">
        <w:rPr>
          <w:sz w:val="24"/>
          <w:szCs w:val="24"/>
        </w:rPr>
        <w:t xml:space="preserve"> relatively</w:t>
      </w:r>
      <w:r w:rsidR="00004B10">
        <w:rPr>
          <w:sz w:val="24"/>
          <w:szCs w:val="24"/>
        </w:rPr>
        <w:t xml:space="preserve"> clear, and the automatic recognition among all member states makes multinational insolvency more efficient.</w:t>
      </w:r>
    </w:p>
    <w:p w14:paraId="5F005111" w14:textId="77777777" w:rsidR="006C4D96" w:rsidRDefault="006C4D96" w:rsidP="005526B7">
      <w:pPr>
        <w:spacing w:line="360" w:lineRule="auto"/>
        <w:jc w:val="both"/>
        <w:rPr>
          <w:sz w:val="24"/>
          <w:szCs w:val="24"/>
        </w:rPr>
      </w:pPr>
      <w:r>
        <w:rPr>
          <w:sz w:val="24"/>
          <w:szCs w:val="24"/>
        </w:rPr>
        <w:t xml:space="preserve">It </w:t>
      </w:r>
      <w:r w:rsidR="00A763B8">
        <w:rPr>
          <w:sz w:val="24"/>
          <w:szCs w:val="24"/>
        </w:rPr>
        <w:t>is no doubt that a multi</w:t>
      </w:r>
      <w:r w:rsidR="003144F4">
        <w:rPr>
          <w:sz w:val="24"/>
          <w:szCs w:val="24"/>
        </w:rPr>
        <w:t>lateral system like</w:t>
      </w:r>
      <w:r w:rsidR="00C57BAE">
        <w:rPr>
          <w:sz w:val="24"/>
          <w:szCs w:val="24"/>
        </w:rPr>
        <w:t xml:space="preserve"> Europe</w:t>
      </w:r>
      <w:r w:rsidR="00A763B8">
        <w:rPr>
          <w:sz w:val="24"/>
          <w:szCs w:val="24"/>
        </w:rPr>
        <w:t xml:space="preserve">’s insolvency regime is preferred for </w:t>
      </w:r>
      <w:r w:rsidR="002F5004">
        <w:rPr>
          <w:sz w:val="24"/>
          <w:szCs w:val="24"/>
        </w:rPr>
        <w:t>economic system proposed by the Ini</w:t>
      </w:r>
      <w:r w:rsidR="003144F4">
        <w:rPr>
          <w:sz w:val="24"/>
          <w:szCs w:val="24"/>
        </w:rPr>
        <w:t>tiative. But it would be extremely</w:t>
      </w:r>
      <w:r w:rsidR="002F5004">
        <w:rPr>
          <w:sz w:val="24"/>
          <w:szCs w:val="24"/>
        </w:rPr>
        <w:t xml:space="preserve"> difficult to achieve such regime among participating countries. </w:t>
      </w:r>
      <w:r w:rsidR="00417558">
        <w:rPr>
          <w:sz w:val="24"/>
          <w:szCs w:val="24"/>
        </w:rPr>
        <w:t>First</w:t>
      </w:r>
      <w:r w:rsidR="00982719">
        <w:rPr>
          <w:sz w:val="24"/>
          <w:szCs w:val="24"/>
        </w:rPr>
        <w:t>ly</w:t>
      </w:r>
      <w:r w:rsidR="00417558">
        <w:rPr>
          <w:sz w:val="24"/>
          <w:szCs w:val="24"/>
        </w:rPr>
        <w:t xml:space="preserve">, European Union is a highly-integrated political organisation, so the operation of its insolvency regulation is supported by unified legal and political agreements among </w:t>
      </w:r>
      <w:r w:rsidR="00417558">
        <w:rPr>
          <w:sz w:val="24"/>
          <w:szCs w:val="24"/>
        </w:rPr>
        <w:lastRenderedPageBreak/>
        <w:t>all member states. As mentioned above, the Initiative is trying to promote a flexible free trading network and not a common market</w:t>
      </w:r>
      <w:r w:rsidR="00982719">
        <w:rPr>
          <w:sz w:val="24"/>
          <w:szCs w:val="24"/>
        </w:rPr>
        <w:t>, and there are no bin</w:t>
      </w:r>
      <w:r w:rsidR="003144F4">
        <w:rPr>
          <w:sz w:val="24"/>
          <w:szCs w:val="24"/>
        </w:rPr>
        <w:t>d</w:t>
      </w:r>
      <w:r w:rsidR="00982719">
        <w:rPr>
          <w:sz w:val="24"/>
          <w:szCs w:val="24"/>
        </w:rPr>
        <w:t xml:space="preserve">ing agreements to be signed by </w:t>
      </w:r>
      <w:r w:rsidR="00540AE5">
        <w:rPr>
          <w:sz w:val="24"/>
          <w:szCs w:val="24"/>
        </w:rPr>
        <w:t>participants</w:t>
      </w:r>
      <w:r w:rsidR="00417558">
        <w:rPr>
          <w:sz w:val="24"/>
          <w:szCs w:val="24"/>
        </w:rPr>
        <w:t>.</w:t>
      </w:r>
      <w:r w:rsidR="00FF19BF">
        <w:rPr>
          <w:sz w:val="24"/>
          <w:szCs w:val="24"/>
        </w:rPr>
        <w:t xml:space="preserve"> Secondly,</w:t>
      </w:r>
      <w:r w:rsidR="00900EF5">
        <w:rPr>
          <w:sz w:val="24"/>
          <w:szCs w:val="24"/>
        </w:rPr>
        <w:t xml:space="preserve"> </w:t>
      </w:r>
      <w:r w:rsidR="004568A3">
        <w:rPr>
          <w:sz w:val="24"/>
          <w:szCs w:val="24"/>
        </w:rPr>
        <w:t xml:space="preserve">another factor to consider is that </w:t>
      </w:r>
      <w:r w:rsidR="001F5D99">
        <w:rPr>
          <w:sz w:val="24"/>
          <w:szCs w:val="24"/>
        </w:rPr>
        <w:t>most of</w:t>
      </w:r>
      <w:r w:rsidR="001F5D99" w:rsidRPr="001F5D99">
        <w:rPr>
          <w:sz w:val="24"/>
          <w:szCs w:val="24"/>
        </w:rPr>
        <w:t xml:space="preserve"> </w:t>
      </w:r>
      <w:r w:rsidR="003144F4">
        <w:rPr>
          <w:sz w:val="24"/>
          <w:szCs w:val="24"/>
        </w:rPr>
        <w:t xml:space="preserve">the </w:t>
      </w:r>
      <w:r w:rsidR="001F5D99" w:rsidRPr="001F5D99">
        <w:rPr>
          <w:sz w:val="24"/>
          <w:szCs w:val="24"/>
        </w:rPr>
        <w:t>Asian countries covered by the Initiative</w:t>
      </w:r>
      <w:r w:rsidR="004568A3">
        <w:rPr>
          <w:sz w:val="24"/>
          <w:szCs w:val="24"/>
        </w:rPr>
        <w:t xml:space="preserve"> are at very different stage of development in terms of insolvency law. Many of them </w:t>
      </w:r>
      <w:r w:rsidR="00FF19BF">
        <w:rPr>
          <w:sz w:val="24"/>
          <w:szCs w:val="24"/>
        </w:rPr>
        <w:t>do not have a well-established insolvency system</w:t>
      </w:r>
      <w:r w:rsidR="004568A3">
        <w:rPr>
          <w:sz w:val="24"/>
          <w:szCs w:val="24"/>
        </w:rPr>
        <w:t xml:space="preserve"> or</w:t>
      </w:r>
      <w:r w:rsidR="00FF19BF">
        <w:rPr>
          <w:sz w:val="24"/>
          <w:szCs w:val="24"/>
        </w:rPr>
        <w:t xml:space="preserve"> experiences dealing with cross-border insolvency</w:t>
      </w:r>
      <w:r w:rsidR="004568A3">
        <w:rPr>
          <w:sz w:val="24"/>
          <w:szCs w:val="24"/>
        </w:rPr>
        <w:t xml:space="preserve"> cases. So the diversities would be too huge to operate a unified law.</w:t>
      </w:r>
      <w:r w:rsidR="00737EE7">
        <w:rPr>
          <w:sz w:val="24"/>
          <w:szCs w:val="24"/>
        </w:rPr>
        <w:t xml:space="preserve"> </w:t>
      </w:r>
    </w:p>
    <w:p w14:paraId="2A32E826" w14:textId="77777777" w:rsidR="0030760B" w:rsidRDefault="006A3D1E" w:rsidP="005526B7">
      <w:pPr>
        <w:spacing w:line="360" w:lineRule="auto"/>
        <w:jc w:val="both"/>
        <w:rPr>
          <w:sz w:val="24"/>
          <w:szCs w:val="24"/>
        </w:rPr>
      </w:pPr>
      <w:r>
        <w:rPr>
          <w:sz w:val="24"/>
          <w:szCs w:val="24"/>
        </w:rPr>
        <w:t>Since both of the international regimes cannot be directly applied to the Initiative, it is suggested</w:t>
      </w:r>
      <w:r w:rsidR="00423476">
        <w:rPr>
          <w:sz w:val="24"/>
          <w:szCs w:val="24"/>
        </w:rPr>
        <w:t xml:space="preserve"> that a </w:t>
      </w:r>
      <w:r w:rsidR="00423476" w:rsidRPr="00423476">
        <w:rPr>
          <w:b/>
          <w:sz w:val="24"/>
          <w:szCs w:val="24"/>
        </w:rPr>
        <w:t>Cross-Border Insolvency G</w:t>
      </w:r>
      <w:r w:rsidRPr="00423476">
        <w:rPr>
          <w:b/>
          <w:sz w:val="24"/>
          <w:szCs w:val="24"/>
        </w:rPr>
        <w:t>uidance</w:t>
      </w:r>
      <w:r>
        <w:rPr>
          <w:sz w:val="24"/>
          <w:szCs w:val="24"/>
        </w:rPr>
        <w:t xml:space="preserve"> should be developed to </w:t>
      </w:r>
      <w:r w:rsidR="001378F7">
        <w:rPr>
          <w:sz w:val="24"/>
          <w:szCs w:val="24"/>
        </w:rPr>
        <w:t>establish</w:t>
      </w:r>
      <w:r>
        <w:rPr>
          <w:sz w:val="24"/>
          <w:szCs w:val="24"/>
        </w:rPr>
        <w:t xml:space="preserve"> main principles for </w:t>
      </w:r>
      <w:r w:rsidR="00096E1F">
        <w:rPr>
          <w:sz w:val="24"/>
          <w:szCs w:val="24"/>
        </w:rPr>
        <w:t>effectively solving</w:t>
      </w:r>
      <w:r>
        <w:rPr>
          <w:sz w:val="24"/>
          <w:szCs w:val="24"/>
        </w:rPr>
        <w:t xml:space="preserve"> cross-border insolvency issues. The</w:t>
      </w:r>
      <w:r w:rsidR="00096E1F">
        <w:rPr>
          <w:sz w:val="24"/>
          <w:szCs w:val="24"/>
        </w:rPr>
        <w:t xml:space="preserve"> nature of </w:t>
      </w:r>
      <w:r w:rsidR="00423476">
        <w:rPr>
          <w:sz w:val="24"/>
          <w:szCs w:val="24"/>
        </w:rPr>
        <w:t>the</w:t>
      </w:r>
      <w:r>
        <w:rPr>
          <w:sz w:val="24"/>
          <w:szCs w:val="24"/>
        </w:rPr>
        <w:t xml:space="preserve"> guidance would be a soft legal tool to facilitate multinational insolvency among countries</w:t>
      </w:r>
      <w:r w:rsidR="009F568D">
        <w:rPr>
          <w:sz w:val="24"/>
          <w:szCs w:val="24"/>
        </w:rPr>
        <w:t xml:space="preserve"> covered by the Initiative</w:t>
      </w:r>
      <w:r>
        <w:rPr>
          <w:sz w:val="24"/>
          <w:szCs w:val="24"/>
        </w:rPr>
        <w:t>.</w:t>
      </w:r>
      <w:r w:rsidR="001378F7">
        <w:rPr>
          <w:sz w:val="24"/>
          <w:szCs w:val="24"/>
        </w:rPr>
        <w:t xml:space="preserve"> The content</w:t>
      </w:r>
      <w:r w:rsidR="00423476">
        <w:rPr>
          <w:sz w:val="24"/>
          <w:szCs w:val="24"/>
        </w:rPr>
        <w:t>s</w:t>
      </w:r>
      <w:r w:rsidR="001378F7">
        <w:rPr>
          <w:sz w:val="24"/>
          <w:szCs w:val="24"/>
        </w:rPr>
        <w:t xml:space="preserve"> of the guidance should include series of legal pri</w:t>
      </w:r>
      <w:r w:rsidR="00423476">
        <w:rPr>
          <w:sz w:val="24"/>
          <w:szCs w:val="24"/>
        </w:rPr>
        <w:t>nciples and suggestions, which should</w:t>
      </w:r>
      <w:r w:rsidR="001378F7">
        <w:rPr>
          <w:sz w:val="24"/>
          <w:szCs w:val="24"/>
        </w:rPr>
        <w:t xml:space="preserve"> be borrowed from the UNCITRAL Model Law and the EU Regulation.</w:t>
      </w:r>
      <w:r w:rsidR="00A92983">
        <w:rPr>
          <w:sz w:val="24"/>
          <w:szCs w:val="24"/>
        </w:rPr>
        <w:t xml:space="preserve"> For example, the general solution should be established based on modified universalism, and it should focus on recognition of foreign proceedings and cooperation among relevant parties and courts. In order to achieve that, the concept of centre of main interests (COMI) should be introduced to define different types of insolvency proceeding</w:t>
      </w:r>
      <w:r w:rsidR="005C0DDE">
        <w:rPr>
          <w:sz w:val="24"/>
          <w:szCs w:val="24"/>
        </w:rPr>
        <w:t>s</w:t>
      </w:r>
      <w:r w:rsidR="00A92983">
        <w:rPr>
          <w:sz w:val="24"/>
          <w:szCs w:val="24"/>
        </w:rPr>
        <w:t>.</w:t>
      </w:r>
      <w:r w:rsidR="005C0DDE">
        <w:rPr>
          <w:sz w:val="24"/>
          <w:szCs w:val="24"/>
        </w:rPr>
        <w:t xml:space="preserve"> </w:t>
      </w:r>
      <w:r w:rsidR="00EB31E7">
        <w:rPr>
          <w:sz w:val="24"/>
          <w:szCs w:val="24"/>
        </w:rPr>
        <w:t>The ways of c</w:t>
      </w:r>
      <w:r w:rsidR="005C0DDE">
        <w:rPr>
          <w:sz w:val="24"/>
          <w:szCs w:val="24"/>
        </w:rPr>
        <w:t>ommunication and assistance</w:t>
      </w:r>
      <w:r w:rsidR="00EB31E7">
        <w:rPr>
          <w:sz w:val="24"/>
          <w:szCs w:val="24"/>
        </w:rPr>
        <w:t xml:space="preserve"> among</w:t>
      </w:r>
      <w:r w:rsidR="005C0DDE">
        <w:rPr>
          <w:sz w:val="24"/>
          <w:szCs w:val="24"/>
        </w:rPr>
        <w:t xml:space="preserve"> co</w:t>
      </w:r>
      <w:r w:rsidR="0011756E">
        <w:rPr>
          <w:sz w:val="24"/>
          <w:szCs w:val="24"/>
        </w:rPr>
        <w:t xml:space="preserve">urts also should be included. </w:t>
      </w:r>
      <w:r w:rsidR="00423476">
        <w:rPr>
          <w:sz w:val="24"/>
          <w:szCs w:val="24"/>
        </w:rPr>
        <w:t>Also, a</w:t>
      </w:r>
      <w:r w:rsidR="0011756E">
        <w:rPr>
          <w:sz w:val="24"/>
          <w:szCs w:val="24"/>
        </w:rPr>
        <w:t xml:space="preserve"> court decision made based on those principles should be respected by other participating countries</w:t>
      </w:r>
      <w:r w:rsidR="00E938F4">
        <w:rPr>
          <w:sz w:val="24"/>
          <w:szCs w:val="24"/>
        </w:rPr>
        <w:t>’ courts</w:t>
      </w:r>
      <w:r w:rsidR="0011756E">
        <w:rPr>
          <w:sz w:val="24"/>
          <w:szCs w:val="24"/>
        </w:rPr>
        <w:t>.</w:t>
      </w:r>
      <w:r w:rsidR="00E938F4">
        <w:rPr>
          <w:sz w:val="24"/>
          <w:szCs w:val="24"/>
        </w:rPr>
        <w:t xml:space="preserve"> </w:t>
      </w:r>
      <w:r w:rsidR="00763133">
        <w:rPr>
          <w:sz w:val="24"/>
          <w:szCs w:val="24"/>
        </w:rPr>
        <w:t xml:space="preserve">The soft nature of the guidance is consistent with the objective of the Initiative. If a country is willing to join the Initiative for the purpose of seeking common benefits, it would also be willing to follow the legal guidance.  </w:t>
      </w:r>
    </w:p>
    <w:p w14:paraId="7E00C4A8" w14:textId="77777777" w:rsidR="00443B49" w:rsidRPr="005526B7" w:rsidRDefault="00443B49">
      <w:pPr>
        <w:spacing w:line="360" w:lineRule="auto"/>
        <w:jc w:val="both"/>
        <w:rPr>
          <w:sz w:val="24"/>
          <w:szCs w:val="24"/>
        </w:rPr>
      </w:pPr>
    </w:p>
    <w:sectPr w:rsidR="00443B49" w:rsidRPr="005526B7" w:rsidSect="00F47E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77B68" w14:textId="77777777" w:rsidR="001C14A9" w:rsidRDefault="001C14A9" w:rsidP="00391F18">
      <w:pPr>
        <w:spacing w:after="0" w:line="240" w:lineRule="auto"/>
      </w:pPr>
      <w:r>
        <w:separator/>
      </w:r>
    </w:p>
  </w:endnote>
  <w:endnote w:type="continuationSeparator" w:id="0">
    <w:p w14:paraId="7C2C8862" w14:textId="77777777" w:rsidR="001C14A9" w:rsidRDefault="001C14A9" w:rsidP="0039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6C7F4" w14:textId="77777777" w:rsidR="001C14A9" w:rsidRDefault="001C14A9" w:rsidP="00391F18">
      <w:pPr>
        <w:spacing w:after="0" w:line="240" w:lineRule="auto"/>
      </w:pPr>
      <w:r>
        <w:separator/>
      </w:r>
    </w:p>
  </w:footnote>
  <w:footnote w:type="continuationSeparator" w:id="0">
    <w:p w14:paraId="10F18509" w14:textId="77777777" w:rsidR="001C14A9" w:rsidRDefault="001C14A9" w:rsidP="00391F18">
      <w:pPr>
        <w:spacing w:after="0" w:line="240" w:lineRule="auto"/>
      </w:pPr>
      <w:r>
        <w:continuationSeparator/>
      </w:r>
    </w:p>
  </w:footnote>
  <w:footnote w:id="1">
    <w:p w14:paraId="59C2ADFF" w14:textId="77777777" w:rsidR="00391F18" w:rsidRDefault="00391F18" w:rsidP="00391F18">
      <w:pPr>
        <w:pStyle w:val="FootnoteText"/>
        <w:jc w:val="both"/>
      </w:pPr>
      <w:r>
        <w:rPr>
          <w:rStyle w:val="FootnoteReference"/>
        </w:rPr>
        <w:footnoteRef/>
      </w:r>
      <w:r>
        <w:t xml:space="preserve"> </w:t>
      </w:r>
      <w:r w:rsidR="00B74DD6">
        <w:t>World Economic Forum, “</w:t>
      </w:r>
      <w:r w:rsidR="00B74DD6" w:rsidRPr="00B74DD6">
        <w:t>What can the New Silk Road do for global trade?</w:t>
      </w:r>
      <w:r w:rsidR="00B74DD6">
        <w:t xml:space="preserve">” (22 September 2015) </w:t>
      </w:r>
      <w:hyperlink r:id="rId1" w:history="1">
        <w:r w:rsidR="00B74DD6" w:rsidRPr="00863D1C">
          <w:rPr>
            <w:rStyle w:val="Hyperlink"/>
          </w:rPr>
          <w:t>https://www.weforum.org/agenda/2015/09/what-can-the-new-silk-road-do-for-global-trade/</w:t>
        </w:r>
      </w:hyperlink>
      <w:r w:rsidR="00B74DD6">
        <w:t xml:space="preserve"> &lt;accessed 10 November 2017 &gt;</w:t>
      </w:r>
    </w:p>
  </w:footnote>
  <w:footnote w:id="2">
    <w:p w14:paraId="1C99E7AE" w14:textId="77777777" w:rsidR="00391F18" w:rsidRDefault="00391F18" w:rsidP="00391F18">
      <w:pPr>
        <w:pStyle w:val="FootnoteText"/>
        <w:jc w:val="both"/>
      </w:pPr>
      <w:r>
        <w:rPr>
          <w:rStyle w:val="FootnoteReference"/>
        </w:rPr>
        <w:footnoteRef/>
      </w:r>
      <w:r>
        <w:t xml:space="preserve"> Vision and Actions on Jointly Building Silk Road Economic Belt and 21st-Century Maritime Silk Road (Action Plan), jointly published by the National Development and Reform Commission, the Ministry of Foreign Affairs and the Ministry of Commerce</w:t>
      </w:r>
      <w:r w:rsidR="00F3690A">
        <w:t xml:space="preserve"> (</w:t>
      </w:r>
      <w:r w:rsidR="00F3690A" w:rsidRPr="00F3690A">
        <w:t>https://www.yidaiyilu.gov.cn/yw/qwfb/604.htm</w:t>
      </w:r>
      <w:r w:rsidR="00F3690A">
        <w:t>)</w:t>
      </w:r>
    </w:p>
  </w:footnote>
  <w:footnote w:id="3">
    <w:p w14:paraId="5759C218" w14:textId="77777777" w:rsidR="00391F18" w:rsidRDefault="00391F18" w:rsidP="00391F18">
      <w:pPr>
        <w:pStyle w:val="FootnoteText"/>
        <w:jc w:val="both"/>
      </w:pPr>
      <w:r>
        <w:rPr>
          <w:rStyle w:val="FootnoteReference"/>
        </w:rPr>
        <w:footnoteRef/>
      </w:r>
      <w:r>
        <w:t xml:space="preserve"> </w:t>
      </w:r>
      <w:r w:rsidR="00F3690A">
        <w:t>ibid</w:t>
      </w:r>
    </w:p>
  </w:footnote>
  <w:footnote w:id="4">
    <w:p w14:paraId="2978024A" w14:textId="77777777" w:rsidR="00391F18" w:rsidRDefault="00391F18" w:rsidP="00727C93">
      <w:pPr>
        <w:pStyle w:val="FootnoteText"/>
        <w:jc w:val="both"/>
      </w:pPr>
      <w:r>
        <w:rPr>
          <w:rStyle w:val="FootnoteReference"/>
        </w:rPr>
        <w:footnoteRef/>
      </w:r>
      <w:r>
        <w:t xml:space="preserve"> </w:t>
      </w:r>
      <w:r w:rsidR="00727C93">
        <w:t xml:space="preserve">Philippe du </w:t>
      </w:r>
      <w:proofErr w:type="spellStart"/>
      <w:r w:rsidR="00727C93">
        <w:t>Fresnay</w:t>
      </w:r>
      <w:proofErr w:type="spellEnd"/>
      <w:r w:rsidR="00727C93">
        <w:t xml:space="preserve">, “The new Silk Road: Economic Initiative or Geopolitical Alternative?” (2016) International Business Law Journal 575 </w:t>
      </w:r>
    </w:p>
  </w:footnote>
  <w:footnote w:id="5">
    <w:p w14:paraId="7BFC961D" w14:textId="77777777" w:rsidR="00391F18" w:rsidRDefault="00391F18" w:rsidP="00727C93">
      <w:pPr>
        <w:pStyle w:val="FootnoteText"/>
        <w:jc w:val="both"/>
      </w:pPr>
      <w:r>
        <w:rPr>
          <w:rStyle w:val="FootnoteReference"/>
        </w:rPr>
        <w:footnoteRef/>
      </w:r>
      <w:r>
        <w:t xml:space="preserve"> </w:t>
      </w:r>
      <w:r w:rsidR="00727C93">
        <w:t xml:space="preserve">Zeng </w:t>
      </w:r>
      <w:proofErr w:type="spellStart"/>
      <w:r w:rsidR="00727C93">
        <w:t>Lingliang</w:t>
      </w:r>
      <w:proofErr w:type="spellEnd"/>
      <w:r w:rsidR="00727C93">
        <w:t>, “Conceptual Analysis of China’s Belt and Road Initiative: A Road towards a Regional Community of Common Destiny” (2016) 15 Chinese Journal of International Law 517</w:t>
      </w:r>
    </w:p>
  </w:footnote>
  <w:footnote w:id="6">
    <w:p w14:paraId="2417D072" w14:textId="77777777" w:rsidR="00391F18" w:rsidRDefault="00391F18" w:rsidP="00727C93">
      <w:pPr>
        <w:pStyle w:val="FootnoteText"/>
        <w:jc w:val="both"/>
      </w:pPr>
      <w:r>
        <w:rPr>
          <w:rStyle w:val="FootnoteReference"/>
        </w:rPr>
        <w:footnoteRef/>
      </w:r>
      <w:r>
        <w:t xml:space="preserve"> </w:t>
      </w:r>
      <w:proofErr w:type="spellStart"/>
      <w:r w:rsidR="00CE17C5" w:rsidRPr="00CE17C5">
        <w:t>Kar-yiu</w:t>
      </w:r>
      <w:proofErr w:type="spellEnd"/>
      <w:r w:rsidR="00CE17C5">
        <w:t xml:space="preserve"> Wong, “</w:t>
      </w:r>
      <w:r w:rsidR="00CE17C5" w:rsidRPr="00CE17C5">
        <w:t>The “Belt and Road” Initiati</w:t>
      </w:r>
      <w:r w:rsidR="00CE17C5">
        <w:t>ve and Economic Integration” In</w:t>
      </w:r>
      <w:r w:rsidR="00CE17C5" w:rsidRPr="00CE17C5">
        <w:t xml:space="preserve"> </w:t>
      </w:r>
      <w:proofErr w:type="spellStart"/>
      <w:r w:rsidR="00CE17C5" w:rsidRPr="00CE17C5">
        <w:t>Banik</w:t>
      </w:r>
      <w:proofErr w:type="spellEnd"/>
      <w:r w:rsidR="00CE17C5" w:rsidRPr="00CE17C5">
        <w:t xml:space="preserve"> A., </w:t>
      </w:r>
      <w:proofErr w:type="spellStart"/>
      <w:r w:rsidR="00CE17C5" w:rsidRPr="00CE17C5">
        <w:t>Barai</w:t>
      </w:r>
      <w:proofErr w:type="spellEnd"/>
      <w:r w:rsidR="00CE17C5" w:rsidRPr="00CE17C5">
        <w:t xml:space="preserve"> M., Suzuki Y. (</w:t>
      </w:r>
      <w:proofErr w:type="spellStart"/>
      <w:r w:rsidR="00CE17C5" w:rsidRPr="00CE17C5">
        <w:t>eds</w:t>
      </w:r>
      <w:proofErr w:type="spellEnd"/>
      <w:r w:rsidR="00CE17C5" w:rsidRPr="00CE17C5">
        <w:t xml:space="preserve">) </w:t>
      </w:r>
      <w:r w:rsidR="00CE17C5" w:rsidRPr="00CE17C5">
        <w:rPr>
          <w:i/>
        </w:rPr>
        <w:t>Towards A Common Future</w:t>
      </w:r>
      <w:r w:rsidR="00CE17C5">
        <w:t xml:space="preserve"> (Palgrave Macmillan, 2016)</w:t>
      </w:r>
    </w:p>
  </w:footnote>
  <w:footnote w:id="7">
    <w:p w14:paraId="40A46D45" w14:textId="77777777" w:rsidR="00391F18" w:rsidRDefault="00391F18" w:rsidP="00727C93">
      <w:pPr>
        <w:pStyle w:val="FootnoteText"/>
        <w:jc w:val="both"/>
      </w:pPr>
      <w:r>
        <w:rPr>
          <w:rStyle w:val="FootnoteReference"/>
        </w:rPr>
        <w:footnoteRef/>
      </w:r>
      <w:r>
        <w:t xml:space="preserve"> </w:t>
      </w:r>
      <w:r w:rsidR="002A58E8">
        <w:t>See above note2</w:t>
      </w:r>
    </w:p>
  </w:footnote>
  <w:footnote w:id="8">
    <w:p w14:paraId="7F00D152" w14:textId="77777777" w:rsidR="00391F18" w:rsidRDefault="00391F18" w:rsidP="00157019">
      <w:pPr>
        <w:pStyle w:val="FootnoteText"/>
        <w:jc w:val="both"/>
      </w:pPr>
      <w:r>
        <w:rPr>
          <w:rStyle w:val="FootnoteReference"/>
        </w:rPr>
        <w:footnoteRef/>
      </w:r>
      <w:r>
        <w:t xml:space="preserve"> </w:t>
      </w:r>
      <w:r w:rsidR="002A58E8">
        <w:t>See above note 5</w:t>
      </w:r>
    </w:p>
  </w:footnote>
  <w:footnote w:id="9">
    <w:p w14:paraId="5D6B2E26" w14:textId="77777777" w:rsidR="00391F18" w:rsidRDefault="00391F18" w:rsidP="00157019">
      <w:pPr>
        <w:pStyle w:val="FootnoteText"/>
        <w:jc w:val="both"/>
      </w:pPr>
      <w:r>
        <w:rPr>
          <w:rStyle w:val="FootnoteReference"/>
        </w:rPr>
        <w:footnoteRef/>
      </w:r>
      <w:r>
        <w:t xml:space="preserve"> </w:t>
      </w:r>
      <w:r w:rsidR="002A58E8">
        <w:t>ibid</w:t>
      </w:r>
    </w:p>
  </w:footnote>
  <w:footnote w:id="10">
    <w:p w14:paraId="73D64F47" w14:textId="77777777" w:rsidR="00856DCA" w:rsidRDefault="00856DCA" w:rsidP="00157019">
      <w:pPr>
        <w:pStyle w:val="FootnoteText"/>
        <w:jc w:val="both"/>
      </w:pPr>
      <w:r>
        <w:rPr>
          <w:rStyle w:val="FootnoteReference"/>
        </w:rPr>
        <w:footnoteRef/>
      </w:r>
      <w:r>
        <w:t xml:space="preserve"> </w:t>
      </w:r>
      <w:proofErr w:type="spellStart"/>
      <w:r w:rsidR="00157019">
        <w:t>Alexandr</w:t>
      </w:r>
      <w:proofErr w:type="spellEnd"/>
      <w:r w:rsidR="00157019">
        <w:t xml:space="preserve"> </w:t>
      </w:r>
      <w:proofErr w:type="spellStart"/>
      <w:r w:rsidR="00157019">
        <w:t>Svetlicinii</w:t>
      </w:r>
      <w:proofErr w:type="spellEnd"/>
      <w:r w:rsidR="00157019">
        <w:t>, “Publication Review : Legal Dimensions of China’s Belt and Road Initiative by Lutz-</w:t>
      </w:r>
      <w:proofErr w:type="spellStart"/>
      <w:r w:rsidR="00157019">
        <w:t>Chtistian</w:t>
      </w:r>
      <w:proofErr w:type="spellEnd"/>
      <w:r w:rsidR="00157019">
        <w:t xml:space="preserve"> Wolff and Chao Xi” (2017) International Trade Law &amp; Regulation 109; T</w:t>
      </w:r>
      <w:r w:rsidR="00157019" w:rsidRPr="00157019">
        <w:t>he Supreme People’s Court</w:t>
      </w:r>
      <w:r w:rsidR="00157019">
        <w:t xml:space="preserve">, “Several Opinions on </w:t>
      </w:r>
      <w:r w:rsidR="00157019" w:rsidRPr="00157019">
        <w:t>Providing Judicial Services and Safeguards for the Construction of the “Belt and Road”</w:t>
      </w:r>
      <w:r w:rsidR="00157019">
        <w:t xml:space="preserve">” (the Opinions) (2017) </w:t>
      </w:r>
      <w:hyperlink r:id="rId2" w:history="1">
        <w:r w:rsidR="00157019" w:rsidRPr="00863D1C">
          <w:rPr>
            <w:rStyle w:val="Hyperlink"/>
          </w:rPr>
          <w:t>https://www.yidaiyilu.gov.cn/zchj/zcfg/2401.htm</w:t>
        </w:r>
      </w:hyperlink>
      <w:r w:rsidR="00157019">
        <w:t xml:space="preserve"> &lt;accessed 02 November 2017&gt;</w:t>
      </w:r>
    </w:p>
  </w:footnote>
  <w:footnote w:id="11">
    <w:p w14:paraId="7FAC5113" w14:textId="77777777" w:rsidR="00856DCA" w:rsidRDefault="00856DCA" w:rsidP="00157019">
      <w:pPr>
        <w:pStyle w:val="FootnoteText"/>
        <w:jc w:val="both"/>
      </w:pPr>
      <w:r>
        <w:rPr>
          <w:rStyle w:val="FootnoteReference"/>
        </w:rPr>
        <w:footnoteRef/>
      </w:r>
      <w:r>
        <w:t xml:space="preserve"> </w:t>
      </w:r>
      <w:r w:rsidR="00157019">
        <w:t>ibid</w:t>
      </w:r>
    </w:p>
  </w:footnote>
  <w:footnote w:id="12">
    <w:p w14:paraId="10AF3087" w14:textId="77777777" w:rsidR="00074666" w:rsidRDefault="00074666" w:rsidP="00AB661A">
      <w:pPr>
        <w:pStyle w:val="FootnoteText"/>
        <w:jc w:val="both"/>
      </w:pPr>
      <w:r>
        <w:rPr>
          <w:rStyle w:val="FootnoteReference"/>
        </w:rPr>
        <w:footnoteRef/>
      </w:r>
      <w:r>
        <w:t xml:space="preserve"> Article 5, the Enterprise Bankruptcy Law of China 2006 (China)</w:t>
      </w:r>
    </w:p>
  </w:footnote>
  <w:footnote w:id="13">
    <w:p w14:paraId="2BE570CE" w14:textId="77777777" w:rsidR="00074666" w:rsidRDefault="00074666" w:rsidP="00AB661A">
      <w:pPr>
        <w:pStyle w:val="FootnoteText"/>
        <w:jc w:val="both"/>
      </w:pPr>
      <w:r>
        <w:rPr>
          <w:rStyle w:val="FootnoteReference"/>
        </w:rPr>
        <w:footnoteRef/>
      </w:r>
      <w:r>
        <w:t xml:space="preserve"> </w:t>
      </w:r>
      <w:r w:rsidR="00AB661A">
        <w:t xml:space="preserve">The Supreme People’s Court, “Typical Cases for the Construction of the “Belt and Road”” (2017) </w:t>
      </w:r>
      <w:hyperlink r:id="rId3" w:history="1">
        <w:r w:rsidR="00AB661A" w:rsidRPr="00863D1C">
          <w:rPr>
            <w:rStyle w:val="Hyperlink"/>
          </w:rPr>
          <w:t>http://www.court.gov.cn/zixun-xiangqing-44722.html</w:t>
        </w:r>
      </w:hyperlink>
      <w:r w:rsidR="00AB661A">
        <w:t xml:space="preserve"> &lt;accessed 15 November 2017&gt;</w:t>
      </w:r>
    </w:p>
  </w:footnote>
  <w:footnote w:id="14">
    <w:p w14:paraId="1C25466F" w14:textId="77777777" w:rsidR="00074666" w:rsidRDefault="00074666" w:rsidP="00E83A78">
      <w:pPr>
        <w:pStyle w:val="FootnoteText"/>
        <w:jc w:val="both"/>
      </w:pPr>
      <w:r>
        <w:rPr>
          <w:rStyle w:val="FootnoteReference"/>
        </w:rPr>
        <w:footnoteRef/>
      </w:r>
      <w:r>
        <w:t xml:space="preserve"> </w:t>
      </w:r>
      <w:r w:rsidR="00E61E09">
        <w:t>i</w:t>
      </w:r>
      <w:r>
        <w:t>bid, para 13</w:t>
      </w:r>
    </w:p>
  </w:footnote>
  <w:footnote w:id="15">
    <w:p w14:paraId="5D0BE19F" w14:textId="77777777" w:rsidR="00E61E09" w:rsidRDefault="00E61E09" w:rsidP="00E83A78">
      <w:pPr>
        <w:pStyle w:val="FootnoteText"/>
        <w:jc w:val="both"/>
      </w:pPr>
      <w:r>
        <w:rPr>
          <w:rStyle w:val="FootnoteReference"/>
        </w:rPr>
        <w:footnoteRef/>
      </w:r>
      <w:r w:rsidR="00E83A78" w:rsidRPr="00E83A78">
        <w:t>United Nations Commission on International Trade Law</w:t>
      </w:r>
      <w:r w:rsidR="00E83A78">
        <w:t xml:space="preserve">, Model Law on Cross-Border Insolvency (1997); </w:t>
      </w:r>
      <w:r>
        <w:t xml:space="preserve"> </w:t>
      </w:r>
      <w:r w:rsidR="00E83A78">
        <w:t>Regulation (EU) 2015/848 of the European Parliament and of the Council of 20 May 2015 on Insolvency Proceedings (Recast)</w:t>
      </w:r>
    </w:p>
  </w:footnote>
  <w:footnote w:id="16">
    <w:p w14:paraId="2BDB6DAD" w14:textId="77777777" w:rsidR="00E61E09" w:rsidRDefault="00E61E09" w:rsidP="00E83A78">
      <w:pPr>
        <w:pStyle w:val="FootnoteText"/>
        <w:jc w:val="both"/>
      </w:pPr>
      <w:r>
        <w:rPr>
          <w:rStyle w:val="FootnoteReference"/>
        </w:rPr>
        <w:footnoteRef/>
      </w:r>
      <w:r>
        <w:t xml:space="preserve"> </w:t>
      </w:r>
      <w:r w:rsidR="00C033F6" w:rsidRPr="00C033F6">
        <w:t>S. Chandra MOHAN</w:t>
      </w:r>
      <w:r w:rsidR="00C033F6">
        <w:t>, “Cross-border Insolvency Problems: Is the UNCITRAL Model Law the Answer?” (2012) 21 (3) International Insolvency Review 199</w:t>
      </w:r>
    </w:p>
  </w:footnote>
  <w:footnote w:id="17">
    <w:p w14:paraId="1C0B4251" w14:textId="77777777" w:rsidR="00E61E09" w:rsidRDefault="00E61E09" w:rsidP="00E83A78">
      <w:pPr>
        <w:pStyle w:val="FootnoteText"/>
        <w:jc w:val="both"/>
      </w:pPr>
      <w:r>
        <w:rPr>
          <w:rStyle w:val="FootnoteReference"/>
        </w:rPr>
        <w:footnoteRef/>
      </w:r>
      <w:r>
        <w:t xml:space="preserve"> UNCITRAL, “Status” </w:t>
      </w:r>
      <w:hyperlink r:id="rId4" w:history="1">
        <w:r w:rsidRPr="00863D1C">
          <w:rPr>
            <w:rStyle w:val="Hyperlink"/>
          </w:rPr>
          <w:t>http://www.uncitral.org/uncitral/en/uncitral_texts/insolvency/1997Model_status.html</w:t>
        </w:r>
      </w:hyperlink>
      <w:r>
        <w:t xml:space="preserve"> &lt;accessed 16 November 2017&gt;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7C"/>
    <w:rsid w:val="00004B10"/>
    <w:rsid w:val="00024D8E"/>
    <w:rsid w:val="00033BEF"/>
    <w:rsid w:val="0003448C"/>
    <w:rsid w:val="00050C39"/>
    <w:rsid w:val="00074666"/>
    <w:rsid w:val="00086D23"/>
    <w:rsid w:val="000876D4"/>
    <w:rsid w:val="00096E1F"/>
    <w:rsid w:val="000C5FCE"/>
    <w:rsid w:val="000D46FD"/>
    <w:rsid w:val="000D7776"/>
    <w:rsid w:val="0010081D"/>
    <w:rsid w:val="00112AA0"/>
    <w:rsid w:val="00117518"/>
    <w:rsid w:val="0011756E"/>
    <w:rsid w:val="001303F9"/>
    <w:rsid w:val="001378F7"/>
    <w:rsid w:val="00157019"/>
    <w:rsid w:val="00165E04"/>
    <w:rsid w:val="001678DC"/>
    <w:rsid w:val="00176A72"/>
    <w:rsid w:val="001A2B53"/>
    <w:rsid w:val="001C14A9"/>
    <w:rsid w:val="001D7A5F"/>
    <w:rsid w:val="001F4642"/>
    <w:rsid w:val="001F5D99"/>
    <w:rsid w:val="00204B1C"/>
    <w:rsid w:val="00224109"/>
    <w:rsid w:val="00227718"/>
    <w:rsid w:val="00235DF3"/>
    <w:rsid w:val="00244749"/>
    <w:rsid w:val="00246F97"/>
    <w:rsid w:val="00257D0E"/>
    <w:rsid w:val="002A58E8"/>
    <w:rsid w:val="002B7671"/>
    <w:rsid w:val="002D7A04"/>
    <w:rsid w:val="002E1A78"/>
    <w:rsid w:val="002E1D29"/>
    <w:rsid w:val="002E6F93"/>
    <w:rsid w:val="002E7779"/>
    <w:rsid w:val="002F5004"/>
    <w:rsid w:val="0030760B"/>
    <w:rsid w:val="003142E6"/>
    <w:rsid w:val="003144F4"/>
    <w:rsid w:val="00371176"/>
    <w:rsid w:val="0038435A"/>
    <w:rsid w:val="00391F18"/>
    <w:rsid w:val="003E5197"/>
    <w:rsid w:val="00417558"/>
    <w:rsid w:val="00423476"/>
    <w:rsid w:val="00424CFF"/>
    <w:rsid w:val="004338B2"/>
    <w:rsid w:val="00440BE6"/>
    <w:rsid w:val="00443B49"/>
    <w:rsid w:val="004568A3"/>
    <w:rsid w:val="00470C2D"/>
    <w:rsid w:val="004800B1"/>
    <w:rsid w:val="004810EE"/>
    <w:rsid w:val="004A3C49"/>
    <w:rsid w:val="004B241C"/>
    <w:rsid w:val="004E1883"/>
    <w:rsid w:val="004E30AB"/>
    <w:rsid w:val="004E5216"/>
    <w:rsid w:val="00540AE5"/>
    <w:rsid w:val="00542BEF"/>
    <w:rsid w:val="005526B7"/>
    <w:rsid w:val="00554F25"/>
    <w:rsid w:val="00560D21"/>
    <w:rsid w:val="005A7771"/>
    <w:rsid w:val="005C0DDE"/>
    <w:rsid w:val="005C10D8"/>
    <w:rsid w:val="005E6C4F"/>
    <w:rsid w:val="00612F52"/>
    <w:rsid w:val="00640245"/>
    <w:rsid w:val="00641C7C"/>
    <w:rsid w:val="00655E51"/>
    <w:rsid w:val="00685D77"/>
    <w:rsid w:val="006A3D1E"/>
    <w:rsid w:val="006B5304"/>
    <w:rsid w:val="006C4D96"/>
    <w:rsid w:val="006E2436"/>
    <w:rsid w:val="006E5756"/>
    <w:rsid w:val="007040C5"/>
    <w:rsid w:val="00727C93"/>
    <w:rsid w:val="00737EE7"/>
    <w:rsid w:val="007466B1"/>
    <w:rsid w:val="0075056B"/>
    <w:rsid w:val="00763133"/>
    <w:rsid w:val="00770CF3"/>
    <w:rsid w:val="007802CD"/>
    <w:rsid w:val="00787C10"/>
    <w:rsid w:val="00791A4D"/>
    <w:rsid w:val="007A2A78"/>
    <w:rsid w:val="007B3ED5"/>
    <w:rsid w:val="007E2EFC"/>
    <w:rsid w:val="00827C41"/>
    <w:rsid w:val="00853D46"/>
    <w:rsid w:val="00856DCA"/>
    <w:rsid w:val="0088108F"/>
    <w:rsid w:val="008A5F55"/>
    <w:rsid w:val="008C399E"/>
    <w:rsid w:val="008F77F0"/>
    <w:rsid w:val="00900EF5"/>
    <w:rsid w:val="009124A3"/>
    <w:rsid w:val="00913A97"/>
    <w:rsid w:val="00921402"/>
    <w:rsid w:val="00930A8C"/>
    <w:rsid w:val="00934066"/>
    <w:rsid w:val="009358E7"/>
    <w:rsid w:val="00936D2A"/>
    <w:rsid w:val="00957B97"/>
    <w:rsid w:val="00982719"/>
    <w:rsid w:val="00984D73"/>
    <w:rsid w:val="009A5802"/>
    <w:rsid w:val="009D1CF4"/>
    <w:rsid w:val="009F0019"/>
    <w:rsid w:val="009F568D"/>
    <w:rsid w:val="00A340B9"/>
    <w:rsid w:val="00A37FD2"/>
    <w:rsid w:val="00A763B8"/>
    <w:rsid w:val="00A92983"/>
    <w:rsid w:val="00AB20A5"/>
    <w:rsid w:val="00AB661A"/>
    <w:rsid w:val="00AC2CEB"/>
    <w:rsid w:val="00AC32E4"/>
    <w:rsid w:val="00AF67E0"/>
    <w:rsid w:val="00AF7533"/>
    <w:rsid w:val="00B03855"/>
    <w:rsid w:val="00B74DD6"/>
    <w:rsid w:val="00B75BA0"/>
    <w:rsid w:val="00B77FC0"/>
    <w:rsid w:val="00BB4F43"/>
    <w:rsid w:val="00BC37DE"/>
    <w:rsid w:val="00BC5439"/>
    <w:rsid w:val="00BD1913"/>
    <w:rsid w:val="00BE01E3"/>
    <w:rsid w:val="00C02AF3"/>
    <w:rsid w:val="00C033F6"/>
    <w:rsid w:val="00C57BAE"/>
    <w:rsid w:val="00C83BFA"/>
    <w:rsid w:val="00CA2B12"/>
    <w:rsid w:val="00CB1B1C"/>
    <w:rsid w:val="00CD7B37"/>
    <w:rsid w:val="00CE17C5"/>
    <w:rsid w:val="00D15091"/>
    <w:rsid w:val="00D57DE9"/>
    <w:rsid w:val="00D87916"/>
    <w:rsid w:val="00DE123E"/>
    <w:rsid w:val="00E02AB9"/>
    <w:rsid w:val="00E367D6"/>
    <w:rsid w:val="00E61E09"/>
    <w:rsid w:val="00E6228C"/>
    <w:rsid w:val="00E65077"/>
    <w:rsid w:val="00E83A78"/>
    <w:rsid w:val="00E938F4"/>
    <w:rsid w:val="00E94A3C"/>
    <w:rsid w:val="00E97313"/>
    <w:rsid w:val="00EB31E7"/>
    <w:rsid w:val="00EC7EA0"/>
    <w:rsid w:val="00ED1109"/>
    <w:rsid w:val="00EF7049"/>
    <w:rsid w:val="00F27E5A"/>
    <w:rsid w:val="00F33825"/>
    <w:rsid w:val="00F3690A"/>
    <w:rsid w:val="00F47E29"/>
    <w:rsid w:val="00F625EE"/>
    <w:rsid w:val="00FB460F"/>
    <w:rsid w:val="00FD47F6"/>
    <w:rsid w:val="00FF1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549C"/>
  <w15:chartTrackingRefBased/>
  <w15:docId w15:val="{61335365-ABAB-4248-BE22-379B7168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1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1F18"/>
    <w:rPr>
      <w:sz w:val="20"/>
      <w:szCs w:val="20"/>
    </w:rPr>
  </w:style>
  <w:style w:type="character" w:styleId="FootnoteReference">
    <w:name w:val="footnote reference"/>
    <w:basedOn w:val="DefaultParagraphFont"/>
    <w:uiPriority w:val="99"/>
    <w:semiHidden/>
    <w:unhideWhenUsed/>
    <w:rsid w:val="00391F18"/>
    <w:rPr>
      <w:vertAlign w:val="superscript"/>
    </w:rPr>
  </w:style>
  <w:style w:type="character" w:styleId="Hyperlink">
    <w:name w:val="Hyperlink"/>
    <w:basedOn w:val="DefaultParagraphFont"/>
    <w:uiPriority w:val="99"/>
    <w:unhideWhenUsed/>
    <w:rsid w:val="00B74DD6"/>
    <w:rPr>
      <w:color w:val="0563C1" w:themeColor="hyperlink"/>
      <w:u w:val="single"/>
    </w:rPr>
  </w:style>
  <w:style w:type="paragraph" w:styleId="BalloonText">
    <w:name w:val="Balloon Text"/>
    <w:basedOn w:val="Normal"/>
    <w:link w:val="BalloonTextChar"/>
    <w:uiPriority w:val="99"/>
    <w:semiHidden/>
    <w:unhideWhenUsed/>
    <w:rsid w:val="00AC2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court.gov.cn/zixun-xiangqing-44722.html" TargetMode="External"/><Relationship Id="rId4" Type="http://schemas.openxmlformats.org/officeDocument/2006/relationships/hyperlink" Target="http://www.uncitral.org/uncitral/en/uncitral_texts/insolvency/1997Model_status.html" TargetMode="External"/><Relationship Id="rId1" Type="http://schemas.openxmlformats.org/officeDocument/2006/relationships/hyperlink" Target="https://www.weforum.org/agenda/2015/09/what-can-the-new-silk-road-do-for-global-trade/" TargetMode="External"/><Relationship Id="rId2" Type="http://schemas.openxmlformats.org/officeDocument/2006/relationships/hyperlink" Target="https://www.yidaiyilu.gov.cn/zchj/zcfg/24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1293</Words>
  <Characters>7372</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Bingdao Wang [RPG]</dc:creator>
  <cp:keywords/>
  <dc:description/>
  <cp:lastModifiedBy>Microsoft Office User</cp:lastModifiedBy>
  <cp:revision>18</cp:revision>
  <cp:lastPrinted>2017-12-19T16:14:00Z</cp:lastPrinted>
  <dcterms:created xsi:type="dcterms:W3CDTF">2017-12-19T14:58:00Z</dcterms:created>
  <dcterms:modified xsi:type="dcterms:W3CDTF">2017-12-20T13:28:00Z</dcterms:modified>
</cp:coreProperties>
</file>