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A2A3D" w14:textId="77777777" w:rsidR="005D783E" w:rsidRPr="00BF3D3E" w:rsidRDefault="005D783E" w:rsidP="005D783E">
      <w:pPr>
        <w:spacing w:after="0"/>
        <w:rPr>
          <w:rFonts w:ascii="Times New Roman" w:hAnsi="Times New Roman"/>
          <w:sz w:val="24"/>
          <w:szCs w:val="24"/>
        </w:rPr>
      </w:pPr>
    </w:p>
    <w:p w14:paraId="00F31AC4" w14:textId="77777777" w:rsidR="00617533" w:rsidRDefault="00617533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7374">
        <w:rPr>
          <w:rFonts w:ascii="Verdana" w:eastAsia="Cambria" w:hAnsi="Verdana"/>
          <w:b/>
          <w:noProof/>
          <w:sz w:val="36"/>
          <w:szCs w:val="36"/>
        </w:rPr>
        <w:drawing>
          <wp:inline distT="0" distB="0" distL="0" distR="0" wp14:anchorId="28C02944" wp14:editId="6EFBE008">
            <wp:extent cx="1981200" cy="172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671F4" w14:textId="77777777" w:rsidR="00617533" w:rsidRDefault="00617533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5E44B6" w14:textId="67CCC40B" w:rsidR="00617533" w:rsidRPr="00617533" w:rsidRDefault="00617533" w:rsidP="0061753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17533">
        <w:rPr>
          <w:rFonts w:ascii="Times New Roman" w:hAnsi="Times New Roman"/>
          <w:b/>
          <w:sz w:val="36"/>
          <w:szCs w:val="36"/>
        </w:rPr>
        <w:t xml:space="preserve">Inside Story – </w:t>
      </w:r>
      <w:r w:rsidR="003666A0">
        <w:rPr>
          <w:rFonts w:ascii="Times New Roman" w:hAnsi="Times New Roman"/>
          <w:b/>
          <w:sz w:val="36"/>
          <w:szCs w:val="36"/>
        </w:rPr>
        <w:t>January</w:t>
      </w:r>
      <w:r w:rsidRPr="00617533">
        <w:rPr>
          <w:rFonts w:ascii="Times New Roman" w:hAnsi="Times New Roman"/>
          <w:b/>
          <w:sz w:val="36"/>
          <w:szCs w:val="36"/>
        </w:rPr>
        <w:t xml:space="preserve"> 201</w:t>
      </w:r>
      <w:r w:rsidR="003666A0">
        <w:rPr>
          <w:rFonts w:ascii="Times New Roman" w:hAnsi="Times New Roman"/>
          <w:b/>
          <w:sz w:val="36"/>
          <w:szCs w:val="36"/>
        </w:rPr>
        <w:t>8</w:t>
      </w:r>
    </w:p>
    <w:p w14:paraId="3F7EEBFB" w14:textId="77777777" w:rsidR="00617533" w:rsidRDefault="00617533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2FD235" w14:textId="3EC7E869" w:rsidR="005D783E" w:rsidRDefault="003666A0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Cross-Border Assistance </w:t>
      </w:r>
      <w:r w:rsidR="005D783E" w:rsidRPr="00BF3D3E">
        <w:rPr>
          <w:rFonts w:ascii="Times New Roman" w:hAnsi="Times New Roman"/>
          <w:b/>
          <w:sz w:val="24"/>
          <w:szCs w:val="24"/>
        </w:rPr>
        <w:t xml:space="preserve">in </w:t>
      </w:r>
      <w:r>
        <w:rPr>
          <w:rFonts w:ascii="Times New Roman" w:hAnsi="Times New Roman"/>
          <w:b/>
          <w:sz w:val="24"/>
          <w:szCs w:val="24"/>
        </w:rPr>
        <w:t>Guernsey</w:t>
      </w:r>
      <w:r w:rsidR="005D783E" w:rsidRPr="00BF3D3E">
        <w:rPr>
          <w:rFonts w:ascii="Times New Roman" w:hAnsi="Times New Roman"/>
          <w:b/>
          <w:sz w:val="24"/>
          <w:szCs w:val="24"/>
        </w:rPr>
        <w:t xml:space="preserve">: </w:t>
      </w:r>
      <w:r w:rsidR="0061753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Recent 2017 </w:t>
      </w:r>
      <w:r w:rsidR="005D783E" w:rsidRPr="00BF3D3E">
        <w:rPr>
          <w:rFonts w:ascii="Times New Roman" w:hAnsi="Times New Roman"/>
          <w:b/>
          <w:sz w:val="24"/>
          <w:szCs w:val="24"/>
        </w:rPr>
        <w:t>Case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5C9FDC72" w14:textId="77777777" w:rsidR="00617533" w:rsidRDefault="00617533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BD8ED29" w14:textId="2BF050A7" w:rsidR="00617533" w:rsidRPr="003666A0" w:rsidRDefault="003666A0" w:rsidP="005D6C09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Alex Horsbrugh-Porter,</w:t>
      </w:r>
      <w:r w:rsidR="00E007BF">
        <w:rPr>
          <w:rFonts w:ascii="Times New Roman" w:hAnsi="Times New Roman"/>
          <w:i/>
          <w:sz w:val="24"/>
          <w:szCs w:val="24"/>
        </w:rPr>
        <w:t xml:space="preserve"> Advocate and</w:t>
      </w:r>
      <w:r>
        <w:rPr>
          <w:rFonts w:ascii="Times New Roman" w:hAnsi="Times New Roman"/>
          <w:i/>
          <w:sz w:val="24"/>
          <w:szCs w:val="24"/>
        </w:rPr>
        <w:t xml:space="preserve"> Counsel</w:t>
      </w:r>
      <w:r w:rsidR="00E007BF">
        <w:rPr>
          <w:rFonts w:ascii="Times New Roman" w:hAnsi="Times New Roman"/>
          <w:i/>
          <w:sz w:val="24"/>
          <w:szCs w:val="24"/>
        </w:rPr>
        <w:t xml:space="preserve">; </w:t>
      </w:r>
      <w:bookmarkStart w:id="0" w:name="_GoBack"/>
      <w:bookmarkEnd w:id="0"/>
      <w:r w:rsidR="00E007BF">
        <w:rPr>
          <w:rFonts w:ascii="Times New Roman" w:hAnsi="Times New Roman"/>
          <w:i/>
          <w:sz w:val="24"/>
          <w:szCs w:val="24"/>
        </w:rPr>
        <w:t>Michael Rogers, Associate</w:t>
      </w:r>
      <w:r w:rsidR="005D6C09" w:rsidRPr="005D6C09">
        <w:rPr>
          <w:rFonts w:ascii="Times New Roman" w:hAnsi="Times New Roman"/>
          <w:i/>
          <w:sz w:val="24"/>
          <w:szCs w:val="24"/>
        </w:rPr>
        <w:t xml:space="preserve"> </w:t>
      </w:r>
      <w:r w:rsidR="005D6C09" w:rsidRPr="005D6C09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bCs/>
          <w:i/>
          <w:sz w:val="24"/>
          <w:szCs w:val="24"/>
          <w:lang w:val="en-US"/>
        </w:rPr>
        <w:t>Ogier</w:t>
      </w:r>
      <w:r w:rsidR="005D6C09" w:rsidRPr="005D6C09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St Peter Port</w:t>
      </w:r>
      <w:r w:rsidR="005D6C09" w:rsidRPr="005D6C09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Guernsey</w:t>
      </w:r>
      <w:r w:rsidR="005D6C09" w:rsidRPr="005D6C09">
        <w:rPr>
          <w:rFonts w:ascii="Times New Roman" w:hAnsi="Times New Roman"/>
          <w:i/>
          <w:sz w:val="24"/>
          <w:szCs w:val="24"/>
        </w:rPr>
        <w:br/>
      </w:r>
      <w:hyperlink r:id="rId10" w:history="1">
        <w:r w:rsidRPr="003666A0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4F4F4"/>
          </w:rPr>
          <w:t>alex.horsbrugh-porter@ogier.com</w:t>
        </w:r>
      </w:hyperlink>
      <w:r w:rsidR="00E007BF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  <w:shd w:val="clear" w:color="auto" w:fill="F4F4F4"/>
        </w:rPr>
        <w:t xml:space="preserve">; </w:t>
      </w:r>
      <w:hyperlink r:id="rId11" w:history="1">
        <w:r w:rsidR="00E007BF" w:rsidRPr="00E007BF">
          <w:rPr>
            <w:rStyle w:val="Hyperlink"/>
            <w:rFonts w:ascii="Times New Roman" w:hAnsi="Times New Roman"/>
            <w:i/>
            <w:color w:val="5F6168"/>
            <w:sz w:val="24"/>
            <w:szCs w:val="24"/>
            <w:u w:val="none"/>
            <w:shd w:val="clear" w:color="auto" w:fill="F4F4F4"/>
          </w:rPr>
          <w:t>michael.rogers@ogier.com</w:t>
        </w:r>
      </w:hyperlink>
      <w:r w:rsidR="00E007BF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  <w:shd w:val="clear" w:color="auto" w:fill="F4F4F4"/>
        </w:rPr>
        <w:t xml:space="preserve"> </w:t>
      </w:r>
    </w:p>
    <w:p w14:paraId="4C0F3661" w14:textId="77777777" w:rsidR="00617533" w:rsidRPr="00BF3D3E" w:rsidRDefault="00617533" w:rsidP="00617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A60412" w14:textId="77777777" w:rsidR="005D783E" w:rsidRPr="00BF3D3E" w:rsidRDefault="005D783E" w:rsidP="005D783E">
      <w:pPr>
        <w:spacing w:after="0"/>
        <w:rPr>
          <w:rFonts w:ascii="Times New Roman" w:hAnsi="Times New Roman"/>
          <w:sz w:val="24"/>
          <w:szCs w:val="24"/>
        </w:rPr>
      </w:pPr>
    </w:p>
    <w:p w14:paraId="41F728C4" w14:textId="77777777" w:rsidR="005D783E" w:rsidRPr="00BF3D3E" w:rsidRDefault="005D783E" w:rsidP="005D783E">
      <w:pPr>
        <w:spacing w:after="0"/>
        <w:rPr>
          <w:rFonts w:ascii="Times New Roman" w:hAnsi="Times New Roman"/>
          <w:i/>
          <w:sz w:val="24"/>
          <w:szCs w:val="24"/>
        </w:rPr>
      </w:pPr>
      <w:r w:rsidRPr="00BF3D3E">
        <w:rPr>
          <w:rFonts w:ascii="Times New Roman" w:hAnsi="Times New Roman"/>
          <w:i/>
          <w:sz w:val="24"/>
          <w:szCs w:val="24"/>
        </w:rPr>
        <w:t>Introduction</w:t>
      </w:r>
    </w:p>
    <w:p w14:paraId="41E3B55B" w14:textId="77777777" w:rsidR="005D783E" w:rsidRPr="003666A0" w:rsidRDefault="005D783E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76D54644" w14:textId="38FE6A3E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>In a cross-border insolvency</w:t>
      </w:r>
      <w:r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there are likely to be international elements that present themselves during the course of local proceedings in circumstances where an foreign office-holder wishes to seek recognition and exercise their powers in another jurisdiction. There are several English common</w:t>
      </w:r>
      <w:r w:rsidR="00807744">
        <w:rPr>
          <w:rFonts w:ascii="Times New Roman" w:eastAsia="Batang" w:hAnsi="Times New Roman"/>
          <w:sz w:val="24"/>
          <w:szCs w:val="24"/>
        </w:rPr>
        <w:t>-</w:t>
      </w:r>
      <w:r w:rsidRPr="003666A0">
        <w:rPr>
          <w:rFonts w:ascii="Times New Roman" w:eastAsia="Batang" w:hAnsi="Times New Roman"/>
          <w:sz w:val="24"/>
          <w:szCs w:val="24"/>
        </w:rPr>
        <w:t>law jurisdictions that are party to the Cross-Border Insolvency Regulations 2006</w:t>
      </w:r>
      <w:r w:rsidR="00807744">
        <w:rPr>
          <w:rFonts w:ascii="Times New Roman" w:eastAsia="Batang" w:hAnsi="Times New Roman"/>
          <w:sz w:val="24"/>
          <w:szCs w:val="24"/>
        </w:rPr>
        <w:t xml:space="preserve"> (UK SI 2006/1030)</w:t>
      </w:r>
      <w:r>
        <w:rPr>
          <w:rFonts w:ascii="Times New Roman" w:eastAsia="Batang" w:hAnsi="Times New Roman"/>
          <w:sz w:val="24"/>
          <w:szCs w:val="24"/>
        </w:rPr>
        <w:t>.</w:t>
      </w:r>
      <w:r w:rsidRPr="003666A0">
        <w:rPr>
          <w:rFonts w:ascii="Times New Roman" w:eastAsia="Batang" w:hAnsi="Times New Roman"/>
          <w:sz w:val="24"/>
          <w:szCs w:val="24"/>
        </w:rPr>
        <w:t xml:space="preserve"> These regulations give effect to the UNCITRAL Model Law on Cross-Border Insolvency </w:t>
      </w:r>
      <w:r>
        <w:rPr>
          <w:rFonts w:ascii="Times New Roman" w:eastAsia="Batang" w:hAnsi="Times New Roman"/>
          <w:sz w:val="24"/>
          <w:szCs w:val="24"/>
        </w:rPr>
        <w:t xml:space="preserve">1997 </w:t>
      </w:r>
      <w:r w:rsidRPr="003666A0">
        <w:rPr>
          <w:rFonts w:ascii="Times New Roman" w:eastAsia="Batang" w:hAnsi="Times New Roman"/>
          <w:sz w:val="24"/>
          <w:szCs w:val="24"/>
        </w:rPr>
        <w:t>(</w:t>
      </w:r>
      <w:r>
        <w:rPr>
          <w:rFonts w:ascii="Times New Roman" w:eastAsia="Batang" w:hAnsi="Times New Roman"/>
          <w:sz w:val="24"/>
          <w:szCs w:val="24"/>
        </w:rPr>
        <w:t>“</w:t>
      </w:r>
      <w:r w:rsidRPr="003666A0">
        <w:rPr>
          <w:rFonts w:ascii="Times New Roman" w:eastAsia="Batang" w:hAnsi="Times New Roman"/>
          <w:sz w:val="24"/>
          <w:szCs w:val="24"/>
        </w:rPr>
        <w:t>Model Law</w:t>
      </w:r>
      <w:r>
        <w:rPr>
          <w:rFonts w:ascii="Times New Roman" w:eastAsia="Batang" w:hAnsi="Times New Roman"/>
          <w:sz w:val="24"/>
          <w:szCs w:val="24"/>
        </w:rPr>
        <w:t>”</w:t>
      </w:r>
      <w:r w:rsidRPr="003666A0">
        <w:rPr>
          <w:rFonts w:ascii="Times New Roman" w:eastAsia="Batang" w:hAnsi="Times New Roman"/>
          <w:sz w:val="24"/>
          <w:szCs w:val="24"/>
        </w:rPr>
        <w:t>) and prescribe how the powers of foreign office-holders are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recognised.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 xml:space="preserve">There </w:t>
      </w:r>
      <w:r>
        <w:rPr>
          <w:rFonts w:ascii="Times New Roman" w:eastAsia="Batang" w:hAnsi="Times New Roman"/>
          <w:sz w:val="24"/>
          <w:szCs w:val="24"/>
        </w:rPr>
        <w:t xml:space="preserve">is </w:t>
      </w:r>
      <w:r w:rsidRPr="003666A0">
        <w:rPr>
          <w:rFonts w:ascii="Times New Roman" w:eastAsia="Batang" w:hAnsi="Times New Roman"/>
          <w:sz w:val="24"/>
          <w:szCs w:val="24"/>
        </w:rPr>
        <w:t xml:space="preserve">also </w:t>
      </w:r>
      <w:r>
        <w:rPr>
          <w:rFonts w:ascii="Times New Roman" w:eastAsia="Batang" w:hAnsi="Times New Roman"/>
          <w:sz w:val="24"/>
          <w:szCs w:val="24"/>
        </w:rPr>
        <w:t xml:space="preserve">the </w:t>
      </w:r>
      <w:r w:rsidR="00807744">
        <w:rPr>
          <w:rFonts w:ascii="Times New Roman" w:eastAsia="Batang" w:hAnsi="Times New Roman"/>
          <w:sz w:val="24"/>
          <w:szCs w:val="24"/>
        </w:rPr>
        <w:t xml:space="preserve">Recast </w:t>
      </w:r>
      <w:r w:rsidRPr="003666A0">
        <w:rPr>
          <w:rFonts w:ascii="Times New Roman" w:eastAsia="Batang" w:hAnsi="Times New Roman"/>
          <w:sz w:val="24"/>
          <w:szCs w:val="24"/>
        </w:rPr>
        <w:t xml:space="preserve">European Insolvency </w:t>
      </w:r>
      <w:r>
        <w:rPr>
          <w:rFonts w:ascii="Times New Roman" w:eastAsia="Batang" w:hAnsi="Times New Roman"/>
          <w:sz w:val="24"/>
          <w:szCs w:val="24"/>
        </w:rPr>
        <w:t>Regulation</w:t>
      </w:r>
      <w:r w:rsidRPr="003666A0">
        <w:rPr>
          <w:rFonts w:ascii="Times New Roman" w:eastAsia="Batang" w:hAnsi="Times New Roman"/>
          <w:sz w:val="24"/>
          <w:szCs w:val="24"/>
        </w:rPr>
        <w:t xml:space="preserve"> (</w:t>
      </w:r>
      <w:r w:rsidR="00807744">
        <w:rPr>
          <w:rFonts w:ascii="Times New Roman" w:eastAsia="Batang" w:hAnsi="Times New Roman"/>
          <w:sz w:val="24"/>
          <w:szCs w:val="24"/>
        </w:rPr>
        <w:t>2015</w:t>
      </w:r>
      <w:r w:rsidRPr="003666A0">
        <w:rPr>
          <w:rFonts w:ascii="Times New Roman" w:eastAsia="Batang" w:hAnsi="Times New Roman"/>
          <w:sz w:val="24"/>
          <w:szCs w:val="24"/>
        </w:rPr>
        <w:t>/</w:t>
      </w:r>
      <w:r w:rsidR="00807744">
        <w:rPr>
          <w:rFonts w:ascii="Times New Roman" w:eastAsia="Batang" w:hAnsi="Times New Roman"/>
          <w:sz w:val="24"/>
          <w:szCs w:val="24"/>
        </w:rPr>
        <w:t>848</w:t>
      </w:r>
      <w:r w:rsidRPr="003666A0">
        <w:rPr>
          <w:rFonts w:ascii="Times New Roman" w:eastAsia="Batang" w:hAnsi="Times New Roman"/>
          <w:sz w:val="24"/>
          <w:szCs w:val="24"/>
        </w:rPr>
        <w:t>) that govern</w:t>
      </w:r>
      <w:r w:rsidR="00807744">
        <w:rPr>
          <w:rFonts w:ascii="Times New Roman" w:eastAsia="Batang" w:hAnsi="Times New Roman"/>
          <w:sz w:val="24"/>
          <w:szCs w:val="24"/>
        </w:rPr>
        <w:t>s</w:t>
      </w:r>
      <w:r w:rsidRPr="003666A0">
        <w:rPr>
          <w:rFonts w:ascii="Times New Roman" w:eastAsia="Batang" w:hAnsi="Times New Roman"/>
          <w:sz w:val="24"/>
          <w:szCs w:val="24"/>
        </w:rPr>
        <w:t xml:space="preserve"> cross border insolvency.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However, the Channel Islands, and Guernsey in particular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</w:t>
      </w:r>
      <w:r w:rsidR="008432D1">
        <w:rPr>
          <w:rFonts w:ascii="Times New Roman" w:eastAsia="Batang" w:hAnsi="Times New Roman"/>
          <w:sz w:val="24"/>
          <w:szCs w:val="24"/>
        </w:rPr>
        <w:t>are not parties</w:t>
      </w:r>
      <w:r w:rsidRPr="003666A0">
        <w:rPr>
          <w:rFonts w:ascii="Times New Roman" w:eastAsia="Batang" w:hAnsi="Times New Roman"/>
          <w:sz w:val="24"/>
          <w:szCs w:val="24"/>
        </w:rPr>
        <w:t xml:space="preserve"> to either of these </w:t>
      </w:r>
      <w:r w:rsidR="00807744">
        <w:rPr>
          <w:rFonts w:ascii="Times New Roman" w:eastAsia="Batang" w:hAnsi="Times New Roman"/>
          <w:sz w:val="24"/>
          <w:szCs w:val="24"/>
        </w:rPr>
        <w:t>instruments</w:t>
      </w:r>
      <w:r w:rsidRPr="003666A0">
        <w:rPr>
          <w:rFonts w:ascii="Times New Roman" w:eastAsia="Batang" w:hAnsi="Times New Roman"/>
          <w:sz w:val="24"/>
          <w:szCs w:val="24"/>
        </w:rPr>
        <w:t>.</w:t>
      </w:r>
    </w:p>
    <w:p w14:paraId="6EF5923D" w14:textId="77777777" w:rsid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2C37BED7" w14:textId="47C802A3" w:rsidR="00807744" w:rsidRPr="00807744" w:rsidRDefault="00807744" w:rsidP="003666A0">
      <w:pPr>
        <w:spacing w:after="0"/>
        <w:rPr>
          <w:rFonts w:ascii="Times New Roman" w:eastAsia="Batang" w:hAnsi="Times New Roman"/>
          <w:i/>
          <w:sz w:val="24"/>
          <w:szCs w:val="24"/>
        </w:rPr>
      </w:pPr>
      <w:r w:rsidRPr="00807744">
        <w:rPr>
          <w:rFonts w:ascii="Times New Roman" w:eastAsia="Batang" w:hAnsi="Times New Roman"/>
          <w:i/>
          <w:sz w:val="24"/>
          <w:szCs w:val="24"/>
        </w:rPr>
        <w:t>Cross-Border Assistance</w:t>
      </w:r>
    </w:p>
    <w:p w14:paraId="71A0FAF2" w14:textId="77777777" w:rsidR="00807744" w:rsidRPr="003666A0" w:rsidRDefault="00807744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5DF831CF" w14:textId="11BF5562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>In order to seek assistance from the Guernsey Royal Court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a foreign office-holder will normally have to rely on common</w:t>
      </w:r>
      <w:r w:rsidR="00807744">
        <w:rPr>
          <w:rFonts w:ascii="Times New Roman" w:eastAsia="Batang" w:hAnsi="Times New Roman"/>
          <w:sz w:val="24"/>
          <w:szCs w:val="24"/>
        </w:rPr>
        <w:t>-</w:t>
      </w:r>
      <w:r w:rsidRPr="003666A0">
        <w:rPr>
          <w:rFonts w:ascii="Times New Roman" w:eastAsia="Batang" w:hAnsi="Times New Roman"/>
          <w:sz w:val="24"/>
          <w:szCs w:val="24"/>
        </w:rPr>
        <w:t>law principles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in relation to which there have been several recent cases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including </w:t>
      </w:r>
      <w:r w:rsidRPr="003666A0">
        <w:rPr>
          <w:rFonts w:ascii="Times New Roman" w:eastAsia="Batang" w:hAnsi="Times New Roman"/>
          <w:i/>
          <w:sz w:val="24"/>
          <w:szCs w:val="24"/>
        </w:rPr>
        <w:t>Singularis</w:t>
      </w:r>
      <w:r w:rsidRPr="003666A0">
        <w:rPr>
          <w:rFonts w:ascii="Times New Roman" w:eastAsia="Batang" w:hAnsi="Times New Roman"/>
          <w:sz w:val="24"/>
          <w:szCs w:val="24"/>
        </w:rPr>
        <w:t xml:space="preserve"> (a Bermud</w:t>
      </w:r>
      <w:r w:rsidR="00807744">
        <w:rPr>
          <w:rFonts w:ascii="Times New Roman" w:eastAsia="Batang" w:hAnsi="Times New Roman"/>
          <w:sz w:val="24"/>
          <w:szCs w:val="24"/>
        </w:rPr>
        <w:t>i</w:t>
      </w:r>
      <w:r w:rsidRPr="003666A0">
        <w:rPr>
          <w:rFonts w:ascii="Times New Roman" w:eastAsia="Batang" w:hAnsi="Times New Roman"/>
          <w:sz w:val="24"/>
          <w:szCs w:val="24"/>
        </w:rPr>
        <w:t>an case) which was heard by the Privy Council</w:t>
      </w:r>
      <w:r w:rsidR="00807744">
        <w:rPr>
          <w:rFonts w:ascii="Times New Roman" w:eastAsia="Batang" w:hAnsi="Times New Roman"/>
          <w:sz w:val="24"/>
          <w:szCs w:val="24"/>
        </w:rPr>
        <w:t>, the apex court common to the Crown Dependencies (of which Guernsey is one)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="00807744">
        <w:rPr>
          <w:rFonts w:ascii="Times New Roman" w:eastAsia="Batang" w:hAnsi="Times New Roman"/>
          <w:sz w:val="24"/>
          <w:szCs w:val="24"/>
        </w:rPr>
        <w:t xml:space="preserve"> overseas territories</w:t>
      </w:r>
      <w:r w:rsidR="008432D1">
        <w:rPr>
          <w:rFonts w:ascii="Times New Roman" w:eastAsia="Batang" w:hAnsi="Times New Roman"/>
          <w:sz w:val="24"/>
          <w:szCs w:val="24"/>
        </w:rPr>
        <w:t xml:space="preserve"> and some independent members of the Commonwealth</w:t>
      </w:r>
      <w:r w:rsidRPr="003666A0">
        <w:rPr>
          <w:rFonts w:ascii="Times New Roman" w:eastAsia="Batang" w:hAnsi="Times New Roman"/>
          <w:sz w:val="24"/>
          <w:szCs w:val="24"/>
        </w:rPr>
        <w:t>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The common</w:t>
      </w:r>
      <w:r w:rsidR="00807744">
        <w:rPr>
          <w:rFonts w:ascii="Times New Roman" w:eastAsia="Batang" w:hAnsi="Times New Roman"/>
          <w:sz w:val="24"/>
          <w:szCs w:val="24"/>
        </w:rPr>
        <w:t>-</w:t>
      </w:r>
      <w:r w:rsidRPr="003666A0">
        <w:rPr>
          <w:rFonts w:ascii="Times New Roman" w:eastAsia="Batang" w:hAnsi="Times New Roman"/>
          <w:sz w:val="24"/>
          <w:szCs w:val="24"/>
        </w:rPr>
        <w:t>law power to aid foreign office-holders is important in off-shore jurisdictions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such as Guernsey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as often such jurisdictions are not party to international conventions which automatically provide such powers of assistance </w:t>
      </w:r>
      <w:r w:rsidR="00807744">
        <w:rPr>
          <w:rFonts w:ascii="Times New Roman" w:eastAsia="Batang" w:hAnsi="Times New Roman"/>
          <w:sz w:val="24"/>
          <w:szCs w:val="24"/>
        </w:rPr>
        <w:t>in statutory form</w:t>
      </w:r>
      <w:r w:rsidRPr="003666A0">
        <w:rPr>
          <w:rFonts w:ascii="Times New Roman" w:eastAsia="Batang" w:hAnsi="Times New Roman"/>
          <w:sz w:val="24"/>
          <w:szCs w:val="24"/>
        </w:rPr>
        <w:t>. Unless these foreign holders can be recognised in places such as Guernsey, creditors will be obliged to seek to appoint local office-holders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which will greatly increase costs.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Even if the office-holders are recognised by the Guernsey Court</w:t>
      </w:r>
      <w:r w:rsidR="00807744">
        <w:rPr>
          <w:rFonts w:ascii="Times New Roman" w:eastAsia="Batang" w:hAnsi="Times New Roman"/>
          <w:sz w:val="24"/>
          <w:szCs w:val="24"/>
        </w:rPr>
        <w:t xml:space="preserve">, </w:t>
      </w:r>
      <w:r w:rsidRPr="003666A0">
        <w:rPr>
          <w:rFonts w:ascii="Times New Roman" w:eastAsia="Batang" w:hAnsi="Times New Roman"/>
          <w:sz w:val="24"/>
          <w:szCs w:val="24"/>
        </w:rPr>
        <w:t>there is still some debate as to what powers can be afforded to them i.e</w:t>
      </w:r>
      <w:r w:rsidR="00807744">
        <w:rPr>
          <w:rFonts w:ascii="Times New Roman" w:eastAsia="Batang" w:hAnsi="Times New Roman"/>
          <w:sz w:val="24"/>
          <w:szCs w:val="24"/>
        </w:rPr>
        <w:t>.</w:t>
      </w:r>
      <w:r w:rsidRPr="003666A0">
        <w:rPr>
          <w:rFonts w:ascii="Times New Roman" w:eastAsia="Batang" w:hAnsi="Times New Roman"/>
          <w:sz w:val="24"/>
          <w:szCs w:val="24"/>
        </w:rPr>
        <w:t xml:space="preserve"> whether this extends to the right to interview directors.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 xml:space="preserve">Much of the uncertainty has arisen out of the application of the </w:t>
      </w:r>
      <w:r w:rsidRPr="00807744">
        <w:rPr>
          <w:rFonts w:ascii="Times New Roman" w:eastAsia="Batang" w:hAnsi="Times New Roman"/>
          <w:i/>
          <w:sz w:val="24"/>
          <w:szCs w:val="24"/>
        </w:rPr>
        <w:t>Singularis</w:t>
      </w:r>
      <w:r w:rsidRPr="003666A0">
        <w:rPr>
          <w:rFonts w:ascii="Times New Roman" w:eastAsia="Batang" w:hAnsi="Times New Roman"/>
          <w:sz w:val="24"/>
          <w:szCs w:val="24"/>
        </w:rPr>
        <w:t xml:space="preserve"> case in Guernsey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as to which more below.</w:t>
      </w:r>
    </w:p>
    <w:p w14:paraId="159BB196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10F883BD" w14:textId="7B98D02C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lastRenderedPageBreak/>
        <w:t>However, if the foreign office-holder was appointed in the UK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then there is a reciprocal </w:t>
      </w:r>
      <w:r w:rsidR="00807744">
        <w:rPr>
          <w:rFonts w:ascii="Times New Roman" w:eastAsia="Batang" w:hAnsi="Times New Roman"/>
          <w:sz w:val="24"/>
          <w:szCs w:val="24"/>
        </w:rPr>
        <w:t>provision</w:t>
      </w:r>
      <w:r w:rsidRPr="003666A0">
        <w:rPr>
          <w:rFonts w:ascii="Times New Roman" w:eastAsia="Batang" w:hAnsi="Times New Roman"/>
          <w:sz w:val="24"/>
          <w:szCs w:val="24"/>
        </w:rPr>
        <w:t xml:space="preserve"> between Guernsey and the UK by virtue of the UK Insolvency Act </w:t>
      </w:r>
      <w:r w:rsidR="00807744">
        <w:rPr>
          <w:rFonts w:ascii="Times New Roman" w:eastAsia="Batang" w:hAnsi="Times New Roman"/>
          <w:sz w:val="24"/>
          <w:szCs w:val="24"/>
        </w:rPr>
        <w:t>(</w:t>
      </w:r>
      <w:r w:rsidRPr="003666A0">
        <w:rPr>
          <w:rFonts w:ascii="Times New Roman" w:eastAsia="Batang" w:hAnsi="Times New Roman"/>
          <w:sz w:val="24"/>
          <w:szCs w:val="24"/>
        </w:rPr>
        <w:t>Guernsey</w:t>
      </w:r>
      <w:r w:rsidR="00807744">
        <w:rPr>
          <w:rFonts w:ascii="Times New Roman" w:eastAsia="Batang" w:hAnsi="Times New Roman"/>
          <w:sz w:val="24"/>
          <w:szCs w:val="24"/>
        </w:rPr>
        <w:t>)</w:t>
      </w:r>
      <w:r w:rsidRPr="003666A0">
        <w:rPr>
          <w:rFonts w:ascii="Times New Roman" w:eastAsia="Batang" w:hAnsi="Times New Roman"/>
          <w:sz w:val="24"/>
          <w:szCs w:val="24"/>
        </w:rPr>
        <w:t xml:space="preserve"> Order 1989 (SI 1989/2409)</w:t>
      </w:r>
      <w:r w:rsidR="00807744">
        <w:rPr>
          <w:rFonts w:ascii="Times New Roman" w:eastAsia="Batang" w:hAnsi="Times New Roman"/>
          <w:sz w:val="24"/>
          <w:szCs w:val="24"/>
        </w:rPr>
        <w:t>, incorporating in Guernsey law the equivalent to the UK’s own assistance provision in section 426 of the parent Act</w:t>
      </w:r>
      <w:r w:rsidRPr="003666A0">
        <w:rPr>
          <w:rFonts w:ascii="Times New Roman" w:eastAsia="Batang" w:hAnsi="Times New Roman"/>
          <w:sz w:val="24"/>
          <w:szCs w:val="24"/>
        </w:rPr>
        <w:t>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In practice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an application is made by the UK liquidator to the UK court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which then sends a </w:t>
      </w:r>
      <w:r w:rsidR="00807744">
        <w:rPr>
          <w:rFonts w:ascii="Times New Roman" w:eastAsia="Batang" w:hAnsi="Times New Roman"/>
          <w:sz w:val="24"/>
          <w:szCs w:val="24"/>
        </w:rPr>
        <w:t>L</w:t>
      </w:r>
      <w:r w:rsidRPr="003666A0">
        <w:rPr>
          <w:rFonts w:ascii="Times New Roman" w:eastAsia="Batang" w:hAnsi="Times New Roman"/>
          <w:sz w:val="24"/>
          <w:szCs w:val="24"/>
        </w:rPr>
        <w:t xml:space="preserve">etter of </w:t>
      </w:r>
      <w:r w:rsidR="00807744">
        <w:rPr>
          <w:rFonts w:ascii="Times New Roman" w:eastAsia="Batang" w:hAnsi="Times New Roman"/>
          <w:sz w:val="24"/>
          <w:szCs w:val="24"/>
        </w:rPr>
        <w:t>R</w:t>
      </w:r>
      <w:r w:rsidRPr="003666A0">
        <w:rPr>
          <w:rFonts w:ascii="Times New Roman" w:eastAsia="Batang" w:hAnsi="Times New Roman"/>
          <w:sz w:val="24"/>
          <w:szCs w:val="24"/>
        </w:rPr>
        <w:t xml:space="preserve">equest for assistance to the Guernsey court. The advantage of this reciprocal arrangement is that it allows the Guernsey Court to </w:t>
      </w:r>
      <w:r w:rsidR="00807744">
        <w:rPr>
          <w:rFonts w:ascii="Times New Roman" w:eastAsia="Batang" w:hAnsi="Times New Roman"/>
          <w:sz w:val="24"/>
          <w:szCs w:val="24"/>
        </w:rPr>
        <w:t xml:space="preserve">option to </w:t>
      </w:r>
      <w:r w:rsidRPr="003666A0">
        <w:rPr>
          <w:rFonts w:ascii="Times New Roman" w:eastAsia="Batang" w:hAnsi="Times New Roman"/>
          <w:sz w:val="24"/>
          <w:szCs w:val="24"/>
        </w:rPr>
        <w:t xml:space="preserve">apply </w:t>
      </w:r>
      <w:r w:rsidR="00807744">
        <w:rPr>
          <w:rFonts w:ascii="Times New Roman" w:eastAsia="Batang" w:hAnsi="Times New Roman"/>
          <w:sz w:val="24"/>
          <w:szCs w:val="24"/>
        </w:rPr>
        <w:t xml:space="preserve">its own law or </w:t>
      </w:r>
      <w:r w:rsidRPr="003666A0">
        <w:rPr>
          <w:rFonts w:ascii="Times New Roman" w:eastAsia="Batang" w:hAnsi="Times New Roman"/>
          <w:sz w:val="24"/>
          <w:szCs w:val="24"/>
        </w:rPr>
        <w:t>the insolvency law of the UK in place of its own insolvency law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if it is deemed appropriate.</w:t>
      </w:r>
      <w:r w:rsidR="00807744">
        <w:rPr>
          <w:rFonts w:ascii="Times New Roman" w:eastAsia="Batang" w:hAnsi="Times New Roman"/>
          <w:sz w:val="24"/>
          <w:szCs w:val="24"/>
        </w:rPr>
        <w:t xml:space="preserve"> The provision</w:t>
      </w:r>
      <w:r w:rsidRPr="003666A0">
        <w:rPr>
          <w:rFonts w:ascii="Times New Roman" w:eastAsia="Batang" w:hAnsi="Times New Roman"/>
          <w:sz w:val="24"/>
          <w:szCs w:val="24"/>
        </w:rPr>
        <w:t xml:space="preserve"> affords a broad discretion to the court to apply UK law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which can be especially in important where there is no pre-existing Guernsey statute, for example in relation to transactions at </w:t>
      </w:r>
      <w:r w:rsidR="00807744">
        <w:rPr>
          <w:rFonts w:ascii="Times New Roman" w:eastAsia="Batang" w:hAnsi="Times New Roman"/>
          <w:sz w:val="24"/>
          <w:szCs w:val="24"/>
        </w:rPr>
        <w:t xml:space="preserve">an </w:t>
      </w:r>
      <w:r w:rsidRPr="003666A0">
        <w:rPr>
          <w:rFonts w:ascii="Times New Roman" w:eastAsia="Batang" w:hAnsi="Times New Roman"/>
          <w:sz w:val="24"/>
          <w:szCs w:val="24"/>
        </w:rPr>
        <w:t>undervalue.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 xml:space="preserve">In an important judgment for </w:t>
      </w:r>
      <w:r w:rsidR="00807744">
        <w:rPr>
          <w:rFonts w:ascii="Times New Roman" w:eastAsia="Batang" w:hAnsi="Times New Roman"/>
          <w:sz w:val="24"/>
          <w:szCs w:val="24"/>
        </w:rPr>
        <w:t>i</w:t>
      </w:r>
      <w:r w:rsidRPr="003666A0">
        <w:rPr>
          <w:rFonts w:ascii="Times New Roman" w:eastAsia="Batang" w:hAnsi="Times New Roman"/>
          <w:sz w:val="24"/>
          <w:szCs w:val="24"/>
        </w:rPr>
        <w:t xml:space="preserve">nsolvency </w:t>
      </w:r>
      <w:r w:rsidR="00807744">
        <w:rPr>
          <w:rFonts w:ascii="Times New Roman" w:eastAsia="Batang" w:hAnsi="Times New Roman"/>
          <w:sz w:val="24"/>
          <w:szCs w:val="24"/>
        </w:rPr>
        <w:t>p</w:t>
      </w:r>
      <w:r w:rsidRPr="003666A0">
        <w:rPr>
          <w:rFonts w:ascii="Times New Roman" w:eastAsia="Batang" w:hAnsi="Times New Roman"/>
          <w:sz w:val="24"/>
          <w:szCs w:val="24"/>
        </w:rPr>
        <w:t xml:space="preserve">ractitioners </w:t>
      </w:r>
      <w:r w:rsidR="00807744">
        <w:rPr>
          <w:rFonts w:ascii="Times New Roman" w:eastAsia="Batang" w:hAnsi="Times New Roman"/>
          <w:sz w:val="24"/>
          <w:szCs w:val="24"/>
        </w:rPr>
        <w:t xml:space="preserve">who </w:t>
      </w:r>
      <w:r w:rsidRPr="003666A0">
        <w:rPr>
          <w:rFonts w:ascii="Times New Roman" w:eastAsia="Batang" w:hAnsi="Times New Roman"/>
          <w:sz w:val="24"/>
          <w:szCs w:val="24"/>
        </w:rPr>
        <w:t xml:space="preserve">deal with cross-border insolvency, the decision from the Royal Court </w:t>
      </w:r>
      <w:r w:rsidR="00807744">
        <w:rPr>
          <w:rFonts w:ascii="Times New Roman" w:eastAsia="Batang" w:hAnsi="Times New Roman"/>
          <w:sz w:val="24"/>
          <w:szCs w:val="24"/>
        </w:rPr>
        <w:t xml:space="preserve">in </w:t>
      </w:r>
      <w:r w:rsidRPr="00807744">
        <w:rPr>
          <w:rFonts w:ascii="Times New Roman" w:eastAsia="Batang" w:hAnsi="Times New Roman"/>
          <w:i/>
          <w:sz w:val="24"/>
          <w:szCs w:val="24"/>
        </w:rPr>
        <w:t>Batty v Bourse</w:t>
      </w:r>
      <w:r w:rsidRPr="003666A0">
        <w:rPr>
          <w:rStyle w:val="FootnoteReference"/>
          <w:rFonts w:ascii="Times New Roman" w:eastAsia="Batang" w:hAnsi="Times New Roman"/>
          <w:sz w:val="24"/>
          <w:szCs w:val="24"/>
        </w:rPr>
        <w:footnoteReference w:id="1"/>
      </w:r>
      <w:r w:rsidRPr="003666A0">
        <w:rPr>
          <w:rFonts w:ascii="Times New Roman" w:eastAsia="Batang" w:hAnsi="Times New Roman"/>
          <w:sz w:val="24"/>
          <w:szCs w:val="24"/>
        </w:rPr>
        <w:t xml:space="preserve"> has reaffirmed the circumstances when co-operation between the Guernsey Royal Court and a foreign court will be considered appropriate under the UK Insolvency Act </w:t>
      </w:r>
      <w:r w:rsidR="00807744">
        <w:rPr>
          <w:rFonts w:ascii="Times New Roman" w:eastAsia="Batang" w:hAnsi="Times New Roman"/>
          <w:sz w:val="24"/>
          <w:szCs w:val="24"/>
        </w:rPr>
        <w:t xml:space="preserve">(Guernsey) </w:t>
      </w:r>
      <w:r w:rsidRPr="003666A0">
        <w:rPr>
          <w:rFonts w:ascii="Times New Roman" w:eastAsia="Batang" w:hAnsi="Times New Roman"/>
          <w:sz w:val="24"/>
          <w:szCs w:val="24"/>
        </w:rPr>
        <w:t>Order (SI 1989/2409).</w:t>
      </w:r>
    </w:p>
    <w:p w14:paraId="28E29EA3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18EC96CE" w14:textId="511B8A9D" w:rsidR="003666A0" w:rsidRPr="008432D1" w:rsidRDefault="003666A0" w:rsidP="003666A0">
      <w:pPr>
        <w:spacing w:after="0"/>
        <w:rPr>
          <w:rFonts w:ascii="Times New Roman" w:eastAsia="Batang" w:hAnsi="Times New Roman"/>
          <w:i/>
          <w:sz w:val="24"/>
          <w:szCs w:val="24"/>
        </w:rPr>
      </w:pPr>
      <w:r w:rsidRPr="008432D1">
        <w:rPr>
          <w:rFonts w:ascii="Times New Roman" w:eastAsia="Batang" w:hAnsi="Times New Roman"/>
          <w:i/>
          <w:sz w:val="24"/>
          <w:szCs w:val="24"/>
        </w:rPr>
        <w:t>Facts</w:t>
      </w:r>
      <w:r w:rsidR="00807744" w:rsidRPr="008432D1">
        <w:rPr>
          <w:rFonts w:ascii="Times New Roman" w:eastAsia="Batang" w:hAnsi="Times New Roman"/>
          <w:i/>
          <w:sz w:val="24"/>
          <w:szCs w:val="24"/>
        </w:rPr>
        <w:t xml:space="preserve"> of the Case</w:t>
      </w:r>
    </w:p>
    <w:p w14:paraId="47620A2B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7B545C88" w14:textId="2B82F3DA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807744">
        <w:rPr>
          <w:rFonts w:ascii="Times New Roman" w:eastAsia="Batang" w:hAnsi="Times New Roman"/>
          <w:sz w:val="24"/>
          <w:szCs w:val="24"/>
        </w:rPr>
        <w:t>Mr Batty was appointed as a liquidator of Keane Property (Tolworth) Limited (in liquidation) (“Keane”)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807744">
        <w:rPr>
          <w:rFonts w:ascii="Times New Roman" w:eastAsia="Batang" w:hAnsi="Times New Roman"/>
          <w:sz w:val="24"/>
          <w:szCs w:val="24"/>
        </w:rPr>
        <w:t xml:space="preserve"> a special purpose vehicle that was created for the construction of residential homes in south-west London.</w:t>
      </w:r>
      <w:r w:rsidR="00807744" w:rsidRP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807744">
        <w:rPr>
          <w:rFonts w:ascii="Times New Roman" w:eastAsia="Batang" w:hAnsi="Times New Roman"/>
          <w:sz w:val="24"/>
          <w:szCs w:val="24"/>
        </w:rPr>
        <w:t>The director of Keane was Mr Lewis (a bankrupt).</w:t>
      </w:r>
      <w:r w:rsidR="00807744" w:rsidRP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807744">
        <w:rPr>
          <w:rFonts w:ascii="Times New Roman" w:eastAsia="Batang" w:hAnsi="Times New Roman"/>
          <w:sz w:val="24"/>
          <w:szCs w:val="24"/>
        </w:rPr>
        <w:t>It appeared that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807744">
        <w:rPr>
          <w:rFonts w:ascii="Times New Roman" w:eastAsia="Batang" w:hAnsi="Times New Roman"/>
          <w:sz w:val="24"/>
          <w:szCs w:val="24"/>
        </w:rPr>
        <w:t xml:space="preserve"> prior to the liquidation of Keane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807744">
        <w:rPr>
          <w:rFonts w:ascii="Times New Roman" w:eastAsia="Batang" w:hAnsi="Times New Roman"/>
          <w:sz w:val="24"/>
          <w:szCs w:val="24"/>
        </w:rPr>
        <w:t xml:space="preserve"> some £400,000 had been paid to Blythe Investments Group Limited</w:t>
      </w:r>
      <w:r w:rsidR="00807744">
        <w:rPr>
          <w:rFonts w:ascii="Times New Roman" w:eastAsia="Batang" w:hAnsi="Times New Roman"/>
          <w:sz w:val="24"/>
          <w:szCs w:val="24"/>
        </w:rPr>
        <w:t>,</w:t>
      </w:r>
      <w:r w:rsidRPr="00807744">
        <w:rPr>
          <w:rFonts w:ascii="Times New Roman" w:eastAsia="Batang" w:hAnsi="Times New Roman"/>
          <w:sz w:val="24"/>
          <w:szCs w:val="24"/>
        </w:rPr>
        <w:t xml:space="preserve"> of which £310,625 was then paid to Bourse Trust company as a Trustee of Thorpe Heritage Investments Limited FURBS (“Thorpe FURBS”).</w:t>
      </w:r>
      <w:r w:rsidR="00807744" w:rsidRP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807744">
        <w:rPr>
          <w:rFonts w:ascii="Times New Roman" w:eastAsia="Batang" w:hAnsi="Times New Roman"/>
          <w:sz w:val="24"/>
          <w:szCs w:val="24"/>
        </w:rPr>
        <w:t xml:space="preserve">It appeared that no consideration had been given for the transfer of the assets. </w:t>
      </w:r>
      <w:r w:rsidRPr="003666A0">
        <w:rPr>
          <w:rFonts w:ascii="Times New Roman" w:eastAsia="Batang" w:hAnsi="Times New Roman"/>
          <w:sz w:val="24"/>
          <w:szCs w:val="24"/>
        </w:rPr>
        <w:t>The liquidators</w:t>
      </w:r>
      <w:r w:rsidR="00807744">
        <w:rPr>
          <w:rFonts w:ascii="Times New Roman" w:eastAsia="Batang" w:hAnsi="Times New Roman"/>
          <w:sz w:val="24"/>
          <w:szCs w:val="24"/>
        </w:rPr>
        <w:t>’</w:t>
      </w:r>
      <w:r w:rsidRPr="003666A0">
        <w:rPr>
          <w:rFonts w:ascii="Times New Roman" w:eastAsia="Batang" w:hAnsi="Times New Roman"/>
          <w:sz w:val="24"/>
          <w:szCs w:val="24"/>
        </w:rPr>
        <w:t xml:space="preserve"> investigations revealed that Mr Lewis was a beneficiary of the Thorpe FURBS.</w:t>
      </w:r>
    </w:p>
    <w:p w14:paraId="6E6ED3C0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b/>
          <w:sz w:val="24"/>
          <w:szCs w:val="24"/>
        </w:rPr>
      </w:pPr>
    </w:p>
    <w:p w14:paraId="2CBE60D1" w14:textId="4CE444BD" w:rsidR="003666A0" w:rsidRPr="008432D1" w:rsidRDefault="003666A0" w:rsidP="003666A0">
      <w:pPr>
        <w:spacing w:after="0"/>
        <w:rPr>
          <w:rFonts w:ascii="Times New Roman" w:eastAsia="Batang" w:hAnsi="Times New Roman"/>
          <w:i/>
          <w:sz w:val="24"/>
          <w:szCs w:val="24"/>
        </w:rPr>
      </w:pPr>
      <w:r w:rsidRPr="008432D1">
        <w:rPr>
          <w:rFonts w:ascii="Times New Roman" w:eastAsia="Batang" w:hAnsi="Times New Roman"/>
          <w:i/>
          <w:sz w:val="24"/>
          <w:szCs w:val="24"/>
        </w:rPr>
        <w:t xml:space="preserve">Reciprocal </w:t>
      </w:r>
      <w:r w:rsidR="008432D1" w:rsidRPr="008432D1">
        <w:rPr>
          <w:rFonts w:ascii="Times New Roman" w:eastAsia="Batang" w:hAnsi="Times New Roman"/>
          <w:i/>
          <w:sz w:val="24"/>
          <w:szCs w:val="24"/>
        </w:rPr>
        <w:t>R</w:t>
      </w:r>
      <w:r w:rsidRPr="008432D1">
        <w:rPr>
          <w:rFonts w:ascii="Times New Roman" w:eastAsia="Batang" w:hAnsi="Times New Roman"/>
          <w:i/>
          <w:sz w:val="24"/>
          <w:szCs w:val="24"/>
        </w:rPr>
        <w:t xml:space="preserve">elief and </w:t>
      </w:r>
      <w:r w:rsidR="008432D1" w:rsidRPr="008432D1">
        <w:rPr>
          <w:rFonts w:ascii="Times New Roman" w:eastAsia="Batang" w:hAnsi="Times New Roman"/>
          <w:i/>
          <w:sz w:val="24"/>
          <w:szCs w:val="24"/>
        </w:rPr>
        <w:t>R</w:t>
      </w:r>
      <w:r w:rsidRPr="008432D1">
        <w:rPr>
          <w:rFonts w:ascii="Times New Roman" w:eastAsia="Batang" w:hAnsi="Times New Roman"/>
          <w:i/>
          <w:sz w:val="24"/>
          <w:szCs w:val="24"/>
        </w:rPr>
        <w:t xml:space="preserve">ecognition of </w:t>
      </w:r>
      <w:r w:rsidR="008432D1" w:rsidRPr="008432D1">
        <w:rPr>
          <w:rFonts w:ascii="Times New Roman" w:eastAsia="Batang" w:hAnsi="Times New Roman"/>
          <w:i/>
          <w:sz w:val="24"/>
          <w:szCs w:val="24"/>
        </w:rPr>
        <w:t>F</w:t>
      </w:r>
      <w:r w:rsidRPr="008432D1">
        <w:rPr>
          <w:rFonts w:ascii="Times New Roman" w:eastAsia="Batang" w:hAnsi="Times New Roman"/>
          <w:i/>
          <w:sz w:val="24"/>
          <w:szCs w:val="24"/>
        </w:rPr>
        <w:t xml:space="preserve">oreign </w:t>
      </w:r>
      <w:r w:rsidR="008432D1" w:rsidRPr="008432D1">
        <w:rPr>
          <w:rFonts w:ascii="Times New Roman" w:eastAsia="Batang" w:hAnsi="Times New Roman"/>
          <w:i/>
          <w:sz w:val="24"/>
          <w:szCs w:val="24"/>
        </w:rPr>
        <w:t>A</w:t>
      </w:r>
      <w:r w:rsidRPr="008432D1">
        <w:rPr>
          <w:rFonts w:ascii="Times New Roman" w:eastAsia="Batang" w:hAnsi="Times New Roman"/>
          <w:i/>
          <w:sz w:val="24"/>
          <w:szCs w:val="24"/>
        </w:rPr>
        <w:t>ppointment</w:t>
      </w:r>
    </w:p>
    <w:p w14:paraId="1E94F357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0FA57454" w14:textId="6FEB822A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 xml:space="preserve">The Royal Court followed the legal test which was set out in the decision of </w:t>
      </w:r>
      <w:r w:rsidRPr="003666A0">
        <w:rPr>
          <w:rFonts w:ascii="Times New Roman" w:eastAsia="Batang" w:hAnsi="Times New Roman"/>
          <w:i/>
          <w:sz w:val="24"/>
          <w:szCs w:val="24"/>
        </w:rPr>
        <w:t>Seagull Manufacturing</w:t>
      </w:r>
      <w:r w:rsidRPr="003666A0">
        <w:rPr>
          <w:rStyle w:val="FootnoteReference"/>
          <w:rFonts w:ascii="Times New Roman" w:eastAsia="Batang" w:hAnsi="Times New Roman"/>
          <w:sz w:val="24"/>
          <w:szCs w:val="24"/>
        </w:rPr>
        <w:footnoteReference w:id="2"/>
      </w:r>
      <w:r w:rsidRPr="003666A0">
        <w:rPr>
          <w:rFonts w:ascii="Times New Roman" w:eastAsia="Batang" w:hAnsi="Times New Roman"/>
          <w:sz w:val="24"/>
          <w:szCs w:val="24"/>
        </w:rPr>
        <w:t xml:space="preserve"> regarding the application of section 426 of the Insolvency Act 1986.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The test is that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in the absence of any compelling reason, there is a duty and not a discretion to act in aid of and be auxiliary to the High Court in England.</w:t>
      </w:r>
      <w:r w:rsidR="008432D1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To decline the requested assistance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was indeed a high hurdle to overcome and the Court would not do so, absent a compelling reason.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 xml:space="preserve">The Court provided helpful guidance regarding how the principles set out in </w:t>
      </w:r>
      <w:r w:rsidRPr="003666A0">
        <w:rPr>
          <w:rFonts w:ascii="Times New Roman" w:eastAsia="Batang" w:hAnsi="Times New Roman"/>
          <w:i/>
          <w:sz w:val="24"/>
          <w:szCs w:val="24"/>
        </w:rPr>
        <w:t>Seagull Manufacturing</w:t>
      </w:r>
      <w:r w:rsidRPr="003666A0">
        <w:rPr>
          <w:rFonts w:ascii="Times New Roman" w:eastAsia="Batang" w:hAnsi="Times New Roman"/>
          <w:sz w:val="24"/>
          <w:szCs w:val="24"/>
        </w:rPr>
        <w:t xml:space="preserve"> would be considered.</w:t>
      </w:r>
    </w:p>
    <w:p w14:paraId="596C836B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32FA95F6" w14:textId="09DAD751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>Perhaps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more importantly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the Court specified that, in applying the principles set down in </w:t>
      </w:r>
      <w:r w:rsidRPr="003666A0">
        <w:rPr>
          <w:rFonts w:ascii="Times New Roman" w:eastAsia="Batang" w:hAnsi="Times New Roman"/>
          <w:i/>
          <w:sz w:val="24"/>
          <w:szCs w:val="24"/>
        </w:rPr>
        <w:t xml:space="preserve">Seagull Manufacturing, </w:t>
      </w:r>
      <w:r w:rsidRPr="003666A0">
        <w:rPr>
          <w:rFonts w:ascii="Times New Roman" w:eastAsia="Batang" w:hAnsi="Times New Roman"/>
          <w:sz w:val="24"/>
          <w:szCs w:val="24"/>
        </w:rPr>
        <w:t xml:space="preserve">it was open to the Guernsey Court to apply UK law in relation to comparable matters sought in the </w:t>
      </w:r>
      <w:r w:rsidR="008432D1">
        <w:rPr>
          <w:rFonts w:ascii="Times New Roman" w:eastAsia="Batang" w:hAnsi="Times New Roman"/>
          <w:sz w:val="24"/>
          <w:szCs w:val="24"/>
        </w:rPr>
        <w:t>L</w:t>
      </w:r>
      <w:r w:rsidRPr="003666A0">
        <w:rPr>
          <w:rFonts w:ascii="Times New Roman" w:eastAsia="Batang" w:hAnsi="Times New Roman"/>
          <w:sz w:val="24"/>
          <w:szCs w:val="24"/>
        </w:rPr>
        <w:t xml:space="preserve">etter of </w:t>
      </w:r>
      <w:r w:rsidR="008432D1">
        <w:rPr>
          <w:rFonts w:ascii="Times New Roman" w:eastAsia="Batang" w:hAnsi="Times New Roman"/>
          <w:sz w:val="24"/>
          <w:szCs w:val="24"/>
        </w:rPr>
        <w:t>R</w:t>
      </w:r>
      <w:r w:rsidRPr="003666A0">
        <w:rPr>
          <w:rFonts w:ascii="Times New Roman" w:eastAsia="Batang" w:hAnsi="Times New Roman"/>
          <w:sz w:val="24"/>
          <w:szCs w:val="24"/>
        </w:rPr>
        <w:t>equest sent by the requesting court in the UK.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In this case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the Deputy Bailiff found it was open to him to apply the UK </w:t>
      </w:r>
      <w:r w:rsidR="008432D1">
        <w:rPr>
          <w:rFonts w:ascii="Times New Roman" w:eastAsia="Batang" w:hAnsi="Times New Roman"/>
          <w:sz w:val="24"/>
          <w:szCs w:val="24"/>
        </w:rPr>
        <w:t xml:space="preserve">provisions </w:t>
      </w:r>
      <w:r w:rsidRPr="003666A0">
        <w:rPr>
          <w:rFonts w:ascii="Times New Roman" w:eastAsia="Batang" w:hAnsi="Times New Roman"/>
          <w:sz w:val="24"/>
          <w:szCs w:val="24"/>
        </w:rPr>
        <w:t xml:space="preserve">regarding transactions at </w:t>
      </w:r>
      <w:r w:rsidR="008432D1">
        <w:rPr>
          <w:rFonts w:ascii="Times New Roman" w:eastAsia="Batang" w:hAnsi="Times New Roman"/>
          <w:sz w:val="24"/>
          <w:szCs w:val="24"/>
        </w:rPr>
        <w:t xml:space="preserve">an </w:t>
      </w:r>
      <w:r w:rsidRPr="003666A0">
        <w:rPr>
          <w:rFonts w:ascii="Times New Roman" w:eastAsia="Batang" w:hAnsi="Times New Roman"/>
          <w:sz w:val="24"/>
          <w:szCs w:val="24"/>
        </w:rPr>
        <w:t>undervalue i.e</w:t>
      </w:r>
      <w:r w:rsidR="008432D1">
        <w:rPr>
          <w:rFonts w:ascii="Times New Roman" w:eastAsia="Batang" w:hAnsi="Times New Roman"/>
          <w:sz w:val="24"/>
          <w:szCs w:val="24"/>
        </w:rPr>
        <w:t>.</w:t>
      </w:r>
      <w:r w:rsidRPr="003666A0">
        <w:rPr>
          <w:rFonts w:ascii="Times New Roman" w:eastAsia="Batang" w:hAnsi="Times New Roman"/>
          <w:sz w:val="24"/>
          <w:szCs w:val="24"/>
        </w:rPr>
        <w:t xml:space="preserve"> s</w:t>
      </w:r>
      <w:r w:rsidR="008432D1">
        <w:rPr>
          <w:rFonts w:ascii="Times New Roman" w:eastAsia="Batang" w:hAnsi="Times New Roman"/>
          <w:sz w:val="24"/>
          <w:szCs w:val="24"/>
        </w:rPr>
        <w:t xml:space="preserve">ections </w:t>
      </w:r>
      <w:r w:rsidRPr="003666A0">
        <w:rPr>
          <w:rFonts w:ascii="Times New Roman" w:eastAsia="Batang" w:hAnsi="Times New Roman"/>
          <w:sz w:val="24"/>
          <w:szCs w:val="24"/>
        </w:rPr>
        <w:t>238 and 423 of the Insolvency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Act 1986, albeit he declined to so in this specific instance (in relation to the transfer of the £400,000)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as it concerned the payment of a dividend which, in his view, could not be dealt with under the</w:t>
      </w:r>
      <w:r w:rsidR="008432D1">
        <w:rPr>
          <w:rFonts w:ascii="Times New Roman" w:eastAsia="Batang" w:hAnsi="Times New Roman"/>
          <w:sz w:val="24"/>
          <w:szCs w:val="24"/>
        </w:rPr>
        <w:t xml:space="preserve"> terms of sections 238 or 423. However, t</w:t>
      </w:r>
      <w:r w:rsidRPr="003666A0">
        <w:rPr>
          <w:rFonts w:ascii="Times New Roman" w:eastAsia="Batang" w:hAnsi="Times New Roman"/>
          <w:sz w:val="24"/>
          <w:szCs w:val="24"/>
        </w:rPr>
        <w:t xml:space="preserve">he Court also found that sections of the UK Companies Act 2006 that apply to unlawful distributions could be directly applied in Guernsey further to the Insolvency Act </w:t>
      </w:r>
      <w:r w:rsidR="008432D1">
        <w:rPr>
          <w:rFonts w:ascii="Times New Roman" w:eastAsia="Batang" w:hAnsi="Times New Roman"/>
          <w:sz w:val="24"/>
          <w:szCs w:val="24"/>
        </w:rPr>
        <w:t>(</w:t>
      </w:r>
      <w:r w:rsidRPr="003666A0">
        <w:rPr>
          <w:rFonts w:ascii="Times New Roman" w:eastAsia="Batang" w:hAnsi="Times New Roman"/>
          <w:sz w:val="24"/>
          <w:szCs w:val="24"/>
        </w:rPr>
        <w:t>Guernsey</w:t>
      </w:r>
      <w:r w:rsidR="008432D1">
        <w:rPr>
          <w:rFonts w:ascii="Times New Roman" w:eastAsia="Batang" w:hAnsi="Times New Roman"/>
          <w:sz w:val="24"/>
          <w:szCs w:val="24"/>
        </w:rPr>
        <w:t>)</w:t>
      </w:r>
      <w:r w:rsidRPr="003666A0">
        <w:rPr>
          <w:rFonts w:ascii="Times New Roman" w:eastAsia="Batang" w:hAnsi="Times New Roman"/>
          <w:sz w:val="24"/>
          <w:szCs w:val="24"/>
        </w:rPr>
        <w:t xml:space="preserve"> Order 1989 (SI 1989/2409)</w:t>
      </w:r>
      <w:r w:rsidR="008432D1">
        <w:rPr>
          <w:rFonts w:ascii="Times New Roman" w:eastAsia="Batang" w:hAnsi="Times New Roman"/>
          <w:sz w:val="24"/>
          <w:szCs w:val="24"/>
        </w:rPr>
        <w:t>.</w:t>
      </w:r>
    </w:p>
    <w:p w14:paraId="5257BC08" w14:textId="77777777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6A671065" w14:textId="6461EE83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>The Court equally found that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similar provisions present in Guernsey law could also have been used i.e</w:t>
      </w:r>
      <w:r w:rsidR="008432D1">
        <w:rPr>
          <w:rFonts w:ascii="Times New Roman" w:eastAsia="Batang" w:hAnsi="Times New Roman"/>
          <w:sz w:val="24"/>
          <w:szCs w:val="24"/>
        </w:rPr>
        <w:t>.</w:t>
      </w:r>
      <w:r w:rsidRPr="003666A0">
        <w:rPr>
          <w:rFonts w:ascii="Times New Roman" w:eastAsia="Batang" w:hAnsi="Times New Roman"/>
          <w:sz w:val="24"/>
          <w:szCs w:val="24"/>
        </w:rPr>
        <w:t xml:space="preserve"> a Pauline action </w:t>
      </w:r>
      <w:r w:rsidR="008432D1">
        <w:rPr>
          <w:rFonts w:ascii="Times New Roman" w:eastAsia="Batang" w:hAnsi="Times New Roman"/>
          <w:sz w:val="24"/>
          <w:szCs w:val="24"/>
        </w:rPr>
        <w:t>(</w:t>
      </w:r>
      <w:r w:rsidR="008432D1">
        <w:rPr>
          <w:rFonts w:ascii="Times New Roman" w:eastAsia="Batang" w:hAnsi="Times New Roman"/>
          <w:i/>
          <w:sz w:val="24"/>
          <w:szCs w:val="24"/>
        </w:rPr>
        <w:t>actio</w:t>
      </w:r>
      <w:r w:rsidR="008432D1" w:rsidRPr="008432D1">
        <w:rPr>
          <w:rFonts w:ascii="Times New Roman" w:eastAsia="Batang" w:hAnsi="Times New Roman"/>
          <w:i/>
          <w:sz w:val="24"/>
          <w:szCs w:val="24"/>
        </w:rPr>
        <w:t xml:space="preserve"> Pauliana</w:t>
      </w:r>
      <w:r w:rsidR="008432D1">
        <w:rPr>
          <w:rFonts w:ascii="Times New Roman" w:eastAsia="Batang" w:hAnsi="Times New Roman"/>
          <w:sz w:val="24"/>
          <w:szCs w:val="24"/>
        </w:rPr>
        <w:t xml:space="preserve">), </w:t>
      </w:r>
      <w:r w:rsidRPr="003666A0">
        <w:rPr>
          <w:rFonts w:ascii="Times New Roman" w:eastAsia="Batang" w:hAnsi="Times New Roman"/>
          <w:sz w:val="24"/>
          <w:szCs w:val="24"/>
        </w:rPr>
        <w:t xml:space="preserve">in relation to transactions at </w:t>
      </w:r>
      <w:r w:rsidR="008432D1">
        <w:rPr>
          <w:rFonts w:ascii="Times New Roman" w:eastAsia="Batang" w:hAnsi="Times New Roman"/>
          <w:sz w:val="24"/>
          <w:szCs w:val="24"/>
        </w:rPr>
        <w:t xml:space="preserve">an </w:t>
      </w:r>
      <w:r w:rsidRPr="003666A0">
        <w:rPr>
          <w:rFonts w:ascii="Times New Roman" w:eastAsia="Batang" w:hAnsi="Times New Roman"/>
          <w:sz w:val="24"/>
          <w:szCs w:val="24"/>
        </w:rPr>
        <w:t xml:space="preserve">undervalue </w:t>
      </w:r>
      <w:r w:rsidR="008432D1">
        <w:rPr>
          <w:rFonts w:ascii="Times New Roman" w:eastAsia="Batang" w:hAnsi="Times New Roman"/>
          <w:sz w:val="24"/>
          <w:szCs w:val="24"/>
        </w:rPr>
        <w:t xml:space="preserve">as well as </w:t>
      </w:r>
      <w:r w:rsidRPr="003666A0">
        <w:rPr>
          <w:rFonts w:ascii="Times New Roman" w:eastAsia="Batang" w:hAnsi="Times New Roman"/>
          <w:sz w:val="24"/>
          <w:szCs w:val="24"/>
        </w:rPr>
        <w:t>s</w:t>
      </w:r>
      <w:r w:rsidR="008432D1">
        <w:rPr>
          <w:rFonts w:ascii="Times New Roman" w:eastAsia="Batang" w:hAnsi="Times New Roman"/>
          <w:sz w:val="24"/>
          <w:szCs w:val="24"/>
        </w:rPr>
        <w:t>ection 304 of the Companies Law</w:t>
      </w:r>
      <w:r w:rsidRPr="003666A0">
        <w:rPr>
          <w:rFonts w:ascii="Times New Roman" w:eastAsia="Batang" w:hAnsi="Times New Roman"/>
          <w:sz w:val="24"/>
          <w:szCs w:val="24"/>
        </w:rPr>
        <w:t xml:space="preserve"> (Guernsey) 2008 in relation to unlawful distributions.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 xml:space="preserve">The unique nature of the reciprocal </w:t>
      </w:r>
      <w:r w:rsidR="008432D1">
        <w:rPr>
          <w:rFonts w:ascii="Times New Roman" w:eastAsia="Batang" w:hAnsi="Times New Roman"/>
          <w:sz w:val="24"/>
          <w:szCs w:val="24"/>
        </w:rPr>
        <w:t xml:space="preserve">framework </w:t>
      </w:r>
      <w:r w:rsidRPr="003666A0">
        <w:rPr>
          <w:rFonts w:ascii="Times New Roman" w:eastAsia="Batang" w:hAnsi="Times New Roman"/>
          <w:sz w:val="24"/>
          <w:szCs w:val="24"/>
        </w:rPr>
        <w:t>between Guernsey and the UK means that either Guernsey or UK law can be used by office-holders to recover sums due to the company in liquidation.</w:t>
      </w:r>
    </w:p>
    <w:p w14:paraId="0EECD23A" w14:textId="77777777" w:rsid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1C08025D" w14:textId="0554BA97" w:rsidR="008432D1" w:rsidRPr="008432D1" w:rsidRDefault="008432D1" w:rsidP="003666A0">
      <w:pPr>
        <w:spacing w:after="0"/>
        <w:rPr>
          <w:rFonts w:ascii="Times New Roman" w:eastAsia="Batang" w:hAnsi="Times New Roman"/>
          <w:i/>
          <w:sz w:val="24"/>
          <w:szCs w:val="24"/>
        </w:rPr>
      </w:pPr>
      <w:r w:rsidRPr="008432D1">
        <w:rPr>
          <w:rFonts w:ascii="Times New Roman" w:eastAsia="Batang" w:hAnsi="Times New Roman"/>
          <w:i/>
          <w:sz w:val="24"/>
          <w:szCs w:val="24"/>
        </w:rPr>
        <w:t>Reliance on the Common-Law</w:t>
      </w:r>
    </w:p>
    <w:p w14:paraId="7A4F7D67" w14:textId="77777777" w:rsidR="008432D1" w:rsidRPr="003666A0" w:rsidRDefault="008432D1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2E49C540" w14:textId="6B00F0DA" w:rsidR="003666A0" w:rsidRPr="003666A0" w:rsidRDefault="008432D1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Nonetheless, </w:t>
      </w:r>
      <w:r w:rsidR="003666A0" w:rsidRPr="003666A0">
        <w:rPr>
          <w:rFonts w:ascii="Times New Roman" w:eastAsia="Batang" w:hAnsi="Times New Roman"/>
          <w:sz w:val="24"/>
          <w:szCs w:val="24"/>
        </w:rPr>
        <w:t>as referred to above</w:t>
      </w:r>
      <w:r>
        <w:rPr>
          <w:rFonts w:ascii="Times New Roman" w:eastAsia="Batang" w:hAnsi="Times New Roman"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where there are no reciprocal arrangements in place</w:t>
      </w:r>
      <w:r>
        <w:rPr>
          <w:rFonts w:ascii="Times New Roman" w:eastAsia="Batang" w:hAnsi="Times New Roman"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the office-holder seeking recognition</w:t>
      </w:r>
      <w:r>
        <w:rPr>
          <w:rFonts w:ascii="Times New Roman" w:eastAsia="Batang" w:hAnsi="Times New Roman"/>
          <w:sz w:val="24"/>
          <w:szCs w:val="24"/>
        </w:rPr>
        <w:t xml:space="preserve"> is bound to rely on the common-</w:t>
      </w:r>
      <w:r w:rsidR="003666A0" w:rsidRPr="003666A0">
        <w:rPr>
          <w:rFonts w:ascii="Times New Roman" w:eastAsia="Batang" w:hAnsi="Times New Roman"/>
          <w:sz w:val="24"/>
          <w:szCs w:val="24"/>
        </w:rPr>
        <w:t>law.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>This can even occur with UK office-holders</w:t>
      </w:r>
      <w:r>
        <w:rPr>
          <w:rFonts w:ascii="Times New Roman" w:eastAsia="Batang" w:hAnsi="Times New Roman"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where there </w:t>
      </w:r>
      <w:r>
        <w:rPr>
          <w:rFonts w:ascii="Times New Roman" w:eastAsia="Batang" w:hAnsi="Times New Roman"/>
          <w:sz w:val="24"/>
          <w:szCs w:val="24"/>
        </w:rPr>
        <w:t xml:space="preserve">are 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insufficient funds for an application to be made to the UK court seeking a </w:t>
      </w:r>
      <w:r>
        <w:rPr>
          <w:rFonts w:ascii="Times New Roman" w:eastAsia="Batang" w:hAnsi="Times New Roman"/>
          <w:sz w:val="24"/>
          <w:szCs w:val="24"/>
        </w:rPr>
        <w:t>L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etter of </w:t>
      </w:r>
      <w:r>
        <w:rPr>
          <w:rFonts w:ascii="Times New Roman" w:eastAsia="Batang" w:hAnsi="Times New Roman"/>
          <w:sz w:val="24"/>
          <w:szCs w:val="24"/>
        </w:rPr>
        <w:t>R</w:t>
      </w:r>
      <w:r w:rsidR="003666A0" w:rsidRPr="003666A0">
        <w:rPr>
          <w:rFonts w:ascii="Times New Roman" w:eastAsia="Batang" w:hAnsi="Times New Roman"/>
          <w:sz w:val="24"/>
          <w:szCs w:val="24"/>
        </w:rPr>
        <w:t>equest.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The principal drawback in relying on the </w:t>
      </w:r>
      <w:r>
        <w:rPr>
          <w:rFonts w:ascii="Times New Roman" w:eastAsia="Batang" w:hAnsi="Times New Roman"/>
          <w:sz w:val="24"/>
          <w:szCs w:val="24"/>
        </w:rPr>
        <w:t>common-law,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when seeking recognition in Guernsey</w:t>
      </w:r>
      <w:r>
        <w:rPr>
          <w:rFonts w:ascii="Times New Roman" w:eastAsia="Batang" w:hAnsi="Times New Roman"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is the absence of the ability to automatically apply the law of the requesting jurisdiction.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The difficulties this inability creates was illustrated in </w:t>
      </w:r>
      <w:r w:rsidR="003666A0" w:rsidRPr="003666A0">
        <w:rPr>
          <w:rFonts w:ascii="Times New Roman" w:eastAsia="Batang" w:hAnsi="Times New Roman"/>
          <w:i/>
          <w:sz w:val="24"/>
          <w:szCs w:val="24"/>
        </w:rPr>
        <w:t>In the matter of X (a bankrupt)</w:t>
      </w:r>
      <w:r>
        <w:rPr>
          <w:rFonts w:ascii="Times New Roman" w:eastAsia="Batang" w:hAnsi="Times New Roman"/>
          <w:sz w:val="24"/>
          <w:szCs w:val="24"/>
        </w:rPr>
        <w:t>.</w:t>
      </w:r>
      <w:r w:rsidR="003666A0" w:rsidRPr="003666A0">
        <w:rPr>
          <w:rStyle w:val="FootnoteReference"/>
          <w:rFonts w:ascii="Times New Roman" w:eastAsia="Batang" w:hAnsi="Times New Roman"/>
          <w:sz w:val="24"/>
          <w:szCs w:val="24"/>
        </w:rPr>
        <w:footnoteReference w:id="3"/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>Here</w:t>
      </w:r>
      <w:r>
        <w:rPr>
          <w:rFonts w:ascii="Times New Roman" w:eastAsia="Batang" w:hAnsi="Times New Roman"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a UK trustee in bankruptcy sought permission under the </w:t>
      </w:r>
      <w:r>
        <w:rPr>
          <w:rFonts w:ascii="Times New Roman" w:eastAsia="Batang" w:hAnsi="Times New Roman"/>
          <w:sz w:val="24"/>
          <w:szCs w:val="24"/>
        </w:rPr>
        <w:t>common-law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from the Guernsey court to examine a third party. Lieutenant Bailiff Marshall found that, having reviewing various authorities including </w:t>
      </w:r>
      <w:r w:rsidR="003666A0" w:rsidRPr="008432D1">
        <w:rPr>
          <w:rFonts w:ascii="Times New Roman" w:eastAsia="Batang" w:hAnsi="Times New Roman"/>
          <w:i/>
          <w:sz w:val="24"/>
          <w:szCs w:val="24"/>
        </w:rPr>
        <w:t>Singularis</w:t>
      </w:r>
      <w:r w:rsidR="003666A0" w:rsidRPr="003666A0">
        <w:rPr>
          <w:rFonts w:ascii="Times New Roman" w:eastAsia="Batang" w:hAnsi="Times New Roman"/>
          <w:sz w:val="24"/>
          <w:szCs w:val="24"/>
        </w:rPr>
        <w:t>,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and </w:t>
      </w:r>
      <w:r>
        <w:rPr>
          <w:rFonts w:ascii="Times New Roman" w:eastAsia="Batang" w:hAnsi="Times New Roman"/>
          <w:sz w:val="24"/>
          <w:szCs w:val="24"/>
        </w:rPr>
        <w:t xml:space="preserve">the </w:t>
      </w:r>
      <w:r w:rsidR="003666A0" w:rsidRPr="003666A0">
        <w:rPr>
          <w:rFonts w:ascii="Times New Roman" w:eastAsia="Batang" w:hAnsi="Times New Roman"/>
          <w:sz w:val="24"/>
          <w:szCs w:val="24"/>
        </w:rPr>
        <w:t>equivalent bankruptcy statute in Guernsey</w:t>
      </w:r>
      <w:r>
        <w:rPr>
          <w:rFonts w:ascii="Times New Roman" w:eastAsia="Batang" w:hAnsi="Times New Roman"/>
          <w:sz w:val="24"/>
          <w:szCs w:val="24"/>
        </w:rPr>
        <w:t xml:space="preserve">: the </w:t>
      </w:r>
      <w:r w:rsidR="003666A0" w:rsidRPr="008432D1">
        <w:rPr>
          <w:rFonts w:ascii="Times New Roman" w:eastAsia="Batang" w:hAnsi="Times New Roman"/>
          <w:i/>
          <w:sz w:val="24"/>
          <w:szCs w:val="24"/>
        </w:rPr>
        <w:t xml:space="preserve">Loi Ayant rapport aux Debiteurs et </w:t>
      </w:r>
      <w:r>
        <w:rPr>
          <w:rFonts w:ascii="Times New Roman" w:eastAsia="Batang" w:hAnsi="Times New Roman"/>
          <w:i/>
          <w:sz w:val="24"/>
          <w:szCs w:val="24"/>
        </w:rPr>
        <w:t>à la Reno</w:t>
      </w:r>
      <w:r w:rsidR="003666A0" w:rsidRPr="008432D1">
        <w:rPr>
          <w:rFonts w:ascii="Times New Roman" w:eastAsia="Batang" w:hAnsi="Times New Roman"/>
          <w:i/>
          <w:sz w:val="24"/>
          <w:szCs w:val="24"/>
        </w:rPr>
        <w:t>nciation 1929</w:t>
      </w:r>
      <w:r>
        <w:rPr>
          <w:rFonts w:ascii="Times New Roman" w:eastAsia="Batang" w:hAnsi="Times New Roman"/>
          <w:i/>
          <w:sz w:val="24"/>
          <w:szCs w:val="24"/>
        </w:rPr>
        <w:t>,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 there was no common power available in Guernsey that would allow a UK trustee to examine third parties.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This difficulty could have been avoided if a </w:t>
      </w:r>
      <w:r>
        <w:rPr>
          <w:rFonts w:ascii="Times New Roman" w:eastAsia="Batang" w:hAnsi="Times New Roman"/>
          <w:sz w:val="24"/>
          <w:szCs w:val="24"/>
        </w:rPr>
        <w:t>L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etter of </w:t>
      </w:r>
      <w:r>
        <w:rPr>
          <w:rFonts w:ascii="Times New Roman" w:eastAsia="Batang" w:hAnsi="Times New Roman"/>
          <w:sz w:val="24"/>
          <w:szCs w:val="24"/>
        </w:rPr>
        <w:t>R</w:t>
      </w:r>
      <w:r w:rsidR="003666A0" w:rsidRPr="003666A0">
        <w:rPr>
          <w:rFonts w:ascii="Times New Roman" w:eastAsia="Batang" w:hAnsi="Times New Roman"/>
          <w:sz w:val="24"/>
          <w:szCs w:val="24"/>
        </w:rPr>
        <w:t xml:space="preserve">equest had been sent under the reciprocal insolvency </w:t>
      </w:r>
      <w:r>
        <w:rPr>
          <w:rFonts w:ascii="Times New Roman" w:eastAsia="Batang" w:hAnsi="Times New Roman"/>
          <w:sz w:val="24"/>
          <w:szCs w:val="24"/>
        </w:rPr>
        <w:t>framework applying between the UK and Guernsey.</w:t>
      </w:r>
    </w:p>
    <w:p w14:paraId="5F20FB58" w14:textId="77777777" w:rsid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1E24CB4A" w14:textId="48B62F78" w:rsidR="008432D1" w:rsidRDefault="008432D1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8432D1">
        <w:rPr>
          <w:rFonts w:ascii="Times New Roman" w:eastAsia="Batang" w:hAnsi="Times New Roman"/>
          <w:i/>
          <w:sz w:val="24"/>
          <w:szCs w:val="24"/>
        </w:rPr>
        <w:t>Conclusion</w:t>
      </w:r>
    </w:p>
    <w:p w14:paraId="0497A589" w14:textId="77777777" w:rsidR="008432D1" w:rsidRPr="003666A0" w:rsidRDefault="008432D1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p w14:paraId="0F5749AC" w14:textId="50D45C02" w:rsidR="003666A0" w:rsidRPr="003666A0" w:rsidRDefault="003666A0" w:rsidP="003666A0">
      <w:pPr>
        <w:spacing w:after="0"/>
        <w:rPr>
          <w:rFonts w:ascii="Times New Roman" w:eastAsia="Batang" w:hAnsi="Times New Roman"/>
          <w:sz w:val="24"/>
          <w:szCs w:val="24"/>
        </w:rPr>
      </w:pPr>
      <w:r w:rsidRPr="003666A0">
        <w:rPr>
          <w:rFonts w:ascii="Times New Roman" w:eastAsia="Batang" w:hAnsi="Times New Roman"/>
          <w:sz w:val="24"/>
          <w:szCs w:val="24"/>
        </w:rPr>
        <w:t xml:space="preserve">The above </w:t>
      </w:r>
      <w:r w:rsidR="008432D1">
        <w:rPr>
          <w:rFonts w:ascii="Times New Roman" w:eastAsia="Batang" w:hAnsi="Times New Roman"/>
          <w:sz w:val="24"/>
          <w:szCs w:val="24"/>
        </w:rPr>
        <w:t xml:space="preserve">recent </w:t>
      </w:r>
      <w:r w:rsidRPr="003666A0">
        <w:rPr>
          <w:rFonts w:ascii="Times New Roman" w:eastAsia="Batang" w:hAnsi="Times New Roman"/>
          <w:sz w:val="24"/>
          <w:szCs w:val="24"/>
        </w:rPr>
        <w:t>Guernsey authorities illustrate that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whilst the Guernsey court will give all possible assistance to a foreign office-holder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including recognition,</w:t>
      </w:r>
      <w:r w:rsidR="00807744">
        <w:rPr>
          <w:rFonts w:ascii="Times New Roman" w:eastAsia="Batang" w:hAnsi="Times New Roman"/>
          <w:sz w:val="24"/>
          <w:szCs w:val="24"/>
        </w:rPr>
        <w:t xml:space="preserve"> </w:t>
      </w:r>
      <w:r w:rsidRPr="003666A0">
        <w:rPr>
          <w:rFonts w:ascii="Times New Roman" w:eastAsia="Batang" w:hAnsi="Times New Roman"/>
          <w:sz w:val="24"/>
          <w:szCs w:val="24"/>
        </w:rPr>
        <w:t>a UK office-holder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if they wish to seek assistance beyond basic recognition</w:t>
      </w:r>
      <w:r w:rsidR="008432D1">
        <w:rPr>
          <w:rFonts w:ascii="Times New Roman" w:eastAsia="Batang" w:hAnsi="Times New Roman"/>
          <w:sz w:val="24"/>
          <w:szCs w:val="24"/>
        </w:rPr>
        <w:t>,</w:t>
      </w:r>
      <w:r w:rsidRPr="003666A0">
        <w:rPr>
          <w:rFonts w:ascii="Times New Roman" w:eastAsia="Batang" w:hAnsi="Times New Roman"/>
          <w:sz w:val="24"/>
          <w:szCs w:val="24"/>
        </w:rPr>
        <w:t xml:space="preserve"> should apply under the reciprocal </w:t>
      </w:r>
      <w:r w:rsidR="008432D1">
        <w:rPr>
          <w:rFonts w:ascii="Times New Roman" w:eastAsia="Batang" w:hAnsi="Times New Roman"/>
          <w:sz w:val="24"/>
          <w:szCs w:val="24"/>
        </w:rPr>
        <w:t>framework</w:t>
      </w:r>
      <w:r w:rsidRPr="003666A0">
        <w:rPr>
          <w:rFonts w:ascii="Times New Roman" w:eastAsia="Batang" w:hAnsi="Times New Roman"/>
          <w:sz w:val="24"/>
          <w:szCs w:val="24"/>
        </w:rPr>
        <w:t xml:space="preserve"> between Guernsey and the UK. </w:t>
      </w:r>
      <w:r w:rsidR="008432D1">
        <w:rPr>
          <w:rFonts w:ascii="Times New Roman" w:eastAsia="Batang" w:hAnsi="Times New Roman"/>
          <w:sz w:val="24"/>
          <w:szCs w:val="24"/>
        </w:rPr>
        <w:t>However, this framework applies to a limited number of jurisdictions, necessitating recourse to the common-law, and the problems this step evidences, for all other cases.</w:t>
      </w:r>
    </w:p>
    <w:p w14:paraId="17EAE0D6" w14:textId="1B4277E3" w:rsidR="00617533" w:rsidRPr="003666A0" w:rsidRDefault="00617533" w:rsidP="003666A0">
      <w:pPr>
        <w:spacing w:after="0"/>
        <w:rPr>
          <w:rFonts w:ascii="Times New Roman" w:eastAsia="Batang" w:hAnsi="Times New Roman"/>
          <w:sz w:val="24"/>
          <w:szCs w:val="24"/>
        </w:rPr>
      </w:pPr>
    </w:p>
    <w:sectPr w:rsidR="00617533" w:rsidRPr="003666A0" w:rsidSect="00086E49">
      <w:headerReference w:type="default" r:id="rId12"/>
      <w:footerReference w:type="default" r:id="rId13"/>
      <w:pgSz w:w="11907" w:h="16840" w:code="9"/>
      <w:pgMar w:top="1440" w:right="1418" w:bottom="1440" w:left="1418" w:header="720" w:footer="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0AF51" w14:textId="77777777" w:rsidR="00484F6D" w:rsidRDefault="00484F6D">
      <w:r>
        <w:separator/>
      </w:r>
    </w:p>
  </w:endnote>
  <w:endnote w:type="continuationSeparator" w:id="0">
    <w:p w14:paraId="6A031A64" w14:textId="77777777" w:rsidR="00484F6D" w:rsidRDefault="0048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B2D72" w14:textId="77777777" w:rsidR="00BF3D3E" w:rsidRPr="001C5080" w:rsidRDefault="00BF3D3E" w:rsidP="00086E49">
    <w:pPr>
      <w:tabs>
        <w:tab w:val="center" w:pos="4536"/>
        <w:tab w:val="right" w:pos="8789"/>
      </w:tabs>
      <w:spacing w:after="0"/>
      <w:rPr>
        <w:rFonts w:cs="Calibr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84696" w14:textId="77777777" w:rsidR="00484F6D" w:rsidRDefault="00484F6D">
      <w:r>
        <w:separator/>
      </w:r>
    </w:p>
  </w:footnote>
  <w:footnote w:type="continuationSeparator" w:id="0">
    <w:p w14:paraId="041D49E8" w14:textId="77777777" w:rsidR="00484F6D" w:rsidRDefault="00484F6D">
      <w:r>
        <w:continuationSeparator/>
      </w:r>
    </w:p>
  </w:footnote>
  <w:footnote w:id="1">
    <w:p w14:paraId="1F950BCD" w14:textId="2CDCB435" w:rsidR="003666A0" w:rsidRPr="00807744" w:rsidRDefault="003666A0" w:rsidP="003666A0">
      <w:pPr>
        <w:pStyle w:val="FootnoteText"/>
        <w:rPr>
          <w:rFonts w:ascii="Times New Roman" w:hAnsi="Times New Roman"/>
        </w:rPr>
      </w:pPr>
      <w:r w:rsidRPr="00807744">
        <w:rPr>
          <w:rStyle w:val="FootnoteReference"/>
          <w:rFonts w:ascii="Times New Roman" w:hAnsi="Times New Roman"/>
        </w:rPr>
        <w:footnoteRef/>
      </w:r>
      <w:r w:rsidRPr="00807744">
        <w:rPr>
          <w:rFonts w:ascii="Times New Roman" w:hAnsi="Times New Roman"/>
        </w:rPr>
        <w:t xml:space="preserve"> </w:t>
      </w:r>
      <w:r w:rsidRPr="00807744">
        <w:rPr>
          <w:rFonts w:ascii="Times New Roman" w:hAnsi="Times New Roman"/>
          <w:i/>
        </w:rPr>
        <w:t>William Antony Batty v Bourse Trust Company Limited &amp; Bourse Directors Limited</w:t>
      </w:r>
      <w:r w:rsidRPr="00807744">
        <w:rPr>
          <w:rFonts w:ascii="Times New Roman" w:hAnsi="Times New Roman"/>
        </w:rPr>
        <w:t xml:space="preserve"> (Unreported 28 March 2017)</w:t>
      </w:r>
      <w:r w:rsidR="00807744">
        <w:rPr>
          <w:rFonts w:ascii="Times New Roman" w:hAnsi="Times New Roman"/>
        </w:rPr>
        <w:t>.</w:t>
      </w:r>
    </w:p>
  </w:footnote>
  <w:footnote w:id="2">
    <w:p w14:paraId="33F28D44" w14:textId="68103704" w:rsidR="003666A0" w:rsidRPr="00807744" w:rsidRDefault="003666A0" w:rsidP="003666A0">
      <w:pPr>
        <w:pStyle w:val="FootnoteText"/>
        <w:rPr>
          <w:rFonts w:ascii="Times New Roman" w:hAnsi="Times New Roman"/>
        </w:rPr>
      </w:pPr>
      <w:r w:rsidRPr="00807744">
        <w:rPr>
          <w:rStyle w:val="FootnoteReference"/>
          <w:rFonts w:ascii="Times New Roman" w:hAnsi="Times New Roman"/>
        </w:rPr>
        <w:footnoteRef/>
      </w:r>
      <w:r w:rsidRPr="00807744">
        <w:rPr>
          <w:rFonts w:ascii="Times New Roman" w:hAnsi="Times New Roman"/>
        </w:rPr>
        <w:t xml:space="preserve"> </w:t>
      </w:r>
      <w:r w:rsidRPr="00807744">
        <w:rPr>
          <w:rFonts w:ascii="Times New Roman" w:hAnsi="Times New Roman"/>
          <w:i/>
        </w:rPr>
        <w:t xml:space="preserve">Slinn and Slinn v Official Receiver and </w:t>
      </w:r>
      <w:r w:rsidR="00807744">
        <w:rPr>
          <w:rFonts w:ascii="Times New Roman" w:hAnsi="Times New Roman"/>
          <w:i/>
        </w:rPr>
        <w:t>L</w:t>
      </w:r>
      <w:r w:rsidRPr="00807744">
        <w:rPr>
          <w:rFonts w:ascii="Times New Roman" w:hAnsi="Times New Roman"/>
          <w:i/>
        </w:rPr>
        <w:t>iquidator of</w:t>
      </w:r>
      <w:r w:rsidR="00807744" w:rsidRPr="00807744">
        <w:rPr>
          <w:rFonts w:ascii="Times New Roman" w:hAnsi="Times New Roman"/>
          <w:i/>
        </w:rPr>
        <w:t xml:space="preserve"> </w:t>
      </w:r>
      <w:r w:rsidRPr="00807744">
        <w:rPr>
          <w:rFonts w:ascii="Times New Roman" w:hAnsi="Times New Roman"/>
          <w:i/>
        </w:rPr>
        <w:t>Seagull Manufacturing Co Ltd</w:t>
      </w:r>
      <w:r w:rsidRPr="00807744">
        <w:rPr>
          <w:rFonts w:ascii="Times New Roman" w:hAnsi="Times New Roman"/>
        </w:rPr>
        <w:t xml:space="preserve"> (1996) 22 GLJ 83</w:t>
      </w:r>
      <w:r w:rsidR="00807744">
        <w:rPr>
          <w:rFonts w:ascii="Times New Roman" w:hAnsi="Times New Roman"/>
        </w:rPr>
        <w:t>.</w:t>
      </w:r>
    </w:p>
  </w:footnote>
  <w:footnote w:id="3">
    <w:p w14:paraId="7B2242B7" w14:textId="77777777" w:rsidR="003666A0" w:rsidRPr="00807744" w:rsidRDefault="003666A0" w:rsidP="003666A0">
      <w:pPr>
        <w:pStyle w:val="FootnoteText"/>
        <w:rPr>
          <w:rFonts w:ascii="Times New Roman" w:hAnsi="Times New Roman"/>
        </w:rPr>
      </w:pPr>
      <w:r w:rsidRPr="00807744">
        <w:rPr>
          <w:rStyle w:val="FootnoteReference"/>
          <w:rFonts w:ascii="Times New Roman" w:hAnsi="Times New Roman"/>
        </w:rPr>
        <w:footnoteRef/>
      </w:r>
      <w:r w:rsidRPr="00807744">
        <w:rPr>
          <w:rFonts w:ascii="Times New Roman" w:hAnsi="Times New Roman"/>
        </w:rPr>
        <w:t xml:space="preserve"> (Unreported 4, August 2015)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0D0DD" w14:textId="76DFF5BF" w:rsidR="00BF3D3E" w:rsidRPr="00C2522B" w:rsidRDefault="00BF3D3E" w:rsidP="00C2522B">
    <w:pPr>
      <w:pStyle w:val="Header"/>
      <w:spacing w:after="0"/>
      <w:rPr>
        <w:rFonts w:ascii="Arial" w:hAnsi="Arial" w:cs="Arial"/>
        <w:b/>
      </w:rPr>
    </w:pPr>
    <w:r w:rsidRPr="00C2522B">
      <w:rPr>
        <w:rFonts w:ascii="Arial" w:hAnsi="Arial" w:cs="Arial"/>
        <w:b/>
      </w:rPr>
      <w:t>Inside Story (</w:t>
    </w:r>
    <w:r w:rsidR="003666A0">
      <w:rPr>
        <w:rFonts w:ascii="Arial" w:hAnsi="Arial" w:cs="Arial"/>
        <w:b/>
      </w:rPr>
      <w:t>January 2018</w:t>
    </w:r>
    <w:r w:rsidRPr="00C2522B">
      <w:rPr>
        <w:rFonts w:ascii="Arial" w:hAnsi="Arial" w:cs="Arial"/>
        <w:b/>
      </w:rPr>
      <w:t>)</w:t>
    </w:r>
  </w:p>
  <w:p w14:paraId="5CB97EE8" w14:textId="7DD2CE54" w:rsidR="00BF3D3E" w:rsidRPr="00C2522B" w:rsidRDefault="003666A0" w:rsidP="00C2522B">
    <w:pPr>
      <w:pStyle w:val="Header"/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>Mathew Newman and Alex Horsbrugh-Porter</w:t>
    </w:r>
    <w:r w:rsidR="00BF3D3E" w:rsidRPr="00C2522B">
      <w:rPr>
        <w:rFonts w:ascii="Arial" w:hAnsi="Arial" w:cs="Arial"/>
        <w:b/>
      </w:rPr>
      <w:t xml:space="preserve"> (</w:t>
    </w:r>
    <w:r>
      <w:rPr>
        <w:rFonts w:ascii="Arial" w:hAnsi="Arial" w:cs="Arial"/>
        <w:b/>
      </w:rPr>
      <w:t>Guernsey</w:t>
    </w:r>
    <w:r w:rsidR="00BF3D3E" w:rsidRPr="00C2522B"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E96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3"/>
    <w:multiLevelType w:val="singleLevel"/>
    <w:tmpl w:val="2056D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0F64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027F6E"/>
    <w:multiLevelType w:val="hybridMultilevel"/>
    <w:tmpl w:val="75E6650C"/>
    <w:lvl w:ilvl="0" w:tplc="86027A48">
      <w:start w:val="1"/>
      <w:numFmt w:val="decimal"/>
      <w:pStyle w:val="AgreementParties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345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6F15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17664F7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ascii="Georgia" w:hAnsi="Georgia"/>
        <w:sz w:val="18"/>
      </w:rPr>
    </w:lvl>
  </w:abstractNum>
  <w:abstractNum w:abstractNumId="7">
    <w:nsid w:val="1DA03051"/>
    <w:multiLevelType w:val="multilevel"/>
    <w:tmpl w:val="5986DCBC"/>
    <w:lvl w:ilvl="0">
      <w:start w:val="1"/>
      <w:numFmt w:val="decimal"/>
      <w:pStyle w:val="ScheduleClauses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041"/>
        </w:tabs>
        <w:ind w:left="204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2608"/>
        </w:tabs>
        <w:ind w:left="260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8">
    <w:nsid w:val="29E165EB"/>
    <w:multiLevelType w:val="multilevel"/>
    <w:tmpl w:val="6A966230"/>
    <w:lvl w:ilvl="0">
      <w:start w:val="1"/>
      <w:numFmt w:val="decimal"/>
      <w:pStyle w:val="AgreementHeading1"/>
      <w:lvlText w:val="%1."/>
      <w:lvlJc w:val="left"/>
      <w:pPr>
        <w:tabs>
          <w:tab w:val="num" w:pos="720"/>
        </w:tabs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greement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1"/>
        <w:szCs w:val="22"/>
      </w:rPr>
    </w:lvl>
    <w:lvl w:ilvl="2">
      <w:start w:val="1"/>
      <w:numFmt w:val="decimal"/>
      <w:pStyle w:val="AgreementHeading3"/>
      <w:lvlText w:val="%1.%2.%3"/>
      <w:lvlJc w:val="left"/>
      <w:pPr>
        <w:tabs>
          <w:tab w:val="num" w:pos="1474"/>
        </w:tabs>
        <w:ind w:left="1474" w:hanging="7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greementHeading4"/>
      <w:lvlText w:val="(%4)"/>
      <w:lvlJc w:val="left"/>
      <w:pPr>
        <w:tabs>
          <w:tab w:val="num" w:pos="2041"/>
        </w:tabs>
        <w:ind w:left="204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greementHeading5"/>
      <w:lvlText w:val="(%5)"/>
      <w:lvlJc w:val="left"/>
      <w:pPr>
        <w:tabs>
          <w:tab w:val="num" w:pos="2608"/>
        </w:tabs>
        <w:ind w:left="2608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1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3629"/>
        </w:tabs>
        <w:ind w:left="3629" w:hanging="362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4320"/>
      </w:pPr>
      <w:rPr>
        <w:rFonts w:hint="default"/>
      </w:rPr>
    </w:lvl>
  </w:abstractNum>
  <w:abstractNum w:abstractNumId="9">
    <w:nsid w:val="418A1CB1"/>
    <w:multiLevelType w:val="hybridMultilevel"/>
    <w:tmpl w:val="EB360D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371DD"/>
    <w:multiLevelType w:val="hybridMultilevel"/>
    <w:tmpl w:val="AD8E96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F0F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2">
    <w:nsid w:val="53B1686F"/>
    <w:multiLevelType w:val="hybridMultilevel"/>
    <w:tmpl w:val="616E1A48"/>
    <w:lvl w:ilvl="0" w:tplc="74402DC0">
      <w:start w:val="1"/>
      <w:numFmt w:val="decimal"/>
      <w:lvlText w:val="%1."/>
      <w:lvlJc w:val="left"/>
      <w:pPr>
        <w:ind w:left="1440" w:hanging="36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0C5807"/>
    <w:multiLevelType w:val="hybridMultilevel"/>
    <w:tmpl w:val="181E8578"/>
    <w:lvl w:ilvl="0" w:tplc="BAEEA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76D96"/>
    <w:multiLevelType w:val="hybridMultilevel"/>
    <w:tmpl w:val="B7724600"/>
    <w:lvl w:ilvl="0" w:tplc="0F82336A">
      <w:start w:val="1"/>
      <w:numFmt w:val="upperLetter"/>
      <w:pStyle w:val="Agreement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EE41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eorgia" w:hAnsi="Georgia"/>
        <w:sz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Georgia" w:hAnsi="Georgia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Georgia" w:hAnsi="Georgia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Georgia" w:hAnsi="Georgia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sz w:val="18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eorgia" w:hAnsi="Georgia"/>
        <w:sz w:val="18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Georgia" w:hAnsi="Georgia"/>
        <w:sz w:val="18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Georgia" w:hAnsi="Georgia"/>
        <w:sz w:val="18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7"/>
  </w:num>
  <w:num w:numId="5">
    <w:abstractNumId w:val="8"/>
  </w:num>
  <w:num w:numId="6">
    <w:abstractNumId w:val="15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3"/>
  </w:num>
  <w:num w:numId="21">
    <w:abstractNumId w:val="14"/>
  </w:num>
  <w:num w:numId="22">
    <w:abstractNumId w:val="8"/>
  </w:num>
  <w:num w:numId="23">
    <w:abstractNumId w:val="7"/>
  </w:num>
  <w:num w:numId="24">
    <w:abstractNumId w:val="13"/>
  </w:num>
  <w:num w:numId="25">
    <w:abstractNumId w:val="9"/>
  </w:num>
  <w:num w:numId="2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C5"/>
    <w:rsid w:val="000033DF"/>
    <w:rsid w:val="00086E49"/>
    <w:rsid w:val="000921F0"/>
    <w:rsid w:val="00092307"/>
    <w:rsid w:val="000C4532"/>
    <w:rsid w:val="000D3C8B"/>
    <w:rsid w:val="00141375"/>
    <w:rsid w:val="00145356"/>
    <w:rsid w:val="001934CC"/>
    <w:rsid w:val="001C5080"/>
    <w:rsid w:val="001D3A90"/>
    <w:rsid w:val="001F119D"/>
    <w:rsid w:val="00247BAC"/>
    <w:rsid w:val="00280030"/>
    <w:rsid w:val="003021B6"/>
    <w:rsid w:val="003217E3"/>
    <w:rsid w:val="00340FF0"/>
    <w:rsid w:val="003518FD"/>
    <w:rsid w:val="003666A0"/>
    <w:rsid w:val="00395D89"/>
    <w:rsid w:val="003978ED"/>
    <w:rsid w:val="003C284E"/>
    <w:rsid w:val="003C69AB"/>
    <w:rsid w:val="00404D9A"/>
    <w:rsid w:val="00415AEE"/>
    <w:rsid w:val="00415DDB"/>
    <w:rsid w:val="00437BFE"/>
    <w:rsid w:val="004433C5"/>
    <w:rsid w:val="00484F6D"/>
    <w:rsid w:val="004B3FED"/>
    <w:rsid w:val="004F57B8"/>
    <w:rsid w:val="00535342"/>
    <w:rsid w:val="00557A0F"/>
    <w:rsid w:val="005764A7"/>
    <w:rsid w:val="00577785"/>
    <w:rsid w:val="00593E77"/>
    <w:rsid w:val="005D6C09"/>
    <w:rsid w:val="005D783E"/>
    <w:rsid w:val="005D79E3"/>
    <w:rsid w:val="005E7C6B"/>
    <w:rsid w:val="00617533"/>
    <w:rsid w:val="00623598"/>
    <w:rsid w:val="006441B0"/>
    <w:rsid w:val="006D0A86"/>
    <w:rsid w:val="006E7E8D"/>
    <w:rsid w:val="00703D03"/>
    <w:rsid w:val="00707113"/>
    <w:rsid w:val="00740F50"/>
    <w:rsid w:val="00772427"/>
    <w:rsid w:val="007C4484"/>
    <w:rsid w:val="007E1590"/>
    <w:rsid w:val="00807744"/>
    <w:rsid w:val="008432D1"/>
    <w:rsid w:val="00847988"/>
    <w:rsid w:val="00867725"/>
    <w:rsid w:val="00877CBB"/>
    <w:rsid w:val="00886023"/>
    <w:rsid w:val="0093601D"/>
    <w:rsid w:val="00976F27"/>
    <w:rsid w:val="00977889"/>
    <w:rsid w:val="0098305D"/>
    <w:rsid w:val="009B5E68"/>
    <w:rsid w:val="009E51C4"/>
    <w:rsid w:val="00A34959"/>
    <w:rsid w:val="00A81F5B"/>
    <w:rsid w:val="00AD3470"/>
    <w:rsid w:val="00B40F88"/>
    <w:rsid w:val="00B46BCC"/>
    <w:rsid w:val="00BA1EF1"/>
    <w:rsid w:val="00BC4C0D"/>
    <w:rsid w:val="00BF3D3E"/>
    <w:rsid w:val="00C16DFA"/>
    <w:rsid w:val="00C2522B"/>
    <w:rsid w:val="00C96534"/>
    <w:rsid w:val="00CE09C4"/>
    <w:rsid w:val="00D31877"/>
    <w:rsid w:val="00DE5F99"/>
    <w:rsid w:val="00E007BF"/>
    <w:rsid w:val="00E2501C"/>
    <w:rsid w:val="00EB6116"/>
    <w:rsid w:val="00F20AC6"/>
    <w:rsid w:val="00F55F2D"/>
    <w:rsid w:val="00F77372"/>
    <w:rsid w:val="00F90C01"/>
    <w:rsid w:val="00FB7C3C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CD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4"/>
    <w:lsdException w:name="header" w:uiPriority="99"/>
    <w:lsdException w:name="caption" w:qFormat="1"/>
    <w:lsdException w:name="footnote reference" w:uiPriority="4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8D"/>
    <w:pPr>
      <w:spacing w:after="240"/>
      <w:jc w:val="both"/>
    </w:pPr>
    <w:rPr>
      <w:rFonts w:ascii="Calibri" w:hAnsi="Calibri"/>
      <w:sz w:val="21"/>
      <w:szCs w:val="20"/>
    </w:rPr>
  </w:style>
  <w:style w:type="paragraph" w:styleId="Heading1">
    <w:name w:val="heading 1"/>
    <w:basedOn w:val="Normal"/>
    <w:next w:val="Normal"/>
    <w:qFormat/>
    <w:rsid w:val="006E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7E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7E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E7E8D"/>
    <w:pPr>
      <w:numPr>
        <w:numId w:val="13"/>
      </w:numPr>
    </w:pPr>
  </w:style>
  <w:style w:type="paragraph" w:customStyle="1" w:styleId="AgreementFooterGuernsey">
    <w:name w:val="Agreement Footer Guernsey"/>
    <w:basedOn w:val="Normal"/>
    <w:rsid w:val="006E7E8D"/>
    <w:pPr>
      <w:jc w:val="left"/>
    </w:pPr>
    <w:rPr>
      <w:sz w:val="20"/>
    </w:rPr>
  </w:style>
  <w:style w:type="paragraph" w:customStyle="1" w:styleId="AgreementFooterJersey">
    <w:name w:val="Agreement Footer Jersey"/>
    <w:basedOn w:val="Normal"/>
    <w:rsid w:val="006E7E8D"/>
    <w:pPr>
      <w:jc w:val="left"/>
    </w:pPr>
    <w:rPr>
      <w:sz w:val="12"/>
      <w:szCs w:val="12"/>
    </w:rPr>
  </w:style>
  <w:style w:type="paragraph" w:customStyle="1" w:styleId="AgreementHeading1">
    <w:name w:val="Agreement Heading 1"/>
    <w:basedOn w:val="Normal"/>
    <w:next w:val="BlockText"/>
    <w:rsid w:val="006E7E8D"/>
    <w:pPr>
      <w:keepNext/>
      <w:numPr>
        <w:numId w:val="22"/>
      </w:numPr>
    </w:pPr>
    <w:rPr>
      <w:rFonts w:hAnsi="Times New Roman Bold"/>
      <w:b/>
      <w:caps/>
    </w:rPr>
  </w:style>
  <w:style w:type="paragraph" w:styleId="BlockText">
    <w:name w:val="Block Text"/>
    <w:basedOn w:val="Normal"/>
    <w:rsid w:val="006E7E8D"/>
    <w:pPr>
      <w:tabs>
        <w:tab w:val="left" w:pos="720"/>
      </w:tabs>
      <w:ind w:left="720"/>
    </w:pPr>
  </w:style>
  <w:style w:type="paragraph" w:styleId="BodyText">
    <w:name w:val="Body Text"/>
    <w:basedOn w:val="Normal"/>
    <w:link w:val="BodyTextChar"/>
    <w:rsid w:val="006E7E8D"/>
  </w:style>
  <w:style w:type="character" w:customStyle="1" w:styleId="BodyTextChar">
    <w:name w:val="Body Text Char"/>
    <w:basedOn w:val="DefaultParagraphFont"/>
    <w:link w:val="BodyText"/>
    <w:rsid w:val="006E7E8D"/>
    <w:rPr>
      <w:rFonts w:ascii="Calibri" w:hAnsi="Calibri"/>
      <w:sz w:val="21"/>
      <w:szCs w:val="20"/>
    </w:rPr>
  </w:style>
  <w:style w:type="paragraph" w:customStyle="1" w:styleId="AgreementHeading2">
    <w:name w:val="Agreement Heading 2"/>
    <w:basedOn w:val="BodyText"/>
    <w:rsid w:val="006E7E8D"/>
    <w:pPr>
      <w:numPr>
        <w:ilvl w:val="1"/>
        <w:numId w:val="22"/>
      </w:numPr>
    </w:pPr>
  </w:style>
  <w:style w:type="paragraph" w:customStyle="1" w:styleId="AgreementHeading2bold">
    <w:name w:val="Agreement Heading 2 bold"/>
    <w:basedOn w:val="AgreementHeading2"/>
    <w:next w:val="BlockText"/>
    <w:rsid w:val="006E7E8D"/>
    <w:pPr>
      <w:keepNext/>
      <w:numPr>
        <w:ilvl w:val="0"/>
        <w:numId w:val="0"/>
      </w:numPr>
    </w:pPr>
    <w:rPr>
      <w:b/>
    </w:rPr>
  </w:style>
  <w:style w:type="paragraph" w:customStyle="1" w:styleId="AgreementHeading3">
    <w:name w:val="Agreement Heading 3"/>
    <w:basedOn w:val="Normal"/>
    <w:rsid w:val="006E7E8D"/>
    <w:pPr>
      <w:numPr>
        <w:ilvl w:val="2"/>
        <w:numId w:val="22"/>
      </w:numPr>
    </w:pPr>
  </w:style>
  <w:style w:type="paragraph" w:customStyle="1" w:styleId="AgreementHeading4">
    <w:name w:val="Agreement Heading 4"/>
    <w:basedOn w:val="Normal"/>
    <w:rsid w:val="006E7E8D"/>
    <w:pPr>
      <w:numPr>
        <w:ilvl w:val="3"/>
        <w:numId w:val="22"/>
      </w:numPr>
    </w:pPr>
  </w:style>
  <w:style w:type="paragraph" w:customStyle="1" w:styleId="AgreementHeading5">
    <w:name w:val="Agreement Heading 5"/>
    <w:basedOn w:val="Normal"/>
    <w:rsid w:val="006E7E8D"/>
    <w:pPr>
      <w:numPr>
        <w:ilvl w:val="4"/>
        <w:numId w:val="22"/>
      </w:numPr>
    </w:pPr>
  </w:style>
  <w:style w:type="paragraph" w:customStyle="1" w:styleId="AgreementParties">
    <w:name w:val="Agreement Parties"/>
    <w:basedOn w:val="Normal"/>
    <w:rsid w:val="006E7E8D"/>
    <w:pPr>
      <w:numPr>
        <w:numId w:val="20"/>
      </w:numPr>
    </w:pPr>
  </w:style>
  <w:style w:type="paragraph" w:customStyle="1" w:styleId="AgreementRecitals">
    <w:name w:val="Agreement Recitals"/>
    <w:basedOn w:val="Normal"/>
    <w:rsid w:val="006E7E8D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6E7E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7E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E7E8D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E7E8D"/>
    <w:rPr>
      <w:rFonts w:ascii="Calibri" w:hAnsi="Calibri"/>
      <w:sz w:val="16"/>
      <w:szCs w:val="20"/>
    </w:rPr>
  </w:style>
  <w:style w:type="paragraph" w:customStyle="1" w:styleId="frontcover">
    <w:name w:val="frontcover"/>
    <w:basedOn w:val="Normal"/>
    <w:rsid w:val="006E7E8D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6E7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8D"/>
    <w:rPr>
      <w:rFonts w:ascii="Calibri" w:hAnsi="Calibri"/>
      <w:sz w:val="21"/>
      <w:szCs w:val="20"/>
    </w:rPr>
  </w:style>
  <w:style w:type="character" w:styleId="Hyperlink">
    <w:name w:val="Hyperlink"/>
    <w:rsid w:val="006E7E8D"/>
    <w:rPr>
      <w:color w:val="0000FF"/>
      <w:u w:val="single"/>
    </w:rPr>
  </w:style>
  <w:style w:type="paragraph" w:customStyle="1" w:styleId="Level1noheading">
    <w:name w:val="Level 1 no heading"/>
    <w:basedOn w:val="AgreementHeading1"/>
    <w:rsid w:val="006E7E8D"/>
    <w:pPr>
      <w:numPr>
        <w:numId w:val="0"/>
      </w:numPr>
    </w:pPr>
    <w:rPr>
      <w:rFonts w:hAnsi="Times New Roman"/>
      <w:b w:val="0"/>
      <w:caps w:val="0"/>
    </w:rPr>
  </w:style>
  <w:style w:type="character" w:styleId="PageNumber">
    <w:name w:val="page number"/>
    <w:basedOn w:val="DefaultParagraphFont"/>
    <w:rsid w:val="006E7E8D"/>
  </w:style>
  <w:style w:type="paragraph" w:customStyle="1" w:styleId="ScheduleClauses">
    <w:name w:val="Schedule Clauses"/>
    <w:basedOn w:val="AgreementHeading1"/>
    <w:rsid w:val="006E7E8D"/>
    <w:pPr>
      <w:numPr>
        <w:numId w:val="23"/>
      </w:numPr>
    </w:pPr>
    <w:rPr>
      <w:rFonts w:hAnsi="Times New Roman"/>
      <w:b w:val="0"/>
      <w:caps w:val="0"/>
    </w:rPr>
  </w:style>
  <w:style w:type="paragraph" w:customStyle="1" w:styleId="ScheduleNumber">
    <w:name w:val="Schedule Number"/>
    <w:basedOn w:val="AgreementHeading1"/>
    <w:next w:val="Normal"/>
    <w:rsid w:val="006E7E8D"/>
    <w:pPr>
      <w:keepNext w:val="0"/>
      <w:keepLines/>
      <w:widowControl w:val="0"/>
      <w:numPr>
        <w:numId w:val="0"/>
      </w:numPr>
      <w:jc w:val="center"/>
    </w:pPr>
    <w:rPr>
      <w:rFonts w:hAnsi="Calibri"/>
    </w:rPr>
  </w:style>
  <w:style w:type="paragraph" w:customStyle="1" w:styleId="ScheduleTitle">
    <w:name w:val="Schedule Title"/>
    <w:basedOn w:val="ScheduleNumber"/>
    <w:next w:val="Normal"/>
    <w:rsid w:val="006E7E8D"/>
    <w:rPr>
      <w:b w:val="0"/>
      <w:caps w:val="0"/>
    </w:rPr>
  </w:style>
  <w:style w:type="table" w:styleId="TableGrid">
    <w:name w:val="Table Grid"/>
    <w:basedOn w:val="TableNormal"/>
    <w:rsid w:val="006E7E8D"/>
    <w:pPr>
      <w:spacing w:after="240" w:line="312" w:lineRule="auto"/>
      <w:jc w:val="both"/>
    </w:pPr>
    <w:rPr>
      <w:rFonts w:ascii="Calibri" w:hAnsi="Calibri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E7E8D"/>
    <w:pPr>
      <w:spacing w:before="120" w:after="360"/>
      <w:jc w:val="center"/>
    </w:pPr>
    <w:rPr>
      <w:rFonts w:hAnsi="Times New Roman Bold" w:cs="Arial"/>
      <w:b/>
      <w:bCs/>
      <w:caps/>
      <w:kern w:val="28"/>
    </w:rPr>
  </w:style>
  <w:style w:type="character" w:customStyle="1" w:styleId="TitleChar">
    <w:name w:val="Title Char"/>
    <w:basedOn w:val="DefaultParagraphFont"/>
    <w:link w:val="Title"/>
    <w:rsid w:val="006E7E8D"/>
    <w:rPr>
      <w:rFonts w:ascii="Calibri" w:hAnsi="Times New Roman Bold" w:cs="Arial"/>
      <w:b/>
      <w:bCs/>
      <w:caps/>
      <w:kern w:val="28"/>
      <w:sz w:val="21"/>
      <w:szCs w:val="20"/>
    </w:rPr>
  </w:style>
  <w:style w:type="paragraph" w:styleId="TOC1">
    <w:name w:val="toc 1"/>
    <w:basedOn w:val="Normal"/>
    <w:next w:val="Normal"/>
    <w:autoRedefine/>
    <w:rsid w:val="006E7E8D"/>
    <w:pPr>
      <w:tabs>
        <w:tab w:val="right" w:pos="9015"/>
      </w:tabs>
    </w:pPr>
    <w:rPr>
      <w:caps/>
    </w:rPr>
  </w:style>
  <w:style w:type="paragraph" w:styleId="TOC2">
    <w:name w:val="toc 2"/>
    <w:basedOn w:val="Normal"/>
    <w:next w:val="Normal"/>
    <w:rsid w:val="006E7E8D"/>
    <w:pPr>
      <w:tabs>
        <w:tab w:val="right" w:pos="9015"/>
      </w:tabs>
      <w:ind w:left="703"/>
    </w:pPr>
  </w:style>
  <w:style w:type="paragraph" w:styleId="TOC3">
    <w:name w:val="toc 3"/>
    <w:basedOn w:val="Normal"/>
    <w:next w:val="Normal"/>
    <w:autoRedefine/>
    <w:rsid w:val="006E7E8D"/>
    <w:pPr>
      <w:ind w:left="440"/>
    </w:pPr>
  </w:style>
  <w:style w:type="paragraph" w:styleId="TOC4">
    <w:name w:val="toc 4"/>
    <w:basedOn w:val="Normal"/>
    <w:next w:val="Normal"/>
    <w:autoRedefine/>
    <w:rsid w:val="006E7E8D"/>
    <w:pPr>
      <w:ind w:left="660"/>
    </w:pPr>
  </w:style>
  <w:style w:type="paragraph" w:styleId="TOC5">
    <w:name w:val="toc 5"/>
    <w:basedOn w:val="Normal"/>
    <w:next w:val="Normal"/>
    <w:autoRedefine/>
    <w:rsid w:val="006E7E8D"/>
    <w:pPr>
      <w:ind w:left="880"/>
    </w:pPr>
  </w:style>
  <w:style w:type="paragraph" w:styleId="TOC6">
    <w:name w:val="toc 6"/>
    <w:basedOn w:val="Normal"/>
    <w:next w:val="Normal"/>
    <w:autoRedefine/>
    <w:rsid w:val="006E7E8D"/>
    <w:pPr>
      <w:ind w:left="1100"/>
    </w:pPr>
  </w:style>
  <w:style w:type="paragraph" w:styleId="TOC7">
    <w:name w:val="toc 7"/>
    <w:basedOn w:val="Normal"/>
    <w:next w:val="Normal"/>
    <w:autoRedefine/>
    <w:rsid w:val="006E7E8D"/>
    <w:pPr>
      <w:ind w:left="1320"/>
    </w:pPr>
  </w:style>
  <w:style w:type="paragraph" w:styleId="TOC8">
    <w:name w:val="toc 8"/>
    <w:basedOn w:val="Normal"/>
    <w:next w:val="Normal"/>
    <w:autoRedefine/>
    <w:rsid w:val="006E7E8D"/>
    <w:pPr>
      <w:ind w:left="1540"/>
    </w:pPr>
  </w:style>
  <w:style w:type="paragraph" w:styleId="TOC9">
    <w:name w:val="toc 9"/>
    <w:basedOn w:val="Normal"/>
    <w:next w:val="Normal"/>
    <w:autoRedefine/>
    <w:rsid w:val="006E7E8D"/>
    <w:pPr>
      <w:ind w:left="1760"/>
    </w:pPr>
  </w:style>
  <w:style w:type="paragraph" w:customStyle="1" w:styleId="TOC10">
    <w:name w:val="TOC1"/>
    <w:basedOn w:val="TOC1"/>
    <w:rsid w:val="006E7E8D"/>
    <w:pPr>
      <w:tabs>
        <w:tab w:val="left" w:pos="720"/>
      </w:tabs>
    </w:pPr>
    <w:rPr>
      <w:caps w:val="0"/>
    </w:rPr>
  </w:style>
  <w:style w:type="paragraph" w:customStyle="1" w:styleId="Default">
    <w:name w:val="Default"/>
    <w:rsid w:val="000C45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4"/>
    <w:rsid w:val="00740F5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40F5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4"/>
    <w:rsid w:val="0074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783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Times New Roman"/>
        <w:sz w:val="18"/>
        <w:szCs w:val="18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4"/>
    <w:lsdException w:name="header" w:uiPriority="99"/>
    <w:lsdException w:name="caption" w:qFormat="1"/>
    <w:lsdException w:name="footnote reference" w:uiPriority="4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E8D"/>
    <w:pPr>
      <w:spacing w:after="240"/>
      <w:jc w:val="both"/>
    </w:pPr>
    <w:rPr>
      <w:rFonts w:ascii="Calibri" w:hAnsi="Calibri"/>
      <w:sz w:val="21"/>
      <w:szCs w:val="20"/>
    </w:rPr>
  </w:style>
  <w:style w:type="paragraph" w:styleId="Heading1">
    <w:name w:val="heading 1"/>
    <w:basedOn w:val="Normal"/>
    <w:next w:val="Normal"/>
    <w:qFormat/>
    <w:rsid w:val="006E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7E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E7E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E7E8D"/>
    <w:pPr>
      <w:numPr>
        <w:numId w:val="13"/>
      </w:numPr>
    </w:pPr>
  </w:style>
  <w:style w:type="paragraph" w:customStyle="1" w:styleId="AgreementFooterGuernsey">
    <w:name w:val="Agreement Footer Guernsey"/>
    <w:basedOn w:val="Normal"/>
    <w:rsid w:val="006E7E8D"/>
    <w:pPr>
      <w:jc w:val="left"/>
    </w:pPr>
    <w:rPr>
      <w:sz w:val="20"/>
    </w:rPr>
  </w:style>
  <w:style w:type="paragraph" w:customStyle="1" w:styleId="AgreementFooterJersey">
    <w:name w:val="Agreement Footer Jersey"/>
    <w:basedOn w:val="Normal"/>
    <w:rsid w:val="006E7E8D"/>
    <w:pPr>
      <w:jc w:val="left"/>
    </w:pPr>
    <w:rPr>
      <w:sz w:val="12"/>
      <w:szCs w:val="12"/>
    </w:rPr>
  </w:style>
  <w:style w:type="paragraph" w:customStyle="1" w:styleId="AgreementHeading1">
    <w:name w:val="Agreement Heading 1"/>
    <w:basedOn w:val="Normal"/>
    <w:next w:val="BlockText"/>
    <w:rsid w:val="006E7E8D"/>
    <w:pPr>
      <w:keepNext/>
      <w:numPr>
        <w:numId w:val="22"/>
      </w:numPr>
    </w:pPr>
    <w:rPr>
      <w:rFonts w:hAnsi="Times New Roman Bold"/>
      <w:b/>
      <w:caps/>
    </w:rPr>
  </w:style>
  <w:style w:type="paragraph" w:styleId="BlockText">
    <w:name w:val="Block Text"/>
    <w:basedOn w:val="Normal"/>
    <w:rsid w:val="006E7E8D"/>
    <w:pPr>
      <w:tabs>
        <w:tab w:val="left" w:pos="720"/>
      </w:tabs>
      <w:ind w:left="720"/>
    </w:pPr>
  </w:style>
  <w:style w:type="paragraph" w:styleId="BodyText">
    <w:name w:val="Body Text"/>
    <w:basedOn w:val="Normal"/>
    <w:link w:val="BodyTextChar"/>
    <w:rsid w:val="006E7E8D"/>
  </w:style>
  <w:style w:type="character" w:customStyle="1" w:styleId="BodyTextChar">
    <w:name w:val="Body Text Char"/>
    <w:basedOn w:val="DefaultParagraphFont"/>
    <w:link w:val="BodyText"/>
    <w:rsid w:val="006E7E8D"/>
    <w:rPr>
      <w:rFonts w:ascii="Calibri" w:hAnsi="Calibri"/>
      <w:sz w:val="21"/>
      <w:szCs w:val="20"/>
    </w:rPr>
  </w:style>
  <w:style w:type="paragraph" w:customStyle="1" w:styleId="AgreementHeading2">
    <w:name w:val="Agreement Heading 2"/>
    <w:basedOn w:val="BodyText"/>
    <w:rsid w:val="006E7E8D"/>
    <w:pPr>
      <w:numPr>
        <w:ilvl w:val="1"/>
        <w:numId w:val="22"/>
      </w:numPr>
    </w:pPr>
  </w:style>
  <w:style w:type="paragraph" w:customStyle="1" w:styleId="AgreementHeading2bold">
    <w:name w:val="Agreement Heading 2 bold"/>
    <w:basedOn w:val="AgreementHeading2"/>
    <w:next w:val="BlockText"/>
    <w:rsid w:val="006E7E8D"/>
    <w:pPr>
      <w:keepNext/>
      <w:numPr>
        <w:ilvl w:val="0"/>
        <w:numId w:val="0"/>
      </w:numPr>
    </w:pPr>
    <w:rPr>
      <w:b/>
    </w:rPr>
  </w:style>
  <w:style w:type="paragraph" w:customStyle="1" w:styleId="AgreementHeading3">
    <w:name w:val="Agreement Heading 3"/>
    <w:basedOn w:val="Normal"/>
    <w:rsid w:val="006E7E8D"/>
    <w:pPr>
      <w:numPr>
        <w:ilvl w:val="2"/>
        <w:numId w:val="22"/>
      </w:numPr>
    </w:pPr>
  </w:style>
  <w:style w:type="paragraph" w:customStyle="1" w:styleId="AgreementHeading4">
    <w:name w:val="Agreement Heading 4"/>
    <w:basedOn w:val="Normal"/>
    <w:rsid w:val="006E7E8D"/>
    <w:pPr>
      <w:numPr>
        <w:ilvl w:val="3"/>
        <w:numId w:val="22"/>
      </w:numPr>
    </w:pPr>
  </w:style>
  <w:style w:type="paragraph" w:customStyle="1" w:styleId="AgreementHeading5">
    <w:name w:val="Agreement Heading 5"/>
    <w:basedOn w:val="Normal"/>
    <w:rsid w:val="006E7E8D"/>
    <w:pPr>
      <w:numPr>
        <w:ilvl w:val="4"/>
        <w:numId w:val="22"/>
      </w:numPr>
    </w:pPr>
  </w:style>
  <w:style w:type="paragraph" w:customStyle="1" w:styleId="AgreementParties">
    <w:name w:val="Agreement Parties"/>
    <w:basedOn w:val="Normal"/>
    <w:rsid w:val="006E7E8D"/>
    <w:pPr>
      <w:numPr>
        <w:numId w:val="20"/>
      </w:numPr>
    </w:pPr>
  </w:style>
  <w:style w:type="paragraph" w:customStyle="1" w:styleId="AgreementRecitals">
    <w:name w:val="Agreement Recitals"/>
    <w:basedOn w:val="Normal"/>
    <w:rsid w:val="006E7E8D"/>
    <w:pPr>
      <w:numPr>
        <w:numId w:val="21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6E7E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7E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E7E8D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6E7E8D"/>
    <w:rPr>
      <w:rFonts w:ascii="Calibri" w:hAnsi="Calibri"/>
      <w:sz w:val="16"/>
      <w:szCs w:val="20"/>
    </w:rPr>
  </w:style>
  <w:style w:type="paragraph" w:customStyle="1" w:styleId="frontcover">
    <w:name w:val="frontcover"/>
    <w:basedOn w:val="Normal"/>
    <w:rsid w:val="006E7E8D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6E7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8D"/>
    <w:rPr>
      <w:rFonts w:ascii="Calibri" w:hAnsi="Calibri"/>
      <w:sz w:val="21"/>
      <w:szCs w:val="20"/>
    </w:rPr>
  </w:style>
  <w:style w:type="character" w:styleId="Hyperlink">
    <w:name w:val="Hyperlink"/>
    <w:rsid w:val="006E7E8D"/>
    <w:rPr>
      <w:color w:val="0000FF"/>
      <w:u w:val="single"/>
    </w:rPr>
  </w:style>
  <w:style w:type="paragraph" w:customStyle="1" w:styleId="Level1noheading">
    <w:name w:val="Level 1 no heading"/>
    <w:basedOn w:val="AgreementHeading1"/>
    <w:rsid w:val="006E7E8D"/>
    <w:pPr>
      <w:numPr>
        <w:numId w:val="0"/>
      </w:numPr>
    </w:pPr>
    <w:rPr>
      <w:rFonts w:hAnsi="Times New Roman"/>
      <w:b w:val="0"/>
      <w:caps w:val="0"/>
    </w:rPr>
  </w:style>
  <w:style w:type="character" w:styleId="PageNumber">
    <w:name w:val="page number"/>
    <w:basedOn w:val="DefaultParagraphFont"/>
    <w:rsid w:val="006E7E8D"/>
  </w:style>
  <w:style w:type="paragraph" w:customStyle="1" w:styleId="ScheduleClauses">
    <w:name w:val="Schedule Clauses"/>
    <w:basedOn w:val="AgreementHeading1"/>
    <w:rsid w:val="006E7E8D"/>
    <w:pPr>
      <w:numPr>
        <w:numId w:val="23"/>
      </w:numPr>
    </w:pPr>
    <w:rPr>
      <w:rFonts w:hAnsi="Times New Roman"/>
      <w:b w:val="0"/>
      <w:caps w:val="0"/>
    </w:rPr>
  </w:style>
  <w:style w:type="paragraph" w:customStyle="1" w:styleId="ScheduleNumber">
    <w:name w:val="Schedule Number"/>
    <w:basedOn w:val="AgreementHeading1"/>
    <w:next w:val="Normal"/>
    <w:rsid w:val="006E7E8D"/>
    <w:pPr>
      <w:keepNext w:val="0"/>
      <w:keepLines/>
      <w:widowControl w:val="0"/>
      <w:numPr>
        <w:numId w:val="0"/>
      </w:numPr>
      <w:jc w:val="center"/>
    </w:pPr>
    <w:rPr>
      <w:rFonts w:hAnsi="Calibri"/>
    </w:rPr>
  </w:style>
  <w:style w:type="paragraph" w:customStyle="1" w:styleId="ScheduleTitle">
    <w:name w:val="Schedule Title"/>
    <w:basedOn w:val="ScheduleNumber"/>
    <w:next w:val="Normal"/>
    <w:rsid w:val="006E7E8D"/>
    <w:rPr>
      <w:b w:val="0"/>
      <w:caps w:val="0"/>
    </w:rPr>
  </w:style>
  <w:style w:type="table" w:styleId="TableGrid">
    <w:name w:val="Table Grid"/>
    <w:basedOn w:val="TableNormal"/>
    <w:rsid w:val="006E7E8D"/>
    <w:pPr>
      <w:spacing w:after="240" w:line="312" w:lineRule="auto"/>
      <w:jc w:val="both"/>
    </w:pPr>
    <w:rPr>
      <w:rFonts w:ascii="Calibri" w:hAnsi="Calibri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E7E8D"/>
    <w:pPr>
      <w:spacing w:before="120" w:after="360"/>
      <w:jc w:val="center"/>
    </w:pPr>
    <w:rPr>
      <w:rFonts w:hAnsi="Times New Roman Bold" w:cs="Arial"/>
      <w:b/>
      <w:bCs/>
      <w:caps/>
      <w:kern w:val="28"/>
    </w:rPr>
  </w:style>
  <w:style w:type="character" w:customStyle="1" w:styleId="TitleChar">
    <w:name w:val="Title Char"/>
    <w:basedOn w:val="DefaultParagraphFont"/>
    <w:link w:val="Title"/>
    <w:rsid w:val="006E7E8D"/>
    <w:rPr>
      <w:rFonts w:ascii="Calibri" w:hAnsi="Times New Roman Bold" w:cs="Arial"/>
      <w:b/>
      <w:bCs/>
      <w:caps/>
      <w:kern w:val="28"/>
      <w:sz w:val="21"/>
      <w:szCs w:val="20"/>
    </w:rPr>
  </w:style>
  <w:style w:type="paragraph" w:styleId="TOC1">
    <w:name w:val="toc 1"/>
    <w:basedOn w:val="Normal"/>
    <w:next w:val="Normal"/>
    <w:autoRedefine/>
    <w:rsid w:val="006E7E8D"/>
    <w:pPr>
      <w:tabs>
        <w:tab w:val="right" w:pos="9015"/>
      </w:tabs>
    </w:pPr>
    <w:rPr>
      <w:caps/>
    </w:rPr>
  </w:style>
  <w:style w:type="paragraph" w:styleId="TOC2">
    <w:name w:val="toc 2"/>
    <w:basedOn w:val="Normal"/>
    <w:next w:val="Normal"/>
    <w:rsid w:val="006E7E8D"/>
    <w:pPr>
      <w:tabs>
        <w:tab w:val="right" w:pos="9015"/>
      </w:tabs>
      <w:ind w:left="703"/>
    </w:pPr>
  </w:style>
  <w:style w:type="paragraph" w:styleId="TOC3">
    <w:name w:val="toc 3"/>
    <w:basedOn w:val="Normal"/>
    <w:next w:val="Normal"/>
    <w:autoRedefine/>
    <w:rsid w:val="006E7E8D"/>
    <w:pPr>
      <w:ind w:left="440"/>
    </w:pPr>
  </w:style>
  <w:style w:type="paragraph" w:styleId="TOC4">
    <w:name w:val="toc 4"/>
    <w:basedOn w:val="Normal"/>
    <w:next w:val="Normal"/>
    <w:autoRedefine/>
    <w:rsid w:val="006E7E8D"/>
    <w:pPr>
      <w:ind w:left="660"/>
    </w:pPr>
  </w:style>
  <w:style w:type="paragraph" w:styleId="TOC5">
    <w:name w:val="toc 5"/>
    <w:basedOn w:val="Normal"/>
    <w:next w:val="Normal"/>
    <w:autoRedefine/>
    <w:rsid w:val="006E7E8D"/>
    <w:pPr>
      <w:ind w:left="880"/>
    </w:pPr>
  </w:style>
  <w:style w:type="paragraph" w:styleId="TOC6">
    <w:name w:val="toc 6"/>
    <w:basedOn w:val="Normal"/>
    <w:next w:val="Normal"/>
    <w:autoRedefine/>
    <w:rsid w:val="006E7E8D"/>
    <w:pPr>
      <w:ind w:left="1100"/>
    </w:pPr>
  </w:style>
  <w:style w:type="paragraph" w:styleId="TOC7">
    <w:name w:val="toc 7"/>
    <w:basedOn w:val="Normal"/>
    <w:next w:val="Normal"/>
    <w:autoRedefine/>
    <w:rsid w:val="006E7E8D"/>
    <w:pPr>
      <w:ind w:left="1320"/>
    </w:pPr>
  </w:style>
  <w:style w:type="paragraph" w:styleId="TOC8">
    <w:name w:val="toc 8"/>
    <w:basedOn w:val="Normal"/>
    <w:next w:val="Normal"/>
    <w:autoRedefine/>
    <w:rsid w:val="006E7E8D"/>
    <w:pPr>
      <w:ind w:left="1540"/>
    </w:pPr>
  </w:style>
  <w:style w:type="paragraph" w:styleId="TOC9">
    <w:name w:val="toc 9"/>
    <w:basedOn w:val="Normal"/>
    <w:next w:val="Normal"/>
    <w:autoRedefine/>
    <w:rsid w:val="006E7E8D"/>
    <w:pPr>
      <w:ind w:left="1760"/>
    </w:pPr>
  </w:style>
  <w:style w:type="paragraph" w:customStyle="1" w:styleId="TOC10">
    <w:name w:val="TOC1"/>
    <w:basedOn w:val="TOC1"/>
    <w:rsid w:val="006E7E8D"/>
    <w:pPr>
      <w:tabs>
        <w:tab w:val="left" w:pos="720"/>
      </w:tabs>
    </w:pPr>
    <w:rPr>
      <w:caps w:val="0"/>
    </w:rPr>
  </w:style>
  <w:style w:type="paragraph" w:customStyle="1" w:styleId="Default">
    <w:name w:val="Default"/>
    <w:rsid w:val="000C45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4"/>
    <w:rsid w:val="00740F5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740F5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4"/>
    <w:rsid w:val="00740F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783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1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ael.rogers@ogier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ex.horsbrugh-porter@ogie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8D29-0F75-4CC2-836D-80930E3A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1195</Words>
  <Characters>6814</Characters>
  <Application>Microsoft Office Word</Application>
  <DocSecurity>0</DocSecurity>
  <PresentationFormat/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7994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Omar</dc:creator>
  <cp:lastModifiedBy>Paul Omar</cp:lastModifiedBy>
  <cp:revision>4</cp:revision>
  <cp:lastPrinted>2017-11-20T20:14:00Z</cp:lastPrinted>
  <dcterms:created xsi:type="dcterms:W3CDTF">2018-01-22T12:07:00Z</dcterms:created>
  <dcterms:modified xsi:type="dcterms:W3CDTF">2018-01-22T12:40:00Z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Footer">
    <vt:lpwstr>1039119/0162/J12269628v1</vt:lpwstr>
  </property>
  <property fmtid="{D5CDD505-2E9C-101B-9397-08002B2CF9AE}" pid="3" name="WSFooter">
    <vt:lpwstr>1039119/0162/J12269628v1</vt:lpwstr>
  </property>
</Properties>
</file>