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B5D" w:rsidRPr="003B5B5D" w:rsidRDefault="003B5B5D" w:rsidP="003B5B5D">
      <w:pPr>
        <w:keepNext/>
        <w:tabs>
          <w:tab w:val="num" w:pos="0"/>
        </w:tabs>
        <w:suppressAutoHyphens/>
        <w:spacing w:after="0" w:line="240" w:lineRule="auto"/>
        <w:ind w:left="432" w:hanging="432"/>
        <w:jc w:val="both"/>
        <w:outlineLvl w:val="0"/>
        <w:rPr>
          <w:rFonts w:ascii="Times New Roman" w:eastAsia="Times New Roman" w:hAnsi="Times New Roman" w:cs="Times New Roman"/>
          <w:b/>
          <w:bCs/>
          <w:sz w:val="20"/>
          <w:szCs w:val="24"/>
          <w:lang w:eastAsia="he-IL" w:bidi="he-IL"/>
        </w:rPr>
      </w:pPr>
    </w:p>
    <w:p w:rsidR="003B5B5D" w:rsidRPr="003B5B5D" w:rsidRDefault="003B5B5D" w:rsidP="003B5B5D">
      <w:pPr>
        <w:suppressAutoHyphens/>
        <w:spacing w:after="0" w:line="240" w:lineRule="auto"/>
        <w:rPr>
          <w:rFonts w:ascii="AvantGarde-Demi" w:eastAsia="Times New Roman" w:hAnsi="AvantGarde-Demi" w:cs="AvantGarde-Demi"/>
          <w:b/>
          <w:bCs/>
          <w:color w:val="FFFFFF"/>
          <w:sz w:val="28"/>
          <w:szCs w:val="28"/>
          <w:lang w:eastAsia="fr-FR"/>
        </w:rPr>
      </w:pPr>
      <w:r w:rsidRPr="003B5B5D">
        <w:rPr>
          <w:rFonts w:ascii="Times New Roman" w:eastAsia="Times New Roman" w:hAnsi="Times New Roman" w:cs="Times New Roman"/>
          <w:sz w:val="96"/>
          <w:szCs w:val="96"/>
          <w:u w:val="single"/>
          <w:lang w:eastAsia="ar-SA"/>
        </w:rPr>
        <w:t xml:space="preserve">e   u   r   o   </w:t>
      </w:r>
      <w:r w:rsidRPr="003B5B5D">
        <w:rPr>
          <w:rFonts w:ascii="Times New Roman" w:eastAsia="Times New Roman" w:hAnsi="Times New Roman" w:cs="Times New Roman"/>
          <w:i/>
          <w:iCs/>
          <w:sz w:val="96"/>
          <w:szCs w:val="96"/>
          <w:u w:val="single"/>
          <w:lang w:eastAsia="ar-SA"/>
        </w:rPr>
        <w:t>f  e  n  i  x</w:t>
      </w:r>
    </w:p>
    <w:p w:rsidR="003B5B5D" w:rsidRPr="003B5B5D" w:rsidRDefault="003B5B5D" w:rsidP="003B5B5D">
      <w:pPr>
        <w:keepNext/>
        <w:numPr>
          <w:ilvl w:val="1"/>
          <w:numId w:val="0"/>
        </w:numPr>
        <w:tabs>
          <w:tab w:val="num" w:pos="0"/>
          <w:tab w:val="left" w:pos="5040"/>
        </w:tabs>
        <w:suppressAutoHyphens/>
        <w:spacing w:after="0" w:line="240" w:lineRule="auto"/>
        <w:ind w:left="576" w:hanging="576"/>
        <w:jc w:val="center"/>
        <w:outlineLvl w:val="1"/>
        <w:rPr>
          <w:rFonts w:ascii="Latha" w:eastAsia="Times New Roman" w:hAnsi="Latha" w:cs="Latha"/>
          <w:b/>
          <w:bCs/>
          <w:iCs/>
          <w:sz w:val="32"/>
          <w:szCs w:val="32"/>
          <w:lang w:eastAsia="he-IL" w:bidi="he-IL"/>
        </w:rPr>
      </w:pPr>
      <w:r w:rsidRPr="003B5B5D">
        <w:rPr>
          <w:rFonts w:ascii="Latha" w:eastAsia="Times New Roman" w:hAnsi="Latha" w:cs="Latha"/>
          <w:b/>
          <w:bCs/>
          <w:iCs/>
          <w:sz w:val="32"/>
          <w:szCs w:val="32"/>
          <w:lang w:eastAsia="he-IL" w:bidi="he-IL"/>
        </w:rPr>
        <w:tab/>
        <w:t xml:space="preserve">               La revue d’INSOL Europe</w:t>
      </w:r>
    </w:p>
    <w:p w:rsidR="003B5B5D" w:rsidRPr="003B5B5D" w:rsidRDefault="003B5B5D" w:rsidP="003B5B5D">
      <w:pPr>
        <w:tabs>
          <w:tab w:val="left" w:pos="5220"/>
        </w:tabs>
        <w:suppressAutoHyphens/>
        <w:spacing w:after="0" w:line="240" w:lineRule="auto"/>
        <w:rPr>
          <w:rFonts w:ascii="Times New Roman" w:eastAsia="Times New Roman" w:hAnsi="Times New Roman" w:cs="Times New Roman"/>
          <w:b/>
          <w:sz w:val="24"/>
          <w:szCs w:val="24"/>
          <w:lang w:eastAsia="he-IL" w:bidi="he-IL"/>
        </w:rPr>
      </w:pPr>
      <w:r w:rsidRPr="003B5B5D">
        <w:rPr>
          <w:rFonts w:ascii="Times New Roman" w:eastAsia="Times New Roman" w:hAnsi="Times New Roman" w:cs="Times New Roman"/>
          <w:sz w:val="24"/>
          <w:szCs w:val="24"/>
          <w:lang w:eastAsia="he-IL" w:bidi="he-IL"/>
        </w:rPr>
        <w:tab/>
      </w:r>
      <w:r w:rsidRPr="003B5B5D">
        <w:rPr>
          <w:rFonts w:ascii="Times New Roman" w:eastAsia="Times New Roman" w:hAnsi="Times New Roman" w:cs="Times New Roman"/>
          <w:sz w:val="24"/>
          <w:szCs w:val="24"/>
          <w:lang w:eastAsia="he-IL" w:bidi="he-IL"/>
        </w:rPr>
        <w:tab/>
      </w:r>
      <w:r w:rsidRPr="003B5B5D">
        <w:rPr>
          <w:rFonts w:ascii="Times New Roman" w:eastAsia="Times New Roman" w:hAnsi="Times New Roman" w:cs="Times New Roman"/>
          <w:sz w:val="24"/>
          <w:szCs w:val="24"/>
          <w:lang w:eastAsia="he-IL" w:bidi="he-IL"/>
        </w:rPr>
        <w:tab/>
      </w:r>
      <w:r w:rsidRPr="003B5B5D">
        <w:rPr>
          <w:rFonts w:ascii="Times New Roman" w:eastAsia="Times New Roman" w:hAnsi="Times New Roman" w:cs="Times New Roman"/>
          <w:b/>
          <w:sz w:val="24"/>
          <w:szCs w:val="24"/>
          <w:lang w:eastAsia="he-IL" w:bidi="he-IL"/>
        </w:rPr>
        <w:t xml:space="preserve">Printemps </w:t>
      </w:r>
      <w:r w:rsidRPr="003B5B5D">
        <w:rPr>
          <w:rFonts w:ascii="Latha" w:eastAsia="Times New Roman" w:hAnsi="Latha" w:cs="Latha"/>
          <w:b/>
          <w:sz w:val="24"/>
          <w:szCs w:val="24"/>
          <w:lang w:eastAsia="he-IL" w:bidi="he-IL"/>
        </w:rPr>
        <w:t>2018</w:t>
      </w:r>
    </w:p>
    <w:p w:rsidR="003B5B5D" w:rsidRPr="003B5B5D" w:rsidRDefault="003B5B5D" w:rsidP="003B5B5D">
      <w:pPr>
        <w:suppressAutoHyphens/>
        <w:spacing w:after="0" w:line="240" w:lineRule="auto"/>
        <w:rPr>
          <w:rFonts w:ascii="Times New Roman" w:eastAsia="Times New Roman" w:hAnsi="Times New Roman" w:cs="Times New Roman"/>
          <w:sz w:val="44"/>
          <w:szCs w:val="44"/>
          <w:lang w:eastAsia="he-IL" w:bidi="he-IL"/>
        </w:rPr>
      </w:pPr>
    </w:p>
    <w:p w:rsidR="003B5B5D" w:rsidRPr="003B5B5D" w:rsidRDefault="003B5B5D" w:rsidP="003B5B5D">
      <w:pPr>
        <w:suppressAutoHyphens/>
        <w:spacing w:after="0" w:line="240" w:lineRule="auto"/>
        <w:ind w:firstLine="7020"/>
        <w:rPr>
          <w:rFonts w:ascii="Times New Roman" w:eastAsia="Courier 10cpi" w:hAnsi="Times New Roman" w:cs="Courier 10cpi"/>
          <w:b/>
          <w:color w:val="010101"/>
          <w:sz w:val="48"/>
          <w:szCs w:val="48"/>
          <w:lang w:eastAsia="ar-SA"/>
        </w:rPr>
      </w:pPr>
      <w:r w:rsidRPr="003B5B5D">
        <w:rPr>
          <w:rFonts w:ascii="Times New Roman" w:eastAsia="Times New Roman" w:hAnsi="Times New Roman" w:cs="Times New Roman"/>
          <w:noProof/>
          <w:lang w:eastAsia="fr-FR"/>
        </w:rPr>
        <w:drawing>
          <wp:inline distT="0" distB="0" distL="0" distR="0" wp14:anchorId="417E7BF9" wp14:editId="2C66E0CA">
            <wp:extent cx="800100" cy="72390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723900"/>
                    </a:xfrm>
                    <a:prstGeom prst="rect">
                      <a:avLst/>
                    </a:prstGeom>
                    <a:solidFill>
                      <a:srgbClr val="FFFFFF"/>
                    </a:solidFill>
                    <a:ln>
                      <a:noFill/>
                    </a:ln>
                  </pic:spPr>
                </pic:pic>
              </a:graphicData>
            </a:graphic>
          </wp:inline>
        </w:drawing>
      </w:r>
    </w:p>
    <w:p w:rsidR="003B5B5D" w:rsidRDefault="003B5B5D" w:rsidP="003B5B5D">
      <w:pPr>
        <w:suppressAutoHyphens/>
        <w:spacing w:after="0" w:line="240" w:lineRule="auto"/>
        <w:rPr>
          <w:rFonts w:ascii="Times New Roman" w:eastAsia="Times New Roman" w:hAnsi="Times New Roman" w:cs="Times New Roman"/>
          <w:b/>
          <w:bCs/>
          <w:sz w:val="24"/>
          <w:szCs w:val="24"/>
          <w:lang w:eastAsia="he-IL" w:bidi="he-IL"/>
        </w:rPr>
      </w:pPr>
    </w:p>
    <w:p w:rsidR="008563A8" w:rsidRDefault="008563A8" w:rsidP="003B5B5D">
      <w:pPr>
        <w:suppressAutoHyphens/>
        <w:spacing w:after="0" w:line="240" w:lineRule="auto"/>
        <w:rPr>
          <w:rFonts w:ascii="Times New Roman" w:eastAsia="Times New Roman" w:hAnsi="Times New Roman" w:cs="Times New Roman"/>
          <w:b/>
          <w:bCs/>
          <w:sz w:val="24"/>
          <w:szCs w:val="24"/>
          <w:lang w:eastAsia="he-IL" w:bidi="he-IL"/>
        </w:rPr>
      </w:pPr>
    </w:p>
    <w:p w:rsidR="008563A8" w:rsidRPr="003B5B5D" w:rsidRDefault="008563A8" w:rsidP="003B5B5D">
      <w:pPr>
        <w:suppressAutoHyphens/>
        <w:spacing w:after="0" w:line="240" w:lineRule="auto"/>
        <w:rPr>
          <w:rFonts w:ascii="Times New Roman" w:eastAsia="Times New Roman" w:hAnsi="Times New Roman" w:cs="Times New Roman"/>
          <w:b/>
          <w:bCs/>
          <w:sz w:val="24"/>
          <w:szCs w:val="24"/>
          <w:lang w:eastAsia="he-IL" w:bidi="he-IL"/>
        </w:rPr>
      </w:pPr>
    </w:p>
    <w:p w:rsidR="003B5B5D" w:rsidRPr="003B5B5D" w:rsidRDefault="003B5B5D" w:rsidP="003B5B5D">
      <w:pPr>
        <w:suppressAutoHyphens/>
        <w:spacing w:after="0" w:line="240" w:lineRule="auto"/>
        <w:ind w:left="3540" w:firstLine="708"/>
        <w:rPr>
          <w:rFonts w:ascii="Arial" w:eastAsia="Times New Roman" w:hAnsi="Arial" w:cs="Arial"/>
          <w:i/>
          <w:sz w:val="28"/>
          <w:szCs w:val="28"/>
          <w:lang w:eastAsia="fr-FR"/>
        </w:rPr>
      </w:pPr>
    </w:p>
    <w:p w:rsidR="00113CF4" w:rsidRDefault="008D04BF" w:rsidP="00113CF4">
      <w:pPr>
        <w:suppressAutoHyphens/>
        <w:spacing w:after="0" w:line="240" w:lineRule="auto"/>
        <w:rPr>
          <w:rFonts w:ascii="Arial" w:eastAsia="Times New Roman" w:hAnsi="Arial" w:cs="Arial"/>
          <w:i/>
          <w:sz w:val="28"/>
          <w:szCs w:val="28"/>
          <w:lang w:eastAsia="fr-FR"/>
        </w:rPr>
      </w:pPr>
      <w:r w:rsidRPr="00C7111E">
        <w:rPr>
          <w:rFonts w:ascii="Times New Roman" w:hAnsi="Times New Roman" w:cs="Times New Roman"/>
          <w:b/>
          <w:sz w:val="48"/>
          <w:szCs w:val="48"/>
        </w:rPr>
        <w:t>Désignation des PI par tirage au sort</w:t>
      </w:r>
    </w:p>
    <w:p w:rsidR="003B5B5D" w:rsidRPr="00113CF4" w:rsidRDefault="00113CF4" w:rsidP="00113CF4">
      <w:pPr>
        <w:suppressAutoHyphens/>
        <w:spacing w:after="0" w:line="240" w:lineRule="auto"/>
        <w:rPr>
          <w:rFonts w:ascii="Arial" w:eastAsia="Times New Roman" w:hAnsi="Arial" w:cs="Arial"/>
          <w:i/>
          <w:sz w:val="28"/>
          <w:szCs w:val="28"/>
          <w:lang w:eastAsia="fr-FR"/>
        </w:rPr>
      </w:pPr>
      <w:r w:rsidRPr="006616DA">
        <w:rPr>
          <w:rFonts w:ascii="Arial Narrow" w:hAnsi="Arial Narrow" w:cs="Times New Roman"/>
          <w:i/>
          <w:sz w:val="24"/>
          <w:szCs w:val="24"/>
        </w:rPr>
        <w:t>Comparaison du nouveau système lituanien aux systèmes slovaque et hongrois</w:t>
      </w:r>
    </w:p>
    <w:p w:rsidR="003B5B5D" w:rsidRPr="003B5B5D" w:rsidRDefault="003B5B5D" w:rsidP="003B5B5D">
      <w:pPr>
        <w:suppressAutoHyphens/>
        <w:spacing w:after="0" w:line="240" w:lineRule="auto"/>
        <w:jc w:val="both"/>
        <w:rPr>
          <w:rFonts w:ascii="Times New Roman" w:eastAsia="Times New Roman" w:hAnsi="Times New Roman" w:cs="Times New Roman"/>
          <w:b/>
          <w:bCs/>
          <w:sz w:val="24"/>
          <w:szCs w:val="24"/>
          <w:lang w:eastAsia="he-IL" w:bidi="he-IL"/>
        </w:rPr>
      </w:pPr>
    </w:p>
    <w:p w:rsidR="008563A8" w:rsidRDefault="008563A8" w:rsidP="003B5B5D">
      <w:pPr>
        <w:suppressAutoHyphens/>
        <w:spacing w:after="0" w:line="240" w:lineRule="auto"/>
        <w:jc w:val="both"/>
        <w:rPr>
          <w:rFonts w:ascii="Times New Roman" w:eastAsia="Times New Roman" w:hAnsi="Times New Roman" w:cs="Times New Roman"/>
          <w:b/>
          <w:bCs/>
          <w:sz w:val="24"/>
          <w:szCs w:val="24"/>
          <w:lang w:eastAsia="he-IL" w:bidi="he-IL"/>
        </w:rPr>
      </w:pPr>
    </w:p>
    <w:p w:rsidR="003B5B5D" w:rsidRPr="003B5B5D" w:rsidRDefault="003B5B5D" w:rsidP="003B5B5D">
      <w:pPr>
        <w:suppressAutoHyphens/>
        <w:spacing w:after="0" w:line="240" w:lineRule="auto"/>
        <w:jc w:val="both"/>
        <w:rPr>
          <w:rFonts w:ascii="Times New Roman" w:eastAsia="Times New Roman" w:hAnsi="Times New Roman" w:cs="Times New Roman"/>
          <w:b/>
          <w:bCs/>
          <w:sz w:val="32"/>
          <w:szCs w:val="32"/>
          <w:lang w:eastAsia="he-IL" w:bidi="he-IL"/>
        </w:rPr>
      </w:pPr>
      <w:r w:rsidRPr="003B5B5D">
        <w:rPr>
          <w:rFonts w:ascii="Times New Roman" w:eastAsia="Times New Roman" w:hAnsi="Times New Roman" w:cs="Times New Roman"/>
          <w:b/>
          <w:bCs/>
          <w:sz w:val="24"/>
          <w:szCs w:val="24"/>
          <w:lang w:eastAsia="he-IL" w:bidi="he-IL"/>
        </w:rPr>
        <w:tab/>
      </w:r>
      <w:r w:rsidRPr="003B5B5D">
        <w:rPr>
          <w:rFonts w:ascii="Times New Roman" w:eastAsia="Times New Roman" w:hAnsi="Times New Roman" w:cs="Times New Roman"/>
          <w:b/>
          <w:bCs/>
          <w:sz w:val="24"/>
          <w:szCs w:val="24"/>
          <w:lang w:eastAsia="he-IL" w:bidi="he-IL"/>
        </w:rPr>
        <w:tab/>
      </w:r>
      <w:r w:rsidRPr="003B5B5D">
        <w:rPr>
          <w:rFonts w:ascii="Times New Roman" w:eastAsia="Times New Roman" w:hAnsi="Times New Roman" w:cs="Times New Roman"/>
          <w:b/>
          <w:bCs/>
          <w:sz w:val="24"/>
          <w:szCs w:val="24"/>
          <w:lang w:eastAsia="he-IL" w:bidi="he-IL"/>
        </w:rPr>
        <w:tab/>
      </w:r>
      <w:r w:rsidRPr="003B5B5D">
        <w:rPr>
          <w:rFonts w:ascii="Times New Roman" w:eastAsia="Times New Roman" w:hAnsi="Times New Roman" w:cs="Times New Roman"/>
          <w:b/>
          <w:bCs/>
          <w:sz w:val="24"/>
          <w:szCs w:val="24"/>
          <w:lang w:eastAsia="he-IL" w:bidi="he-IL"/>
        </w:rPr>
        <w:tab/>
      </w:r>
      <w:r w:rsidRPr="003B5B5D">
        <w:rPr>
          <w:rFonts w:ascii="Times New Roman" w:eastAsia="Times New Roman" w:hAnsi="Times New Roman" w:cs="Times New Roman"/>
          <w:b/>
          <w:bCs/>
          <w:sz w:val="24"/>
          <w:szCs w:val="24"/>
          <w:lang w:eastAsia="he-IL" w:bidi="he-IL"/>
        </w:rPr>
        <w:tab/>
      </w:r>
      <w:r w:rsidRPr="003B5B5D">
        <w:rPr>
          <w:rFonts w:ascii="Times New Roman" w:eastAsia="Times New Roman" w:hAnsi="Times New Roman" w:cs="Times New Roman"/>
          <w:b/>
          <w:bCs/>
          <w:sz w:val="24"/>
          <w:szCs w:val="24"/>
          <w:lang w:eastAsia="he-IL" w:bidi="he-IL"/>
        </w:rPr>
        <w:tab/>
      </w:r>
    </w:p>
    <w:p w:rsidR="00113CF4" w:rsidRDefault="003B5B5D" w:rsidP="00113CF4">
      <w:pPr>
        <w:spacing w:after="0" w:line="240" w:lineRule="auto"/>
        <w:jc w:val="center"/>
        <w:rPr>
          <w:rFonts w:ascii="Times New Roman" w:hAnsi="Times New Roman" w:cs="Times New Roman"/>
          <w:b/>
          <w:sz w:val="48"/>
          <w:szCs w:val="48"/>
        </w:rPr>
      </w:pPr>
      <w:r w:rsidRPr="003B5B5D">
        <w:rPr>
          <w:rFonts w:ascii="Times New Roman" w:eastAsia="Times New Roman" w:hAnsi="Times New Roman" w:cs="Times New Roman"/>
          <w:b/>
          <w:bCs/>
          <w:sz w:val="40"/>
          <w:szCs w:val="40"/>
          <w:lang w:eastAsia="he-IL" w:bidi="he-IL"/>
        </w:rPr>
        <w:t xml:space="preserve">                               </w:t>
      </w:r>
      <w:r w:rsidRPr="008563A8">
        <w:rPr>
          <w:rFonts w:ascii="Times New Roman" w:eastAsia="Times New Roman" w:hAnsi="Times New Roman" w:cs="Times New Roman"/>
          <w:b/>
          <w:bCs/>
          <w:i/>
          <w:sz w:val="40"/>
          <w:szCs w:val="40"/>
          <w:lang w:eastAsia="he-IL" w:bidi="he-IL"/>
        </w:rPr>
        <w:t xml:space="preserve">  </w:t>
      </w:r>
      <w:r w:rsidR="00113CF4" w:rsidRPr="008563A8">
        <w:rPr>
          <w:rFonts w:ascii="Times New Roman" w:hAnsi="Times New Roman" w:cs="Times New Roman"/>
          <w:b/>
          <w:i/>
          <w:sz w:val="48"/>
          <w:szCs w:val="48"/>
        </w:rPr>
        <w:t>Cybersécurité </w:t>
      </w:r>
      <w:r w:rsidR="00113CF4" w:rsidRPr="00A867E1">
        <w:rPr>
          <w:rFonts w:ascii="Times New Roman" w:hAnsi="Times New Roman" w:cs="Times New Roman"/>
          <w:b/>
          <w:sz w:val="48"/>
          <w:szCs w:val="48"/>
        </w:rPr>
        <w:t xml:space="preserve">: </w:t>
      </w:r>
    </w:p>
    <w:p w:rsidR="00113CF4" w:rsidRPr="008563A8" w:rsidRDefault="00113CF4" w:rsidP="00113CF4">
      <w:pPr>
        <w:suppressAutoHyphens/>
        <w:spacing w:after="0" w:line="240" w:lineRule="auto"/>
        <w:ind w:left="1416"/>
        <w:jc w:val="both"/>
        <w:rPr>
          <w:rFonts w:ascii="Times New Roman" w:hAnsi="Times New Roman" w:cs="Times New Roman"/>
          <w:b/>
          <w:sz w:val="40"/>
          <w:szCs w:val="40"/>
        </w:rPr>
      </w:pPr>
      <w:r>
        <w:rPr>
          <w:rFonts w:ascii="Times New Roman" w:hAnsi="Times New Roman" w:cs="Times New Roman"/>
          <w:b/>
          <w:sz w:val="48"/>
          <w:szCs w:val="48"/>
        </w:rPr>
        <w:t xml:space="preserve">      </w:t>
      </w:r>
      <w:r>
        <w:rPr>
          <w:rFonts w:ascii="Times New Roman" w:hAnsi="Times New Roman" w:cs="Times New Roman"/>
          <w:b/>
          <w:sz w:val="48"/>
          <w:szCs w:val="48"/>
        </w:rPr>
        <w:tab/>
      </w:r>
      <w:r>
        <w:rPr>
          <w:rFonts w:ascii="Times New Roman" w:hAnsi="Times New Roman" w:cs="Times New Roman"/>
          <w:b/>
          <w:sz w:val="48"/>
          <w:szCs w:val="48"/>
        </w:rPr>
        <w:tab/>
      </w:r>
      <w:r>
        <w:rPr>
          <w:rFonts w:ascii="Times New Roman" w:hAnsi="Times New Roman" w:cs="Times New Roman"/>
          <w:b/>
          <w:sz w:val="48"/>
          <w:szCs w:val="48"/>
        </w:rPr>
        <w:tab/>
      </w:r>
      <w:r>
        <w:rPr>
          <w:rFonts w:ascii="Times New Roman" w:hAnsi="Times New Roman" w:cs="Times New Roman"/>
          <w:b/>
          <w:sz w:val="48"/>
          <w:szCs w:val="48"/>
        </w:rPr>
        <w:tab/>
      </w:r>
      <w:r w:rsidRPr="008563A8">
        <w:rPr>
          <w:rFonts w:ascii="Times New Roman" w:hAnsi="Times New Roman" w:cs="Times New Roman"/>
          <w:b/>
          <w:sz w:val="40"/>
          <w:szCs w:val="40"/>
        </w:rPr>
        <w:t xml:space="preserve">toutes les entreprises </w:t>
      </w:r>
    </w:p>
    <w:p w:rsidR="003B5B5D" w:rsidRPr="003B5B5D" w:rsidRDefault="00113CF4" w:rsidP="00113CF4">
      <w:pPr>
        <w:suppressAutoHyphens/>
        <w:spacing w:after="0" w:line="240" w:lineRule="auto"/>
        <w:ind w:left="4248" w:firstLine="708"/>
        <w:jc w:val="both"/>
        <w:rPr>
          <w:rFonts w:ascii="Times New Roman" w:eastAsia="Times New Roman" w:hAnsi="Times New Roman" w:cs="Times New Roman"/>
          <w:b/>
          <w:bCs/>
          <w:sz w:val="32"/>
          <w:szCs w:val="32"/>
          <w:lang w:eastAsia="he-IL" w:bidi="he-IL"/>
        </w:rPr>
      </w:pPr>
      <w:r w:rsidRPr="008563A8">
        <w:rPr>
          <w:rFonts w:ascii="Times New Roman" w:hAnsi="Times New Roman" w:cs="Times New Roman"/>
          <w:b/>
          <w:sz w:val="40"/>
          <w:szCs w:val="40"/>
        </w:rPr>
        <w:t>sont concernées</w:t>
      </w:r>
    </w:p>
    <w:p w:rsidR="003B5B5D" w:rsidRPr="003B5B5D" w:rsidRDefault="00113CF4" w:rsidP="003B5B5D">
      <w:pPr>
        <w:suppressAutoHyphens/>
        <w:spacing w:after="0" w:line="240" w:lineRule="auto"/>
        <w:jc w:val="both"/>
        <w:rPr>
          <w:rFonts w:ascii="Times New Roman" w:eastAsia="Times New Roman" w:hAnsi="Times New Roman" w:cs="Times New Roman"/>
          <w:b/>
          <w:bCs/>
          <w:sz w:val="24"/>
          <w:szCs w:val="24"/>
          <w:lang w:eastAsia="he-IL" w:bidi="he-IL"/>
        </w:rPr>
      </w:pPr>
      <w:r>
        <w:rPr>
          <w:rFonts w:ascii="Times New Roman" w:eastAsia="Times New Roman" w:hAnsi="Times New Roman" w:cs="Times New Roman"/>
          <w:b/>
          <w:bCs/>
          <w:sz w:val="24"/>
          <w:szCs w:val="24"/>
          <w:lang w:eastAsia="he-IL" w:bidi="he-IL"/>
        </w:rPr>
        <w:tab/>
      </w:r>
      <w:r>
        <w:rPr>
          <w:rFonts w:ascii="Times New Roman" w:eastAsia="Times New Roman" w:hAnsi="Times New Roman" w:cs="Times New Roman"/>
          <w:b/>
          <w:bCs/>
          <w:sz w:val="24"/>
          <w:szCs w:val="24"/>
          <w:lang w:eastAsia="he-IL" w:bidi="he-IL"/>
        </w:rPr>
        <w:tab/>
      </w:r>
      <w:r>
        <w:rPr>
          <w:rFonts w:ascii="Times New Roman" w:eastAsia="Times New Roman" w:hAnsi="Times New Roman" w:cs="Times New Roman"/>
          <w:b/>
          <w:bCs/>
          <w:sz w:val="24"/>
          <w:szCs w:val="24"/>
          <w:lang w:eastAsia="he-IL" w:bidi="he-IL"/>
        </w:rPr>
        <w:tab/>
      </w:r>
      <w:r>
        <w:rPr>
          <w:rFonts w:ascii="Times New Roman" w:eastAsia="Times New Roman" w:hAnsi="Times New Roman" w:cs="Times New Roman"/>
          <w:b/>
          <w:bCs/>
          <w:sz w:val="24"/>
          <w:szCs w:val="24"/>
          <w:lang w:eastAsia="he-IL" w:bidi="he-IL"/>
        </w:rPr>
        <w:tab/>
      </w:r>
      <w:r>
        <w:rPr>
          <w:rFonts w:ascii="Times New Roman" w:eastAsia="Times New Roman" w:hAnsi="Times New Roman" w:cs="Times New Roman"/>
          <w:b/>
          <w:bCs/>
          <w:sz w:val="24"/>
          <w:szCs w:val="24"/>
          <w:lang w:eastAsia="he-IL" w:bidi="he-IL"/>
        </w:rPr>
        <w:tab/>
      </w:r>
      <w:r>
        <w:rPr>
          <w:rFonts w:ascii="Times New Roman" w:eastAsia="Times New Roman" w:hAnsi="Times New Roman" w:cs="Times New Roman"/>
          <w:b/>
          <w:bCs/>
          <w:sz w:val="24"/>
          <w:szCs w:val="24"/>
          <w:lang w:eastAsia="he-IL" w:bidi="he-IL"/>
        </w:rPr>
        <w:tab/>
      </w:r>
      <w:r>
        <w:rPr>
          <w:rFonts w:ascii="Times New Roman" w:eastAsia="Times New Roman" w:hAnsi="Times New Roman" w:cs="Times New Roman"/>
          <w:b/>
          <w:bCs/>
          <w:sz w:val="24"/>
          <w:szCs w:val="24"/>
          <w:lang w:eastAsia="he-IL" w:bidi="he-IL"/>
        </w:rPr>
        <w:tab/>
        <w:t>(pas si, mais quand…)</w:t>
      </w:r>
    </w:p>
    <w:p w:rsidR="003B5B5D" w:rsidRPr="003B5B5D" w:rsidRDefault="003B5B5D" w:rsidP="003B5B5D">
      <w:pPr>
        <w:suppressAutoHyphens/>
        <w:spacing w:after="0" w:line="240" w:lineRule="auto"/>
        <w:jc w:val="both"/>
        <w:rPr>
          <w:rFonts w:ascii="Times New Roman" w:eastAsia="Times New Roman" w:hAnsi="Times New Roman" w:cs="Times New Roman"/>
          <w:b/>
          <w:bCs/>
          <w:sz w:val="24"/>
          <w:szCs w:val="24"/>
          <w:lang w:eastAsia="he-IL" w:bidi="he-IL"/>
        </w:rPr>
      </w:pPr>
    </w:p>
    <w:p w:rsidR="003B5B5D" w:rsidRPr="003B5B5D" w:rsidRDefault="003B5B5D" w:rsidP="003B5B5D">
      <w:pPr>
        <w:suppressAutoHyphens/>
        <w:spacing w:after="0" w:line="240" w:lineRule="auto"/>
        <w:jc w:val="both"/>
        <w:rPr>
          <w:rFonts w:ascii="Times New Roman" w:eastAsia="Times New Roman" w:hAnsi="Times New Roman" w:cs="Times New Roman"/>
          <w:b/>
          <w:bCs/>
          <w:sz w:val="24"/>
          <w:szCs w:val="24"/>
          <w:lang w:eastAsia="he-IL" w:bidi="he-IL"/>
        </w:rPr>
      </w:pPr>
      <w:r w:rsidRPr="003B5B5D">
        <w:rPr>
          <w:rFonts w:ascii="Arial" w:eastAsia="Times New Roman" w:hAnsi="Arial" w:cs="Arial"/>
          <w:i/>
          <w:sz w:val="28"/>
          <w:szCs w:val="28"/>
          <w:lang w:eastAsia="fr-FR"/>
        </w:rPr>
        <w:t>Et aussi dans ce numéro :</w:t>
      </w:r>
    </w:p>
    <w:p w:rsidR="003B5B5D" w:rsidRPr="008563A8" w:rsidRDefault="00113CF4" w:rsidP="00113CF4">
      <w:pPr>
        <w:pStyle w:val="Paragraphedeliste"/>
        <w:numPr>
          <w:ilvl w:val="0"/>
          <w:numId w:val="46"/>
        </w:numPr>
        <w:jc w:val="both"/>
        <w:rPr>
          <w:b/>
          <w:bCs/>
          <w:sz w:val="28"/>
          <w:szCs w:val="28"/>
          <w:lang w:eastAsia="he-IL" w:bidi="he-IL"/>
        </w:rPr>
      </w:pPr>
      <w:r w:rsidRPr="008563A8">
        <w:rPr>
          <w:b/>
          <w:bCs/>
          <w:sz w:val="28"/>
          <w:szCs w:val="28"/>
          <w:lang w:eastAsia="he-IL" w:bidi="he-IL"/>
        </w:rPr>
        <w:t>L’Administrateur Judiciaire en France</w:t>
      </w:r>
    </w:p>
    <w:p w:rsidR="00113CF4" w:rsidRPr="008563A8" w:rsidRDefault="00113CF4" w:rsidP="00113CF4">
      <w:pPr>
        <w:pStyle w:val="Paragraphedeliste"/>
        <w:numPr>
          <w:ilvl w:val="0"/>
          <w:numId w:val="46"/>
        </w:numPr>
        <w:jc w:val="both"/>
        <w:rPr>
          <w:b/>
          <w:bCs/>
          <w:sz w:val="28"/>
          <w:szCs w:val="28"/>
          <w:lang w:eastAsia="he-IL" w:bidi="he-IL"/>
        </w:rPr>
      </w:pPr>
      <w:r w:rsidRPr="008563A8">
        <w:rPr>
          <w:b/>
          <w:bCs/>
          <w:sz w:val="28"/>
          <w:szCs w:val="28"/>
          <w:lang w:eastAsia="he-IL" w:bidi="he-IL"/>
        </w:rPr>
        <w:t>L’insolvabilité des entreprises ‘stratégiques’ en Roumanie</w:t>
      </w:r>
    </w:p>
    <w:p w:rsidR="00113CF4" w:rsidRPr="008563A8" w:rsidRDefault="00113CF4" w:rsidP="00113CF4">
      <w:pPr>
        <w:pStyle w:val="Paragraphedeliste"/>
        <w:numPr>
          <w:ilvl w:val="0"/>
          <w:numId w:val="46"/>
        </w:numPr>
        <w:jc w:val="both"/>
        <w:rPr>
          <w:b/>
          <w:bCs/>
          <w:sz w:val="28"/>
          <w:szCs w:val="28"/>
          <w:lang w:eastAsia="he-IL" w:bidi="he-IL"/>
        </w:rPr>
      </w:pPr>
      <w:r w:rsidRPr="008563A8">
        <w:rPr>
          <w:b/>
          <w:bCs/>
          <w:sz w:val="28"/>
          <w:szCs w:val="28"/>
          <w:lang w:eastAsia="he-IL" w:bidi="he-IL"/>
        </w:rPr>
        <w:t>La succéssion d’employeurs en Espagne</w:t>
      </w:r>
    </w:p>
    <w:p w:rsidR="00113CF4" w:rsidRPr="008563A8" w:rsidRDefault="008563A8" w:rsidP="00113CF4">
      <w:pPr>
        <w:pStyle w:val="Paragraphedeliste"/>
        <w:numPr>
          <w:ilvl w:val="0"/>
          <w:numId w:val="46"/>
        </w:numPr>
        <w:jc w:val="both"/>
        <w:rPr>
          <w:b/>
          <w:bCs/>
          <w:sz w:val="28"/>
          <w:szCs w:val="28"/>
          <w:lang w:eastAsia="he-IL" w:bidi="he-IL"/>
        </w:rPr>
      </w:pPr>
      <w:r w:rsidRPr="008563A8">
        <w:rPr>
          <w:b/>
          <w:bCs/>
          <w:sz w:val="28"/>
          <w:szCs w:val="28"/>
          <w:lang w:eastAsia="he-IL" w:bidi="he-IL"/>
        </w:rPr>
        <w:t>Récentes modifications du Registre d’affaires fondées sur le REI</w:t>
      </w:r>
    </w:p>
    <w:p w:rsidR="003B5B5D" w:rsidRPr="008563A8" w:rsidRDefault="003B5B5D" w:rsidP="003B5B5D">
      <w:pPr>
        <w:suppressAutoHyphens/>
        <w:spacing w:after="0" w:line="240" w:lineRule="auto"/>
        <w:jc w:val="both"/>
        <w:rPr>
          <w:rFonts w:ascii="Times New Roman" w:eastAsia="Times New Roman" w:hAnsi="Times New Roman" w:cs="Times New Roman"/>
          <w:b/>
          <w:bCs/>
          <w:sz w:val="28"/>
          <w:szCs w:val="28"/>
          <w:lang w:eastAsia="he-IL" w:bidi="he-IL"/>
        </w:rPr>
      </w:pPr>
      <w:r w:rsidRPr="008563A8">
        <w:rPr>
          <w:rFonts w:ascii="Times New Roman" w:eastAsia="Times New Roman" w:hAnsi="Times New Roman" w:cs="Times New Roman"/>
          <w:b/>
          <w:bCs/>
          <w:sz w:val="28"/>
          <w:szCs w:val="28"/>
          <w:lang w:eastAsia="he-IL" w:bidi="he-IL"/>
        </w:rPr>
        <w:tab/>
      </w:r>
      <w:r w:rsidRPr="008563A8">
        <w:rPr>
          <w:rFonts w:ascii="Times New Roman" w:eastAsia="Times New Roman" w:hAnsi="Times New Roman" w:cs="Times New Roman"/>
          <w:b/>
          <w:bCs/>
          <w:sz w:val="28"/>
          <w:szCs w:val="28"/>
          <w:lang w:eastAsia="he-IL" w:bidi="he-IL"/>
        </w:rPr>
        <w:tab/>
      </w:r>
      <w:r w:rsidRPr="008563A8">
        <w:rPr>
          <w:rFonts w:ascii="Times New Roman" w:eastAsia="Times New Roman" w:hAnsi="Times New Roman" w:cs="Times New Roman"/>
          <w:b/>
          <w:bCs/>
          <w:sz w:val="28"/>
          <w:szCs w:val="28"/>
          <w:lang w:eastAsia="he-IL" w:bidi="he-IL"/>
        </w:rPr>
        <w:tab/>
      </w:r>
      <w:r w:rsidRPr="008563A8">
        <w:rPr>
          <w:rFonts w:ascii="Times New Roman" w:eastAsia="Times New Roman" w:hAnsi="Times New Roman" w:cs="Times New Roman"/>
          <w:b/>
          <w:bCs/>
          <w:sz w:val="28"/>
          <w:szCs w:val="28"/>
          <w:lang w:eastAsia="he-IL" w:bidi="he-IL"/>
        </w:rPr>
        <w:tab/>
      </w:r>
      <w:r w:rsidRPr="008563A8">
        <w:rPr>
          <w:rFonts w:ascii="Times New Roman" w:eastAsia="Times New Roman" w:hAnsi="Times New Roman" w:cs="Times New Roman"/>
          <w:b/>
          <w:bCs/>
          <w:sz w:val="28"/>
          <w:szCs w:val="28"/>
          <w:lang w:eastAsia="he-IL" w:bidi="he-IL"/>
        </w:rPr>
        <w:tab/>
      </w:r>
      <w:r w:rsidRPr="008563A8">
        <w:rPr>
          <w:rFonts w:ascii="Times New Roman" w:eastAsia="Times New Roman" w:hAnsi="Times New Roman" w:cs="Times New Roman"/>
          <w:b/>
          <w:bCs/>
          <w:sz w:val="28"/>
          <w:szCs w:val="28"/>
          <w:lang w:eastAsia="he-IL" w:bidi="he-IL"/>
        </w:rPr>
        <w:tab/>
      </w:r>
      <w:r w:rsidRPr="008563A8">
        <w:rPr>
          <w:rFonts w:ascii="Times New Roman" w:eastAsia="Times New Roman" w:hAnsi="Times New Roman" w:cs="Times New Roman"/>
          <w:b/>
          <w:bCs/>
          <w:sz w:val="28"/>
          <w:szCs w:val="28"/>
          <w:lang w:eastAsia="he-IL" w:bidi="he-IL"/>
        </w:rPr>
        <w:tab/>
      </w:r>
      <w:r w:rsidR="008563A8">
        <w:rPr>
          <w:rFonts w:ascii="Times New Roman" w:eastAsia="Times New Roman" w:hAnsi="Times New Roman" w:cs="Times New Roman"/>
          <w:b/>
          <w:bCs/>
          <w:sz w:val="28"/>
          <w:szCs w:val="28"/>
          <w:lang w:eastAsia="he-IL" w:bidi="he-IL"/>
        </w:rPr>
        <w:t xml:space="preserve">                                                </w:t>
      </w:r>
      <w:r w:rsidRPr="008563A8">
        <w:rPr>
          <w:rFonts w:ascii="Times New Roman" w:eastAsia="Times New Roman" w:hAnsi="Times New Roman" w:cs="Times New Roman"/>
          <w:b/>
          <w:bCs/>
          <w:sz w:val="28"/>
          <w:szCs w:val="28"/>
          <w:lang w:eastAsia="he-IL" w:bidi="he-IL"/>
        </w:rPr>
        <w:t>…et plus</w:t>
      </w:r>
    </w:p>
    <w:p w:rsidR="003B5B5D" w:rsidRPr="003B5B5D" w:rsidRDefault="003B5B5D" w:rsidP="003B5B5D">
      <w:pPr>
        <w:suppressAutoHyphens/>
        <w:spacing w:after="0" w:line="240" w:lineRule="auto"/>
        <w:jc w:val="both"/>
        <w:rPr>
          <w:rFonts w:ascii="Times New Roman" w:eastAsia="Times New Roman" w:hAnsi="Times New Roman" w:cs="Times New Roman"/>
          <w:b/>
          <w:bCs/>
          <w:sz w:val="24"/>
          <w:szCs w:val="24"/>
          <w:lang w:eastAsia="he-IL" w:bidi="he-IL"/>
        </w:rPr>
      </w:pPr>
    </w:p>
    <w:p w:rsidR="003B5B5D" w:rsidRPr="003B5B5D" w:rsidRDefault="003B5B5D" w:rsidP="003B5B5D">
      <w:pPr>
        <w:suppressAutoHyphens/>
        <w:spacing w:after="0" w:line="240" w:lineRule="auto"/>
        <w:jc w:val="both"/>
        <w:rPr>
          <w:rFonts w:ascii="Times New Roman" w:eastAsia="Times New Roman" w:hAnsi="Times New Roman" w:cs="Times New Roman"/>
          <w:b/>
          <w:bCs/>
          <w:sz w:val="24"/>
          <w:szCs w:val="24"/>
          <w:lang w:eastAsia="he-IL" w:bidi="he-IL"/>
        </w:rPr>
      </w:pPr>
    </w:p>
    <w:p w:rsidR="003B5B5D" w:rsidRDefault="003B5B5D" w:rsidP="003B5B5D">
      <w:pPr>
        <w:suppressAutoHyphens/>
        <w:spacing w:after="0" w:line="240" w:lineRule="auto"/>
        <w:jc w:val="both"/>
        <w:rPr>
          <w:rFonts w:ascii="Times New Roman" w:eastAsia="Times New Roman" w:hAnsi="Times New Roman" w:cs="Times New Roman"/>
          <w:b/>
          <w:bCs/>
          <w:sz w:val="24"/>
          <w:szCs w:val="24"/>
          <w:lang w:eastAsia="he-IL" w:bidi="he-IL"/>
        </w:rPr>
      </w:pPr>
    </w:p>
    <w:p w:rsidR="008563A8" w:rsidRPr="003B5B5D" w:rsidRDefault="008563A8" w:rsidP="003B5B5D">
      <w:pPr>
        <w:suppressAutoHyphens/>
        <w:spacing w:after="0" w:line="240" w:lineRule="auto"/>
        <w:jc w:val="both"/>
        <w:rPr>
          <w:rFonts w:ascii="Times New Roman" w:eastAsia="Times New Roman" w:hAnsi="Times New Roman" w:cs="Times New Roman"/>
          <w:b/>
          <w:bCs/>
          <w:sz w:val="24"/>
          <w:szCs w:val="24"/>
          <w:lang w:eastAsia="he-IL" w:bidi="he-IL"/>
        </w:rPr>
      </w:pPr>
    </w:p>
    <w:p w:rsidR="003B5B5D" w:rsidRPr="003B5B5D" w:rsidRDefault="003B5B5D" w:rsidP="003B5B5D">
      <w:pPr>
        <w:suppressAutoHyphens/>
        <w:spacing w:after="0" w:line="240" w:lineRule="auto"/>
        <w:jc w:val="both"/>
        <w:rPr>
          <w:rFonts w:ascii="Times New Roman" w:eastAsia="Times New Roman" w:hAnsi="Times New Roman" w:cs="Times New Roman"/>
          <w:b/>
          <w:bCs/>
          <w:sz w:val="24"/>
          <w:szCs w:val="24"/>
          <w:lang w:eastAsia="he-IL" w:bidi="he-IL"/>
        </w:rPr>
      </w:pPr>
    </w:p>
    <w:p w:rsidR="003B5B5D" w:rsidRPr="003B5B5D" w:rsidRDefault="008563A8" w:rsidP="003B5B5D">
      <w:pPr>
        <w:suppressAutoHyphens/>
        <w:spacing w:after="0" w:line="240" w:lineRule="auto"/>
        <w:jc w:val="both"/>
        <w:rPr>
          <w:rFonts w:ascii="Times New Roman" w:eastAsia="Times New Roman" w:hAnsi="Times New Roman" w:cs="Times New Roman"/>
          <w:b/>
          <w:bCs/>
          <w:sz w:val="24"/>
          <w:szCs w:val="24"/>
          <w:lang w:eastAsia="he-IL" w:bidi="he-IL"/>
        </w:rPr>
      </w:pPr>
      <w:r>
        <w:rPr>
          <w:rFonts w:ascii="Times New Roman" w:eastAsia="Times New Roman" w:hAnsi="Times New Roman" w:cs="Times New Roman"/>
          <w:b/>
          <w:bCs/>
          <w:sz w:val="24"/>
          <w:szCs w:val="24"/>
          <w:lang w:eastAsia="he-IL" w:bidi="he-IL"/>
        </w:rPr>
        <w:t>Numéro70 : € 31</w:t>
      </w:r>
      <w:r w:rsidR="003B5B5D" w:rsidRPr="003B5B5D">
        <w:rPr>
          <w:rFonts w:ascii="Times New Roman" w:eastAsia="Times New Roman" w:hAnsi="Times New Roman" w:cs="Times New Roman"/>
          <w:b/>
          <w:bCs/>
          <w:sz w:val="24"/>
          <w:szCs w:val="24"/>
          <w:lang w:eastAsia="he-IL" w:bidi="he-IL"/>
        </w:rPr>
        <w:tab/>
      </w:r>
      <w:r w:rsidR="003B5B5D" w:rsidRPr="003B5B5D">
        <w:rPr>
          <w:rFonts w:ascii="Times New Roman" w:eastAsia="Times New Roman" w:hAnsi="Times New Roman" w:cs="Times New Roman"/>
          <w:b/>
          <w:bCs/>
          <w:sz w:val="24"/>
          <w:szCs w:val="24"/>
          <w:lang w:eastAsia="he-IL" w:bidi="he-IL"/>
        </w:rPr>
        <w:tab/>
      </w:r>
      <w:r w:rsidR="003B5B5D" w:rsidRPr="003B5B5D">
        <w:rPr>
          <w:rFonts w:ascii="Times New Roman" w:eastAsia="Times New Roman" w:hAnsi="Times New Roman" w:cs="Times New Roman"/>
          <w:b/>
          <w:bCs/>
          <w:sz w:val="24"/>
          <w:szCs w:val="24"/>
          <w:lang w:eastAsia="he-IL" w:bidi="he-IL"/>
        </w:rPr>
        <w:tab/>
      </w:r>
      <w:r w:rsidR="003B5B5D" w:rsidRPr="003B5B5D">
        <w:rPr>
          <w:rFonts w:ascii="Times New Roman" w:eastAsia="Times New Roman" w:hAnsi="Times New Roman" w:cs="Times New Roman"/>
          <w:b/>
          <w:bCs/>
          <w:sz w:val="24"/>
          <w:szCs w:val="24"/>
          <w:lang w:eastAsia="he-IL" w:bidi="he-IL"/>
        </w:rPr>
        <w:tab/>
      </w:r>
      <w:r w:rsidR="003B5B5D" w:rsidRPr="003B5B5D">
        <w:rPr>
          <w:rFonts w:ascii="Times New Roman" w:eastAsia="Times New Roman" w:hAnsi="Times New Roman" w:cs="Times New Roman"/>
          <w:b/>
          <w:bCs/>
          <w:sz w:val="24"/>
          <w:szCs w:val="24"/>
          <w:lang w:eastAsia="he-IL" w:bidi="he-IL"/>
        </w:rPr>
        <w:tab/>
      </w:r>
      <w:r w:rsidR="003B5B5D" w:rsidRPr="003B5B5D">
        <w:rPr>
          <w:rFonts w:ascii="Times New Roman" w:eastAsia="Times New Roman" w:hAnsi="Times New Roman" w:cs="Times New Roman"/>
          <w:b/>
          <w:bCs/>
          <w:sz w:val="24"/>
          <w:szCs w:val="24"/>
          <w:lang w:eastAsia="he-IL" w:bidi="he-IL"/>
        </w:rPr>
        <w:tab/>
      </w:r>
    </w:p>
    <w:p w:rsidR="003B5B5D" w:rsidRPr="003B5B5D" w:rsidRDefault="003B5B5D" w:rsidP="003B5B5D">
      <w:pPr>
        <w:suppressAutoHyphens/>
        <w:spacing w:after="0" w:line="240" w:lineRule="auto"/>
        <w:jc w:val="both"/>
        <w:rPr>
          <w:rFonts w:ascii="Times New Roman" w:eastAsia="Times New Roman" w:hAnsi="Times New Roman" w:cs="Times New Roman"/>
          <w:b/>
          <w:bCs/>
          <w:sz w:val="24"/>
          <w:szCs w:val="24"/>
          <w:lang w:eastAsia="he-IL" w:bidi="he-IL"/>
        </w:rPr>
      </w:pPr>
      <w:r w:rsidRPr="003B5B5D">
        <w:rPr>
          <w:rFonts w:ascii="Times New Roman" w:eastAsia="Times New Roman" w:hAnsi="Times New Roman" w:cs="Times New Roman"/>
          <w:b/>
          <w:bCs/>
          <w:sz w:val="24"/>
          <w:szCs w:val="24"/>
          <w:lang w:eastAsia="he-IL" w:bidi="he-IL"/>
        </w:rPr>
        <w:t>N°ISSN 1752-5187</w:t>
      </w:r>
    </w:p>
    <w:p w:rsidR="003B5B5D" w:rsidRPr="003B5B5D" w:rsidRDefault="003B5B5D" w:rsidP="003B5B5D">
      <w:pPr>
        <w:suppressAutoHyphens/>
        <w:spacing w:after="0" w:line="240" w:lineRule="auto"/>
        <w:jc w:val="both"/>
        <w:rPr>
          <w:rFonts w:ascii="Times New Roman" w:eastAsia="Times New Roman" w:hAnsi="Times New Roman" w:cs="Times New Roman"/>
          <w:b/>
          <w:bCs/>
          <w:sz w:val="24"/>
          <w:szCs w:val="24"/>
          <w:lang w:eastAsia="he-IL" w:bidi="he-IL"/>
        </w:rPr>
      </w:pPr>
    </w:p>
    <w:tbl>
      <w:tblPr>
        <w:tblW w:w="0" w:type="auto"/>
        <w:tblInd w:w="-300" w:type="dxa"/>
        <w:tblLayout w:type="fixed"/>
        <w:tblCellMar>
          <w:left w:w="70" w:type="dxa"/>
          <w:right w:w="70" w:type="dxa"/>
        </w:tblCellMar>
        <w:tblLook w:val="0000" w:firstRow="0" w:lastRow="0" w:firstColumn="0" w:lastColumn="0" w:noHBand="0" w:noVBand="0"/>
      </w:tblPr>
      <w:tblGrid>
        <w:gridCol w:w="4848"/>
        <w:gridCol w:w="372"/>
        <w:gridCol w:w="4880"/>
      </w:tblGrid>
      <w:tr w:rsidR="003B5B5D" w:rsidRPr="003B5B5D" w:rsidTr="0052658C">
        <w:trPr>
          <w:cantSplit/>
        </w:trPr>
        <w:tc>
          <w:tcPr>
            <w:tcW w:w="4848" w:type="dxa"/>
            <w:tcBorders>
              <w:top w:val="single" w:sz="4" w:space="0" w:color="000000"/>
              <w:left w:val="single" w:sz="4" w:space="0" w:color="000000"/>
              <w:bottom w:val="single" w:sz="4" w:space="0" w:color="000000"/>
            </w:tcBorders>
            <w:shd w:val="clear" w:color="auto" w:fill="auto"/>
          </w:tcPr>
          <w:p w:rsidR="003B5B5D" w:rsidRPr="003B5B5D" w:rsidRDefault="003B5B5D" w:rsidP="003B5B5D">
            <w:pPr>
              <w:suppressAutoHyphens/>
              <w:spacing w:after="0" w:line="240" w:lineRule="auto"/>
              <w:rPr>
                <w:rFonts w:ascii="Times New Roman" w:eastAsia="Times New Roman" w:hAnsi="Times New Roman" w:cs="Times New Roman"/>
                <w:b/>
                <w:bCs/>
                <w:sz w:val="20"/>
                <w:szCs w:val="20"/>
                <w:lang w:eastAsia="ar-SA"/>
              </w:rPr>
            </w:pPr>
            <w:r w:rsidRPr="003B5B5D">
              <w:rPr>
                <w:rFonts w:ascii="Times New Roman" w:eastAsia="Times New Roman" w:hAnsi="Times New Roman" w:cs="Times New Roman"/>
                <w:b/>
                <w:bCs/>
                <w:sz w:val="20"/>
                <w:szCs w:val="20"/>
                <w:lang w:eastAsia="ar-SA"/>
              </w:rPr>
              <w:lastRenderedPageBreak/>
              <w:t>CONTACTS :</w:t>
            </w:r>
          </w:p>
          <w:p w:rsidR="003B5B5D" w:rsidRPr="003B5B5D" w:rsidRDefault="003B5B5D" w:rsidP="003B5B5D">
            <w:pPr>
              <w:suppressAutoHyphens/>
              <w:spacing w:after="0" w:line="240" w:lineRule="auto"/>
              <w:rPr>
                <w:rFonts w:ascii="Times New Roman" w:eastAsia="Times New Roman" w:hAnsi="Times New Roman" w:cs="Times New Roman"/>
                <w:b/>
                <w:sz w:val="20"/>
                <w:szCs w:val="20"/>
                <w:lang w:eastAsia="ar-SA"/>
              </w:rPr>
            </w:pPr>
          </w:p>
          <w:p w:rsidR="003B5B5D" w:rsidRPr="003B5B5D" w:rsidRDefault="003B5B5D" w:rsidP="003B5B5D">
            <w:pPr>
              <w:suppressAutoHyphens/>
              <w:spacing w:after="0" w:line="240" w:lineRule="auto"/>
              <w:rPr>
                <w:rFonts w:ascii="Times New Roman" w:eastAsia="Times New Roman" w:hAnsi="Times New Roman" w:cs="Times New Roman"/>
                <w:sz w:val="20"/>
                <w:szCs w:val="20"/>
                <w:lang w:eastAsia="ar-SA"/>
              </w:rPr>
            </w:pPr>
            <w:r w:rsidRPr="003B5B5D">
              <w:rPr>
                <w:rFonts w:ascii="Times New Roman" w:eastAsia="Times New Roman" w:hAnsi="Times New Roman" w:cs="Times New Roman"/>
                <w:b/>
                <w:sz w:val="20"/>
                <w:szCs w:val="20"/>
                <w:lang w:eastAsia="ar-SA"/>
              </w:rPr>
              <w:t>INSOL Europe</w:t>
            </w:r>
          </w:p>
          <w:p w:rsidR="003B5B5D" w:rsidRPr="003B5B5D" w:rsidRDefault="003B5B5D" w:rsidP="003B5B5D">
            <w:pPr>
              <w:suppressAutoHyphens/>
              <w:spacing w:after="0" w:line="240" w:lineRule="auto"/>
              <w:rPr>
                <w:rFonts w:ascii="Times New Roman" w:eastAsia="Times New Roman" w:hAnsi="Times New Roman" w:cs="Times New Roman"/>
                <w:sz w:val="20"/>
                <w:szCs w:val="20"/>
                <w:lang w:eastAsia="ar-SA"/>
              </w:rPr>
            </w:pPr>
            <w:r w:rsidRPr="003B5B5D">
              <w:rPr>
                <w:rFonts w:ascii="Times New Roman" w:eastAsia="Times New Roman" w:hAnsi="Times New Roman" w:cs="Times New Roman"/>
                <w:sz w:val="20"/>
                <w:szCs w:val="20"/>
                <w:lang w:eastAsia="ar-SA"/>
              </w:rPr>
              <w:t xml:space="preserve">PO Box 7149 </w:t>
            </w:r>
          </w:p>
          <w:p w:rsidR="003B5B5D" w:rsidRPr="003B5B5D" w:rsidRDefault="003B5B5D" w:rsidP="003B5B5D">
            <w:pPr>
              <w:suppressAutoHyphens/>
              <w:spacing w:after="0" w:line="240" w:lineRule="auto"/>
              <w:rPr>
                <w:rFonts w:ascii="Times New Roman" w:eastAsia="Times New Roman" w:hAnsi="Times New Roman" w:cs="Times New Roman"/>
                <w:sz w:val="20"/>
                <w:szCs w:val="20"/>
                <w:lang w:eastAsia="ar-SA"/>
              </w:rPr>
            </w:pPr>
            <w:r w:rsidRPr="003B5B5D">
              <w:rPr>
                <w:rFonts w:ascii="Times New Roman" w:eastAsia="Times New Roman" w:hAnsi="Times New Roman" w:cs="Times New Roman"/>
                <w:sz w:val="20"/>
                <w:szCs w:val="20"/>
                <w:lang w:eastAsia="ar-SA"/>
              </w:rPr>
              <w:t>Clifton, Nottingham NG11 6WD, Royaume Uni</w:t>
            </w:r>
          </w:p>
          <w:p w:rsidR="003B5B5D" w:rsidRPr="003B5B5D" w:rsidRDefault="003B5B5D" w:rsidP="003B5B5D">
            <w:pPr>
              <w:suppressAutoHyphens/>
              <w:spacing w:after="0" w:line="240" w:lineRule="auto"/>
              <w:rPr>
                <w:rFonts w:ascii="Times New Roman" w:eastAsia="Times New Roman" w:hAnsi="Times New Roman" w:cs="Times New Roman"/>
                <w:b/>
                <w:sz w:val="20"/>
                <w:szCs w:val="20"/>
                <w:lang w:eastAsia="ar-SA"/>
              </w:rPr>
            </w:pPr>
          </w:p>
          <w:p w:rsidR="003B5B5D" w:rsidRPr="003B5B5D" w:rsidRDefault="003B5B5D" w:rsidP="003B5B5D">
            <w:pPr>
              <w:suppressAutoHyphens/>
              <w:spacing w:after="0" w:line="240" w:lineRule="auto"/>
              <w:rPr>
                <w:rFonts w:ascii="Times New Roman" w:eastAsia="Times New Roman" w:hAnsi="Times New Roman" w:cs="Times New Roman"/>
                <w:sz w:val="20"/>
                <w:szCs w:val="20"/>
                <w:lang w:eastAsia="ar-SA"/>
              </w:rPr>
            </w:pPr>
            <w:r w:rsidRPr="003B5B5D">
              <w:rPr>
                <w:rFonts w:ascii="Times New Roman" w:eastAsia="Times New Roman" w:hAnsi="Times New Roman" w:cs="Times New Roman"/>
                <w:b/>
                <w:sz w:val="20"/>
                <w:szCs w:val="20"/>
                <w:lang w:eastAsia="ar-SA"/>
              </w:rPr>
              <w:t>Renseignements</w:t>
            </w:r>
            <w:r w:rsidRPr="003B5B5D">
              <w:rPr>
                <w:rFonts w:ascii="Times New Roman" w:eastAsia="Times New Roman" w:hAnsi="Times New Roman" w:cs="Times New Roman"/>
                <w:sz w:val="20"/>
                <w:szCs w:val="20"/>
                <w:lang w:eastAsia="ar-SA"/>
              </w:rPr>
              <w:t xml:space="preserve"> : </w:t>
            </w:r>
          </w:p>
          <w:p w:rsidR="003B5B5D" w:rsidRPr="003B5B5D" w:rsidRDefault="003B5B5D" w:rsidP="003B5B5D">
            <w:pPr>
              <w:suppressAutoHyphens/>
              <w:spacing w:after="0" w:line="240" w:lineRule="auto"/>
              <w:rPr>
                <w:rFonts w:ascii="Times New Roman" w:eastAsia="Times New Roman" w:hAnsi="Times New Roman" w:cs="Times New Roman"/>
                <w:b/>
                <w:bCs/>
                <w:sz w:val="20"/>
                <w:szCs w:val="20"/>
                <w:lang w:eastAsia="ar-SA"/>
              </w:rPr>
            </w:pPr>
            <w:r w:rsidRPr="003B5B5D">
              <w:rPr>
                <w:rFonts w:ascii="Times New Roman" w:eastAsia="Times New Roman" w:hAnsi="Times New Roman" w:cs="Times New Roman"/>
                <w:b/>
                <w:bCs/>
                <w:sz w:val="20"/>
                <w:szCs w:val="20"/>
                <w:lang w:eastAsia="ar-SA"/>
              </w:rPr>
              <w:t>Caroline Taylor</w:t>
            </w:r>
          </w:p>
          <w:p w:rsidR="003B5B5D" w:rsidRPr="003B5B5D" w:rsidRDefault="003B5B5D" w:rsidP="003B5B5D">
            <w:pPr>
              <w:suppressAutoHyphens/>
              <w:spacing w:after="0" w:line="240" w:lineRule="auto"/>
              <w:rPr>
                <w:rFonts w:ascii="Times New Roman" w:eastAsia="Times New Roman" w:hAnsi="Times New Roman" w:cs="Times New Roman"/>
                <w:sz w:val="20"/>
                <w:szCs w:val="20"/>
                <w:lang w:eastAsia="ar-SA"/>
              </w:rPr>
            </w:pPr>
            <w:r w:rsidRPr="003B5B5D">
              <w:rPr>
                <w:rFonts w:ascii="Times New Roman" w:eastAsia="Times New Roman" w:hAnsi="Times New Roman" w:cs="Times New Roman"/>
                <w:sz w:val="20"/>
                <w:szCs w:val="20"/>
                <w:lang w:eastAsia="ar-SA"/>
              </w:rPr>
              <w:t>Tél./Fax : +44 115 878 0584</w:t>
            </w:r>
          </w:p>
          <w:p w:rsidR="003B5B5D" w:rsidRPr="003B5B5D" w:rsidRDefault="003B5B5D" w:rsidP="003B5B5D">
            <w:pPr>
              <w:suppressAutoHyphens/>
              <w:spacing w:after="0" w:line="240" w:lineRule="auto"/>
              <w:rPr>
                <w:rFonts w:ascii="Times New Roman" w:eastAsia="Times New Roman" w:hAnsi="Times New Roman" w:cs="Times New Roman"/>
                <w:color w:val="0000FF"/>
                <w:sz w:val="20"/>
                <w:szCs w:val="20"/>
                <w:u w:val="single"/>
                <w:lang w:eastAsia="ar-SA"/>
              </w:rPr>
            </w:pPr>
            <w:r w:rsidRPr="003B5B5D">
              <w:rPr>
                <w:rFonts w:ascii="Times New Roman" w:eastAsia="Times New Roman" w:hAnsi="Times New Roman" w:cs="Times New Roman"/>
                <w:sz w:val="20"/>
                <w:szCs w:val="20"/>
                <w:lang w:val="de-DE" w:eastAsia="ar-SA"/>
              </w:rPr>
              <w:t xml:space="preserve">E-mail : </w:t>
            </w:r>
            <w:hyperlink r:id="rId9" w:history="1">
              <w:r w:rsidRPr="003B5B5D">
                <w:rPr>
                  <w:rFonts w:ascii="Times New Roman" w:eastAsia="Times New Roman" w:hAnsi="Times New Roman" w:cs="Times New Roman"/>
                  <w:color w:val="0000FF"/>
                  <w:sz w:val="20"/>
                  <w:szCs w:val="20"/>
                  <w:u w:val="single"/>
                  <w:lang w:eastAsia="ar-SA"/>
                </w:rPr>
                <w:t>carolinetaylor@insol-europe.org</w:t>
              </w:r>
            </w:hyperlink>
          </w:p>
          <w:p w:rsidR="003B5B5D" w:rsidRPr="003B5B5D" w:rsidRDefault="003B5B5D" w:rsidP="003B5B5D">
            <w:pPr>
              <w:suppressAutoHyphens/>
              <w:spacing w:after="0" w:line="240" w:lineRule="auto"/>
              <w:rPr>
                <w:rFonts w:ascii="Times New Roman" w:eastAsia="Times New Roman" w:hAnsi="Times New Roman" w:cs="Times New Roman"/>
                <w:sz w:val="20"/>
                <w:szCs w:val="20"/>
                <w:lang w:eastAsia="ar-SA"/>
              </w:rPr>
            </w:pPr>
            <w:r w:rsidRPr="003B5B5D">
              <w:rPr>
                <w:rFonts w:ascii="Times New Roman" w:eastAsia="Times New Roman" w:hAnsi="Times New Roman" w:cs="Times New Roman"/>
                <w:sz w:val="20"/>
                <w:szCs w:val="20"/>
                <w:lang w:eastAsia="ar-SA"/>
              </w:rPr>
              <w:t xml:space="preserve">Site internet : </w:t>
            </w:r>
            <w:hyperlink r:id="rId10" w:history="1">
              <w:r w:rsidRPr="003B5B5D">
                <w:rPr>
                  <w:rFonts w:ascii="Times New Roman" w:eastAsia="Times New Roman" w:hAnsi="Times New Roman" w:cs="Times New Roman"/>
                  <w:color w:val="0000FF"/>
                  <w:sz w:val="20"/>
                  <w:szCs w:val="20"/>
                  <w:u w:val="single"/>
                  <w:lang w:eastAsia="ar-SA"/>
                </w:rPr>
                <w:t>www.insol-europe.org</w:t>
              </w:r>
            </w:hyperlink>
          </w:p>
          <w:p w:rsidR="003B5B5D" w:rsidRPr="003B5B5D" w:rsidRDefault="003B5B5D" w:rsidP="003B5B5D">
            <w:pPr>
              <w:suppressAutoHyphens/>
              <w:spacing w:after="0" w:line="240" w:lineRule="auto"/>
              <w:rPr>
                <w:rFonts w:ascii="Times New Roman" w:eastAsia="Times New Roman" w:hAnsi="Times New Roman" w:cs="Times New Roman"/>
                <w:b/>
                <w:bCs/>
                <w:sz w:val="20"/>
                <w:szCs w:val="20"/>
                <w:lang w:eastAsia="ar-SA"/>
              </w:rPr>
            </w:pPr>
          </w:p>
          <w:p w:rsidR="003B5B5D" w:rsidRPr="003B5B5D" w:rsidRDefault="003B5B5D" w:rsidP="003B5B5D">
            <w:pPr>
              <w:suppressAutoHyphens/>
              <w:spacing w:after="0" w:line="240" w:lineRule="auto"/>
              <w:rPr>
                <w:rFonts w:ascii="Times New Roman" w:eastAsia="Times New Roman" w:hAnsi="Times New Roman" w:cs="Times New Roman"/>
                <w:b/>
                <w:bCs/>
                <w:sz w:val="20"/>
                <w:szCs w:val="20"/>
                <w:lang w:eastAsia="ar-SA"/>
              </w:rPr>
            </w:pPr>
            <w:r w:rsidRPr="003B5B5D">
              <w:rPr>
                <w:rFonts w:ascii="Times New Roman" w:eastAsia="Times New Roman" w:hAnsi="Times New Roman" w:cs="Times New Roman"/>
                <w:b/>
                <w:bCs/>
                <w:sz w:val="20"/>
                <w:szCs w:val="20"/>
                <w:lang w:eastAsia="ar-SA"/>
              </w:rPr>
              <w:t>Comité exécutif </w:t>
            </w:r>
          </w:p>
          <w:p w:rsidR="003B5B5D" w:rsidRPr="003B5B5D" w:rsidRDefault="003B5B5D" w:rsidP="003B5B5D">
            <w:pPr>
              <w:suppressAutoHyphens/>
              <w:spacing w:after="0" w:line="240" w:lineRule="auto"/>
              <w:rPr>
                <w:rFonts w:ascii="Times New Roman" w:eastAsia="Times New Roman" w:hAnsi="Times New Roman" w:cs="Times New Roman"/>
                <w:b/>
                <w:bCs/>
                <w:sz w:val="20"/>
                <w:szCs w:val="20"/>
                <w:lang w:eastAsia="ar-SA"/>
              </w:rPr>
            </w:pPr>
          </w:p>
          <w:p w:rsidR="003B5B5D" w:rsidRPr="003B5B5D" w:rsidRDefault="003B5B5D" w:rsidP="003B5B5D">
            <w:pPr>
              <w:suppressAutoHyphens/>
              <w:spacing w:after="0" w:line="240" w:lineRule="auto"/>
              <w:rPr>
                <w:rFonts w:ascii="Times New Roman" w:eastAsia="Times New Roman" w:hAnsi="Times New Roman" w:cs="Times New Roman"/>
                <w:sz w:val="20"/>
                <w:szCs w:val="20"/>
                <w:lang w:val="de-DE" w:eastAsia="ar-SA"/>
              </w:rPr>
            </w:pPr>
            <w:r w:rsidRPr="003B5B5D">
              <w:rPr>
                <w:rFonts w:ascii="Times New Roman" w:eastAsia="Times New Roman" w:hAnsi="Times New Roman" w:cs="Times New Roman"/>
                <w:b/>
                <w:bCs/>
                <w:sz w:val="20"/>
                <w:szCs w:val="20"/>
                <w:lang w:eastAsia="ar-SA"/>
              </w:rPr>
              <w:t>Président</w:t>
            </w:r>
            <w:r w:rsidRPr="003B5B5D">
              <w:rPr>
                <w:rFonts w:ascii="Times New Roman" w:eastAsia="Times New Roman" w:hAnsi="Times New Roman" w:cs="Times New Roman"/>
                <w:sz w:val="20"/>
                <w:szCs w:val="20"/>
                <w:lang w:eastAsia="ar-SA"/>
              </w:rPr>
              <w:t> : Radu Lotrean (</w:t>
            </w:r>
            <w:hyperlink r:id="rId11" w:history="1">
              <w:r w:rsidRPr="003B5B5D">
                <w:rPr>
                  <w:rFonts w:ascii="Times New Roman" w:eastAsia="Times New Roman" w:hAnsi="Times New Roman" w:cs="Times New Roman"/>
                  <w:color w:val="0000FF"/>
                  <w:sz w:val="20"/>
                  <w:szCs w:val="20"/>
                  <w:u w:val="single"/>
                  <w:lang w:eastAsia="ar-SA"/>
                </w:rPr>
                <w:t>radu.lotrean@citr.ro</w:t>
              </w:r>
            </w:hyperlink>
            <w:r w:rsidRPr="003B5B5D">
              <w:rPr>
                <w:rFonts w:ascii="Times New Roman" w:eastAsia="Times New Roman" w:hAnsi="Times New Roman" w:cs="Times New Roman"/>
                <w:sz w:val="20"/>
                <w:szCs w:val="20"/>
                <w:lang w:eastAsia="ar-SA"/>
              </w:rPr>
              <w:t>)</w:t>
            </w:r>
          </w:p>
          <w:p w:rsidR="003B5B5D" w:rsidRPr="003B5B5D" w:rsidRDefault="003B5B5D" w:rsidP="003B5B5D">
            <w:pPr>
              <w:suppressAutoHyphens/>
              <w:spacing w:after="0" w:line="240" w:lineRule="auto"/>
              <w:rPr>
                <w:rFonts w:ascii="Times New Roman" w:eastAsia="Times New Roman" w:hAnsi="Times New Roman" w:cs="Times New Roman"/>
                <w:sz w:val="20"/>
                <w:szCs w:val="20"/>
                <w:lang w:val="de-DE" w:eastAsia="ar-SA"/>
              </w:rPr>
            </w:pPr>
          </w:p>
          <w:p w:rsidR="003B5B5D" w:rsidRPr="003B5B5D" w:rsidRDefault="003B5B5D" w:rsidP="003B5B5D">
            <w:pPr>
              <w:suppressAutoHyphens/>
              <w:spacing w:after="0" w:line="240" w:lineRule="auto"/>
              <w:rPr>
                <w:rFonts w:ascii="Times New Roman" w:eastAsia="Times New Roman" w:hAnsi="Times New Roman" w:cs="Times New Roman"/>
                <w:sz w:val="20"/>
                <w:szCs w:val="20"/>
                <w:lang w:val="de-DE" w:eastAsia="ar-SA"/>
              </w:rPr>
            </w:pPr>
            <w:r w:rsidRPr="003B5B5D">
              <w:rPr>
                <w:rFonts w:ascii="Times New Roman" w:eastAsia="Times New Roman" w:hAnsi="Times New Roman" w:cs="Times New Roman"/>
                <w:b/>
                <w:bCs/>
                <w:sz w:val="20"/>
                <w:szCs w:val="20"/>
                <w:lang w:val="de-DE" w:eastAsia="ar-SA"/>
              </w:rPr>
              <w:t>Président adjoint</w:t>
            </w:r>
            <w:r w:rsidRPr="003B5B5D">
              <w:rPr>
                <w:rFonts w:ascii="Times New Roman" w:eastAsia="Times New Roman" w:hAnsi="Times New Roman" w:cs="Times New Roman"/>
                <w:sz w:val="20"/>
                <w:szCs w:val="20"/>
                <w:lang w:val="de-DE" w:eastAsia="ar-SA"/>
              </w:rPr>
              <w:t> : Alistair Beveridge (</w:t>
            </w:r>
            <w:hyperlink r:id="rId12" w:history="1">
              <w:r w:rsidRPr="003B5B5D">
                <w:rPr>
                  <w:rFonts w:ascii="Times New Roman" w:eastAsia="Times New Roman" w:hAnsi="Times New Roman" w:cs="Times New Roman"/>
                  <w:color w:val="0000FF"/>
                  <w:sz w:val="20"/>
                  <w:szCs w:val="20"/>
                  <w:u w:val="single"/>
                  <w:lang w:val="de-DE" w:eastAsia="ar-SA"/>
                </w:rPr>
                <w:t>abeveridge@alixpartners.com</w:t>
              </w:r>
            </w:hyperlink>
            <w:r w:rsidRPr="003B5B5D">
              <w:rPr>
                <w:rFonts w:ascii="Times New Roman" w:eastAsia="Times New Roman" w:hAnsi="Times New Roman" w:cs="Times New Roman"/>
                <w:color w:val="0000FF"/>
                <w:sz w:val="20"/>
                <w:szCs w:val="20"/>
                <w:u w:val="single"/>
                <w:lang w:val="de-DE" w:eastAsia="ar-SA"/>
              </w:rPr>
              <w:t>)</w:t>
            </w:r>
          </w:p>
          <w:p w:rsidR="003B5B5D" w:rsidRPr="003B5B5D" w:rsidRDefault="003B5B5D" w:rsidP="003B5B5D">
            <w:pPr>
              <w:suppressAutoHyphens/>
              <w:spacing w:after="0" w:line="240" w:lineRule="auto"/>
              <w:rPr>
                <w:rFonts w:ascii="Times New Roman" w:eastAsia="Times New Roman" w:hAnsi="Times New Roman" w:cs="Times New Roman"/>
                <w:b/>
                <w:bCs/>
                <w:sz w:val="20"/>
                <w:szCs w:val="20"/>
                <w:lang w:val="de-DE" w:eastAsia="ar-SA"/>
              </w:rPr>
            </w:pPr>
          </w:p>
          <w:p w:rsidR="003B5B5D" w:rsidRPr="003B5B5D" w:rsidRDefault="003B5B5D" w:rsidP="003B5B5D">
            <w:pPr>
              <w:suppressAutoHyphens/>
              <w:spacing w:after="0" w:line="240" w:lineRule="auto"/>
              <w:rPr>
                <w:rFonts w:ascii="Times New Roman" w:eastAsia="Times New Roman" w:hAnsi="Times New Roman" w:cs="Times New Roman"/>
                <w:sz w:val="20"/>
                <w:szCs w:val="20"/>
                <w:lang w:val="de-DE" w:eastAsia="ar-SA"/>
              </w:rPr>
            </w:pPr>
            <w:r w:rsidRPr="003B5B5D">
              <w:rPr>
                <w:rFonts w:ascii="Times New Roman" w:eastAsia="Times New Roman" w:hAnsi="Times New Roman" w:cs="Times New Roman"/>
                <w:b/>
                <w:bCs/>
                <w:sz w:val="20"/>
                <w:szCs w:val="20"/>
                <w:lang w:val="de-DE" w:eastAsia="ar-SA"/>
              </w:rPr>
              <w:t>Vice-président</w:t>
            </w:r>
            <w:r w:rsidRPr="003B5B5D">
              <w:rPr>
                <w:rFonts w:ascii="Times New Roman" w:eastAsia="Times New Roman" w:hAnsi="Times New Roman" w:cs="Times New Roman"/>
                <w:sz w:val="20"/>
                <w:szCs w:val="20"/>
                <w:lang w:val="de-DE" w:eastAsia="ar-SA"/>
              </w:rPr>
              <w:t> : Piya Mukherjee (</w:t>
            </w:r>
            <w:hyperlink r:id="rId13" w:history="1">
              <w:r w:rsidRPr="003B5B5D">
                <w:rPr>
                  <w:rFonts w:ascii="Times New Roman" w:eastAsia="Times New Roman" w:hAnsi="Times New Roman" w:cs="Times New Roman"/>
                  <w:color w:val="0000FF"/>
                  <w:sz w:val="20"/>
                  <w:szCs w:val="20"/>
                  <w:u w:val="single"/>
                  <w:lang w:val="de-DE" w:eastAsia="ar-SA"/>
                </w:rPr>
                <w:t>pmu@horten.dk</w:t>
              </w:r>
            </w:hyperlink>
            <w:r w:rsidRPr="003B5B5D">
              <w:rPr>
                <w:rFonts w:ascii="Times New Roman" w:eastAsia="Times New Roman" w:hAnsi="Times New Roman" w:cs="Times New Roman"/>
                <w:sz w:val="20"/>
                <w:szCs w:val="20"/>
                <w:lang w:val="de-DE" w:eastAsia="ar-SA"/>
              </w:rPr>
              <w:t>)</w:t>
            </w:r>
          </w:p>
          <w:p w:rsidR="003B5B5D" w:rsidRPr="003B5B5D" w:rsidRDefault="003B5B5D" w:rsidP="003B5B5D">
            <w:pPr>
              <w:suppressAutoHyphens/>
              <w:spacing w:after="0" w:line="240" w:lineRule="auto"/>
              <w:rPr>
                <w:rFonts w:ascii="Times New Roman" w:eastAsia="Times New Roman" w:hAnsi="Times New Roman" w:cs="Times New Roman"/>
                <w:b/>
                <w:sz w:val="20"/>
                <w:szCs w:val="20"/>
                <w:lang w:val="de-DE" w:eastAsia="ar-SA"/>
              </w:rPr>
            </w:pPr>
          </w:p>
          <w:p w:rsidR="003B5B5D" w:rsidRPr="003B5B5D" w:rsidRDefault="003B5B5D" w:rsidP="003B5B5D">
            <w:pPr>
              <w:suppressAutoHyphens/>
              <w:spacing w:after="0" w:line="240" w:lineRule="auto"/>
              <w:rPr>
                <w:rFonts w:ascii="Times New Roman" w:eastAsia="Times New Roman" w:hAnsi="Times New Roman" w:cs="Times New Roman"/>
                <w:sz w:val="20"/>
                <w:szCs w:val="20"/>
                <w:lang w:val="de-DE" w:eastAsia="ar-SA"/>
              </w:rPr>
            </w:pPr>
            <w:r w:rsidRPr="003B5B5D">
              <w:rPr>
                <w:rFonts w:ascii="Times New Roman" w:eastAsia="Times New Roman" w:hAnsi="Times New Roman" w:cs="Times New Roman"/>
                <w:b/>
                <w:sz w:val="20"/>
                <w:szCs w:val="20"/>
                <w:lang w:val="de-DE" w:eastAsia="ar-SA"/>
              </w:rPr>
              <w:t>Président précédent</w:t>
            </w:r>
            <w:r w:rsidRPr="003B5B5D">
              <w:rPr>
                <w:rFonts w:ascii="Times New Roman" w:eastAsia="Times New Roman" w:hAnsi="Times New Roman" w:cs="Times New Roman"/>
                <w:sz w:val="20"/>
                <w:szCs w:val="20"/>
                <w:lang w:val="de-DE" w:eastAsia="ar-SA"/>
              </w:rPr>
              <w:t xml:space="preserve"> : Steffen Koch </w:t>
            </w:r>
          </w:p>
          <w:p w:rsidR="003B5B5D" w:rsidRPr="003B5B5D" w:rsidRDefault="003B5B5D" w:rsidP="003B5B5D">
            <w:pPr>
              <w:suppressAutoHyphens/>
              <w:spacing w:after="0" w:line="240" w:lineRule="auto"/>
              <w:rPr>
                <w:rFonts w:ascii="Times New Roman" w:eastAsia="Times New Roman" w:hAnsi="Times New Roman" w:cs="Times New Roman"/>
                <w:sz w:val="20"/>
                <w:szCs w:val="20"/>
                <w:lang w:val="de-DE" w:eastAsia="ar-SA"/>
              </w:rPr>
            </w:pPr>
            <w:r w:rsidRPr="003B5B5D">
              <w:rPr>
                <w:rFonts w:ascii="Times New Roman" w:eastAsia="Times New Roman" w:hAnsi="Times New Roman" w:cs="Times New Roman"/>
                <w:sz w:val="20"/>
                <w:szCs w:val="20"/>
                <w:lang w:val="de-DE" w:eastAsia="ar-SA"/>
              </w:rPr>
              <w:t>(</w:t>
            </w:r>
            <w:hyperlink r:id="rId14" w:history="1">
              <w:r w:rsidRPr="003B5B5D">
                <w:rPr>
                  <w:rFonts w:ascii="Times New Roman" w:eastAsia="Times New Roman" w:hAnsi="Times New Roman" w:cs="Times New Roman"/>
                  <w:color w:val="0000FF"/>
                  <w:sz w:val="20"/>
                  <w:szCs w:val="20"/>
                  <w:u w:val="single"/>
                  <w:lang w:val="de-DE" w:eastAsia="ar-SA"/>
                </w:rPr>
                <w:t>steffen.koch@hww-kanzlei.de</w:t>
              </w:r>
            </w:hyperlink>
            <w:r w:rsidRPr="003B5B5D">
              <w:rPr>
                <w:rFonts w:ascii="Times New Roman" w:eastAsia="Times New Roman" w:hAnsi="Times New Roman" w:cs="Times New Roman"/>
                <w:sz w:val="20"/>
                <w:szCs w:val="20"/>
                <w:lang w:val="de-DE" w:eastAsia="ar-SA"/>
              </w:rPr>
              <w:t>)</w:t>
            </w:r>
          </w:p>
          <w:p w:rsidR="003B5B5D" w:rsidRPr="003B5B5D" w:rsidRDefault="003B5B5D" w:rsidP="003B5B5D">
            <w:pPr>
              <w:suppressAutoHyphens/>
              <w:spacing w:after="0" w:line="240" w:lineRule="auto"/>
              <w:rPr>
                <w:rFonts w:ascii="Times New Roman" w:eastAsia="Times New Roman" w:hAnsi="Times New Roman" w:cs="Times New Roman"/>
                <w:b/>
                <w:bCs/>
                <w:sz w:val="20"/>
                <w:szCs w:val="20"/>
                <w:lang w:val="de-DE" w:eastAsia="ar-SA"/>
              </w:rPr>
            </w:pPr>
          </w:p>
          <w:p w:rsidR="003B5B5D" w:rsidRPr="003B5B5D" w:rsidRDefault="003B5B5D" w:rsidP="003B5B5D">
            <w:pPr>
              <w:suppressAutoHyphens/>
              <w:spacing w:after="0" w:line="240" w:lineRule="auto"/>
              <w:rPr>
                <w:rFonts w:ascii="Times New Roman" w:eastAsia="Times New Roman" w:hAnsi="Times New Roman" w:cs="Times New Roman"/>
                <w:sz w:val="20"/>
                <w:szCs w:val="20"/>
                <w:lang w:val="de-DE" w:eastAsia="ar-SA"/>
              </w:rPr>
            </w:pPr>
            <w:r w:rsidRPr="003B5B5D">
              <w:rPr>
                <w:rFonts w:ascii="Times New Roman" w:eastAsia="Times New Roman" w:hAnsi="Times New Roman" w:cs="Times New Roman"/>
                <w:b/>
                <w:bCs/>
                <w:sz w:val="20"/>
                <w:szCs w:val="20"/>
                <w:lang w:val="de-DE" w:eastAsia="ar-SA"/>
              </w:rPr>
              <w:t>Trésorier</w:t>
            </w:r>
            <w:r w:rsidRPr="003B5B5D">
              <w:rPr>
                <w:rFonts w:ascii="Times New Roman" w:eastAsia="Times New Roman" w:hAnsi="Times New Roman" w:cs="Times New Roman"/>
                <w:sz w:val="20"/>
                <w:szCs w:val="20"/>
                <w:lang w:val="de-DE" w:eastAsia="ar-SA"/>
              </w:rPr>
              <w:t> : Christopher Laughton (</w:t>
            </w:r>
            <w:hyperlink r:id="rId15" w:history="1">
              <w:r w:rsidRPr="003B5B5D">
                <w:rPr>
                  <w:rFonts w:ascii="Times New Roman" w:eastAsia="Times New Roman" w:hAnsi="Times New Roman" w:cs="Times New Roman"/>
                  <w:color w:val="0000FF"/>
                  <w:sz w:val="20"/>
                  <w:szCs w:val="20"/>
                  <w:u w:val="single"/>
                  <w:lang w:val="de-DE" w:eastAsia="ar-SA"/>
                </w:rPr>
                <w:t>chrislaughton@mercerhole.co.uk</w:t>
              </w:r>
            </w:hyperlink>
            <w:r w:rsidRPr="003B5B5D">
              <w:rPr>
                <w:rFonts w:ascii="Times New Roman" w:eastAsia="Times New Roman" w:hAnsi="Times New Roman" w:cs="Times New Roman"/>
                <w:sz w:val="20"/>
                <w:szCs w:val="20"/>
                <w:lang w:val="de-DE" w:eastAsia="ar-SA"/>
              </w:rPr>
              <w:t>)</w:t>
            </w:r>
          </w:p>
          <w:p w:rsidR="003B5B5D" w:rsidRPr="003B5B5D" w:rsidRDefault="003B5B5D" w:rsidP="003B5B5D">
            <w:pPr>
              <w:suppressAutoHyphens/>
              <w:spacing w:after="0" w:line="240" w:lineRule="auto"/>
              <w:rPr>
                <w:rFonts w:ascii="Times New Roman" w:eastAsia="Times New Roman" w:hAnsi="Times New Roman" w:cs="Times New Roman"/>
                <w:b/>
                <w:bCs/>
                <w:sz w:val="20"/>
                <w:szCs w:val="20"/>
                <w:lang w:val="de-DE" w:eastAsia="ar-SA"/>
              </w:rPr>
            </w:pPr>
          </w:p>
          <w:p w:rsidR="003B5B5D" w:rsidRPr="003B5B5D" w:rsidRDefault="003B5B5D" w:rsidP="003B5B5D">
            <w:pPr>
              <w:suppressAutoHyphens/>
              <w:spacing w:after="0" w:line="240" w:lineRule="auto"/>
              <w:rPr>
                <w:rFonts w:ascii="Times New Roman" w:eastAsia="Times New Roman" w:hAnsi="Times New Roman" w:cs="Times New Roman"/>
                <w:sz w:val="20"/>
                <w:szCs w:val="20"/>
                <w:lang w:val="de-DE" w:eastAsia="ar-SA"/>
              </w:rPr>
            </w:pPr>
            <w:r w:rsidRPr="003B5B5D">
              <w:rPr>
                <w:rFonts w:ascii="Times New Roman" w:eastAsia="Times New Roman" w:hAnsi="Times New Roman" w:cs="Times New Roman"/>
                <w:b/>
                <w:bCs/>
                <w:sz w:val="20"/>
                <w:szCs w:val="20"/>
                <w:lang w:val="de-DE" w:eastAsia="ar-SA"/>
              </w:rPr>
              <w:t>Directeur administratif</w:t>
            </w:r>
            <w:r w:rsidRPr="003B5B5D">
              <w:rPr>
                <w:rFonts w:ascii="Times New Roman" w:eastAsia="Times New Roman" w:hAnsi="Times New Roman" w:cs="Times New Roman"/>
                <w:sz w:val="20"/>
                <w:szCs w:val="20"/>
                <w:lang w:val="de-DE" w:eastAsia="ar-SA"/>
              </w:rPr>
              <w:t xml:space="preserve"> : Caroline Taylor </w:t>
            </w:r>
          </w:p>
          <w:p w:rsidR="003B5B5D" w:rsidRPr="003B5B5D" w:rsidRDefault="003B5B5D" w:rsidP="003B5B5D">
            <w:pPr>
              <w:suppressAutoHyphens/>
              <w:spacing w:after="0" w:line="240" w:lineRule="auto"/>
              <w:rPr>
                <w:rFonts w:ascii="Times New Roman" w:eastAsia="Times New Roman" w:hAnsi="Times New Roman" w:cs="Times New Roman"/>
                <w:sz w:val="20"/>
                <w:szCs w:val="20"/>
                <w:lang w:val="de-DE" w:eastAsia="ar-SA"/>
              </w:rPr>
            </w:pPr>
            <w:r w:rsidRPr="003B5B5D">
              <w:rPr>
                <w:rFonts w:ascii="Times New Roman" w:eastAsia="Times New Roman" w:hAnsi="Times New Roman" w:cs="Times New Roman"/>
                <w:sz w:val="20"/>
                <w:szCs w:val="20"/>
                <w:lang w:val="de-DE" w:eastAsia="ar-SA"/>
              </w:rPr>
              <w:t>(</w:t>
            </w:r>
            <w:hyperlink r:id="rId16" w:history="1">
              <w:r w:rsidRPr="003B5B5D">
                <w:rPr>
                  <w:rFonts w:ascii="Times New Roman" w:eastAsia="Times New Roman" w:hAnsi="Times New Roman" w:cs="Times New Roman"/>
                  <w:color w:val="0000FF"/>
                  <w:sz w:val="20"/>
                  <w:szCs w:val="20"/>
                  <w:u w:val="single"/>
                  <w:lang w:val="de-DE" w:eastAsia="ar-SA"/>
                </w:rPr>
                <w:t>carolinetaylor@insol-europe.org</w:t>
              </w:r>
            </w:hyperlink>
            <w:r w:rsidRPr="003B5B5D">
              <w:rPr>
                <w:rFonts w:ascii="Times New Roman" w:eastAsia="Times New Roman" w:hAnsi="Times New Roman" w:cs="Times New Roman"/>
                <w:sz w:val="20"/>
                <w:szCs w:val="20"/>
                <w:lang w:val="de-DE" w:eastAsia="ar-SA"/>
              </w:rPr>
              <w:t>)</w:t>
            </w:r>
          </w:p>
          <w:p w:rsidR="003B5B5D" w:rsidRPr="003B5B5D" w:rsidRDefault="003B5B5D" w:rsidP="003B5B5D">
            <w:pPr>
              <w:suppressAutoHyphens/>
              <w:spacing w:after="0" w:line="240" w:lineRule="auto"/>
              <w:rPr>
                <w:rFonts w:ascii="Times New Roman" w:eastAsia="Times New Roman" w:hAnsi="Times New Roman" w:cs="Times New Roman"/>
                <w:sz w:val="20"/>
                <w:szCs w:val="24"/>
                <w:lang w:eastAsia="ar-SA"/>
              </w:rPr>
            </w:pPr>
          </w:p>
          <w:p w:rsidR="003B5B5D" w:rsidRPr="003B5B5D" w:rsidRDefault="003B5B5D" w:rsidP="003B5B5D">
            <w:pPr>
              <w:suppressAutoHyphens/>
              <w:spacing w:after="0" w:line="240" w:lineRule="auto"/>
              <w:rPr>
                <w:rFonts w:ascii="Times New Roman" w:eastAsia="Times New Roman" w:hAnsi="Times New Roman" w:cs="Times New Roman"/>
                <w:sz w:val="20"/>
                <w:szCs w:val="24"/>
                <w:lang w:val="de-DE" w:eastAsia="ar-SA"/>
              </w:rPr>
            </w:pPr>
            <w:r w:rsidRPr="003B5B5D">
              <w:rPr>
                <w:rFonts w:ascii="Times New Roman" w:eastAsia="Times New Roman" w:hAnsi="Times New Roman" w:cs="Times New Roman"/>
                <w:b/>
                <w:sz w:val="20"/>
                <w:szCs w:val="24"/>
                <w:lang w:eastAsia="ar-SA"/>
              </w:rPr>
              <w:t>Secrétariat</w:t>
            </w:r>
            <w:r w:rsidRPr="003B5B5D">
              <w:rPr>
                <w:rFonts w:ascii="Times New Roman" w:eastAsia="Times New Roman" w:hAnsi="Times New Roman" w:cs="Times New Roman"/>
                <w:sz w:val="20"/>
                <w:szCs w:val="24"/>
                <w:lang w:val="de-DE" w:eastAsia="ar-SA"/>
              </w:rPr>
              <w:t>:</w:t>
            </w:r>
          </w:p>
          <w:p w:rsidR="003B5B5D" w:rsidRPr="003B5B5D" w:rsidRDefault="003B5B5D" w:rsidP="003B5B5D">
            <w:pPr>
              <w:suppressAutoHyphens/>
              <w:spacing w:after="0" w:line="240" w:lineRule="auto"/>
              <w:rPr>
                <w:rFonts w:ascii="Times New Roman" w:eastAsia="Times New Roman" w:hAnsi="Times New Roman" w:cs="Times New Roman"/>
                <w:b/>
                <w:sz w:val="20"/>
                <w:szCs w:val="24"/>
                <w:lang w:val="de-DE" w:eastAsia="ar-SA"/>
              </w:rPr>
            </w:pPr>
          </w:p>
          <w:p w:rsidR="003B5B5D" w:rsidRPr="003B5B5D" w:rsidRDefault="003B5B5D" w:rsidP="003B5B5D">
            <w:pPr>
              <w:suppressAutoHyphens/>
              <w:spacing w:after="0" w:line="240" w:lineRule="auto"/>
              <w:rPr>
                <w:rFonts w:ascii="Times New Roman" w:eastAsia="Times New Roman" w:hAnsi="Times New Roman" w:cs="Times New Roman"/>
                <w:b/>
                <w:sz w:val="20"/>
                <w:szCs w:val="24"/>
                <w:lang w:val="de-DE" w:eastAsia="ar-SA"/>
              </w:rPr>
            </w:pPr>
            <w:r w:rsidRPr="003B5B5D">
              <w:rPr>
                <w:rFonts w:ascii="Times New Roman" w:eastAsia="Times New Roman" w:hAnsi="Times New Roman" w:cs="Times New Roman"/>
                <w:b/>
                <w:sz w:val="20"/>
                <w:szCs w:val="20"/>
                <w:lang w:eastAsia="ar-SA"/>
              </w:rPr>
              <w:t>Comité des</w:t>
            </w:r>
            <w:r w:rsidRPr="003B5B5D">
              <w:rPr>
                <w:rFonts w:ascii="Times New Roman" w:eastAsia="Times New Roman" w:hAnsi="Times New Roman" w:cs="Times New Roman"/>
                <w:b/>
                <w:bCs/>
                <w:sz w:val="20"/>
                <w:szCs w:val="20"/>
                <w:lang w:eastAsia="ar-SA"/>
              </w:rPr>
              <w:t xml:space="preserve"> </w:t>
            </w:r>
            <w:r w:rsidRPr="003B5B5D">
              <w:rPr>
                <w:rFonts w:ascii="Times New Roman" w:eastAsia="Times New Roman" w:hAnsi="Times New Roman" w:cs="Times New Roman"/>
                <w:b/>
                <w:sz w:val="20"/>
                <w:szCs w:val="20"/>
                <w:lang w:eastAsia="ar-SA"/>
              </w:rPr>
              <w:t>pays de l’Europe Orientale (EECC)</w:t>
            </w:r>
          </w:p>
          <w:p w:rsidR="003B5B5D" w:rsidRPr="003B5B5D" w:rsidRDefault="003B5B5D" w:rsidP="003B5B5D">
            <w:pPr>
              <w:suppressAutoHyphens/>
              <w:spacing w:after="0" w:line="240" w:lineRule="auto"/>
              <w:rPr>
                <w:rFonts w:ascii="Times New Roman" w:eastAsia="Times New Roman" w:hAnsi="Times New Roman" w:cs="Times New Roman"/>
                <w:sz w:val="20"/>
                <w:szCs w:val="24"/>
                <w:lang w:val="de-DE" w:eastAsia="ar-SA"/>
              </w:rPr>
            </w:pPr>
            <w:r w:rsidRPr="003B5B5D">
              <w:rPr>
                <w:rFonts w:ascii="Times New Roman" w:eastAsia="Times New Roman" w:hAnsi="Times New Roman" w:cs="Times New Roman"/>
                <w:sz w:val="20"/>
                <w:szCs w:val="24"/>
                <w:lang w:val="de-DE" w:eastAsia="ar-SA"/>
              </w:rPr>
              <w:t>Florica Sincu, Secrétaire</w:t>
            </w:r>
          </w:p>
          <w:p w:rsidR="003B5B5D" w:rsidRPr="003B5B5D" w:rsidRDefault="003B5B5D" w:rsidP="003B5B5D">
            <w:pPr>
              <w:suppressAutoHyphens/>
              <w:spacing w:after="0" w:line="240" w:lineRule="auto"/>
              <w:rPr>
                <w:rFonts w:ascii="Times New Roman" w:eastAsia="Times New Roman" w:hAnsi="Times New Roman" w:cs="Times New Roman"/>
                <w:b/>
                <w:sz w:val="20"/>
                <w:szCs w:val="24"/>
                <w:lang w:val="de-DE" w:eastAsia="ar-SA"/>
              </w:rPr>
            </w:pPr>
            <w:r w:rsidRPr="003B5B5D">
              <w:rPr>
                <w:rFonts w:ascii="Times New Roman" w:eastAsia="Times New Roman" w:hAnsi="Times New Roman" w:cs="Times New Roman"/>
                <w:sz w:val="20"/>
                <w:szCs w:val="24"/>
                <w:lang w:val="de-DE" w:eastAsia="ar-SA"/>
              </w:rPr>
              <w:t>(</w:t>
            </w:r>
            <w:hyperlink r:id="rId17" w:history="1">
              <w:r w:rsidRPr="003B5B5D">
                <w:rPr>
                  <w:rFonts w:ascii="Times New Roman" w:eastAsia="Times New Roman" w:hAnsi="Times New Roman" w:cs="Times New Roman"/>
                  <w:color w:val="0000FF"/>
                  <w:sz w:val="20"/>
                  <w:szCs w:val="24"/>
                  <w:u w:val="single"/>
                  <w:lang w:val="de-DE" w:eastAsia="ar-SA"/>
                </w:rPr>
                <w:t>floricasincu@insol-europe.org</w:t>
              </w:r>
            </w:hyperlink>
            <w:r w:rsidRPr="003B5B5D">
              <w:rPr>
                <w:rFonts w:ascii="Times New Roman" w:eastAsia="Times New Roman" w:hAnsi="Times New Roman" w:cs="Times New Roman"/>
                <w:sz w:val="20"/>
                <w:szCs w:val="24"/>
                <w:lang w:val="de-DE" w:eastAsia="ar-SA"/>
              </w:rPr>
              <w:t>)</w:t>
            </w:r>
          </w:p>
          <w:p w:rsidR="003B5B5D" w:rsidRPr="003B5B5D" w:rsidRDefault="003B5B5D" w:rsidP="003B5B5D">
            <w:pPr>
              <w:suppressAutoHyphens/>
              <w:spacing w:after="0" w:line="240" w:lineRule="auto"/>
              <w:rPr>
                <w:rFonts w:ascii="Times New Roman" w:eastAsia="Times New Roman" w:hAnsi="Times New Roman" w:cs="Times New Roman"/>
                <w:b/>
                <w:sz w:val="20"/>
                <w:szCs w:val="24"/>
                <w:lang w:val="de-DE" w:eastAsia="ar-SA"/>
              </w:rPr>
            </w:pPr>
          </w:p>
          <w:p w:rsidR="003B5B5D" w:rsidRPr="003B5B5D" w:rsidRDefault="003B5B5D" w:rsidP="003B5B5D">
            <w:pPr>
              <w:suppressAutoHyphens/>
              <w:spacing w:after="0" w:line="240" w:lineRule="auto"/>
              <w:rPr>
                <w:rFonts w:ascii="Times New Roman" w:eastAsia="Times New Roman" w:hAnsi="Times New Roman" w:cs="Times New Roman"/>
                <w:b/>
                <w:sz w:val="20"/>
                <w:szCs w:val="24"/>
                <w:lang w:val="de-DE" w:eastAsia="ar-SA"/>
              </w:rPr>
            </w:pPr>
            <w:r w:rsidRPr="003B5B5D">
              <w:rPr>
                <w:rFonts w:ascii="Times New Roman" w:eastAsia="Times New Roman" w:hAnsi="Times New Roman" w:cs="Times New Roman"/>
                <w:b/>
                <w:sz w:val="20"/>
                <w:szCs w:val="24"/>
                <w:lang w:val="de-DE" w:eastAsia="ar-SA"/>
              </w:rPr>
              <w:t xml:space="preserve">Communication: </w:t>
            </w:r>
          </w:p>
          <w:p w:rsidR="003B5B5D" w:rsidRPr="003B5B5D" w:rsidRDefault="003B5B5D" w:rsidP="003B5B5D">
            <w:pPr>
              <w:suppressAutoHyphens/>
              <w:spacing w:after="0" w:line="240" w:lineRule="auto"/>
              <w:rPr>
                <w:rFonts w:ascii="Times New Roman" w:eastAsia="Times New Roman" w:hAnsi="Times New Roman" w:cs="Times New Roman"/>
                <w:sz w:val="20"/>
                <w:szCs w:val="24"/>
                <w:lang w:val="de-DE" w:eastAsia="ar-SA"/>
              </w:rPr>
            </w:pPr>
            <w:r w:rsidRPr="003B5B5D">
              <w:rPr>
                <w:rFonts w:ascii="Times New Roman" w:eastAsia="Times New Roman" w:hAnsi="Times New Roman" w:cs="Times New Roman"/>
                <w:sz w:val="20"/>
                <w:szCs w:val="24"/>
                <w:lang w:val="de-DE" w:eastAsia="ar-SA"/>
              </w:rPr>
              <w:t>Paul Newson</w:t>
            </w:r>
          </w:p>
          <w:p w:rsidR="003B5B5D" w:rsidRPr="003B5B5D" w:rsidRDefault="003B5B5D" w:rsidP="003B5B5D">
            <w:pPr>
              <w:suppressAutoHyphens/>
              <w:spacing w:after="0" w:line="240" w:lineRule="auto"/>
              <w:rPr>
                <w:rFonts w:ascii="Times New Roman" w:eastAsia="Times New Roman" w:hAnsi="Times New Roman" w:cs="Times New Roman"/>
                <w:sz w:val="20"/>
                <w:szCs w:val="24"/>
                <w:lang w:val="de-DE" w:eastAsia="ar-SA"/>
              </w:rPr>
            </w:pPr>
            <w:r w:rsidRPr="003B5B5D">
              <w:rPr>
                <w:rFonts w:ascii="Times New Roman" w:eastAsia="Times New Roman" w:hAnsi="Times New Roman" w:cs="Times New Roman"/>
                <w:sz w:val="20"/>
                <w:szCs w:val="24"/>
                <w:lang w:val="de-DE" w:eastAsia="ar-SA"/>
              </w:rPr>
              <w:t>(</w:t>
            </w:r>
            <w:hyperlink r:id="rId18" w:history="1">
              <w:r w:rsidRPr="003B5B5D">
                <w:rPr>
                  <w:rFonts w:ascii="Times New Roman" w:eastAsia="Times New Roman" w:hAnsi="Times New Roman" w:cs="Times New Roman"/>
                  <w:color w:val="0000FF"/>
                  <w:sz w:val="20"/>
                  <w:szCs w:val="24"/>
                  <w:u w:val="single"/>
                  <w:lang w:val="de-DE" w:eastAsia="ar-SA"/>
                </w:rPr>
                <w:t>paulnewson@insol-europe.org</w:t>
              </w:r>
            </w:hyperlink>
            <w:r w:rsidRPr="003B5B5D">
              <w:rPr>
                <w:rFonts w:ascii="Times New Roman" w:eastAsia="Times New Roman" w:hAnsi="Times New Roman" w:cs="Times New Roman"/>
                <w:sz w:val="20"/>
                <w:szCs w:val="24"/>
                <w:lang w:val="de-DE" w:eastAsia="ar-SA"/>
              </w:rPr>
              <w:t>)</w:t>
            </w:r>
          </w:p>
          <w:p w:rsidR="003B5B5D" w:rsidRPr="003B5B5D" w:rsidRDefault="003B5B5D" w:rsidP="003B5B5D">
            <w:pPr>
              <w:suppressAutoHyphens/>
              <w:spacing w:after="0" w:line="240" w:lineRule="auto"/>
              <w:rPr>
                <w:rFonts w:ascii="Times New Roman" w:eastAsia="Times New Roman" w:hAnsi="Times New Roman" w:cs="Times New Roman"/>
                <w:b/>
                <w:sz w:val="20"/>
                <w:szCs w:val="24"/>
                <w:lang w:val="de-DE" w:eastAsia="ar-SA"/>
              </w:rPr>
            </w:pPr>
          </w:p>
          <w:p w:rsidR="003B5B5D" w:rsidRPr="003B5B5D" w:rsidRDefault="003B5B5D" w:rsidP="003B5B5D">
            <w:pPr>
              <w:suppressAutoHyphens/>
              <w:spacing w:after="0" w:line="240" w:lineRule="auto"/>
              <w:rPr>
                <w:rFonts w:ascii="Times New Roman" w:eastAsia="Times New Roman" w:hAnsi="Times New Roman" w:cs="Times New Roman"/>
                <w:b/>
                <w:sz w:val="20"/>
                <w:szCs w:val="24"/>
                <w:lang w:val="de-DE" w:eastAsia="ar-SA"/>
              </w:rPr>
            </w:pPr>
            <w:r w:rsidRPr="003B5B5D">
              <w:rPr>
                <w:rFonts w:ascii="Times New Roman" w:eastAsia="Times New Roman" w:hAnsi="Times New Roman" w:cs="Times New Roman"/>
                <w:b/>
                <w:sz w:val="20"/>
                <w:szCs w:val="24"/>
                <w:lang w:val="de-DE" w:eastAsia="ar-SA"/>
              </w:rPr>
              <w:t>Co-ordinateur membres et enregistrements aux conférences:</w:t>
            </w:r>
          </w:p>
          <w:p w:rsidR="003B5B5D" w:rsidRPr="003B5B5D" w:rsidRDefault="003B5B5D" w:rsidP="003B5B5D">
            <w:pPr>
              <w:suppressAutoHyphens/>
              <w:spacing w:after="0" w:line="240" w:lineRule="auto"/>
              <w:rPr>
                <w:rFonts w:ascii="Times New Roman" w:eastAsia="Times New Roman" w:hAnsi="Times New Roman" w:cs="Times New Roman"/>
                <w:sz w:val="20"/>
                <w:szCs w:val="24"/>
                <w:lang w:val="de-DE" w:eastAsia="ar-SA"/>
              </w:rPr>
            </w:pPr>
            <w:r w:rsidRPr="003B5B5D">
              <w:rPr>
                <w:rFonts w:ascii="Times New Roman" w:eastAsia="Times New Roman" w:hAnsi="Times New Roman" w:cs="Times New Roman"/>
                <w:sz w:val="20"/>
                <w:szCs w:val="24"/>
                <w:lang w:val="de-DE" w:eastAsia="ar-SA"/>
              </w:rPr>
              <w:t>Wendy Cooper</w:t>
            </w:r>
          </w:p>
          <w:p w:rsidR="003B5B5D" w:rsidRPr="003B5B5D" w:rsidRDefault="003B5B5D" w:rsidP="003B5B5D">
            <w:pPr>
              <w:suppressAutoHyphens/>
              <w:spacing w:after="0" w:line="240" w:lineRule="auto"/>
              <w:rPr>
                <w:rFonts w:ascii="Times New Roman" w:eastAsia="Times New Roman" w:hAnsi="Times New Roman" w:cs="Times New Roman"/>
                <w:sz w:val="20"/>
                <w:szCs w:val="24"/>
                <w:lang w:val="de-DE" w:eastAsia="ar-SA"/>
              </w:rPr>
            </w:pPr>
            <w:r w:rsidRPr="003B5B5D">
              <w:rPr>
                <w:rFonts w:ascii="Times New Roman" w:eastAsia="Times New Roman" w:hAnsi="Times New Roman" w:cs="Times New Roman"/>
                <w:sz w:val="20"/>
                <w:szCs w:val="24"/>
                <w:lang w:val="de-DE" w:eastAsia="ar-SA"/>
              </w:rPr>
              <w:t>(</w:t>
            </w:r>
            <w:hyperlink r:id="rId19" w:history="1">
              <w:r w:rsidRPr="003B5B5D">
                <w:rPr>
                  <w:rFonts w:ascii="Times New Roman" w:eastAsia="Times New Roman" w:hAnsi="Times New Roman" w:cs="Times New Roman"/>
                  <w:color w:val="0000FF"/>
                  <w:sz w:val="20"/>
                  <w:szCs w:val="24"/>
                  <w:u w:val="single"/>
                  <w:lang w:val="de-DE" w:eastAsia="ar-SA"/>
                </w:rPr>
                <w:t>wendycooper@insol-europe.org</w:t>
              </w:r>
            </w:hyperlink>
            <w:r w:rsidRPr="003B5B5D">
              <w:rPr>
                <w:rFonts w:ascii="Times New Roman" w:eastAsia="Times New Roman" w:hAnsi="Times New Roman" w:cs="Times New Roman"/>
                <w:sz w:val="20"/>
                <w:szCs w:val="24"/>
                <w:lang w:val="de-DE" w:eastAsia="ar-SA"/>
              </w:rPr>
              <w:t>)</w:t>
            </w:r>
          </w:p>
          <w:p w:rsidR="003B5B5D" w:rsidRPr="003B5B5D" w:rsidRDefault="003B5B5D" w:rsidP="003B5B5D">
            <w:pPr>
              <w:suppressAutoHyphens/>
              <w:spacing w:after="0" w:line="240" w:lineRule="auto"/>
              <w:rPr>
                <w:rFonts w:ascii="Times New Roman" w:eastAsia="Times New Roman" w:hAnsi="Times New Roman" w:cs="Times New Roman"/>
                <w:sz w:val="20"/>
                <w:szCs w:val="24"/>
                <w:lang w:val="de-DE" w:eastAsia="ar-SA"/>
              </w:rPr>
            </w:pPr>
          </w:p>
          <w:p w:rsidR="003B5B5D" w:rsidRPr="003B5B5D" w:rsidRDefault="003B5B5D" w:rsidP="003B5B5D">
            <w:pPr>
              <w:suppressAutoHyphens/>
              <w:spacing w:after="0" w:line="240" w:lineRule="auto"/>
              <w:rPr>
                <w:rFonts w:ascii="Times New Roman" w:eastAsia="Times New Roman" w:hAnsi="Times New Roman" w:cs="Times New Roman"/>
                <w:sz w:val="20"/>
                <w:szCs w:val="24"/>
                <w:lang w:val="de-DE" w:eastAsia="ar-SA"/>
              </w:rPr>
            </w:pPr>
            <w:r w:rsidRPr="003B5B5D">
              <w:rPr>
                <w:rFonts w:ascii="Times New Roman" w:eastAsia="Times New Roman" w:hAnsi="Times New Roman" w:cs="Times New Roman"/>
                <w:b/>
                <w:sz w:val="20"/>
                <w:szCs w:val="24"/>
                <w:lang w:val="de-DE" w:eastAsia="ar-SA"/>
              </w:rPr>
              <w:t>Co</w:t>
            </w:r>
            <w:r w:rsidRPr="003B5B5D">
              <w:rPr>
                <w:rFonts w:ascii="Times New Roman" w:eastAsia="Times New Roman" w:hAnsi="Times New Roman" w:cs="Times New Roman"/>
                <w:b/>
                <w:sz w:val="20"/>
                <w:szCs w:val="24"/>
                <w:lang w:eastAsia="ar-SA"/>
              </w:rPr>
              <w:t>-ordinateur</w:t>
            </w:r>
            <w:r w:rsidRPr="003B5B5D">
              <w:rPr>
                <w:rFonts w:ascii="Times New Roman" w:eastAsia="Times New Roman" w:hAnsi="Times New Roman" w:cs="Times New Roman"/>
                <w:b/>
                <w:sz w:val="20"/>
                <w:szCs w:val="24"/>
                <w:lang w:val="de-DE" w:eastAsia="ar-SA"/>
              </w:rPr>
              <w:t xml:space="preserve"> parrainages</w:t>
            </w:r>
            <w:r w:rsidRPr="003B5B5D">
              <w:rPr>
                <w:rFonts w:ascii="Times New Roman" w:eastAsia="Times New Roman" w:hAnsi="Times New Roman" w:cs="Times New Roman"/>
                <w:sz w:val="20"/>
                <w:szCs w:val="24"/>
                <w:lang w:val="de-DE" w:eastAsia="ar-SA"/>
              </w:rPr>
              <w:t>:</w:t>
            </w:r>
          </w:p>
          <w:p w:rsidR="003B5B5D" w:rsidRPr="003B5B5D" w:rsidRDefault="003B5B5D" w:rsidP="003B5B5D">
            <w:pPr>
              <w:suppressAutoHyphens/>
              <w:spacing w:after="0" w:line="240" w:lineRule="auto"/>
              <w:rPr>
                <w:rFonts w:ascii="Times New Roman" w:eastAsia="Times New Roman" w:hAnsi="Times New Roman" w:cs="Times New Roman"/>
                <w:sz w:val="20"/>
                <w:szCs w:val="24"/>
                <w:lang w:val="de-DE" w:eastAsia="ar-SA"/>
              </w:rPr>
            </w:pPr>
            <w:r w:rsidRPr="003B5B5D">
              <w:rPr>
                <w:rFonts w:ascii="Times New Roman" w:eastAsia="Times New Roman" w:hAnsi="Times New Roman" w:cs="Times New Roman"/>
                <w:sz w:val="20"/>
                <w:szCs w:val="24"/>
                <w:lang w:val="de-DE" w:eastAsia="ar-SA"/>
              </w:rPr>
              <w:t>Hannah Denney</w:t>
            </w:r>
          </w:p>
          <w:p w:rsidR="003B5B5D" w:rsidRPr="003B5B5D" w:rsidRDefault="009A1930" w:rsidP="003B5B5D">
            <w:pPr>
              <w:suppressAutoHyphens/>
              <w:spacing w:after="0" w:line="240" w:lineRule="auto"/>
              <w:rPr>
                <w:rFonts w:ascii="Times New Roman" w:eastAsia="Times New Roman" w:hAnsi="Times New Roman" w:cs="Times New Roman"/>
                <w:sz w:val="20"/>
                <w:szCs w:val="24"/>
                <w:lang w:val="de-DE" w:eastAsia="ar-SA"/>
              </w:rPr>
            </w:pPr>
            <w:hyperlink r:id="rId20" w:history="1">
              <w:r w:rsidR="003B5B5D" w:rsidRPr="003B5B5D">
                <w:rPr>
                  <w:rFonts w:ascii="Times New Roman" w:eastAsia="Times New Roman" w:hAnsi="Times New Roman" w:cs="Times New Roman"/>
                  <w:color w:val="0000FF"/>
                  <w:sz w:val="20"/>
                  <w:szCs w:val="24"/>
                  <w:u w:val="single"/>
                  <w:lang w:val="de-DE" w:eastAsia="ar-SA"/>
                </w:rPr>
                <w:t>hannahdenney@insol-europe.org</w:t>
              </w:r>
            </w:hyperlink>
            <w:r w:rsidR="003B5B5D" w:rsidRPr="003B5B5D">
              <w:rPr>
                <w:rFonts w:ascii="Times New Roman" w:eastAsia="Times New Roman" w:hAnsi="Times New Roman" w:cs="Times New Roman"/>
                <w:sz w:val="20"/>
                <w:szCs w:val="24"/>
                <w:lang w:val="de-DE" w:eastAsia="ar-SA"/>
              </w:rPr>
              <w:t>)</w:t>
            </w:r>
          </w:p>
          <w:p w:rsidR="003B5B5D" w:rsidRPr="003B5B5D" w:rsidRDefault="003B5B5D" w:rsidP="003B5B5D">
            <w:pPr>
              <w:suppressAutoHyphens/>
              <w:spacing w:after="0" w:line="240" w:lineRule="auto"/>
              <w:rPr>
                <w:rFonts w:ascii="Times New Roman" w:eastAsia="Times New Roman" w:hAnsi="Times New Roman" w:cs="Times New Roman"/>
                <w:sz w:val="20"/>
                <w:szCs w:val="24"/>
                <w:lang w:val="de-DE" w:eastAsia="ar-SA"/>
              </w:rPr>
            </w:pPr>
          </w:p>
          <w:p w:rsidR="003B5B5D" w:rsidRPr="003B5B5D" w:rsidRDefault="003B5B5D" w:rsidP="003B5B5D">
            <w:pPr>
              <w:suppressAutoHyphens/>
              <w:spacing w:after="0" w:line="240" w:lineRule="auto"/>
              <w:rPr>
                <w:rFonts w:ascii="Times New Roman" w:eastAsia="Times New Roman" w:hAnsi="Times New Roman" w:cs="Times New Roman"/>
                <w:b/>
                <w:sz w:val="20"/>
                <w:szCs w:val="24"/>
                <w:lang w:val="de-DE" w:eastAsia="ar-SA"/>
              </w:rPr>
            </w:pPr>
            <w:r w:rsidRPr="003B5B5D">
              <w:rPr>
                <w:rFonts w:ascii="Times New Roman" w:eastAsia="Times New Roman" w:hAnsi="Times New Roman" w:cs="Times New Roman"/>
                <w:b/>
                <w:sz w:val="20"/>
                <w:szCs w:val="24"/>
                <w:lang w:val="de-DE" w:eastAsia="ar-SA"/>
              </w:rPr>
              <w:t>Co-ordinateur des recherches techniques:</w:t>
            </w:r>
          </w:p>
          <w:p w:rsidR="003B5B5D" w:rsidRPr="003B5B5D" w:rsidRDefault="003B5B5D" w:rsidP="003B5B5D">
            <w:pPr>
              <w:suppressAutoHyphens/>
              <w:spacing w:after="0" w:line="240" w:lineRule="auto"/>
              <w:rPr>
                <w:rFonts w:ascii="Times New Roman" w:eastAsia="Times New Roman" w:hAnsi="Times New Roman" w:cs="Times New Roman"/>
                <w:sz w:val="20"/>
                <w:szCs w:val="24"/>
                <w:lang w:val="de-DE" w:eastAsia="ar-SA"/>
              </w:rPr>
            </w:pPr>
            <w:r w:rsidRPr="003B5B5D">
              <w:rPr>
                <w:rFonts w:ascii="Times New Roman" w:eastAsia="Times New Roman" w:hAnsi="Times New Roman" w:cs="Times New Roman"/>
                <w:sz w:val="20"/>
                <w:szCs w:val="24"/>
                <w:lang w:val="de-DE" w:eastAsia="ar-SA"/>
              </w:rPr>
              <w:t>Paul Omar (</w:t>
            </w:r>
            <w:hyperlink r:id="rId21" w:history="1">
              <w:r w:rsidRPr="003B5B5D">
                <w:rPr>
                  <w:rFonts w:ascii="Times New Roman" w:eastAsia="Times New Roman" w:hAnsi="Times New Roman" w:cs="Times New Roman"/>
                  <w:color w:val="0000FF"/>
                  <w:sz w:val="20"/>
                  <w:szCs w:val="24"/>
                  <w:u w:val="single"/>
                  <w:lang w:val="de-DE" w:eastAsia="ar-SA"/>
                </w:rPr>
                <w:t>khaemwaset@yahoo.co.uk</w:t>
              </w:r>
            </w:hyperlink>
            <w:r w:rsidRPr="003B5B5D">
              <w:rPr>
                <w:rFonts w:ascii="Times New Roman" w:eastAsia="Times New Roman" w:hAnsi="Times New Roman" w:cs="Times New Roman"/>
                <w:sz w:val="20"/>
                <w:szCs w:val="24"/>
                <w:lang w:val="de-DE" w:eastAsia="ar-SA"/>
              </w:rPr>
              <w:t>)</w:t>
            </w:r>
          </w:p>
          <w:p w:rsidR="003B5B5D" w:rsidRPr="003B5B5D" w:rsidRDefault="003B5B5D" w:rsidP="003B5B5D">
            <w:pPr>
              <w:suppressAutoHyphens/>
              <w:spacing w:after="0" w:line="240" w:lineRule="auto"/>
              <w:rPr>
                <w:rFonts w:ascii="Times New Roman" w:eastAsia="Times New Roman" w:hAnsi="Times New Roman" w:cs="Times New Roman"/>
                <w:b/>
                <w:sz w:val="20"/>
                <w:szCs w:val="24"/>
                <w:lang w:val="de-DE" w:eastAsia="ar-SA"/>
              </w:rPr>
            </w:pPr>
          </w:p>
          <w:p w:rsidR="003B5B5D" w:rsidRPr="003B5B5D" w:rsidRDefault="003B5B5D" w:rsidP="003B5B5D">
            <w:pPr>
              <w:suppressAutoHyphens/>
              <w:spacing w:after="0" w:line="240" w:lineRule="auto"/>
              <w:rPr>
                <w:rFonts w:ascii="Times New Roman" w:eastAsia="Times New Roman" w:hAnsi="Times New Roman" w:cs="Times New Roman"/>
                <w:sz w:val="20"/>
                <w:szCs w:val="24"/>
                <w:lang w:val="de-DE" w:eastAsia="ar-SA"/>
              </w:rPr>
            </w:pPr>
            <w:r w:rsidRPr="003B5B5D">
              <w:rPr>
                <w:rFonts w:ascii="Times New Roman" w:eastAsia="Times New Roman" w:hAnsi="Times New Roman" w:cs="Times New Roman"/>
                <w:b/>
                <w:sz w:val="20"/>
                <w:szCs w:val="24"/>
                <w:lang w:val="de-DE" w:eastAsia="ar-SA"/>
              </w:rPr>
              <w:t>Responsables techniques</w:t>
            </w:r>
            <w:r w:rsidRPr="003B5B5D">
              <w:rPr>
                <w:rFonts w:ascii="Times New Roman" w:eastAsia="Times New Roman" w:hAnsi="Times New Roman" w:cs="Times New Roman"/>
                <w:sz w:val="20"/>
                <w:szCs w:val="24"/>
                <w:lang w:val="de-DE" w:eastAsia="ar-SA"/>
              </w:rPr>
              <w:t>:</w:t>
            </w:r>
          </w:p>
          <w:p w:rsidR="003B5B5D" w:rsidRPr="003B5B5D" w:rsidRDefault="003B5B5D" w:rsidP="003B5B5D">
            <w:pPr>
              <w:suppressAutoHyphens/>
              <w:spacing w:after="0" w:line="240" w:lineRule="auto"/>
              <w:rPr>
                <w:rFonts w:ascii="Times New Roman" w:eastAsia="Times New Roman" w:hAnsi="Times New Roman" w:cs="Times New Roman"/>
                <w:sz w:val="20"/>
                <w:szCs w:val="24"/>
                <w:lang w:val="de-DE" w:eastAsia="ar-SA"/>
              </w:rPr>
            </w:pPr>
            <w:r w:rsidRPr="003B5B5D">
              <w:rPr>
                <w:rFonts w:ascii="Times New Roman" w:eastAsia="Times New Roman" w:hAnsi="Times New Roman" w:cs="Times New Roman"/>
                <w:sz w:val="20"/>
                <w:szCs w:val="24"/>
                <w:lang w:val="de-DE" w:eastAsia="ar-SA"/>
              </w:rPr>
              <w:t>Emmanuelle Inacio &amp; Myriam  Mailly</w:t>
            </w:r>
          </w:p>
          <w:p w:rsidR="003B5B5D" w:rsidRPr="003B5B5D" w:rsidRDefault="003B5B5D" w:rsidP="003B5B5D">
            <w:pPr>
              <w:suppressAutoHyphens/>
              <w:spacing w:after="0" w:line="240" w:lineRule="auto"/>
              <w:rPr>
                <w:rFonts w:ascii="Times New Roman" w:eastAsia="Times New Roman" w:hAnsi="Times New Roman" w:cs="Times New Roman"/>
                <w:sz w:val="20"/>
                <w:szCs w:val="24"/>
                <w:lang w:val="de-DE" w:eastAsia="ar-SA"/>
              </w:rPr>
            </w:pPr>
            <w:r w:rsidRPr="003B5B5D">
              <w:rPr>
                <w:rFonts w:ascii="Times New Roman" w:eastAsia="Times New Roman" w:hAnsi="Times New Roman" w:cs="Times New Roman"/>
                <w:sz w:val="20"/>
                <w:szCs w:val="24"/>
                <w:lang w:val="de-DE" w:eastAsia="ar-SA"/>
              </w:rPr>
              <w:t>(</w:t>
            </w:r>
            <w:hyperlink r:id="rId22" w:history="1">
              <w:r w:rsidRPr="003B5B5D">
                <w:rPr>
                  <w:rFonts w:ascii="Times New Roman" w:eastAsia="Times New Roman" w:hAnsi="Times New Roman" w:cs="Times New Roman"/>
                  <w:color w:val="0000FF"/>
                  <w:sz w:val="20"/>
                  <w:szCs w:val="24"/>
                  <w:u w:val="single"/>
                  <w:lang w:val="de-DE" w:eastAsia="ar-SA"/>
                </w:rPr>
                <w:t>technical@insol-europe.org</w:t>
              </w:r>
            </w:hyperlink>
            <w:r w:rsidRPr="003B5B5D">
              <w:rPr>
                <w:rFonts w:ascii="Times New Roman" w:eastAsia="Times New Roman" w:hAnsi="Times New Roman" w:cs="Times New Roman"/>
                <w:sz w:val="20"/>
                <w:szCs w:val="24"/>
                <w:lang w:val="de-DE" w:eastAsia="ar-SA"/>
              </w:rPr>
              <w:t>)</w:t>
            </w:r>
          </w:p>
          <w:p w:rsidR="003B5B5D" w:rsidRPr="003B5B5D" w:rsidRDefault="003B5B5D" w:rsidP="003B5B5D">
            <w:pPr>
              <w:suppressAutoHyphens/>
              <w:spacing w:after="0" w:line="240" w:lineRule="auto"/>
              <w:rPr>
                <w:rFonts w:ascii="Times New Roman" w:eastAsia="Times New Roman" w:hAnsi="Times New Roman" w:cs="Times New Roman"/>
                <w:sz w:val="20"/>
                <w:szCs w:val="24"/>
                <w:lang w:val="de-DE" w:eastAsia="ar-SA"/>
              </w:rPr>
            </w:pPr>
          </w:p>
        </w:tc>
        <w:tc>
          <w:tcPr>
            <w:tcW w:w="372" w:type="dxa"/>
            <w:tcBorders>
              <w:left w:val="single" w:sz="4" w:space="0" w:color="000000"/>
            </w:tcBorders>
            <w:shd w:val="clear" w:color="auto" w:fill="auto"/>
          </w:tcPr>
          <w:p w:rsidR="003B5B5D" w:rsidRPr="003B5B5D" w:rsidRDefault="003B5B5D" w:rsidP="003B5B5D">
            <w:pPr>
              <w:suppressAutoHyphens/>
              <w:snapToGrid w:val="0"/>
              <w:spacing w:after="0" w:line="240" w:lineRule="auto"/>
              <w:rPr>
                <w:rFonts w:ascii="Times New Roman" w:eastAsia="Times New Roman" w:hAnsi="Times New Roman" w:cs="Times New Roman"/>
                <w:sz w:val="20"/>
                <w:szCs w:val="24"/>
                <w:lang w:val="de-DE" w:eastAsia="ar-SA"/>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3B5B5D" w:rsidRPr="003B5B5D" w:rsidRDefault="003B5B5D" w:rsidP="003B5B5D">
            <w:pPr>
              <w:suppressAutoHyphens/>
              <w:spacing w:after="0" w:line="240" w:lineRule="auto"/>
              <w:rPr>
                <w:rFonts w:ascii="Times New Roman" w:eastAsia="Times New Roman" w:hAnsi="Times New Roman" w:cs="Times New Roman"/>
                <w:b/>
                <w:sz w:val="20"/>
                <w:szCs w:val="20"/>
                <w:lang w:eastAsia="ar-SA"/>
              </w:rPr>
            </w:pPr>
            <w:r w:rsidRPr="003B5B5D">
              <w:rPr>
                <w:rFonts w:ascii="Times New Roman" w:eastAsia="Times New Roman" w:hAnsi="Times New Roman" w:cs="Times New Roman"/>
                <w:b/>
                <w:sz w:val="20"/>
                <w:szCs w:val="20"/>
                <w:lang w:eastAsia="ar-SA"/>
              </w:rPr>
              <w:t>Responsables des comités et groupes de travail :</w:t>
            </w:r>
          </w:p>
          <w:p w:rsidR="003B5B5D" w:rsidRPr="003B5B5D" w:rsidRDefault="003B5B5D" w:rsidP="003B5B5D">
            <w:pPr>
              <w:suppressAutoHyphens/>
              <w:spacing w:after="0" w:line="240" w:lineRule="auto"/>
              <w:rPr>
                <w:rFonts w:ascii="Times New Roman" w:eastAsia="Times New Roman" w:hAnsi="Times New Roman" w:cs="Times New Roman"/>
                <w:b/>
                <w:sz w:val="20"/>
                <w:szCs w:val="20"/>
                <w:lang w:eastAsia="ar-SA"/>
              </w:rPr>
            </w:pPr>
          </w:p>
          <w:p w:rsidR="003B5B5D" w:rsidRPr="003B5B5D" w:rsidRDefault="003B5B5D" w:rsidP="003B5B5D">
            <w:pPr>
              <w:suppressAutoHyphens/>
              <w:spacing w:after="0" w:line="240" w:lineRule="auto"/>
              <w:rPr>
                <w:rFonts w:ascii="Times New Roman" w:eastAsia="Times New Roman" w:hAnsi="Times New Roman" w:cs="Times New Roman"/>
                <w:sz w:val="20"/>
                <w:szCs w:val="20"/>
                <w:lang w:eastAsia="ar-SA"/>
              </w:rPr>
            </w:pPr>
            <w:r w:rsidRPr="003B5B5D">
              <w:rPr>
                <w:rFonts w:ascii="Times New Roman" w:eastAsia="Times New Roman" w:hAnsi="Times New Roman" w:cs="Times New Roman"/>
                <w:b/>
                <w:sz w:val="20"/>
                <w:szCs w:val="20"/>
                <w:lang w:eastAsia="ar-SA"/>
              </w:rPr>
              <w:t>Branche Anti-fraude</w:t>
            </w:r>
            <w:r w:rsidRPr="003B5B5D">
              <w:rPr>
                <w:rFonts w:ascii="Times New Roman" w:eastAsia="Times New Roman" w:hAnsi="Times New Roman" w:cs="Times New Roman"/>
                <w:sz w:val="20"/>
                <w:szCs w:val="20"/>
                <w:lang w:eastAsia="ar-SA"/>
              </w:rPr>
              <w:t> :</w:t>
            </w:r>
          </w:p>
          <w:p w:rsidR="003B5B5D" w:rsidRPr="003B5B5D" w:rsidRDefault="003B5B5D" w:rsidP="003B5B5D">
            <w:pPr>
              <w:suppressAutoHyphens/>
              <w:spacing w:after="0" w:line="240" w:lineRule="auto"/>
              <w:rPr>
                <w:rFonts w:ascii="Times New Roman" w:eastAsia="Times New Roman" w:hAnsi="Times New Roman" w:cs="Times New Roman"/>
                <w:sz w:val="20"/>
                <w:szCs w:val="20"/>
                <w:lang w:eastAsia="ar-SA"/>
              </w:rPr>
            </w:pPr>
            <w:r w:rsidRPr="003B5B5D">
              <w:rPr>
                <w:rFonts w:ascii="Times New Roman" w:eastAsia="Times New Roman" w:hAnsi="Times New Roman" w:cs="Times New Roman"/>
                <w:sz w:val="20"/>
                <w:szCs w:val="20"/>
                <w:lang w:eastAsia="ar-SA"/>
              </w:rPr>
              <w:t>David Ingram (</w:t>
            </w:r>
            <w:hyperlink r:id="rId23" w:history="1">
              <w:r w:rsidRPr="003B5B5D">
                <w:rPr>
                  <w:rFonts w:ascii="Times New Roman" w:eastAsia="Times New Roman" w:hAnsi="Times New Roman" w:cs="Times New Roman"/>
                  <w:color w:val="0000FF"/>
                  <w:sz w:val="20"/>
                  <w:szCs w:val="20"/>
                  <w:u w:val="single"/>
                  <w:lang w:eastAsia="ar-SA"/>
                </w:rPr>
                <w:t>david.ingram@uk.gt.com</w:t>
              </w:r>
            </w:hyperlink>
            <w:r w:rsidRPr="003B5B5D">
              <w:rPr>
                <w:rFonts w:ascii="Times New Roman" w:eastAsia="Times New Roman" w:hAnsi="Times New Roman" w:cs="Times New Roman"/>
                <w:sz w:val="20"/>
                <w:szCs w:val="20"/>
                <w:lang w:eastAsia="ar-SA"/>
              </w:rPr>
              <w:t>)</w:t>
            </w:r>
          </w:p>
          <w:p w:rsidR="003B5B5D" w:rsidRPr="003B5B5D" w:rsidRDefault="003B5B5D" w:rsidP="003B5B5D">
            <w:pPr>
              <w:suppressAutoHyphens/>
              <w:spacing w:after="0" w:line="240" w:lineRule="auto"/>
              <w:rPr>
                <w:rFonts w:ascii="Times New Roman" w:eastAsia="Times New Roman" w:hAnsi="Times New Roman" w:cs="Times New Roman"/>
                <w:sz w:val="20"/>
                <w:szCs w:val="20"/>
                <w:lang w:eastAsia="ar-SA"/>
              </w:rPr>
            </w:pPr>
            <w:r w:rsidRPr="003B5B5D">
              <w:rPr>
                <w:rFonts w:ascii="Times New Roman" w:eastAsia="Times New Roman" w:hAnsi="Times New Roman" w:cs="Times New Roman"/>
                <w:sz w:val="20"/>
                <w:szCs w:val="20"/>
                <w:lang w:eastAsia="ar-SA"/>
              </w:rPr>
              <w:t>Eitan Erez (</w:t>
            </w:r>
            <w:hyperlink r:id="rId24" w:history="1">
              <w:r w:rsidRPr="003B5B5D">
                <w:rPr>
                  <w:rFonts w:ascii="Times New Roman" w:eastAsia="Times New Roman" w:hAnsi="Times New Roman" w:cs="Times New Roman"/>
                  <w:color w:val="0000FF"/>
                  <w:sz w:val="20"/>
                  <w:szCs w:val="20"/>
                  <w:u w:val="single"/>
                  <w:lang w:eastAsia="ar-SA"/>
                </w:rPr>
                <w:t>eitan@eitan-erez-law.com</w:t>
              </w:r>
            </w:hyperlink>
            <w:r w:rsidRPr="003B5B5D">
              <w:rPr>
                <w:rFonts w:ascii="Times New Roman" w:eastAsia="Times New Roman" w:hAnsi="Times New Roman" w:cs="Times New Roman"/>
                <w:sz w:val="20"/>
                <w:szCs w:val="20"/>
                <w:lang w:eastAsia="ar-SA"/>
              </w:rPr>
              <w:t>)</w:t>
            </w:r>
          </w:p>
          <w:p w:rsidR="003B5B5D" w:rsidRPr="003B5B5D" w:rsidRDefault="003B5B5D" w:rsidP="003B5B5D">
            <w:pPr>
              <w:suppressAutoHyphens/>
              <w:spacing w:after="0" w:line="240" w:lineRule="auto"/>
              <w:rPr>
                <w:rFonts w:ascii="Times New Roman" w:eastAsia="Times New Roman" w:hAnsi="Times New Roman" w:cs="Times New Roman"/>
                <w:b/>
                <w:sz w:val="20"/>
                <w:szCs w:val="20"/>
                <w:lang w:val="de-DE" w:eastAsia="ar-SA"/>
              </w:rPr>
            </w:pPr>
          </w:p>
          <w:p w:rsidR="003B5B5D" w:rsidRPr="003B5B5D" w:rsidRDefault="003B5B5D" w:rsidP="003B5B5D">
            <w:pPr>
              <w:suppressAutoHyphens/>
              <w:spacing w:after="0" w:line="240" w:lineRule="auto"/>
              <w:rPr>
                <w:rFonts w:ascii="Times New Roman" w:eastAsia="Times New Roman" w:hAnsi="Times New Roman" w:cs="Times New Roman"/>
                <w:sz w:val="20"/>
                <w:szCs w:val="20"/>
                <w:lang w:val="de-DE" w:eastAsia="ar-SA"/>
              </w:rPr>
            </w:pPr>
            <w:r w:rsidRPr="003B5B5D">
              <w:rPr>
                <w:rFonts w:ascii="Times New Roman" w:eastAsia="Times New Roman" w:hAnsi="Times New Roman" w:cs="Times New Roman"/>
                <w:b/>
                <w:sz w:val="20"/>
                <w:szCs w:val="20"/>
                <w:lang w:val="de-DE" w:eastAsia="ar-SA"/>
              </w:rPr>
              <w:t>Branche Judiciaire</w:t>
            </w:r>
            <w:r w:rsidRPr="003B5B5D">
              <w:rPr>
                <w:rFonts w:ascii="Times New Roman" w:eastAsia="Times New Roman" w:hAnsi="Times New Roman" w:cs="Times New Roman"/>
                <w:sz w:val="20"/>
                <w:szCs w:val="20"/>
                <w:lang w:val="de-DE" w:eastAsia="ar-SA"/>
              </w:rPr>
              <w:t xml:space="preserve"> : </w:t>
            </w:r>
          </w:p>
          <w:p w:rsidR="003B5B5D" w:rsidRPr="003B5B5D" w:rsidRDefault="003B5B5D" w:rsidP="003B5B5D">
            <w:pPr>
              <w:suppressAutoHyphens/>
              <w:spacing w:after="0" w:line="240" w:lineRule="auto"/>
              <w:rPr>
                <w:rFonts w:ascii="Times New Roman" w:eastAsia="Times New Roman" w:hAnsi="Times New Roman" w:cs="Times New Roman"/>
                <w:sz w:val="20"/>
                <w:szCs w:val="20"/>
                <w:lang w:val="de-DE" w:eastAsia="ar-SA"/>
              </w:rPr>
            </w:pPr>
            <w:r w:rsidRPr="003B5B5D">
              <w:rPr>
                <w:rFonts w:ascii="Times New Roman" w:eastAsia="Times New Roman" w:hAnsi="Times New Roman" w:cs="Times New Roman"/>
                <w:sz w:val="20"/>
                <w:szCs w:val="20"/>
                <w:lang w:val="de-DE" w:eastAsia="ar-SA"/>
              </w:rPr>
              <w:t>Heinz Vallender  (</w:t>
            </w:r>
            <w:hyperlink r:id="rId25" w:history="1">
              <w:r w:rsidRPr="003B5B5D">
                <w:rPr>
                  <w:rFonts w:ascii="Times New Roman" w:eastAsia="Times New Roman" w:hAnsi="Times New Roman" w:cs="Times New Roman"/>
                  <w:color w:val="0000FF"/>
                  <w:sz w:val="20"/>
                  <w:szCs w:val="20"/>
                  <w:u w:val="single"/>
                  <w:lang w:val="de-DE" w:eastAsia="ar-SA"/>
                </w:rPr>
                <w:t>hvallender@t-online.de</w:t>
              </w:r>
            </w:hyperlink>
            <w:r w:rsidRPr="003B5B5D">
              <w:rPr>
                <w:rFonts w:ascii="Times New Roman" w:eastAsia="Times New Roman" w:hAnsi="Times New Roman" w:cs="Times New Roman"/>
                <w:sz w:val="20"/>
                <w:szCs w:val="20"/>
                <w:lang w:val="de-DE" w:eastAsia="ar-SA"/>
              </w:rPr>
              <w:t>)</w:t>
            </w:r>
          </w:p>
          <w:p w:rsidR="003B5B5D" w:rsidRPr="003B5B5D" w:rsidRDefault="003B5B5D" w:rsidP="003B5B5D">
            <w:pPr>
              <w:suppressAutoHyphens/>
              <w:spacing w:after="0" w:line="240" w:lineRule="auto"/>
              <w:rPr>
                <w:rFonts w:ascii="Times New Roman" w:eastAsia="Times New Roman" w:hAnsi="Times New Roman" w:cs="Times New Roman"/>
                <w:b/>
                <w:sz w:val="20"/>
                <w:szCs w:val="20"/>
                <w:lang w:val="de-DE" w:eastAsia="ar-SA"/>
              </w:rPr>
            </w:pPr>
          </w:p>
          <w:p w:rsidR="003B5B5D" w:rsidRPr="003B5B5D" w:rsidRDefault="003B5B5D" w:rsidP="003B5B5D">
            <w:pPr>
              <w:suppressAutoHyphens/>
              <w:spacing w:after="0" w:line="240" w:lineRule="auto"/>
              <w:rPr>
                <w:rFonts w:ascii="Times New Roman" w:eastAsia="Times New Roman" w:hAnsi="Times New Roman" w:cs="Times New Roman"/>
                <w:b/>
                <w:sz w:val="20"/>
                <w:szCs w:val="20"/>
                <w:lang w:val="de-DE" w:eastAsia="ar-SA"/>
              </w:rPr>
            </w:pPr>
            <w:r w:rsidRPr="003B5B5D">
              <w:rPr>
                <w:rFonts w:ascii="Times New Roman" w:eastAsia="Times New Roman" w:hAnsi="Times New Roman" w:cs="Times New Roman"/>
                <w:b/>
                <w:sz w:val="20"/>
                <w:szCs w:val="20"/>
                <w:lang w:val="de-DE" w:eastAsia="ar-SA"/>
              </w:rPr>
              <w:t>Branche Redressement :</w:t>
            </w:r>
          </w:p>
          <w:p w:rsidR="003B5B5D" w:rsidRPr="003B5B5D" w:rsidRDefault="003B5B5D" w:rsidP="003B5B5D">
            <w:pPr>
              <w:suppressAutoHyphens/>
              <w:spacing w:after="0" w:line="240" w:lineRule="auto"/>
              <w:rPr>
                <w:rFonts w:ascii="Times New Roman" w:eastAsia="Times New Roman" w:hAnsi="Times New Roman" w:cs="Times New Roman"/>
                <w:sz w:val="20"/>
                <w:szCs w:val="20"/>
                <w:lang w:val="de-DE" w:eastAsia="ar-SA"/>
              </w:rPr>
            </w:pPr>
            <w:r w:rsidRPr="003B5B5D">
              <w:rPr>
                <w:rFonts w:ascii="Times New Roman" w:eastAsia="Times New Roman" w:hAnsi="Times New Roman" w:cs="Times New Roman"/>
                <w:sz w:val="20"/>
                <w:szCs w:val="20"/>
                <w:lang w:val="de-DE" w:eastAsia="ar-SA"/>
              </w:rPr>
              <w:t>Alberto Nünez-Lagos (</w:t>
            </w:r>
            <w:hyperlink r:id="rId26" w:history="1">
              <w:r w:rsidRPr="003B5B5D">
                <w:rPr>
                  <w:rFonts w:ascii="Times New Roman" w:eastAsia="Times New Roman" w:hAnsi="Times New Roman" w:cs="Times New Roman"/>
                  <w:color w:val="0000FF"/>
                  <w:sz w:val="20"/>
                  <w:szCs w:val="20"/>
                  <w:u w:val="single"/>
                  <w:lang w:val="de-DE" w:eastAsia="ar-SA"/>
                </w:rPr>
                <w:t>alberto.nunez-lagos@uria.com</w:t>
              </w:r>
            </w:hyperlink>
            <w:r w:rsidRPr="003B5B5D">
              <w:rPr>
                <w:rFonts w:ascii="Times New Roman" w:eastAsia="Times New Roman" w:hAnsi="Times New Roman" w:cs="Times New Roman"/>
                <w:sz w:val="20"/>
                <w:szCs w:val="20"/>
                <w:lang w:val="de-DE" w:eastAsia="ar-SA"/>
              </w:rPr>
              <w:t>)</w:t>
            </w:r>
          </w:p>
          <w:p w:rsidR="003B5B5D" w:rsidRPr="003B5B5D" w:rsidRDefault="003B5B5D" w:rsidP="003B5B5D">
            <w:pPr>
              <w:suppressAutoHyphens/>
              <w:spacing w:after="0" w:line="240" w:lineRule="auto"/>
              <w:rPr>
                <w:rFonts w:ascii="Times New Roman" w:eastAsia="Times New Roman" w:hAnsi="Times New Roman" w:cs="Times New Roman"/>
                <w:sz w:val="20"/>
                <w:szCs w:val="20"/>
                <w:lang w:val="de-DE" w:eastAsia="ar-SA"/>
              </w:rPr>
            </w:pPr>
            <w:r w:rsidRPr="003B5B5D">
              <w:rPr>
                <w:rFonts w:ascii="Times New Roman" w:eastAsia="Times New Roman" w:hAnsi="Times New Roman" w:cs="Times New Roman"/>
                <w:sz w:val="20"/>
                <w:szCs w:val="20"/>
                <w:lang w:val="de-DE" w:eastAsia="ar-SA"/>
              </w:rPr>
              <w:t>Rita Gismondi (</w:t>
            </w:r>
            <w:hyperlink r:id="rId27" w:history="1">
              <w:r w:rsidRPr="003B5B5D">
                <w:rPr>
                  <w:rFonts w:ascii="Times New Roman" w:eastAsia="Times New Roman" w:hAnsi="Times New Roman" w:cs="Times New Roman"/>
                  <w:color w:val="0000FF"/>
                  <w:sz w:val="20"/>
                  <w:szCs w:val="20"/>
                  <w:u w:val="single"/>
                  <w:lang w:val="de-DE" w:eastAsia="ar-SA"/>
                </w:rPr>
                <w:t>rgismondi@gop.it</w:t>
              </w:r>
            </w:hyperlink>
            <w:r w:rsidRPr="003B5B5D">
              <w:rPr>
                <w:rFonts w:ascii="Times New Roman" w:eastAsia="Times New Roman" w:hAnsi="Times New Roman" w:cs="Times New Roman"/>
                <w:sz w:val="20"/>
                <w:szCs w:val="20"/>
                <w:lang w:val="de-DE" w:eastAsia="ar-SA"/>
              </w:rPr>
              <w:t>)</w:t>
            </w:r>
          </w:p>
          <w:p w:rsidR="003B5B5D" w:rsidRPr="003B5B5D" w:rsidRDefault="003B5B5D" w:rsidP="003B5B5D">
            <w:pPr>
              <w:suppressAutoHyphens/>
              <w:spacing w:after="0" w:line="240" w:lineRule="auto"/>
              <w:rPr>
                <w:rFonts w:ascii="Times New Roman" w:eastAsia="Times New Roman" w:hAnsi="Times New Roman" w:cs="Times New Roman"/>
                <w:b/>
                <w:bCs/>
                <w:sz w:val="20"/>
                <w:szCs w:val="20"/>
                <w:lang w:val="de-DE" w:eastAsia="ar-SA"/>
              </w:rPr>
            </w:pPr>
          </w:p>
          <w:p w:rsidR="003B5B5D" w:rsidRPr="003B5B5D" w:rsidRDefault="003B5B5D" w:rsidP="003B5B5D">
            <w:pPr>
              <w:suppressAutoHyphens/>
              <w:spacing w:after="0" w:line="240" w:lineRule="auto"/>
              <w:rPr>
                <w:rFonts w:ascii="Times New Roman" w:eastAsia="Times New Roman" w:hAnsi="Times New Roman" w:cs="Times New Roman"/>
                <w:sz w:val="20"/>
                <w:szCs w:val="20"/>
                <w:lang w:eastAsia="ar-SA"/>
              </w:rPr>
            </w:pPr>
            <w:r w:rsidRPr="003B5B5D">
              <w:rPr>
                <w:rFonts w:ascii="Times New Roman" w:eastAsia="Times New Roman" w:hAnsi="Times New Roman" w:cs="Times New Roman"/>
                <w:b/>
                <w:bCs/>
                <w:sz w:val="20"/>
                <w:szCs w:val="20"/>
                <w:lang w:eastAsia="ar-SA"/>
              </w:rPr>
              <w:t xml:space="preserve">Comité constitutif : </w:t>
            </w:r>
            <w:r w:rsidRPr="003B5B5D">
              <w:rPr>
                <w:rFonts w:ascii="Times New Roman" w:eastAsia="Times New Roman" w:hAnsi="Times New Roman" w:cs="Times New Roman"/>
                <w:sz w:val="20"/>
                <w:szCs w:val="20"/>
                <w:lang w:eastAsia="ar-SA"/>
              </w:rPr>
              <w:t xml:space="preserve">Catherine Ottaway </w:t>
            </w:r>
          </w:p>
          <w:p w:rsidR="003B5B5D" w:rsidRPr="003B5B5D" w:rsidRDefault="003B5B5D" w:rsidP="003B5B5D">
            <w:pPr>
              <w:suppressAutoHyphens/>
              <w:spacing w:after="0" w:line="240" w:lineRule="auto"/>
              <w:rPr>
                <w:rFonts w:ascii="Times New Roman" w:eastAsia="Times New Roman" w:hAnsi="Times New Roman" w:cs="Times New Roman"/>
                <w:sz w:val="20"/>
                <w:szCs w:val="20"/>
                <w:lang w:eastAsia="ar-SA"/>
              </w:rPr>
            </w:pPr>
            <w:r w:rsidRPr="003B5B5D">
              <w:rPr>
                <w:rFonts w:ascii="Times New Roman" w:eastAsia="Times New Roman" w:hAnsi="Times New Roman" w:cs="Times New Roman"/>
                <w:sz w:val="20"/>
                <w:szCs w:val="20"/>
                <w:lang w:eastAsia="ar-SA"/>
              </w:rPr>
              <w:t>(</w:t>
            </w:r>
            <w:hyperlink r:id="rId28" w:history="1">
              <w:r w:rsidRPr="003B5B5D">
                <w:rPr>
                  <w:rFonts w:ascii="Times New Roman" w:eastAsia="Times New Roman" w:hAnsi="Times New Roman" w:cs="Times New Roman"/>
                  <w:color w:val="0000FF"/>
                  <w:sz w:val="20"/>
                  <w:szCs w:val="20"/>
                  <w:u w:val="single"/>
                  <w:lang w:eastAsia="ar-SA"/>
                </w:rPr>
                <w:t>ottaway@hocheavocats.com</w:t>
              </w:r>
            </w:hyperlink>
            <w:r w:rsidRPr="003B5B5D">
              <w:rPr>
                <w:rFonts w:ascii="Times New Roman" w:eastAsia="Times New Roman" w:hAnsi="Times New Roman" w:cs="Times New Roman"/>
                <w:sz w:val="20"/>
                <w:szCs w:val="20"/>
                <w:lang w:eastAsia="ar-SA"/>
              </w:rPr>
              <w:t>)</w:t>
            </w:r>
          </w:p>
          <w:p w:rsidR="003B5B5D" w:rsidRPr="003B5B5D" w:rsidRDefault="003B5B5D" w:rsidP="003B5B5D">
            <w:pPr>
              <w:keepNext/>
              <w:numPr>
                <w:ilvl w:val="1"/>
                <w:numId w:val="0"/>
              </w:numPr>
              <w:tabs>
                <w:tab w:val="num" w:pos="0"/>
              </w:tabs>
              <w:suppressAutoHyphens/>
              <w:spacing w:after="0" w:line="240" w:lineRule="auto"/>
              <w:ind w:left="576" w:hanging="576"/>
              <w:outlineLvl w:val="1"/>
              <w:rPr>
                <w:rFonts w:ascii="Times New Roman" w:eastAsia="Times New Roman" w:hAnsi="Times New Roman" w:cs="Times New Roman"/>
                <w:b/>
                <w:bCs/>
                <w:sz w:val="20"/>
                <w:szCs w:val="20"/>
                <w:lang w:eastAsia="he-IL" w:bidi="he-IL"/>
              </w:rPr>
            </w:pPr>
          </w:p>
          <w:p w:rsidR="003B5B5D" w:rsidRPr="003B5B5D" w:rsidRDefault="003B5B5D" w:rsidP="003B5B5D">
            <w:pPr>
              <w:keepNext/>
              <w:numPr>
                <w:ilvl w:val="1"/>
                <w:numId w:val="0"/>
              </w:numPr>
              <w:tabs>
                <w:tab w:val="num" w:pos="0"/>
              </w:tabs>
              <w:suppressAutoHyphens/>
              <w:spacing w:after="0" w:line="240" w:lineRule="auto"/>
              <w:ind w:left="576" w:hanging="576"/>
              <w:outlineLvl w:val="1"/>
              <w:rPr>
                <w:rFonts w:ascii="Times New Roman" w:eastAsia="Times New Roman" w:hAnsi="Times New Roman" w:cs="Times New Roman"/>
                <w:b/>
                <w:bCs/>
                <w:sz w:val="20"/>
                <w:szCs w:val="20"/>
                <w:lang w:eastAsia="he-IL" w:bidi="he-IL"/>
              </w:rPr>
            </w:pPr>
            <w:r w:rsidRPr="003B5B5D">
              <w:rPr>
                <w:rFonts w:ascii="Times New Roman" w:eastAsia="Times New Roman" w:hAnsi="Times New Roman" w:cs="Times New Roman"/>
                <w:b/>
                <w:bCs/>
                <w:sz w:val="20"/>
                <w:szCs w:val="20"/>
                <w:lang w:eastAsia="ar-SA"/>
              </w:rPr>
              <w:t>Comité des</w:t>
            </w:r>
            <w:r w:rsidRPr="003B5B5D">
              <w:rPr>
                <w:rFonts w:ascii="Times New Roman" w:eastAsia="Times New Roman" w:hAnsi="Times New Roman" w:cs="Times New Roman"/>
                <w:sz w:val="20"/>
                <w:szCs w:val="20"/>
                <w:lang w:eastAsia="ar-SA"/>
              </w:rPr>
              <w:t xml:space="preserve"> </w:t>
            </w:r>
            <w:r w:rsidRPr="003B5B5D">
              <w:rPr>
                <w:rFonts w:ascii="Times New Roman" w:eastAsia="Times New Roman" w:hAnsi="Times New Roman" w:cs="Times New Roman"/>
                <w:b/>
                <w:bCs/>
                <w:sz w:val="20"/>
                <w:szCs w:val="20"/>
                <w:lang w:eastAsia="he-IL" w:bidi="he-IL"/>
              </w:rPr>
              <w:t>pays de l’Europe Orientale (EECC) :</w:t>
            </w:r>
          </w:p>
          <w:p w:rsidR="003B5B5D" w:rsidRPr="003B5B5D" w:rsidRDefault="003B5B5D" w:rsidP="003B5B5D">
            <w:pPr>
              <w:suppressAutoHyphens/>
              <w:spacing w:after="0" w:line="240" w:lineRule="auto"/>
              <w:rPr>
                <w:rFonts w:ascii="Times New Roman" w:eastAsia="Times New Roman" w:hAnsi="Times New Roman" w:cs="Times New Roman"/>
                <w:sz w:val="20"/>
                <w:szCs w:val="20"/>
                <w:lang w:val="en-US" w:eastAsia="ar-SA"/>
              </w:rPr>
            </w:pPr>
            <w:r w:rsidRPr="003B5B5D">
              <w:rPr>
                <w:rFonts w:ascii="Times New Roman" w:eastAsia="Times New Roman" w:hAnsi="Times New Roman" w:cs="Times New Roman"/>
                <w:sz w:val="20"/>
                <w:szCs w:val="20"/>
                <w:lang w:val="en-US" w:eastAsia="ar-SA"/>
              </w:rPr>
              <w:t>Radu Lotrean (</w:t>
            </w:r>
            <w:hyperlink r:id="rId29" w:history="1">
              <w:r w:rsidRPr="003B5B5D">
                <w:rPr>
                  <w:rFonts w:ascii="Times New Roman" w:eastAsia="Times New Roman" w:hAnsi="Times New Roman" w:cs="Times New Roman"/>
                  <w:color w:val="0000FF"/>
                  <w:sz w:val="20"/>
                  <w:szCs w:val="20"/>
                  <w:u w:val="single"/>
                  <w:lang w:val="en-US" w:eastAsia="ar-SA"/>
                </w:rPr>
                <w:t>radu.lotrean@citr.ro</w:t>
              </w:r>
            </w:hyperlink>
            <w:r w:rsidRPr="003B5B5D">
              <w:rPr>
                <w:rFonts w:ascii="Times New Roman" w:eastAsia="Times New Roman" w:hAnsi="Times New Roman" w:cs="Times New Roman"/>
                <w:sz w:val="20"/>
                <w:szCs w:val="20"/>
                <w:lang w:val="en-US" w:eastAsia="ar-SA"/>
              </w:rPr>
              <w:t>)</w:t>
            </w:r>
          </w:p>
          <w:p w:rsidR="003B5B5D" w:rsidRPr="003B5B5D" w:rsidRDefault="003B5B5D" w:rsidP="003B5B5D">
            <w:pPr>
              <w:suppressAutoHyphens/>
              <w:spacing w:after="0" w:line="240" w:lineRule="auto"/>
              <w:rPr>
                <w:rFonts w:ascii="Times New Roman" w:eastAsia="Times New Roman" w:hAnsi="Times New Roman" w:cs="Times New Roman"/>
                <w:sz w:val="20"/>
                <w:szCs w:val="20"/>
                <w:lang w:val="en-US" w:eastAsia="ar-SA"/>
              </w:rPr>
            </w:pPr>
            <w:r w:rsidRPr="003B5B5D">
              <w:rPr>
                <w:rFonts w:ascii="Times New Roman" w:eastAsia="Times New Roman" w:hAnsi="Times New Roman" w:cs="Times New Roman"/>
                <w:sz w:val="20"/>
                <w:szCs w:val="20"/>
                <w:lang w:val="en-US" w:eastAsia="ar-SA"/>
              </w:rPr>
              <w:t>Evert Verwey (</w:t>
            </w:r>
            <w:hyperlink r:id="rId30" w:history="1">
              <w:r w:rsidRPr="003B5B5D">
                <w:rPr>
                  <w:rFonts w:ascii="Times New Roman" w:eastAsia="Times New Roman" w:hAnsi="Times New Roman" w:cs="Times New Roman"/>
                  <w:color w:val="0000FF"/>
                  <w:sz w:val="20"/>
                  <w:szCs w:val="20"/>
                  <w:u w:val="single"/>
                  <w:lang w:val="en-US" w:eastAsia="ar-SA"/>
                </w:rPr>
                <w:t>evert.verwey@CliffordChance.com</w:t>
              </w:r>
            </w:hyperlink>
            <w:r w:rsidRPr="003B5B5D">
              <w:rPr>
                <w:rFonts w:ascii="Times New Roman" w:eastAsia="Times New Roman" w:hAnsi="Times New Roman" w:cs="Times New Roman"/>
                <w:color w:val="0000FF"/>
                <w:sz w:val="20"/>
                <w:szCs w:val="20"/>
                <w:u w:val="single"/>
                <w:lang w:val="en-US" w:eastAsia="ar-SA"/>
              </w:rPr>
              <w:t>)</w:t>
            </w:r>
          </w:p>
          <w:p w:rsidR="003B5B5D" w:rsidRPr="003B5B5D" w:rsidRDefault="003B5B5D" w:rsidP="003B5B5D">
            <w:pPr>
              <w:suppressAutoHyphens/>
              <w:spacing w:after="0" w:line="240" w:lineRule="auto"/>
              <w:rPr>
                <w:rFonts w:ascii="Times New Roman" w:eastAsia="Times New Roman" w:hAnsi="Times New Roman" w:cs="Times New Roman"/>
                <w:b/>
                <w:bCs/>
                <w:sz w:val="20"/>
                <w:szCs w:val="20"/>
                <w:lang w:val="en-US" w:eastAsia="ar-SA"/>
              </w:rPr>
            </w:pPr>
          </w:p>
          <w:p w:rsidR="003B5B5D" w:rsidRPr="003B5B5D" w:rsidRDefault="003B5B5D" w:rsidP="003B5B5D">
            <w:pPr>
              <w:suppressAutoHyphens/>
              <w:spacing w:after="0" w:line="240" w:lineRule="auto"/>
              <w:rPr>
                <w:rFonts w:ascii="Times New Roman" w:eastAsia="Times New Roman" w:hAnsi="Times New Roman" w:cs="Times New Roman"/>
                <w:b/>
                <w:bCs/>
                <w:sz w:val="20"/>
                <w:szCs w:val="20"/>
                <w:lang w:eastAsia="ar-SA"/>
              </w:rPr>
            </w:pPr>
            <w:r w:rsidRPr="003B5B5D">
              <w:rPr>
                <w:rFonts w:ascii="Times New Roman" w:eastAsia="Times New Roman" w:hAnsi="Times New Roman" w:cs="Times New Roman"/>
                <w:b/>
                <w:bCs/>
                <w:sz w:val="20"/>
                <w:szCs w:val="20"/>
                <w:lang w:eastAsia="ar-SA"/>
              </w:rPr>
              <w:t xml:space="preserve">Comité technique du congrès d’Athène, 2018: </w:t>
            </w:r>
          </w:p>
          <w:p w:rsidR="003B5B5D" w:rsidRPr="003B5B5D" w:rsidRDefault="003B5B5D" w:rsidP="003B5B5D">
            <w:pPr>
              <w:suppressAutoHyphens/>
              <w:spacing w:after="0" w:line="240" w:lineRule="auto"/>
              <w:rPr>
                <w:rFonts w:ascii="Times New Roman" w:eastAsia="Times New Roman" w:hAnsi="Times New Roman" w:cs="Times New Roman"/>
                <w:sz w:val="20"/>
                <w:szCs w:val="20"/>
                <w:lang w:val="en-US" w:eastAsia="ar-SA"/>
              </w:rPr>
            </w:pPr>
            <w:r w:rsidRPr="003B5B5D">
              <w:rPr>
                <w:rFonts w:ascii="Times New Roman" w:eastAsia="Times New Roman" w:hAnsi="Times New Roman" w:cs="Times New Roman"/>
                <w:sz w:val="20"/>
                <w:szCs w:val="20"/>
                <w:lang w:val="en-US" w:eastAsia="ar-SA"/>
              </w:rPr>
              <w:t>Frank Tschentscher (</w:t>
            </w:r>
            <w:hyperlink r:id="rId31" w:history="1">
              <w:r w:rsidRPr="003B5B5D">
                <w:rPr>
                  <w:rFonts w:ascii="Times New Roman" w:eastAsia="Times New Roman" w:hAnsi="Times New Roman" w:cs="Times New Roman"/>
                  <w:color w:val="0000FF"/>
                  <w:sz w:val="20"/>
                  <w:szCs w:val="20"/>
                  <w:u w:val="single"/>
                  <w:lang w:val="en-US" w:eastAsia="ar-SA"/>
                </w:rPr>
                <w:t>ftschentscher@schubra.de</w:t>
              </w:r>
            </w:hyperlink>
            <w:r w:rsidRPr="003B5B5D">
              <w:rPr>
                <w:rFonts w:ascii="Times New Roman" w:eastAsia="Times New Roman" w:hAnsi="Times New Roman" w:cs="Times New Roman"/>
                <w:sz w:val="20"/>
                <w:szCs w:val="20"/>
                <w:lang w:val="en-US" w:eastAsia="ar-SA"/>
              </w:rPr>
              <w:t>)</w:t>
            </w:r>
          </w:p>
          <w:p w:rsidR="003B5B5D" w:rsidRPr="003B5B5D" w:rsidRDefault="003B5B5D" w:rsidP="003B5B5D">
            <w:pPr>
              <w:suppressAutoHyphens/>
              <w:spacing w:after="0" w:line="240" w:lineRule="auto"/>
              <w:rPr>
                <w:rFonts w:ascii="Times New Roman" w:eastAsia="Times New Roman" w:hAnsi="Times New Roman" w:cs="Times New Roman"/>
                <w:sz w:val="20"/>
                <w:szCs w:val="20"/>
                <w:lang w:val="en-US" w:eastAsia="ar-SA"/>
              </w:rPr>
            </w:pPr>
            <w:r w:rsidRPr="003B5B5D">
              <w:rPr>
                <w:rFonts w:ascii="Times New Roman" w:eastAsia="Times New Roman" w:hAnsi="Times New Roman" w:cs="Times New Roman"/>
                <w:sz w:val="20"/>
                <w:szCs w:val="20"/>
                <w:lang w:val="en-US" w:eastAsia="ar-SA"/>
              </w:rPr>
              <w:t>George Bazinas (</w:t>
            </w:r>
            <w:hyperlink r:id="rId32" w:history="1">
              <w:r w:rsidRPr="003B5B5D">
                <w:rPr>
                  <w:rFonts w:ascii="Times New Roman" w:eastAsia="Times New Roman" w:hAnsi="Times New Roman" w:cs="Times New Roman"/>
                  <w:color w:val="0000FF"/>
                  <w:sz w:val="20"/>
                  <w:szCs w:val="20"/>
                  <w:u w:val="single"/>
                  <w:lang w:val="en-US" w:eastAsia="ar-SA"/>
                </w:rPr>
                <w:t>g.bazinas@bazinas.com</w:t>
              </w:r>
            </w:hyperlink>
            <w:r w:rsidRPr="003B5B5D">
              <w:rPr>
                <w:rFonts w:ascii="Times New Roman" w:eastAsia="Times New Roman" w:hAnsi="Times New Roman" w:cs="Times New Roman"/>
                <w:sz w:val="20"/>
                <w:szCs w:val="20"/>
                <w:lang w:val="en-US" w:eastAsia="ar-SA"/>
              </w:rPr>
              <w:t>)</w:t>
            </w:r>
          </w:p>
          <w:p w:rsidR="003B5B5D" w:rsidRPr="003B5B5D" w:rsidRDefault="003B5B5D" w:rsidP="003B5B5D">
            <w:pPr>
              <w:suppressAutoHyphens/>
              <w:spacing w:after="0" w:line="240" w:lineRule="auto"/>
              <w:rPr>
                <w:rFonts w:ascii="Times New Roman" w:eastAsia="Times New Roman" w:hAnsi="Times New Roman" w:cs="Times New Roman"/>
                <w:bCs/>
                <w:sz w:val="20"/>
                <w:szCs w:val="20"/>
                <w:lang w:eastAsia="ar-SA"/>
              </w:rPr>
            </w:pPr>
            <w:r w:rsidRPr="003B5B5D">
              <w:rPr>
                <w:rFonts w:ascii="Times New Roman" w:eastAsia="Times New Roman" w:hAnsi="Times New Roman" w:cs="Times New Roman"/>
                <w:bCs/>
                <w:sz w:val="20"/>
                <w:szCs w:val="20"/>
                <w:lang w:eastAsia="ar-SA"/>
              </w:rPr>
              <w:t>Secrétaire : Emmanuelle Inacio (</w:t>
            </w:r>
            <w:hyperlink r:id="rId33" w:history="1">
              <w:r w:rsidRPr="003B5B5D">
                <w:rPr>
                  <w:rFonts w:ascii="Times New Roman" w:eastAsia="Times New Roman" w:hAnsi="Times New Roman" w:cs="Times New Roman"/>
                  <w:bCs/>
                  <w:color w:val="0000FF"/>
                  <w:sz w:val="20"/>
                  <w:szCs w:val="20"/>
                  <w:u w:val="single"/>
                  <w:lang w:eastAsia="ar-SA"/>
                </w:rPr>
                <w:t>emmanuelleinacio@insol-europe.org</w:t>
              </w:r>
            </w:hyperlink>
            <w:r w:rsidRPr="003B5B5D">
              <w:rPr>
                <w:rFonts w:ascii="Times New Roman" w:eastAsia="Times New Roman" w:hAnsi="Times New Roman" w:cs="Times New Roman"/>
                <w:bCs/>
                <w:sz w:val="20"/>
                <w:szCs w:val="20"/>
                <w:lang w:eastAsia="ar-SA"/>
              </w:rPr>
              <w:t>)</w:t>
            </w:r>
          </w:p>
          <w:p w:rsidR="003B5B5D" w:rsidRPr="003B5B5D" w:rsidRDefault="003B5B5D" w:rsidP="003B5B5D">
            <w:pPr>
              <w:suppressAutoHyphens/>
              <w:spacing w:after="0" w:line="240" w:lineRule="auto"/>
              <w:rPr>
                <w:rFonts w:ascii="Times New Roman" w:eastAsia="Times New Roman" w:hAnsi="Times New Roman" w:cs="Times New Roman"/>
                <w:b/>
                <w:sz w:val="20"/>
                <w:szCs w:val="20"/>
                <w:lang w:eastAsia="ar-SA"/>
              </w:rPr>
            </w:pPr>
          </w:p>
          <w:p w:rsidR="003B5B5D" w:rsidRPr="003B5B5D" w:rsidRDefault="003B5B5D" w:rsidP="003B5B5D">
            <w:pPr>
              <w:suppressAutoHyphens/>
              <w:spacing w:after="0" w:line="240" w:lineRule="auto"/>
              <w:rPr>
                <w:rFonts w:ascii="Times New Roman" w:eastAsia="Times New Roman" w:hAnsi="Times New Roman" w:cs="Times New Roman"/>
                <w:b/>
                <w:sz w:val="20"/>
                <w:szCs w:val="20"/>
                <w:lang w:eastAsia="ar-SA"/>
              </w:rPr>
            </w:pPr>
            <w:r w:rsidRPr="003B5B5D">
              <w:rPr>
                <w:rFonts w:ascii="Times New Roman" w:eastAsia="Times New Roman" w:hAnsi="Times New Roman" w:cs="Times New Roman"/>
                <w:b/>
                <w:sz w:val="20"/>
                <w:szCs w:val="20"/>
                <w:lang w:eastAsia="ar-SA"/>
              </w:rPr>
              <w:t>Forum des mandataires d’insolvabilité</w:t>
            </w:r>
          </w:p>
          <w:p w:rsidR="003B5B5D" w:rsidRPr="003B5B5D" w:rsidRDefault="003B5B5D" w:rsidP="003B5B5D">
            <w:pPr>
              <w:suppressAutoHyphens/>
              <w:spacing w:after="0" w:line="240" w:lineRule="auto"/>
              <w:outlineLvl w:val="4"/>
              <w:rPr>
                <w:rFonts w:ascii="Times New Roman" w:eastAsia="Times New Roman" w:hAnsi="Times New Roman" w:cs="Times New Roman"/>
                <w:bCs/>
                <w:sz w:val="20"/>
                <w:szCs w:val="20"/>
                <w:lang w:eastAsia="ar-SA"/>
              </w:rPr>
            </w:pPr>
            <w:r w:rsidRPr="003B5B5D">
              <w:rPr>
                <w:rFonts w:ascii="Times New Roman" w:eastAsia="Times New Roman" w:hAnsi="Times New Roman" w:cs="Times New Roman"/>
                <w:bCs/>
                <w:sz w:val="20"/>
                <w:szCs w:val="20"/>
                <w:lang w:eastAsia="ar-SA"/>
              </w:rPr>
              <w:t>Marc André (</w:t>
            </w:r>
            <w:hyperlink r:id="rId34" w:history="1">
              <w:r w:rsidRPr="003B5B5D">
                <w:rPr>
                  <w:rFonts w:ascii="Times New Roman" w:eastAsia="Times New Roman" w:hAnsi="Times New Roman" w:cs="Times New Roman"/>
                  <w:bCs/>
                  <w:color w:val="0000FF"/>
                  <w:sz w:val="20"/>
                  <w:szCs w:val="20"/>
                  <w:u w:val="single"/>
                  <w:lang w:eastAsia="ar-SA"/>
                </w:rPr>
                <w:t>mandrelaw@aol.com</w:t>
              </w:r>
            </w:hyperlink>
            <w:r w:rsidRPr="003B5B5D">
              <w:rPr>
                <w:rFonts w:ascii="Times New Roman" w:eastAsia="Times New Roman" w:hAnsi="Times New Roman" w:cs="Times New Roman"/>
                <w:bCs/>
                <w:sz w:val="20"/>
                <w:szCs w:val="20"/>
                <w:lang w:eastAsia="ar-SA"/>
              </w:rPr>
              <w:t>)</w:t>
            </w:r>
          </w:p>
          <w:p w:rsidR="003B5B5D" w:rsidRPr="003B5B5D" w:rsidRDefault="003B5B5D" w:rsidP="003B5B5D">
            <w:pPr>
              <w:suppressAutoHyphens/>
              <w:spacing w:after="0" w:line="240" w:lineRule="auto"/>
              <w:rPr>
                <w:rFonts w:ascii="Times New Roman" w:eastAsia="Times New Roman" w:hAnsi="Times New Roman" w:cs="Times New Roman"/>
                <w:sz w:val="20"/>
                <w:szCs w:val="20"/>
                <w:lang w:val="en-US" w:eastAsia="ar-SA"/>
              </w:rPr>
            </w:pPr>
            <w:r w:rsidRPr="003B5B5D">
              <w:rPr>
                <w:rFonts w:ascii="Times New Roman" w:eastAsia="Times New Roman" w:hAnsi="Times New Roman" w:cs="Times New Roman"/>
                <w:sz w:val="20"/>
                <w:szCs w:val="20"/>
                <w:lang w:val="en-US" w:eastAsia="ar-SA"/>
              </w:rPr>
              <w:t>Daniel Fritz (</w:t>
            </w:r>
            <w:hyperlink r:id="rId35" w:history="1">
              <w:r w:rsidRPr="003B5B5D">
                <w:rPr>
                  <w:rFonts w:ascii="Times New Roman" w:eastAsia="Times New Roman" w:hAnsi="Times New Roman" w:cs="Times New Roman"/>
                  <w:color w:val="0000FF"/>
                  <w:sz w:val="20"/>
                  <w:szCs w:val="20"/>
                  <w:u w:val="single"/>
                  <w:lang w:val="en-US" w:eastAsia="ar-SA"/>
                </w:rPr>
                <w:t>Fritz@hermann-law.com</w:t>
              </w:r>
            </w:hyperlink>
            <w:r w:rsidRPr="003B5B5D">
              <w:rPr>
                <w:rFonts w:ascii="Times New Roman" w:eastAsia="Times New Roman" w:hAnsi="Times New Roman" w:cs="Times New Roman"/>
                <w:sz w:val="20"/>
                <w:szCs w:val="20"/>
                <w:lang w:val="en-US" w:eastAsia="ar-SA"/>
              </w:rPr>
              <w:t>)</w:t>
            </w:r>
          </w:p>
          <w:p w:rsidR="003B5B5D" w:rsidRPr="003B5B5D" w:rsidRDefault="003B5B5D" w:rsidP="003B5B5D">
            <w:pPr>
              <w:suppressAutoHyphens/>
              <w:spacing w:after="0" w:line="240" w:lineRule="auto"/>
              <w:rPr>
                <w:rFonts w:ascii="Times New Roman" w:eastAsia="Times New Roman" w:hAnsi="Times New Roman" w:cs="Times New Roman"/>
                <w:sz w:val="20"/>
                <w:szCs w:val="20"/>
                <w:lang w:val="en-US" w:eastAsia="ar-SA"/>
              </w:rPr>
            </w:pPr>
            <w:r w:rsidRPr="003B5B5D">
              <w:rPr>
                <w:rFonts w:ascii="Times New Roman" w:eastAsia="Times New Roman" w:hAnsi="Times New Roman" w:cs="Times New Roman"/>
                <w:sz w:val="20"/>
                <w:szCs w:val="20"/>
                <w:lang w:val="en-US" w:eastAsia="ar-SA"/>
              </w:rPr>
              <w:t>Robert Haenel (</w:t>
            </w:r>
            <w:hyperlink r:id="rId36" w:history="1">
              <w:r w:rsidRPr="003B5B5D">
                <w:rPr>
                  <w:rFonts w:ascii="Times New Roman" w:eastAsia="Times New Roman" w:hAnsi="Times New Roman" w:cs="Times New Roman"/>
                  <w:color w:val="0000FF"/>
                  <w:sz w:val="20"/>
                  <w:szCs w:val="20"/>
                  <w:u w:val="single"/>
                  <w:lang w:val="en-US" w:eastAsia="ar-SA"/>
                </w:rPr>
                <w:t>robert.haenel@anchor.eu</w:t>
              </w:r>
            </w:hyperlink>
            <w:r w:rsidRPr="003B5B5D">
              <w:rPr>
                <w:rFonts w:ascii="Times New Roman" w:eastAsia="Times New Roman" w:hAnsi="Times New Roman" w:cs="Times New Roman"/>
                <w:sz w:val="20"/>
                <w:szCs w:val="20"/>
                <w:lang w:val="en-US" w:eastAsia="ar-SA"/>
              </w:rPr>
              <w:t>)</w:t>
            </w:r>
          </w:p>
          <w:p w:rsidR="003B5B5D" w:rsidRPr="003B5B5D" w:rsidRDefault="003B5B5D" w:rsidP="003B5B5D">
            <w:pPr>
              <w:suppressAutoHyphens/>
              <w:spacing w:after="0" w:line="240" w:lineRule="auto"/>
              <w:rPr>
                <w:rFonts w:ascii="Times New Roman" w:eastAsia="Times New Roman" w:hAnsi="Times New Roman" w:cs="Times New Roman"/>
                <w:b/>
                <w:bCs/>
                <w:sz w:val="20"/>
                <w:szCs w:val="20"/>
                <w:lang w:val="en-US" w:eastAsia="ar-SA"/>
              </w:rPr>
            </w:pPr>
            <w:r w:rsidRPr="003B5B5D">
              <w:rPr>
                <w:rFonts w:ascii="Times New Roman" w:eastAsia="Times New Roman" w:hAnsi="Times New Roman" w:cs="Times New Roman"/>
                <w:sz w:val="20"/>
                <w:szCs w:val="20"/>
                <w:lang w:val="en-US" w:eastAsia="ar-SA"/>
              </w:rPr>
              <w:t>Stephen Harris (</w:t>
            </w:r>
            <w:hyperlink r:id="rId37" w:history="1">
              <w:r w:rsidRPr="003B5B5D">
                <w:rPr>
                  <w:rFonts w:ascii="Times New Roman" w:eastAsia="Times New Roman" w:hAnsi="Times New Roman" w:cs="Times New Roman"/>
                  <w:color w:val="0000FF"/>
                  <w:sz w:val="20"/>
                  <w:szCs w:val="20"/>
                  <w:u w:val="single"/>
                  <w:lang w:val="en-US" w:eastAsia="ar-SA"/>
                </w:rPr>
                <w:t>sharris@uk.ey.com</w:t>
              </w:r>
            </w:hyperlink>
            <w:r w:rsidRPr="003B5B5D">
              <w:rPr>
                <w:rFonts w:ascii="Times New Roman" w:eastAsia="Times New Roman" w:hAnsi="Times New Roman" w:cs="Times New Roman"/>
                <w:sz w:val="20"/>
                <w:szCs w:val="20"/>
                <w:lang w:val="en-US" w:eastAsia="ar-SA"/>
              </w:rPr>
              <w:t>)</w:t>
            </w:r>
          </w:p>
          <w:p w:rsidR="003B5B5D" w:rsidRPr="003B5B5D" w:rsidRDefault="003B5B5D" w:rsidP="003B5B5D">
            <w:pPr>
              <w:suppressAutoHyphens/>
              <w:spacing w:after="0" w:line="240" w:lineRule="auto"/>
              <w:rPr>
                <w:rFonts w:ascii="Times New Roman" w:eastAsia="Times New Roman" w:hAnsi="Times New Roman" w:cs="Times New Roman"/>
                <w:b/>
                <w:bCs/>
                <w:sz w:val="20"/>
                <w:szCs w:val="20"/>
                <w:lang w:val="en-US" w:eastAsia="ar-SA"/>
              </w:rPr>
            </w:pPr>
          </w:p>
          <w:p w:rsidR="003B5B5D" w:rsidRPr="003B5B5D" w:rsidRDefault="003B5B5D" w:rsidP="003B5B5D">
            <w:pPr>
              <w:suppressAutoHyphens/>
              <w:spacing w:after="0" w:line="240" w:lineRule="auto"/>
              <w:rPr>
                <w:rFonts w:ascii="Times New Roman" w:eastAsia="Times New Roman" w:hAnsi="Times New Roman" w:cs="Times New Roman"/>
                <w:b/>
                <w:bCs/>
                <w:sz w:val="20"/>
                <w:szCs w:val="20"/>
                <w:lang w:val="de-DE" w:eastAsia="ar-SA"/>
              </w:rPr>
            </w:pPr>
            <w:r w:rsidRPr="003B5B5D">
              <w:rPr>
                <w:rFonts w:ascii="Times New Roman" w:eastAsia="Times New Roman" w:hAnsi="Times New Roman" w:cs="Times New Roman"/>
                <w:b/>
                <w:bCs/>
                <w:sz w:val="20"/>
                <w:szCs w:val="20"/>
                <w:lang w:val="de-DE" w:eastAsia="ar-SA"/>
              </w:rPr>
              <w:t>Groupe de jeunes membres :</w:t>
            </w:r>
          </w:p>
          <w:p w:rsidR="003B5B5D" w:rsidRPr="003B5B5D" w:rsidRDefault="003B5B5D" w:rsidP="003B5B5D">
            <w:pPr>
              <w:suppressAutoHyphens/>
              <w:spacing w:after="0" w:line="240" w:lineRule="auto"/>
              <w:rPr>
                <w:rFonts w:ascii="Times New Roman" w:eastAsia="Times New Roman" w:hAnsi="Times New Roman" w:cs="Times New Roman"/>
                <w:bCs/>
                <w:sz w:val="20"/>
                <w:szCs w:val="20"/>
                <w:lang w:val="de-DE" w:eastAsia="ar-SA"/>
              </w:rPr>
            </w:pPr>
            <w:r w:rsidRPr="003B5B5D">
              <w:rPr>
                <w:rFonts w:ascii="Times New Roman" w:eastAsia="Times New Roman" w:hAnsi="Times New Roman" w:cs="Times New Roman"/>
                <w:bCs/>
                <w:sz w:val="20"/>
                <w:szCs w:val="20"/>
                <w:lang w:val="de-DE" w:eastAsia="ar-SA"/>
              </w:rPr>
              <w:t>Sabina Schellenberg (</w:t>
            </w:r>
            <w:hyperlink r:id="rId38" w:history="1">
              <w:r w:rsidRPr="003B5B5D">
                <w:rPr>
                  <w:rFonts w:ascii="Times New Roman" w:eastAsia="Times New Roman" w:hAnsi="Times New Roman" w:cs="Times New Roman"/>
                  <w:bCs/>
                  <w:color w:val="0000FF"/>
                  <w:sz w:val="20"/>
                  <w:szCs w:val="20"/>
                  <w:u w:val="single"/>
                  <w:lang w:val="de-DE" w:eastAsia="ar-SA"/>
                </w:rPr>
                <w:t>sschellenberg@froriep.ch</w:t>
              </w:r>
            </w:hyperlink>
            <w:r w:rsidRPr="003B5B5D">
              <w:rPr>
                <w:rFonts w:ascii="Times New Roman" w:eastAsia="Times New Roman" w:hAnsi="Times New Roman" w:cs="Times New Roman"/>
                <w:bCs/>
                <w:sz w:val="20"/>
                <w:szCs w:val="20"/>
                <w:lang w:val="de-DE" w:eastAsia="ar-SA"/>
              </w:rPr>
              <w:t>)</w:t>
            </w:r>
          </w:p>
          <w:p w:rsidR="003B5B5D" w:rsidRPr="003B5B5D" w:rsidRDefault="003B5B5D" w:rsidP="003B5B5D">
            <w:pPr>
              <w:suppressAutoHyphens/>
              <w:spacing w:after="0" w:line="240" w:lineRule="auto"/>
              <w:rPr>
                <w:rFonts w:ascii="Times New Roman" w:eastAsia="Times New Roman" w:hAnsi="Times New Roman" w:cs="Times New Roman"/>
                <w:bCs/>
                <w:sz w:val="20"/>
                <w:szCs w:val="20"/>
                <w:lang w:val="de-DE" w:eastAsia="ar-SA"/>
              </w:rPr>
            </w:pPr>
            <w:r w:rsidRPr="003B5B5D">
              <w:rPr>
                <w:rFonts w:ascii="Times New Roman" w:eastAsia="Times New Roman" w:hAnsi="Times New Roman" w:cs="Times New Roman"/>
                <w:bCs/>
                <w:sz w:val="20"/>
                <w:szCs w:val="20"/>
                <w:lang w:val="de-DE" w:eastAsia="ar-SA"/>
              </w:rPr>
              <w:t>Georges-Louis Harang (</w:t>
            </w:r>
            <w:hyperlink r:id="rId39" w:history="1">
              <w:r w:rsidRPr="003B5B5D">
                <w:rPr>
                  <w:rFonts w:ascii="Times New Roman" w:eastAsia="Times New Roman" w:hAnsi="Times New Roman" w:cs="Times New Roman"/>
                  <w:bCs/>
                  <w:color w:val="0000FF"/>
                  <w:sz w:val="20"/>
                  <w:szCs w:val="20"/>
                  <w:u w:val="single"/>
                  <w:lang w:val="de-DE" w:eastAsia="ar-SA"/>
                </w:rPr>
                <w:t>harang@hoche.com</w:t>
              </w:r>
            </w:hyperlink>
            <w:r w:rsidRPr="003B5B5D">
              <w:rPr>
                <w:rFonts w:ascii="Times New Roman" w:eastAsia="Times New Roman" w:hAnsi="Times New Roman" w:cs="Times New Roman"/>
                <w:bCs/>
                <w:sz w:val="20"/>
                <w:szCs w:val="20"/>
                <w:lang w:val="de-DE" w:eastAsia="ar-SA"/>
              </w:rPr>
              <w:t>)</w:t>
            </w:r>
          </w:p>
          <w:p w:rsidR="003B5B5D" w:rsidRPr="003B5B5D" w:rsidRDefault="003B5B5D" w:rsidP="003B5B5D">
            <w:pPr>
              <w:suppressAutoHyphens/>
              <w:spacing w:after="0" w:line="240" w:lineRule="auto"/>
              <w:rPr>
                <w:rFonts w:ascii="Times New Roman" w:eastAsia="Times New Roman" w:hAnsi="Times New Roman" w:cs="Times New Roman"/>
                <w:bCs/>
                <w:sz w:val="20"/>
                <w:szCs w:val="20"/>
                <w:lang w:val="de-DE" w:eastAsia="ar-SA"/>
              </w:rPr>
            </w:pPr>
            <w:r w:rsidRPr="003B5B5D">
              <w:rPr>
                <w:rFonts w:ascii="Times New Roman" w:eastAsia="Times New Roman" w:hAnsi="Times New Roman" w:cs="Times New Roman"/>
                <w:bCs/>
                <w:sz w:val="20"/>
                <w:szCs w:val="20"/>
                <w:lang w:val="de-DE" w:eastAsia="ar-SA"/>
              </w:rPr>
              <w:t>Anne Bach (</w:t>
            </w:r>
            <w:hyperlink r:id="rId40" w:history="1">
              <w:r w:rsidRPr="003B5B5D">
                <w:rPr>
                  <w:rFonts w:ascii="Times New Roman" w:eastAsia="Times New Roman" w:hAnsi="Times New Roman" w:cs="Times New Roman"/>
                  <w:bCs/>
                  <w:color w:val="0000FF"/>
                  <w:sz w:val="20"/>
                  <w:szCs w:val="20"/>
                  <w:u w:val="single"/>
                  <w:lang w:val="de-DE" w:eastAsia="ar-SA"/>
                </w:rPr>
                <w:t>abach@goerg.de</w:t>
              </w:r>
            </w:hyperlink>
            <w:r w:rsidRPr="003B5B5D">
              <w:rPr>
                <w:rFonts w:ascii="Times New Roman" w:eastAsia="Times New Roman" w:hAnsi="Times New Roman" w:cs="Times New Roman"/>
                <w:bCs/>
                <w:sz w:val="20"/>
                <w:szCs w:val="20"/>
                <w:lang w:val="de-DE" w:eastAsia="ar-SA"/>
              </w:rPr>
              <w:t>)</w:t>
            </w:r>
          </w:p>
          <w:p w:rsidR="003B5B5D" w:rsidRPr="003B5B5D" w:rsidRDefault="003B5B5D" w:rsidP="003B5B5D">
            <w:pPr>
              <w:suppressAutoHyphens/>
              <w:spacing w:after="0" w:line="240" w:lineRule="auto"/>
              <w:rPr>
                <w:rFonts w:ascii="Times New Roman" w:eastAsia="Times New Roman" w:hAnsi="Times New Roman" w:cs="Times New Roman"/>
                <w:b/>
                <w:color w:val="000000"/>
                <w:sz w:val="20"/>
                <w:szCs w:val="20"/>
                <w:lang w:val="en-US" w:eastAsia="ar-SA"/>
              </w:rPr>
            </w:pPr>
          </w:p>
          <w:p w:rsidR="003B5B5D" w:rsidRPr="003B5B5D" w:rsidRDefault="003B5B5D" w:rsidP="003B5B5D">
            <w:pPr>
              <w:suppressAutoHyphens/>
              <w:spacing w:after="0" w:line="240" w:lineRule="auto"/>
              <w:rPr>
                <w:rFonts w:ascii="Times New Roman" w:eastAsia="Times New Roman" w:hAnsi="Times New Roman" w:cs="Times New Roman"/>
                <w:color w:val="000000"/>
                <w:sz w:val="20"/>
                <w:szCs w:val="20"/>
                <w:lang w:eastAsia="ar-SA"/>
              </w:rPr>
            </w:pPr>
            <w:r w:rsidRPr="003B5B5D">
              <w:rPr>
                <w:rFonts w:ascii="Times New Roman" w:eastAsia="Times New Roman" w:hAnsi="Times New Roman" w:cs="Times New Roman"/>
                <w:b/>
                <w:color w:val="000000"/>
                <w:sz w:val="20"/>
                <w:szCs w:val="20"/>
                <w:lang w:eastAsia="ar-SA"/>
              </w:rPr>
              <w:t>Groupe des établissements financiers</w:t>
            </w:r>
            <w:r w:rsidRPr="003B5B5D">
              <w:rPr>
                <w:rFonts w:ascii="Times New Roman" w:eastAsia="Times New Roman" w:hAnsi="Times New Roman" w:cs="Times New Roman"/>
                <w:color w:val="000000"/>
                <w:sz w:val="20"/>
                <w:szCs w:val="20"/>
                <w:lang w:eastAsia="ar-SA"/>
              </w:rPr>
              <w:t xml:space="preserve">: </w:t>
            </w:r>
          </w:p>
          <w:p w:rsidR="003B5B5D" w:rsidRPr="003B5B5D" w:rsidRDefault="003B5B5D" w:rsidP="003B5B5D">
            <w:pPr>
              <w:numPr>
                <w:ilvl w:val="4"/>
                <w:numId w:val="0"/>
              </w:numPr>
              <w:tabs>
                <w:tab w:val="num" w:pos="0"/>
              </w:tabs>
              <w:suppressAutoHyphens/>
              <w:spacing w:after="0" w:line="240" w:lineRule="auto"/>
              <w:ind w:left="1008" w:hanging="1008"/>
              <w:outlineLvl w:val="4"/>
              <w:rPr>
                <w:rFonts w:ascii="Times New Roman" w:eastAsia="Times New Roman" w:hAnsi="Times New Roman" w:cs="Times New Roman"/>
                <w:bCs/>
                <w:iCs/>
                <w:sz w:val="20"/>
                <w:szCs w:val="20"/>
                <w:lang w:eastAsia="ar-SA"/>
              </w:rPr>
            </w:pPr>
            <w:r w:rsidRPr="003B5B5D">
              <w:rPr>
                <w:rFonts w:ascii="Times New Roman" w:eastAsia="Times New Roman" w:hAnsi="Times New Roman" w:cs="Times New Roman"/>
                <w:bCs/>
                <w:iCs/>
                <w:sz w:val="20"/>
                <w:szCs w:val="20"/>
                <w:lang w:eastAsia="ar-SA"/>
              </w:rPr>
              <w:t>Florian Joseph (</w:t>
            </w:r>
            <w:hyperlink r:id="rId41" w:history="1">
              <w:r w:rsidRPr="003B5B5D">
                <w:rPr>
                  <w:rFonts w:ascii="Times New Roman" w:eastAsia="Times New Roman" w:hAnsi="Times New Roman" w:cs="Times New Roman"/>
                  <w:bCs/>
                  <w:iCs/>
                  <w:color w:val="0000FF"/>
                  <w:sz w:val="20"/>
                  <w:szCs w:val="20"/>
                  <w:u w:val="single"/>
                  <w:lang w:eastAsia="ar-SA"/>
                </w:rPr>
                <w:t>florian.joseph@helaba.de</w:t>
              </w:r>
            </w:hyperlink>
            <w:r w:rsidRPr="003B5B5D">
              <w:rPr>
                <w:rFonts w:ascii="Times New Roman" w:eastAsia="Times New Roman" w:hAnsi="Times New Roman" w:cs="Times New Roman"/>
                <w:bCs/>
                <w:iCs/>
                <w:sz w:val="20"/>
                <w:szCs w:val="20"/>
                <w:lang w:eastAsia="ar-SA"/>
              </w:rPr>
              <w:t>)</w:t>
            </w:r>
          </w:p>
          <w:p w:rsidR="003B5B5D" w:rsidRPr="003B5B5D" w:rsidRDefault="003B5B5D" w:rsidP="003B5B5D">
            <w:pPr>
              <w:suppressAutoHyphens/>
              <w:spacing w:after="0" w:line="240" w:lineRule="auto"/>
              <w:rPr>
                <w:rFonts w:ascii="Times New Roman" w:eastAsia="Times New Roman" w:hAnsi="Times New Roman" w:cs="Times New Roman"/>
                <w:b/>
                <w:bCs/>
                <w:sz w:val="20"/>
                <w:szCs w:val="20"/>
                <w:lang w:val="de-DE" w:eastAsia="ar-SA"/>
              </w:rPr>
            </w:pPr>
            <w:r w:rsidRPr="003B5B5D">
              <w:rPr>
                <w:rFonts w:ascii="Times New Roman" w:eastAsia="Times New Roman" w:hAnsi="Times New Roman" w:cs="Times New Roman"/>
                <w:sz w:val="20"/>
                <w:szCs w:val="20"/>
                <w:lang w:val="en-US" w:eastAsia="ar-SA"/>
              </w:rPr>
              <w:t>Alistair Beveridge (</w:t>
            </w:r>
            <w:hyperlink r:id="rId42" w:history="1">
              <w:r w:rsidRPr="003B5B5D">
                <w:rPr>
                  <w:rFonts w:ascii="Times New Roman" w:eastAsia="Times New Roman" w:hAnsi="Times New Roman" w:cs="Times New Roman"/>
                  <w:color w:val="0000FF"/>
                  <w:sz w:val="20"/>
                  <w:szCs w:val="20"/>
                  <w:u w:val="single"/>
                  <w:lang w:val="en-US" w:eastAsia="ar-SA"/>
                </w:rPr>
                <w:t>abeveridge@alixpartners.com</w:t>
              </w:r>
            </w:hyperlink>
            <w:r w:rsidRPr="003B5B5D">
              <w:rPr>
                <w:rFonts w:ascii="Times New Roman" w:eastAsia="Times New Roman" w:hAnsi="Times New Roman" w:cs="Times New Roman"/>
                <w:sz w:val="20"/>
                <w:szCs w:val="20"/>
                <w:lang w:val="en-US" w:eastAsia="ar-SA"/>
              </w:rPr>
              <w:t>)</w:t>
            </w:r>
          </w:p>
          <w:p w:rsidR="003B5B5D" w:rsidRPr="003B5B5D" w:rsidRDefault="003B5B5D" w:rsidP="003B5B5D">
            <w:pPr>
              <w:suppressAutoHyphens/>
              <w:spacing w:after="0" w:line="240" w:lineRule="auto"/>
              <w:rPr>
                <w:rFonts w:ascii="Times New Roman" w:eastAsia="Times New Roman" w:hAnsi="Times New Roman" w:cs="Times New Roman"/>
                <w:b/>
                <w:bCs/>
                <w:sz w:val="20"/>
                <w:szCs w:val="20"/>
                <w:lang w:val="de-DE" w:eastAsia="ar-SA"/>
              </w:rPr>
            </w:pPr>
          </w:p>
          <w:p w:rsidR="003B5B5D" w:rsidRPr="003B5B5D" w:rsidRDefault="003B5B5D" w:rsidP="003B5B5D">
            <w:pPr>
              <w:suppressAutoHyphens/>
              <w:spacing w:after="0" w:line="240" w:lineRule="auto"/>
              <w:rPr>
                <w:rFonts w:ascii="Times New Roman" w:eastAsia="Times New Roman" w:hAnsi="Times New Roman" w:cs="Times New Roman"/>
                <w:b/>
                <w:bCs/>
                <w:sz w:val="20"/>
                <w:szCs w:val="20"/>
                <w:lang w:val="de-DE" w:eastAsia="ar-SA"/>
              </w:rPr>
            </w:pPr>
            <w:r w:rsidRPr="003B5B5D">
              <w:rPr>
                <w:rFonts w:ascii="Times New Roman" w:eastAsia="Times New Roman" w:hAnsi="Times New Roman" w:cs="Times New Roman"/>
                <w:b/>
                <w:bCs/>
                <w:sz w:val="20"/>
                <w:szCs w:val="20"/>
                <w:lang w:val="de-DE" w:eastAsia="ar-SA"/>
              </w:rPr>
              <w:t xml:space="preserve">INSOL International : </w:t>
            </w:r>
          </w:p>
          <w:p w:rsidR="003B5B5D" w:rsidRPr="003B5B5D" w:rsidRDefault="003B5B5D" w:rsidP="003B5B5D">
            <w:pPr>
              <w:suppressAutoHyphens/>
              <w:spacing w:after="0" w:line="240" w:lineRule="auto"/>
              <w:rPr>
                <w:rFonts w:ascii="Times New Roman" w:eastAsia="Times New Roman" w:hAnsi="Times New Roman" w:cs="Times New Roman"/>
                <w:sz w:val="20"/>
                <w:szCs w:val="20"/>
                <w:lang w:val="de-DE" w:eastAsia="ar-SA"/>
              </w:rPr>
            </w:pPr>
            <w:r w:rsidRPr="003B5B5D">
              <w:rPr>
                <w:rFonts w:ascii="Times New Roman" w:eastAsia="Times New Roman" w:hAnsi="Times New Roman" w:cs="Times New Roman"/>
                <w:bCs/>
                <w:sz w:val="20"/>
                <w:szCs w:val="20"/>
                <w:lang w:val="de-DE" w:eastAsia="ar-SA"/>
              </w:rPr>
              <w:t>Catherine Ottaway</w:t>
            </w:r>
            <w:r w:rsidRPr="003B5B5D">
              <w:rPr>
                <w:rFonts w:ascii="Times New Roman" w:eastAsia="Times New Roman" w:hAnsi="Times New Roman" w:cs="Times New Roman"/>
                <w:sz w:val="20"/>
                <w:szCs w:val="20"/>
                <w:lang w:val="de-DE" w:eastAsia="ar-SA"/>
              </w:rPr>
              <w:t xml:space="preserve"> (</w:t>
            </w:r>
            <w:hyperlink r:id="rId43" w:history="1">
              <w:r w:rsidRPr="003B5B5D">
                <w:rPr>
                  <w:rFonts w:ascii="Times New Roman" w:eastAsia="Times New Roman" w:hAnsi="Times New Roman" w:cs="Times New Roman"/>
                  <w:color w:val="0000FF"/>
                  <w:sz w:val="20"/>
                  <w:szCs w:val="20"/>
                  <w:u w:val="single"/>
                  <w:lang w:val="de-DE" w:eastAsia="ar-SA"/>
                </w:rPr>
                <w:t>ottaway@hocheavocats.com</w:t>
              </w:r>
            </w:hyperlink>
            <w:r w:rsidRPr="003B5B5D">
              <w:rPr>
                <w:rFonts w:ascii="Times New Roman" w:eastAsia="Times New Roman" w:hAnsi="Times New Roman" w:cs="Times New Roman"/>
                <w:sz w:val="20"/>
                <w:szCs w:val="20"/>
                <w:lang w:val="de-DE" w:eastAsia="ar-SA"/>
              </w:rPr>
              <w:t>)</w:t>
            </w:r>
          </w:p>
          <w:p w:rsidR="003B5B5D" w:rsidRPr="003B5B5D" w:rsidRDefault="003B5B5D" w:rsidP="003B5B5D">
            <w:pPr>
              <w:suppressAutoHyphens/>
              <w:spacing w:after="0" w:line="240" w:lineRule="auto"/>
              <w:rPr>
                <w:rFonts w:ascii="Times New Roman" w:eastAsia="Times New Roman" w:hAnsi="Times New Roman" w:cs="Times New Roman"/>
                <w:b/>
                <w:bCs/>
                <w:sz w:val="20"/>
                <w:szCs w:val="20"/>
                <w:lang w:val="de-DE" w:eastAsia="ar-SA"/>
              </w:rPr>
            </w:pPr>
          </w:p>
          <w:p w:rsidR="003B5B5D" w:rsidRPr="003B5B5D" w:rsidRDefault="003B5B5D" w:rsidP="003B5B5D">
            <w:pPr>
              <w:suppressAutoHyphens/>
              <w:spacing w:after="0" w:line="240" w:lineRule="auto"/>
              <w:rPr>
                <w:rFonts w:ascii="Times New Roman" w:eastAsia="Times New Roman" w:hAnsi="Times New Roman" w:cs="Times New Roman"/>
                <w:b/>
                <w:bCs/>
                <w:sz w:val="20"/>
                <w:szCs w:val="20"/>
                <w:lang w:val="de-DE" w:eastAsia="ar-SA"/>
              </w:rPr>
            </w:pPr>
            <w:r w:rsidRPr="003B5B5D">
              <w:rPr>
                <w:rFonts w:ascii="Times New Roman" w:eastAsia="Times New Roman" w:hAnsi="Times New Roman" w:cs="Times New Roman"/>
                <w:b/>
                <w:bCs/>
                <w:sz w:val="20"/>
                <w:szCs w:val="20"/>
                <w:lang w:val="de-DE" w:eastAsia="ar-SA"/>
              </w:rPr>
              <w:t xml:space="preserve">Parrainages : </w:t>
            </w:r>
          </w:p>
          <w:p w:rsidR="003B5B5D" w:rsidRPr="003B5B5D" w:rsidRDefault="003B5B5D" w:rsidP="003B5B5D">
            <w:pPr>
              <w:suppressAutoHyphens/>
              <w:spacing w:after="0" w:line="240" w:lineRule="auto"/>
              <w:rPr>
                <w:rFonts w:ascii="Times New Roman" w:eastAsia="Times New Roman" w:hAnsi="Times New Roman" w:cs="Times New Roman"/>
                <w:sz w:val="20"/>
                <w:szCs w:val="20"/>
                <w:lang w:eastAsia="ar-SA"/>
              </w:rPr>
            </w:pPr>
            <w:r w:rsidRPr="003B5B5D">
              <w:rPr>
                <w:rFonts w:ascii="Times New Roman" w:eastAsia="Times New Roman" w:hAnsi="Times New Roman" w:cs="Times New Roman"/>
                <w:sz w:val="20"/>
                <w:szCs w:val="20"/>
                <w:lang w:eastAsia="ar-SA"/>
              </w:rPr>
              <w:t>David Rubin  (</w:t>
            </w:r>
            <w:hyperlink r:id="rId44" w:history="1">
              <w:r w:rsidRPr="003B5B5D">
                <w:rPr>
                  <w:rFonts w:ascii="Times New Roman" w:eastAsia="Times New Roman" w:hAnsi="Times New Roman" w:cs="Times New Roman"/>
                  <w:color w:val="0000FF"/>
                  <w:sz w:val="20"/>
                  <w:szCs w:val="20"/>
                  <w:u w:val="single"/>
                  <w:lang w:eastAsia="ar-SA"/>
                </w:rPr>
                <w:t>david@drpartners.com</w:t>
              </w:r>
            </w:hyperlink>
            <w:r w:rsidRPr="003B5B5D">
              <w:rPr>
                <w:rFonts w:ascii="Times New Roman" w:eastAsia="Times New Roman" w:hAnsi="Times New Roman" w:cs="Times New Roman"/>
                <w:sz w:val="20"/>
                <w:szCs w:val="20"/>
                <w:lang w:eastAsia="ar-SA"/>
              </w:rPr>
              <w:t>)</w:t>
            </w:r>
          </w:p>
          <w:p w:rsidR="003B5B5D" w:rsidRPr="003B5B5D" w:rsidRDefault="003B5B5D" w:rsidP="003B5B5D">
            <w:pPr>
              <w:numPr>
                <w:ilvl w:val="4"/>
                <w:numId w:val="0"/>
              </w:numPr>
              <w:tabs>
                <w:tab w:val="num" w:pos="0"/>
              </w:tabs>
              <w:suppressAutoHyphens/>
              <w:spacing w:after="0" w:line="240" w:lineRule="auto"/>
              <w:ind w:left="1008" w:hanging="1008"/>
              <w:outlineLvl w:val="4"/>
              <w:rPr>
                <w:rFonts w:ascii="Times New Roman" w:eastAsia="Times New Roman" w:hAnsi="Times New Roman" w:cs="Times New Roman"/>
                <w:sz w:val="20"/>
                <w:szCs w:val="20"/>
                <w:lang w:val="en-GB" w:eastAsia="ar-SA"/>
              </w:rPr>
            </w:pPr>
            <w:r w:rsidRPr="003B5B5D">
              <w:rPr>
                <w:rFonts w:ascii="Times New Roman" w:eastAsia="Times New Roman" w:hAnsi="Times New Roman" w:cs="Times New Roman"/>
                <w:sz w:val="20"/>
                <w:szCs w:val="20"/>
                <w:lang w:val="en-GB" w:eastAsia="ar-SA"/>
              </w:rPr>
              <w:t>Frank Tschentscher (</w:t>
            </w:r>
            <w:hyperlink r:id="rId45" w:history="1">
              <w:r w:rsidRPr="003B5B5D">
                <w:rPr>
                  <w:rFonts w:ascii="Times New Roman" w:eastAsia="Times New Roman" w:hAnsi="Times New Roman" w:cs="Times New Roman"/>
                  <w:color w:val="0000FF"/>
                  <w:sz w:val="20"/>
                  <w:szCs w:val="20"/>
                  <w:u w:val="single"/>
                  <w:lang w:val="en-GB" w:eastAsia="ar-SA"/>
                </w:rPr>
                <w:t>Ftschentscher@schubra.de</w:t>
              </w:r>
            </w:hyperlink>
            <w:r w:rsidRPr="003B5B5D">
              <w:rPr>
                <w:rFonts w:ascii="Times New Roman" w:eastAsia="Times New Roman" w:hAnsi="Times New Roman" w:cs="Times New Roman"/>
                <w:sz w:val="20"/>
                <w:szCs w:val="20"/>
                <w:lang w:val="en-GB" w:eastAsia="ar-SA"/>
              </w:rPr>
              <w:t>)</w:t>
            </w:r>
          </w:p>
          <w:p w:rsidR="003B5B5D" w:rsidRPr="003B5B5D" w:rsidRDefault="003B5B5D" w:rsidP="003B5B5D">
            <w:pPr>
              <w:suppressAutoHyphens/>
              <w:autoSpaceDE w:val="0"/>
              <w:spacing w:after="0" w:line="240" w:lineRule="auto"/>
              <w:rPr>
                <w:rFonts w:ascii="Times New Roman" w:eastAsia="Times New Roman" w:hAnsi="Times New Roman" w:cs="Times New Roman"/>
                <w:b/>
                <w:sz w:val="20"/>
                <w:szCs w:val="20"/>
                <w:lang w:val="en-US" w:eastAsia="ar-SA"/>
              </w:rPr>
            </w:pPr>
          </w:p>
          <w:p w:rsidR="003B5B5D" w:rsidRPr="003B5B5D" w:rsidRDefault="003B5B5D" w:rsidP="003B5B5D">
            <w:pPr>
              <w:suppressAutoHyphens/>
              <w:autoSpaceDE w:val="0"/>
              <w:spacing w:after="0" w:line="240" w:lineRule="auto"/>
              <w:rPr>
                <w:rFonts w:ascii="Times New Roman" w:eastAsia="Times New Roman" w:hAnsi="Times New Roman" w:cs="Times New Roman"/>
                <w:sz w:val="20"/>
                <w:szCs w:val="20"/>
                <w:lang w:eastAsia="ar-SA"/>
              </w:rPr>
            </w:pPr>
            <w:r w:rsidRPr="003B5B5D">
              <w:rPr>
                <w:rFonts w:ascii="Times New Roman" w:eastAsia="Times New Roman" w:hAnsi="Times New Roman" w:cs="Times New Roman"/>
                <w:b/>
                <w:sz w:val="20"/>
                <w:szCs w:val="20"/>
                <w:lang w:eastAsia="ar-SA"/>
              </w:rPr>
              <w:t>Relations avec l’Union Européenne</w:t>
            </w:r>
            <w:r w:rsidRPr="003B5B5D">
              <w:rPr>
                <w:rFonts w:ascii="Times New Roman" w:eastAsia="Times New Roman" w:hAnsi="Times New Roman" w:cs="Times New Roman"/>
                <w:sz w:val="20"/>
                <w:szCs w:val="20"/>
                <w:lang w:eastAsia="ar-SA"/>
              </w:rPr>
              <w:t xml:space="preserve"> :</w:t>
            </w:r>
          </w:p>
          <w:p w:rsidR="003B5B5D" w:rsidRPr="003B5B5D" w:rsidRDefault="003B5B5D" w:rsidP="003B5B5D">
            <w:pPr>
              <w:suppressAutoHyphens/>
              <w:spacing w:after="0" w:line="240" w:lineRule="auto"/>
              <w:rPr>
                <w:rFonts w:ascii="Times New Roman" w:eastAsia="Times New Roman" w:hAnsi="Times New Roman" w:cs="Times New Roman"/>
                <w:bCs/>
                <w:iCs/>
                <w:sz w:val="20"/>
                <w:szCs w:val="20"/>
                <w:lang w:eastAsia="ar-SA"/>
              </w:rPr>
            </w:pPr>
            <w:r w:rsidRPr="003B5B5D">
              <w:rPr>
                <w:rFonts w:ascii="Times New Roman" w:eastAsia="Times New Roman" w:hAnsi="Times New Roman" w:cs="Times New Roman"/>
                <w:bCs/>
                <w:iCs/>
                <w:sz w:val="20"/>
                <w:szCs w:val="20"/>
                <w:lang w:eastAsia="ar-SA"/>
              </w:rPr>
              <w:t xml:space="preserve">Robert Van Galen </w:t>
            </w:r>
            <w:hyperlink r:id="rId46" w:history="1">
              <w:r w:rsidRPr="003B5B5D">
                <w:rPr>
                  <w:rFonts w:ascii="Times New Roman" w:eastAsia="Times New Roman" w:hAnsi="Times New Roman" w:cs="Times New Roman"/>
                  <w:bCs/>
                  <w:iCs/>
                  <w:color w:val="0000FF"/>
                  <w:sz w:val="20"/>
                  <w:szCs w:val="20"/>
                  <w:u w:val="single"/>
                  <w:lang w:eastAsia="ar-SA"/>
                </w:rPr>
                <w:t>robert.vangalen@nautadutilh.com</w:t>
              </w:r>
            </w:hyperlink>
            <w:r w:rsidRPr="003B5B5D">
              <w:rPr>
                <w:rFonts w:ascii="Times New Roman" w:eastAsia="Times New Roman" w:hAnsi="Times New Roman" w:cs="Times New Roman"/>
                <w:bCs/>
                <w:iCs/>
                <w:sz w:val="20"/>
                <w:szCs w:val="20"/>
                <w:lang w:eastAsia="ar-SA"/>
              </w:rPr>
              <w:t>)</w:t>
            </w:r>
          </w:p>
          <w:p w:rsidR="003B5B5D" w:rsidRPr="003B5B5D" w:rsidRDefault="003B5B5D" w:rsidP="003B5B5D">
            <w:pPr>
              <w:suppressAutoHyphens/>
              <w:spacing w:after="0" w:line="240" w:lineRule="auto"/>
              <w:rPr>
                <w:rFonts w:ascii="Times New Roman" w:eastAsia="Times New Roman" w:hAnsi="Times New Roman" w:cs="Times New Roman"/>
                <w:b/>
                <w:bCs/>
                <w:iCs/>
                <w:sz w:val="20"/>
                <w:szCs w:val="20"/>
                <w:lang w:eastAsia="ar-SA"/>
              </w:rPr>
            </w:pPr>
          </w:p>
          <w:p w:rsidR="003B5B5D" w:rsidRPr="003B5B5D" w:rsidRDefault="003B5B5D" w:rsidP="003B5B5D">
            <w:pPr>
              <w:suppressAutoHyphens/>
              <w:spacing w:after="0" w:line="240" w:lineRule="auto"/>
              <w:rPr>
                <w:rFonts w:ascii="Times New Roman" w:eastAsia="Times New Roman" w:hAnsi="Times New Roman" w:cs="Times New Roman"/>
                <w:b/>
                <w:bCs/>
                <w:iCs/>
                <w:sz w:val="20"/>
                <w:szCs w:val="20"/>
                <w:lang w:val="en-US" w:eastAsia="ar-SA"/>
              </w:rPr>
            </w:pPr>
            <w:r w:rsidRPr="003B5B5D">
              <w:rPr>
                <w:rFonts w:ascii="Times New Roman" w:eastAsia="Times New Roman" w:hAnsi="Times New Roman" w:cs="Times New Roman"/>
                <w:b/>
                <w:bCs/>
                <w:iCs/>
                <w:sz w:val="20"/>
                <w:szCs w:val="20"/>
                <w:lang w:val="en-US" w:eastAsia="ar-SA"/>
              </w:rPr>
              <w:t>Strategic Task Force 2025 :</w:t>
            </w:r>
          </w:p>
          <w:p w:rsidR="003B5B5D" w:rsidRPr="003B5B5D" w:rsidRDefault="003B5B5D" w:rsidP="003B5B5D">
            <w:pPr>
              <w:suppressAutoHyphens/>
              <w:spacing w:after="0" w:line="240" w:lineRule="auto"/>
              <w:rPr>
                <w:rFonts w:ascii="Times New Roman" w:eastAsia="Times New Roman" w:hAnsi="Times New Roman" w:cs="Times New Roman"/>
                <w:bCs/>
                <w:iCs/>
                <w:sz w:val="20"/>
                <w:szCs w:val="20"/>
                <w:lang w:val="en-US" w:eastAsia="ar-SA"/>
              </w:rPr>
            </w:pPr>
            <w:r w:rsidRPr="003B5B5D">
              <w:rPr>
                <w:rFonts w:ascii="Times New Roman" w:eastAsia="Times New Roman" w:hAnsi="Times New Roman" w:cs="Times New Roman"/>
                <w:bCs/>
                <w:iCs/>
                <w:sz w:val="20"/>
                <w:szCs w:val="20"/>
                <w:lang w:val="en-US" w:eastAsia="ar-SA"/>
              </w:rPr>
              <w:t>Wolf Waschkuhn (</w:t>
            </w:r>
            <w:hyperlink r:id="rId47" w:history="1">
              <w:r w:rsidRPr="003B5B5D">
                <w:rPr>
                  <w:rFonts w:ascii="Times New Roman" w:eastAsia="Times New Roman" w:hAnsi="Times New Roman" w:cs="Times New Roman"/>
                  <w:bCs/>
                  <w:iCs/>
                  <w:color w:val="0000FF"/>
                  <w:sz w:val="20"/>
                  <w:szCs w:val="20"/>
                  <w:u w:val="single"/>
                  <w:lang w:val="en-US" w:eastAsia="ar-SA"/>
                </w:rPr>
                <w:t>ww@onesquareadvisers.com</w:t>
              </w:r>
            </w:hyperlink>
            <w:r w:rsidRPr="003B5B5D">
              <w:rPr>
                <w:rFonts w:ascii="Times New Roman" w:eastAsia="Times New Roman" w:hAnsi="Times New Roman" w:cs="Times New Roman"/>
                <w:bCs/>
                <w:iCs/>
                <w:sz w:val="20"/>
                <w:szCs w:val="20"/>
                <w:lang w:val="en-US" w:eastAsia="ar-SA"/>
              </w:rPr>
              <w:t>)</w:t>
            </w:r>
          </w:p>
          <w:p w:rsidR="003B5B5D" w:rsidRPr="003B5B5D" w:rsidRDefault="003B5B5D" w:rsidP="003B5B5D">
            <w:pPr>
              <w:suppressAutoHyphens/>
              <w:spacing w:after="0" w:line="240" w:lineRule="auto"/>
              <w:rPr>
                <w:rFonts w:ascii="Times New Roman" w:eastAsia="Times New Roman" w:hAnsi="Times New Roman" w:cs="Times New Roman"/>
                <w:b/>
                <w:bCs/>
                <w:iCs/>
                <w:sz w:val="20"/>
                <w:szCs w:val="20"/>
                <w:lang w:val="en-US" w:eastAsia="ar-SA"/>
              </w:rPr>
            </w:pPr>
          </w:p>
          <w:p w:rsidR="003B5B5D" w:rsidRPr="003B5B5D" w:rsidRDefault="003B5B5D" w:rsidP="003B5B5D">
            <w:pPr>
              <w:suppressAutoHyphens/>
              <w:spacing w:after="0" w:line="240" w:lineRule="auto"/>
              <w:rPr>
                <w:rFonts w:ascii="Times New Roman" w:eastAsia="Times New Roman" w:hAnsi="Times New Roman" w:cs="Times New Roman"/>
                <w:b/>
                <w:bCs/>
                <w:iCs/>
                <w:sz w:val="20"/>
                <w:szCs w:val="20"/>
                <w:lang w:eastAsia="ar-SA"/>
              </w:rPr>
            </w:pPr>
            <w:r w:rsidRPr="003B5B5D">
              <w:rPr>
                <w:rFonts w:ascii="Times New Roman" w:eastAsia="Times New Roman" w:hAnsi="Times New Roman" w:cs="Times New Roman"/>
                <w:b/>
                <w:bCs/>
                <w:iCs/>
                <w:sz w:val="20"/>
                <w:szCs w:val="20"/>
                <w:lang w:eastAsia="ar-SA"/>
              </w:rPr>
              <w:t>YANIL</w:t>
            </w:r>
          </w:p>
          <w:p w:rsidR="003B5B5D" w:rsidRPr="003B5B5D" w:rsidRDefault="003B5B5D" w:rsidP="003B5B5D">
            <w:pPr>
              <w:suppressAutoHyphens/>
              <w:spacing w:after="0" w:line="240" w:lineRule="auto"/>
              <w:rPr>
                <w:rFonts w:ascii="Times New Roman" w:eastAsia="Times New Roman" w:hAnsi="Times New Roman" w:cs="Times New Roman"/>
                <w:sz w:val="20"/>
                <w:szCs w:val="20"/>
                <w:lang w:eastAsia="ar-SA"/>
              </w:rPr>
            </w:pPr>
            <w:r w:rsidRPr="003B5B5D">
              <w:rPr>
                <w:rFonts w:ascii="Times New Roman" w:eastAsia="Times New Roman" w:hAnsi="Times New Roman" w:cs="Times New Roman"/>
                <w:sz w:val="20"/>
                <w:szCs w:val="20"/>
                <w:lang w:eastAsia="ar-SA"/>
              </w:rPr>
              <w:t>Jenny Gant (</w:t>
            </w:r>
            <w:hyperlink r:id="rId48" w:history="1">
              <w:r w:rsidRPr="003B5B5D">
                <w:rPr>
                  <w:rFonts w:ascii="Times New Roman" w:eastAsia="Times New Roman" w:hAnsi="Times New Roman" w:cs="Times New Roman"/>
                  <w:color w:val="0000FF"/>
                  <w:sz w:val="20"/>
                  <w:szCs w:val="20"/>
                  <w:u w:val="single"/>
                  <w:lang w:eastAsia="ar-SA"/>
                </w:rPr>
                <w:t>JenniferL.L.Gant@gmail.com</w:t>
              </w:r>
            </w:hyperlink>
            <w:r w:rsidRPr="003B5B5D">
              <w:rPr>
                <w:rFonts w:ascii="Times New Roman" w:eastAsia="Times New Roman" w:hAnsi="Times New Roman" w:cs="Times New Roman"/>
                <w:sz w:val="20"/>
                <w:szCs w:val="20"/>
                <w:lang w:eastAsia="ar-SA"/>
              </w:rPr>
              <w:t>)</w:t>
            </w:r>
          </w:p>
          <w:p w:rsidR="003B5B5D" w:rsidRPr="003B5B5D" w:rsidRDefault="003B5B5D" w:rsidP="003B5B5D">
            <w:pPr>
              <w:suppressAutoHyphens/>
              <w:spacing w:after="0" w:line="240" w:lineRule="auto"/>
              <w:rPr>
                <w:rFonts w:ascii="Times New Roman" w:eastAsia="Times New Roman" w:hAnsi="Times New Roman" w:cs="Times New Roman"/>
                <w:sz w:val="20"/>
                <w:szCs w:val="20"/>
                <w:lang w:eastAsia="ar-SA"/>
              </w:rPr>
            </w:pPr>
          </w:p>
        </w:tc>
      </w:tr>
    </w:tbl>
    <w:p w:rsidR="003B5B5D" w:rsidRPr="003B5B5D" w:rsidRDefault="003B5B5D" w:rsidP="003B5B5D">
      <w:pPr>
        <w:suppressAutoHyphens/>
        <w:spacing w:after="0" w:line="240" w:lineRule="auto"/>
        <w:rPr>
          <w:rFonts w:ascii="Times New Roman" w:eastAsia="Times New Roman" w:hAnsi="Times New Roman" w:cs="Times New Roman"/>
          <w:sz w:val="24"/>
          <w:szCs w:val="24"/>
          <w:lang w:eastAsia="he-IL" w:bidi="he-IL"/>
        </w:rPr>
      </w:pPr>
    </w:p>
    <w:p w:rsidR="003B5B5D" w:rsidRPr="003B5B5D" w:rsidRDefault="003B5B5D" w:rsidP="003B5B5D">
      <w:pPr>
        <w:keepNext/>
        <w:suppressAutoHyphens/>
        <w:spacing w:after="0" w:line="240" w:lineRule="auto"/>
        <w:ind w:left="720" w:hanging="720"/>
        <w:jc w:val="center"/>
        <w:outlineLvl w:val="2"/>
        <w:rPr>
          <w:rFonts w:ascii="Times New Roman" w:eastAsia="Times New Roman" w:hAnsi="Times New Roman" w:cs="Times New Roman"/>
          <w:b/>
          <w:bCs/>
          <w:sz w:val="24"/>
          <w:szCs w:val="24"/>
          <w:lang w:eastAsia="he-IL" w:bidi="he-IL"/>
        </w:rPr>
      </w:pPr>
      <w:r w:rsidRPr="003B5B5D">
        <w:rPr>
          <w:rFonts w:ascii="Times New Roman" w:eastAsia="Times New Roman" w:hAnsi="Times New Roman" w:cs="Times New Roman"/>
          <w:b/>
          <w:bCs/>
          <w:sz w:val="24"/>
          <w:szCs w:val="24"/>
          <w:lang w:eastAsia="he-IL" w:bidi="he-IL"/>
        </w:rPr>
        <w:t>S O M M A I R E</w:t>
      </w:r>
    </w:p>
    <w:p w:rsidR="003B5B5D" w:rsidRPr="003B5B5D" w:rsidRDefault="003B5B5D" w:rsidP="003B5B5D">
      <w:pPr>
        <w:suppressAutoHyphens/>
        <w:spacing w:after="0" w:line="240" w:lineRule="auto"/>
        <w:rPr>
          <w:rFonts w:ascii="Times New Roman" w:eastAsia="Times New Roman" w:hAnsi="Times New Roman" w:cs="Times New Roman"/>
          <w:sz w:val="24"/>
          <w:szCs w:val="24"/>
          <w:lang w:eastAsia="he-IL" w:bidi="he-IL"/>
        </w:rPr>
      </w:pPr>
    </w:p>
    <w:p w:rsidR="003B5B5D" w:rsidRPr="003B5B5D" w:rsidRDefault="003B5B5D" w:rsidP="003B5B5D">
      <w:pPr>
        <w:suppressAutoHyphens/>
        <w:spacing w:after="0" w:line="100" w:lineRule="atLeast"/>
        <w:rPr>
          <w:rFonts w:ascii="Times New Roman" w:eastAsia="Courier 10cpi" w:hAnsi="Times New Roman" w:cs="Courier 10cpi"/>
          <w:color w:val="010101"/>
          <w:sz w:val="24"/>
          <w:szCs w:val="24"/>
          <w:lang w:eastAsia="ar-SA"/>
        </w:rPr>
      </w:pPr>
    </w:p>
    <w:p w:rsidR="003B5B5D" w:rsidRPr="003B5B5D" w:rsidRDefault="003B5B5D" w:rsidP="003B5B5D">
      <w:pPr>
        <w:suppressAutoHyphens/>
        <w:spacing w:after="0" w:line="100" w:lineRule="atLeast"/>
        <w:rPr>
          <w:rFonts w:ascii="Times New Roman" w:eastAsia="Courier 10cpi" w:hAnsi="Times New Roman" w:cs="Courier 10cpi"/>
          <w:color w:val="010101"/>
          <w:sz w:val="24"/>
          <w:szCs w:val="24"/>
          <w:lang w:eastAsia="ar-SA"/>
        </w:rPr>
      </w:pPr>
      <w:r w:rsidRPr="003B5B5D">
        <w:rPr>
          <w:rFonts w:ascii="Times New Roman" w:eastAsia="Courier 10cpi" w:hAnsi="Times New Roman" w:cs="Courier 10cpi"/>
          <w:color w:val="010101"/>
          <w:sz w:val="24"/>
          <w:szCs w:val="24"/>
          <w:lang w:eastAsia="ar-SA"/>
        </w:rPr>
        <w:t>5</w:t>
      </w:r>
      <w:r w:rsidRPr="003B5B5D">
        <w:rPr>
          <w:rFonts w:ascii="Times New Roman" w:eastAsia="Courier 10cpi" w:hAnsi="Times New Roman" w:cs="Courier 10cpi"/>
          <w:color w:val="010101"/>
          <w:sz w:val="24"/>
          <w:szCs w:val="24"/>
          <w:lang w:eastAsia="ar-SA"/>
        </w:rPr>
        <w:tab/>
      </w:r>
      <w:r w:rsidRPr="003B5B5D">
        <w:rPr>
          <w:rFonts w:ascii="Times New Roman" w:eastAsia="Courier 10cpi" w:hAnsi="Times New Roman" w:cs="Courier 10cpi"/>
          <w:color w:val="010101"/>
          <w:sz w:val="24"/>
          <w:szCs w:val="24"/>
          <w:lang w:eastAsia="ar-SA"/>
        </w:rPr>
        <w:tab/>
        <w:t>La le</w:t>
      </w:r>
      <w:r w:rsidR="0023188F">
        <w:rPr>
          <w:rFonts w:ascii="Times New Roman" w:eastAsia="Courier 10cpi" w:hAnsi="Times New Roman" w:cs="Courier 10cpi"/>
          <w:color w:val="010101"/>
          <w:sz w:val="24"/>
          <w:szCs w:val="24"/>
          <w:lang w:eastAsia="ar-SA"/>
        </w:rPr>
        <w:t xml:space="preserve">ttre des co-rédacteurs en chef  par </w:t>
      </w:r>
      <w:r w:rsidRPr="003B5B5D">
        <w:rPr>
          <w:rFonts w:ascii="Times New Roman" w:eastAsia="Courier 10cpi" w:hAnsi="Times New Roman" w:cs="Courier 10cpi"/>
          <w:color w:val="010101"/>
          <w:sz w:val="24"/>
          <w:szCs w:val="24"/>
          <w:lang w:eastAsia="ar-SA"/>
        </w:rPr>
        <w:t xml:space="preserve"> Frank Heemann</w:t>
      </w:r>
    </w:p>
    <w:p w:rsidR="003B5B5D" w:rsidRPr="003B5B5D" w:rsidRDefault="003B5B5D" w:rsidP="003B5B5D">
      <w:pPr>
        <w:suppressAutoHyphens/>
        <w:spacing w:after="0" w:line="100" w:lineRule="atLeast"/>
        <w:rPr>
          <w:rFonts w:ascii="Times New Roman" w:eastAsia="Courier 10cpi" w:hAnsi="Times New Roman" w:cs="Courier 10cpi"/>
          <w:color w:val="010101"/>
          <w:sz w:val="24"/>
          <w:szCs w:val="24"/>
          <w:lang w:eastAsia="ar-SA"/>
        </w:rPr>
      </w:pPr>
    </w:p>
    <w:p w:rsidR="003B5B5D" w:rsidRPr="003B5B5D" w:rsidRDefault="003B5B5D" w:rsidP="003B5B5D">
      <w:pPr>
        <w:suppressAutoHyphens/>
        <w:spacing w:after="0" w:line="100" w:lineRule="atLeast"/>
        <w:rPr>
          <w:rFonts w:ascii="Times New Roman" w:eastAsia="Courier 10cpi" w:hAnsi="Times New Roman" w:cs="Courier 10cpi"/>
          <w:color w:val="010101"/>
          <w:sz w:val="24"/>
          <w:szCs w:val="24"/>
          <w:lang w:eastAsia="ar-SA"/>
        </w:rPr>
      </w:pPr>
      <w:r w:rsidRPr="003B5B5D">
        <w:rPr>
          <w:rFonts w:ascii="Times New Roman" w:eastAsia="Courier 10cpi" w:hAnsi="Times New Roman" w:cs="Courier 10cpi"/>
          <w:color w:val="010101"/>
          <w:sz w:val="24"/>
          <w:szCs w:val="24"/>
          <w:lang w:eastAsia="ar-SA"/>
        </w:rPr>
        <w:t>7</w:t>
      </w:r>
      <w:r w:rsidRPr="003B5B5D">
        <w:rPr>
          <w:rFonts w:ascii="Times New Roman" w:eastAsia="Courier 10cpi" w:hAnsi="Times New Roman" w:cs="Courier 10cpi"/>
          <w:color w:val="010101"/>
          <w:sz w:val="24"/>
          <w:szCs w:val="24"/>
          <w:lang w:eastAsia="ar-SA"/>
        </w:rPr>
        <w:tab/>
      </w:r>
      <w:r w:rsidRPr="003B5B5D">
        <w:rPr>
          <w:rFonts w:ascii="Times New Roman" w:eastAsia="Courier 10cpi" w:hAnsi="Times New Roman" w:cs="Courier 10cpi"/>
          <w:color w:val="010101"/>
          <w:sz w:val="24"/>
          <w:szCs w:val="24"/>
          <w:lang w:eastAsia="ar-SA"/>
        </w:rPr>
        <w:tab/>
        <w:t xml:space="preserve">Radu Lotrean: La lettre du Président  </w:t>
      </w:r>
    </w:p>
    <w:p w:rsidR="003B5B5D" w:rsidRPr="003B5B5D" w:rsidRDefault="003B5B5D" w:rsidP="003B5B5D">
      <w:pPr>
        <w:suppressAutoHyphens/>
        <w:spacing w:after="0" w:line="100" w:lineRule="atLeast"/>
        <w:rPr>
          <w:rFonts w:ascii="Times New Roman" w:eastAsia="Courier 10cpi" w:hAnsi="Times New Roman" w:cs="Courier 10cpi"/>
          <w:color w:val="010101"/>
          <w:sz w:val="24"/>
          <w:szCs w:val="24"/>
          <w:lang w:eastAsia="ar-SA"/>
        </w:rPr>
      </w:pPr>
    </w:p>
    <w:p w:rsidR="003B5B5D" w:rsidRPr="003B5B5D" w:rsidRDefault="00C42672" w:rsidP="003B5B5D">
      <w:pPr>
        <w:suppressAutoHyphens/>
        <w:spacing w:after="0" w:line="100" w:lineRule="atLeast"/>
        <w:rPr>
          <w:rFonts w:ascii="Times New Roman" w:eastAsia="Courier 10cpi" w:hAnsi="Times New Roman" w:cs="Courier 10cpi"/>
          <w:color w:val="010101"/>
          <w:sz w:val="24"/>
          <w:szCs w:val="24"/>
          <w:lang w:eastAsia="ar-SA"/>
        </w:rPr>
      </w:pPr>
      <w:r>
        <w:rPr>
          <w:rFonts w:ascii="Times New Roman" w:eastAsia="Courier 10cpi" w:hAnsi="Times New Roman" w:cs="Courier 10cpi"/>
          <w:color w:val="010101"/>
          <w:sz w:val="24"/>
          <w:szCs w:val="24"/>
          <w:lang w:eastAsia="ar-SA"/>
        </w:rPr>
        <w:t>10</w:t>
      </w:r>
      <w:r w:rsidR="003B5B5D" w:rsidRPr="003B5B5D">
        <w:rPr>
          <w:rFonts w:ascii="Times New Roman" w:eastAsia="Courier 10cpi" w:hAnsi="Times New Roman" w:cs="Courier 10cpi"/>
          <w:color w:val="010101"/>
          <w:sz w:val="24"/>
          <w:szCs w:val="24"/>
          <w:lang w:eastAsia="ar-SA"/>
        </w:rPr>
        <w:tab/>
      </w:r>
      <w:r w:rsidR="003B5B5D" w:rsidRPr="003B5B5D">
        <w:rPr>
          <w:rFonts w:ascii="Times New Roman" w:eastAsia="Courier 10cpi" w:hAnsi="Times New Roman" w:cs="Courier 10cpi"/>
          <w:color w:val="010101"/>
          <w:sz w:val="24"/>
          <w:szCs w:val="24"/>
          <w:lang w:eastAsia="ar-SA"/>
        </w:rPr>
        <w:tab/>
        <w:t xml:space="preserve">Actualités et événements  </w:t>
      </w:r>
    </w:p>
    <w:p w:rsidR="003B5B5D" w:rsidRPr="003B5B5D" w:rsidRDefault="003B5B5D" w:rsidP="003B5B5D">
      <w:pPr>
        <w:suppressAutoHyphens/>
        <w:spacing w:after="0" w:line="100" w:lineRule="atLeast"/>
        <w:rPr>
          <w:rFonts w:ascii="Times New Roman" w:eastAsia="Courier 10cpi" w:hAnsi="Times New Roman" w:cs="Courier 10cpi"/>
          <w:color w:val="010101"/>
          <w:sz w:val="24"/>
          <w:szCs w:val="24"/>
          <w:lang w:eastAsia="ar-SA"/>
        </w:rPr>
      </w:pPr>
      <w:r w:rsidRPr="003B5B5D">
        <w:rPr>
          <w:rFonts w:ascii="Times New Roman" w:eastAsia="Courier 10cpi" w:hAnsi="Times New Roman" w:cs="Courier 10cpi"/>
          <w:color w:val="010101"/>
          <w:sz w:val="24"/>
          <w:szCs w:val="24"/>
          <w:lang w:eastAsia="ar-SA"/>
        </w:rPr>
        <w:tab/>
      </w:r>
      <w:r w:rsidRPr="003B5B5D">
        <w:rPr>
          <w:rFonts w:ascii="Times New Roman" w:eastAsia="Courier 10cpi" w:hAnsi="Times New Roman" w:cs="Courier 10cpi"/>
          <w:color w:val="010101"/>
          <w:sz w:val="24"/>
          <w:szCs w:val="24"/>
          <w:lang w:eastAsia="ar-SA"/>
        </w:rPr>
        <w:tab/>
      </w:r>
    </w:p>
    <w:p w:rsidR="003B5B5D" w:rsidRPr="003B5B5D" w:rsidRDefault="00C42672" w:rsidP="003B5B5D">
      <w:pPr>
        <w:suppressAutoHyphens/>
        <w:spacing w:after="0" w:line="100" w:lineRule="atLeast"/>
        <w:ind w:left="1410" w:hanging="1410"/>
        <w:rPr>
          <w:rFonts w:ascii="Times New Roman" w:eastAsia="Courier 10cpi" w:hAnsi="Times New Roman" w:cs="Courier 10cpi"/>
          <w:color w:val="010101"/>
          <w:sz w:val="24"/>
          <w:szCs w:val="24"/>
          <w:lang w:eastAsia="ar-SA"/>
        </w:rPr>
      </w:pPr>
      <w:r>
        <w:rPr>
          <w:rFonts w:ascii="Times New Roman" w:eastAsia="Courier 10cpi" w:hAnsi="Times New Roman" w:cs="Courier 10cpi"/>
          <w:color w:val="010101"/>
          <w:sz w:val="24"/>
          <w:szCs w:val="24"/>
          <w:lang w:eastAsia="ar-SA"/>
        </w:rPr>
        <w:t>15</w:t>
      </w:r>
      <w:r w:rsidR="003B5B5D" w:rsidRPr="003B5B5D">
        <w:rPr>
          <w:rFonts w:ascii="Times New Roman" w:eastAsia="Courier 10cpi" w:hAnsi="Times New Roman" w:cs="Courier 10cpi"/>
          <w:color w:val="010101"/>
          <w:sz w:val="24"/>
          <w:szCs w:val="24"/>
          <w:lang w:eastAsia="ar-SA"/>
        </w:rPr>
        <w:tab/>
      </w:r>
      <w:r w:rsidR="003B5B5D" w:rsidRPr="003B5B5D">
        <w:rPr>
          <w:rFonts w:ascii="Times New Roman" w:eastAsia="Courier 10cpi" w:hAnsi="Times New Roman" w:cs="Courier 10cpi"/>
          <w:color w:val="010101"/>
          <w:sz w:val="24"/>
          <w:szCs w:val="24"/>
          <w:lang w:eastAsia="ar-SA"/>
        </w:rPr>
        <w:tab/>
      </w:r>
      <w:r w:rsidR="00FC3B6C">
        <w:rPr>
          <w:rFonts w:ascii="Times New Roman" w:eastAsia="Courier 10cpi" w:hAnsi="Times New Roman" w:cs="Courier 10cpi"/>
          <w:color w:val="010101"/>
          <w:sz w:val="24"/>
          <w:szCs w:val="24"/>
          <w:lang w:eastAsia="ar-SA"/>
        </w:rPr>
        <w:t>Actifs numérique, insolvabilité et restructuration</w:t>
      </w:r>
      <w:r w:rsidR="003B5B5D" w:rsidRPr="003B5B5D">
        <w:rPr>
          <w:rFonts w:ascii="Times New Roman" w:eastAsia="Courier 10cpi" w:hAnsi="Times New Roman" w:cs="Courier 10cpi"/>
          <w:color w:val="010101"/>
          <w:sz w:val="24"/>
          <w:szCs w:val="24"/>
          <w:lang w:eastAsia="ar-SA"/>
        </w:rPr>
        <w:t>  par E. Inacio</w:t>
      </w:r>
    </w:p>
    <w:p w:rsidR="003B5B5D" w:rsidRPr="003B5B5D" w:rsidRDefault="003B5B5D" w:rsidP="003B5B5D">
      <w:pPr>
        <w:suppressAutoHyphens/>
        <w:spacing w:after="0" w:line="100" w:lineRule="atLeast"/>
        <w:rPr>
          <w:rFonts w:ascii="Times New Roman" w:eastAsia="Courier 10cpi" w:hAnsi="Times New Roman" w:cs="Courier 10cpi"/>
          <w:color w:val="010101"/>
          <w:sz w:val="24"/>
          <w:szCs w:val="24"/>
          <w:lang w:eastAsia="ar-SA"/>
        </w:rPr>
      </w:pPr>
    </w:p>
    <w:p w:rsidR="003B5B5D" w:rsidRPr="003B5B5D" w:rsidRDefault="002F1A96" w:rsidP="003B5B5D">
      <w:pPr>
        <w:suppressAutoHyphens/>
        <w:spacing w:after="0" w:line="100" w:lineRule="atLeast"/>
        <w:rPr>
          <w:rFonts w:ascii="Times New Roman" w:eastAsia="Courier 10cpi" w:hAnsi="Times New Roman" w:cs="Courier 10cpi"/>
          <w:color w:val="010101"/>
          <w:sz w:val="24"/>
          <w:szCs w:val="24"/>
          <w:lang w:eastAsia="ar-SA"/>
        </w:rPr>
      </w:pPr>
      <w:r>
        <w:rPr>
          <w:rFonts w:ascii="Times New Roman" w:eastAsia="Courier 10cpi" w:hAnsi="Times New Roman" w:cs="Courier 10cpi"/>
          <w:color w:val="010101"/>
          <w:sz w:val="24"/>
          <w:szCs w:val="24"/>
          <w:lang w:eastAsia="ar-SA"/>
        </w:rPr>
        <w:t>19</w:t>
      </w:r>
      <w:r w:rsidR="00C42672">
        <w:rPr>
          <w:rFonts w:ascii="Times New Roman" w:eastAsia="Courier 10cpi" w:hAnsi="Times New Roman" w:cs="Courier 10cpi"/>
          <w:color w:val="010101"/>
          <w:sz w:val="24"/>
          <w:szCs w:val="24"/>
          <w:lang w:eastAsia="ar-SA"/>
        </w:rPr>
        <w:tab/>
      </w:r>
      <w:r w:rsidR="00C42672">
        <w:rPr>
          <w:rFonts w:ascii="Times New Roman" w:eastAsia="Courier 10cpi" w:hAnsi="Times New Roman" w:cs="Courier 10cpi"/>
          <w:color w:val="010101"/>
          <w:sz w:val="24"/>
          <w:szCs w:val="24"/>
          <w:lang w:eastAsia="ar-SA"/>
        </w:rPr>
        <w:tab/>
        <w:t>France : Le Statut de l’administrateur judiciaire</w:t>
      </w:r>
      <w:r w:rsidR="003B5B5D" w:rsidRPr="003B5B5D">
        <w:rPr>
          <w:rFonts w:ascii="Times New Roman" w:eastAsia="Courier 10cpi" w:hAnsi="Times New Roman" w:cs="Courier 10cpi"/>
          <w:color w:val="010101"/>
          <w:sz w:val="24"/>
          <w:szCs w:val="24"/>
          <w:lang w:eastAsia="ar-SA"/>
        </w:rPr>
        <w:tab/>
      </w:r>
      <w:r w:rsidR="003B5B5D" w:rsidRPr="003B5B5D">
        <w:rPr>
          <w:rFonts w:ascii="Times New Roman" w:eastAsia="Courier 10cpi" w:hAnsi="Times New Roman" w:cs="Courier 10cpi"/>
          <w:color w:val="010101"/>
          <w:sz w:val="24"/>
          <w:szCs w:val="24"/>
          <w:lang w:eastAsia="ar-SA"/>
        </w:rPr>
        <w:tab/>
      </w:r>
    </w:p>
    <w:p w:rsidR="003B5B5D" w:rsidRPr="003B5B5D" w:rsidRDefault="003B5B5D" w:rsidP="003B5B5D">
      <w:pPr>
        <w:suppressAutoHyphens/>
        <w:spacing w:after="0" w:line="100" w:lineRule="atLeast"/>
        <w:rPr>
          <w:rFonts w:ascii="Times New Roman" w:eastAsia="Courier 10cpi" w:hAnsi="Times New Roman" w:cs="Courier 10cpi"/>
          <w:color w:val="010101"/>
          <w:sz w:val="24"/>
          <w:szCs w:val="24"/>
          <w:lang w:eastAsia="ar-SA"/>
        </w:rPr>
      </w:pPr>
      <w:r w:rsidRPr="003B5B5D">
        <w:rPr>
          <w:rFonts w:ascii="Times New Roman" w:eastAsia="Courier 10cpi" w:hAnsi="Times New Roman" w:cs="Courier 10cpi"/>
          <w:color w:val="010101"/>
          <w:sz w:val="24"/>
          <w:szCs w:val="24"/>
          <w:lang w:eastAsia="ar-SA"/>
        </w:rPr>
        <w:tab/>
      </w:r>
      <w:r w:rsidRPr="003B5B5D">
        <w:rPr>
          <w:rFonts w:ascii="Times New Roman" w:eastAsia="Courier 10cpi" w:hAnsi="Times New Roman" w:cs="Courier 10cpi"/>
          <w:color w:val="010101"/>
          <w:sz w:val="24"/>
          <w:szCs w:val="24"/>
          <w:lang w:eastAsia="ar-SA"/>
        </w:rPr>
        <w:tab/>
      </w:r>
      <w:r w:rsidRPr="003B5B5D">
        <w:rPr>
          <w:rFonts w:ascii="Times New Roman" w:eastAsia="Courier 10cpi" w:hAnsi="Times New Roman" w:cs="Courier 10cpi"/>
          <w:color w:val="010101"/>
          <w:sz w:val="24"/>
          <w:szCs w:val="24"/>
          <w:lang w:eastAsia="ar-SA"/>
        </w:rPr>
        <w:tab/>
      </w:r>
      <w:r w:rsidRPr="003B5B5D">
        <w:rPr>
          <w:rFonts w:ascii="Times New Roman" w:eastAsia="Courier 10cpi" w:hAnsi="Times New Roman" w:cs="Courier 10cpi"/>
          <w:color w:val="010101"/>
          <w:sz w:val="24"/>
          <w:szCs w:val="24"/>
          <w:lang w:eastAsia="ar-SA"/>
        </w:rPr>
        <w:tab/>
      </w:r>
      <w:r w:rsidRPr="003B5B5D">
        <w:rPr>
          <w:rFonts w:ascii="Times New Roman" w:eastAsia="Courier 10cpi" w:hAnsi="Times New Roman" w:cs="Courier 10cpi"/>
          <w:color w:val="010101"/>
          <w:sz w:val="24"/>
          <w:szCs w:val="24"/>
          <w:lang w:eastAsia="ar-SA"/>
        </w:rPr>
        <w:tab/>
      </w:r>
    </w:p>
    <w:p w:rsidR="00BD2829" w:rsidRDefault="002F1A96" w:rsidP="003B5B5D">
      <w:pPr>
        <w:suppressAutoHyphens/>
        <w:spacing w:after="0" w:line="100" w:lineRule="atLeast"/>
        <w:ind w:left="1410" w:hanging="1410"/>
        <w:jc w:val="both"/>
        <w:rPr>
          <w:rFonts w:ascii="Times New Roman" w:eastAsia="Courier 10cpi" w:hAnsi="Times New Roman" w:cs="Courier 10cpi"/>
          <w:color w:val="010101"/>
          <w:sz w:val="24"/>
          <w:szCs w:val="24"/>
          <w:lang w:eastAsia="ar-SA"/>
        </w:rPr>
      </w:pPr>
      <w:r>
        <w:rPr>
          <w:rFonts w:ascii="Times New Roman" w:eastAsia="Courier 10cpi" w:hAnsi="Times New Roman" w:cs="Courier 10cpi"/>
          <w:color w:val="010101"/>
          <w:sz w:val="24"/>
          <w:szCs w:val="24"/>
          <w:lang w:eastAsia="ar-SA"/>
        </w:rPr>
        <w:t>24</w:t>
      </w:r>
      <w:r w:rsidR="003B5B5D" w:rsidRPr="003B5B5D">
        <w:rPr>
          <w:rFonts w:ascii="Times New Roman" w:eastAsia="Courier 10cpi" w:hAnsi="Times New Roman" w:cs="Courier 10cpi"/>
          <w:color w:val="010101"/>
          <w:sz w:val="24"/>
          <w:szCs w:val="24"/>
          <w:lang w:eastAsia="ar-SA"/>
        </w:rPr>
        <w:tab/>
      </w:r>
      <w:r w:rsidR="00C42672">
        <w:rPr>
          <w:rFonts w:ascii="Times New Roman" w:eastAsia="Courier 10cpi" w:hAnsi="Times New Roman" w:cs="Courier 10cpi"/>
          <w:color w:val="010101"/>
          <w:sz w:val="24"/>
          <w:szCs w:val="24"/>
          <w:lang w:eastAsia="ar-SA"/>
        </w:rPr>
        <w:t xml:space="preserve">Désignation des PI </w:t>
      </w:r>
      <w:r w:rsidR="009942E5">
        <w:rPr>
          <w:rFonts w:ascii="Times New Roman" w:eastAsia="Courier 10cpi" w:hAnsi="Times New Roman" w:cs="Courier 10cpi"/>
          <w:color w:val="010101"/>
          <w:sz w:val="24"/>
          <w:szCs w:val="24"/>
          <w:lang w:eastAsia="ar-SA"/>
        </w:rPr>
        <w:t>par tirage au sorts (Lituanie, Hongrie, Slovaquie)</w:t>
      </w:r>
    </w:p>
    <w:p w:rsidR="003B5B5D" w:rsidRPr="003B5B5D" w:rsidRDefault="003B5B5D" w:rsidP="003B5B5D">
      <w:pPr>
        <w:suppressAutoHyphens/>
        <w:spacing w:after="0" w:line="100" w:lineRule="atLeast"/>
        <w:ind w:left="1410" w:hanging="1410"/>
        <w:jc w:val="both"/>
        <w:rPr>
          <w:rFonts w:ascii="Times New Roman" w:eastAsia="Courier 10cpi" w:hAnsi="Times New Roman" w:cs="Courier 10cpi"/>
          <w:color w:val="010101"/>
          <w:sz w:val="24"/>
          <w:szCs w:val="24"/>
          <w:lang w:eastAsia="ar-SA"/>
        </w:rPr>
      </w:pPr>
      <w:r w:rsidRPr="003B5B5D">
        <w:rPr>
          <w:rFonts w:ascii="Times New Roman" w:eastAsia="Courier 10cpi" w:hAnsi="Times New Roman" w:cs="Courier 10cpi"/>
          <w:color w:val="010101"/>
          <w:sz w:val="24"/>
          <w:szCs w:val="24"/>
          <w:lang w:eastAsia="ar-SA"/>
        </w:rPr>
        <w:tab/>
      </w:r>
      <w:r w:rsidRPr="003B5B5D">
        <w:rPr>
          <w:rFonts w:ascii="Times New Roman" w:eastAsia="Courier 10cpi" w:hAnsi="Times New Roman" w:cs="Courier 10cpi"/>
          <w:color w:val="010101"/>
          <w:sz w:val="24"/>
          <w:szCs w:val="24"/>
          <w:lang w:eastAsia="ar-SA"/>
        </w:rPr>
        <w:tab/>
      </w:r>
      <w:r w:rsidRPr="003B5B5D">
        <w:rPr>
          <w:rFonts w:ascii="Times New Roman" w:eastAsia="Courier 10cpi" w:hAnsi="Times New Roman" w:cs="Courier 10cpi"/>
          <w:color w:val="010101"/>
          <w:sz w:val="24"/>
          <w:szCs w:val="24"/>
          <w:lang w:eastAsia="ar-SA"/>
        </w:rPr>
        <w:tab/>
      </w:r>
      <w:r w:rsidRPr="003B5B5D">
        <w:rPr>
          <w:rFonts w:ascii="Times New Roman" w:eastAsia="Courier 10cpi" w:hAnsi="Times New Roman" w:cs="Courier 10cpi"/>
          <w:color w:val="010101"/>
          <w:sz w:val="24"/>
          <w:szCs w:val="24"/>
          <w:lang w:eastAsia="ar-SA"/>
        </w:rPr>
        <w:tab/>
      </w:r>
    </w:p>
    <w:p w:rsidR="003B5B5D" w:rsidRPr="003B5B5D" w:rsidRDefault="002F1A96" w:rsidP="00BD2829">
      <w:pPr>
        <w:suppressAutoHyphens/>
        <w:spacing w:after="0" w:line="100" w:lineRule="atLeast"/>
        <w:ind w:left="1410" w:hanging="1410"/>
        <w:jc w:val="both"/>
        <w:rPr>
          <w:rFonts w:ascii="Times New Roman" w:eastAsia="Courier 10cpi" w:hAnsi="Times New Roman" w:cs="Courier 10cpi"/>
          <w:color w:val="010101"/>
          <w:sz w:val="24"/>
          <w:szCs w:val="24"/>
          <w:lang w:eastAsia="ar-SA"/>
        </w:rPr>
      </w:pPr>
      <w:r>
        <w:rPr>
          <w:rFonts w:ascii="Times New Roman" w:eastAsia="Courier 10cpi" w:hAnsi="Times New Roman" w:cs="Courier 10cpi"/>
          <w:color w:val="010101"/>
          <w:sz w:val="24"/>
          <w:szCs w:val="24"/>
          <w:lang w:eastAsia="ar-SA"/>
        </w:rPr>
        <w:t>29</w:t>
      </w:r>
      <w:r w:rsidR="003B5B5D" w:rsidRPr="003B5B5D">
        <w:rPr>
          <w:rFonts w:ascii="Times New Roman" w:eastAsia="Courier 10cpi" w:hAnsi="Times New Roman" w:cs="Courier 10cpi"/>
          <w:color w:val="010101"/>
          <w:sz w:val="24"/>
          <w:szCs w:val="24"/>
          <w:lang w:eastAsia="ar-SA"/>
        </w:rPr>
        <w:tab/>
      </w:r>
      <w:r w:rsidR="009942E5">
        <w:rPr>
          <w:rFonts w:ascii="Times New Roman" w:eastAsia="Courier 10cpi" w:hAnsi="Times New Roman" w:cs="Courier 10cpi"/>
          <w:color w:val="010101"/>
          <w:sz w:val="24"/>
          <w:szCs w:val="24"/>
          <w:lang w:eastAsia="ar-SA"/>
        </w:rPr>
        <w:t>Cybersecurité : toutes les entreprises sont concernées</w:t>
      </w:r>
    </w:p>
    <w:p w:rsidR="003B5B5D" w:rsidRPr="003B5B5D" w:rsidRDefault="003B5B5D" w:rsidP="003B5B5D">
      <w:pPr>
        <w:suppressAutoHyphens/>
        <w:spacing w:after="0" w:line="100" w:lineRule="atLeast"/>
        <w:ind w:left="1410" w:hanging="1410"/>
        <w:jc w:val="both"/>
        <w:rPr>
          <w:rFonts w:ascii="Times New Roman" w:eastAsia="Courier 10cpi" w:hAnsi="Times New Roman" w:cs="Courier 10cpi"/>
          <w:color w:val="010101"/>
          <w:sz w:val="24"/>
          <w:szCs w:val="24"/>
          <w:lang w:eastAsia="ar-SA"/>
        </w:rPr>
      </w:pPr>
    </w:p>
    <w:p w:rsidR="003B5B5D" w:rsidRPr="003B5B5D" w:rsidRDefault="002F1A96" w:rsidP="003B5B5D">
      <w:pPr>
        <w:suppressAutoHyphens/>
        <w:spacing w:after="0" w:line="100" w:lineRule="atLeast"/>
        <w:ind w:left="1410" w:hanging="1410"/>
        <w:jc w:val="both"/>
        <w:rPr>
          <w:rFonts w:ascii="Times New Roman" w:eastAsia="Courier 10cpi" w:hAnsi="Times New Roman" w:cs="Courier 10cpi"/>
          <w:color w:val="010101"/>
          <w:sz w:val="24"/>
          <w:szCs w:val="24"/>
          <w:lang w:eastAsia="ar-SA"/>
        </w:rPr>
      </w:pPr>
      <w:r>
        <w:rPr>
          <w:rFonts w:ascii="Times New Roman" w:eastAsia="Courier 10cpi" w:hAnsi="Times New Roman" w:cs="Courier 10cpi"/>
          <w:color w:val="010101"/>
          <w:sz w:val="24"/>
          <w:szCs w:val="24"/>
          <w:lang w:eastAsia="ar-SA"/>
        </w:rPr>
        <w:t>33</w:t>
      </w:r>
      <w:r w:rsidR="009942E5">
        <w:rPr>
          <w:rFonts w:ascii="Times New Roman" w:eastAsia="Courier 10cpi" w:hAnsi="Times New Roman" w:cs="Courier 10cpi"/>
          <w:color w:val="010101"/>
          <w:sz w:val="24"/>
          <w:szCs w:val="24"/>
          <w:lang w:eastAsia="ar-SA"/>
        </w:rPr>
        <w:tab/>
        <w:t>Romania : Insolvabilité stratégique</w:t>
      </w:r>
      <w:r w:rsidR="003B5B5D" w:rsidRPr="003B5B5D">
        <w:rPr>
          <w:rFonts w:ascii="Times New Roman" w:eastAsia="Courier 10cpi" w:hAnsi="Times New Roman" w:cs="Courier 10cpi"/>
          <w:color w:val="010101"/>
          <w:sz w:val="24"/>
          <w:szCs w:val="24"/>
          <w:lang w:eastAsia="ar-SA"/>
        </w:rPr>
        <w:tab/>
      </w:r>
      <w:r w:rsidR="003B5B5D" w:rsidRPr="003B5B5D">
        <w:rPr>
          <w:rFonts w:ascii="Times New Roman" w:eastAsia="Courier 10cpi" w:hAnsi="Times New Roman" w:cs="Courier 10cpi"/>
          <w:color w:val="010101"/>
          <w:sz w:val="24"/>
          <w:szCs w:val="24"/>
          <w:lang w:eastAsia="ar-SA"/>
        </w:rPr>
        <w:tab/>
      </w:r>
    </w:p>
    <w:p w:rsidR="003B5B5D" w:rsidRPr="003B5B5D" w:rsidRDefault="003B5B5D" w:rsidP="003B5B5D">
      <w:pPr>
        <w:suppressAutoHyphens/>
        <w:spacing w:after="0" w:line="100" w:lineRule="atLeast"/>
        <w:jc w:val="both"/>
        <w:rPr>
          <w:rFonts w:ascii="Times New Roman" w:eastAsia="Courier 10cpi" w:hAnsi="Times New Roman" w:cs="Courier 10cpi"/>
          <w:color w:val="010101"/>
          <w:sz w:val="24"/>
          <w:szCs w:val="24"/>
          <w:lang w:eastAsia="ar-SA"/>
        </w:rPr>
      </w:pPr>
    </w:p>
    <w:p w:rsidR="00BD2829" w:rsidRDefault="002F1A96" w:rsidP="003B5B5D">
      <w:pPr>
        <w:suppressAutoHyphens/>
        <w:spacing w:after="0" w:line="100" w:lineRule="atLeast"/>
        <w:ind w:left="1410" w:hanging="1410"/>
        <w:jc w:val="both"/>
        <w:rPr>
          <w:rFonts w:ascii="Times New Roman" w:eastAsia="Courier 10cpi" w:hAnsi="Times New Roman" w:cs="Courier 10cpi"/>
          <w:color w:val="010101"/>
          <w:sz w:val="24"/>
          <w:szCs w:val="24"/>
          <w:lang w:eastAsia="ar-SA"/>
        </w:rPr>
      </w:pPr>
      <w:r>
        <w:rPr>
          <w:rFonts w:ascii="Times New Roman" w:eastAsia="Courier 10cpi" w:hAnsi="Times New Roman" w:cs="Courier 10cpi"/>
          <w:color w:val="010101"/>
          <w:sz w:val="24"/>
          <w:szCs w:val="24"/>
          <w:lang w:eastAsia="ar-SA"/>
        </w:rPr>
        <w:t>37</w:t>
      </w:r>
      <w:r w:rsidR="003B5B5D" w:rsidRPr="003B5B5D">
        <w:rPr>
          <w:rFonts w:ascii="Times New Roman" w:eastAsia="Courier 10cpi" w:hAnsi="Times New Roman" w:cs="Courier 10cpi"/>
          <w:color w:val="010101"/>
          <w:sz w:val="24"/>
          <w:szCs w:val="24"/>
          <w:lang w:eastAsia="ar-SA"/>
        </w:rPr>
        <w:tab/>
      </w:r>
      <w:r w:rsidR="00D85DB7">
        <w:rPr>
          <w:rFonts w:ascii="Times New Roman" w:eastAsia="Courier 10cpi" w:hAnsi="Times New Roman" w:cs="Courier 10cpi"/>
          <w:color w:val="010101"/>
          <w:sz w:val="24"/>
          <w:szCs w:val="24"/>
          <w:lang w:eastAsia="ar-SA"/>
        </w:rPr>
        <w:t>Le Prix Richard Turton</w:t>
      </w:r>
      <w:r w:rsidR="00FC3B6C">
        <w:rPr>
          <w:rFonts w:ascii="Times New Roman" w:eastAsia="Courier 10cpi" w:hAnsi="Times New Roman" w:cs="Courier 10cpi"/>
          <w:color w:val="010101"/>
          <w:sz w:val="24"/>
          <w:szCs w:val="24"/>
          <w:lang w:eastAsia="ar-SA"/>
        </w:rPr>
        <w:t xml:space="preserve"> 2018</w:t>
      </w:r>
    </w:p>
    <w:p w:rsidR="003B5B5D" w:rsidRPr="003B5B5D" w:rsidRDefault="003B5B5D" w:rsidP="003B5B5D">
      <w:pPr>
        <w:suppressAutoHyphens/>
        <w:spacing w:after="0" w:line="100" w:lineRule="atLeast"/>
        <w:ind w:left="1410" w:hanging="1410"/>
        <w:jc w:val="both"/>
        <w:rPr>
          <w:rFonts w:ascii="Times New Roman" w:eastAsia="Courier 10cpi" w:hAnsi="Times New Roman" w:cs="Courier 10cpi"/>
          <w:color w:val="010101"/>
          <w:sz w:val="24"/>
          <w:szCs w:val="24"/>
          <w:lang w:eastAsia="ar-SA"/>
        </w:rPr>
      </w:pPr>
      <w:r w:rsidRPr="003B5B5D">
        <w:rPr>
          <w:rFonts w:ascii="Times New Roman" w:eastAsia="Courier 10cpi" w:hAnsi="Times New Roman" w:cs="Courier 10cpi"/>
          <w:color w:val="010101"/>
          <w:sz w:val="24"/>
          <w:szCs w:val="24"/>
          <w:lang w:eastAsia="ar-SA"/>
        </w:rPr>
        <w:tab/>
      </w:r>
      <w:r w:rsidRPr="003B5B5D">
        <w:rPr>
          <w:rFonts w:ascii="Times New Roman" w:eastAsia="Courier 10cpi" w:hAnsi="Times New Roman" w:cs="Courier 10cpi"/>
          <w:color w:val="010101"/>
          <w:sz w:val="24"/>
          <w:szCs w:val="24"/>
          <w:lang w:eastAsia="ar-SA"/>
        </w:rPr>
        <w:tab/>
      </w:r>
      <w:r w:rsidRPr="003B5B5D">
        <w:rPr>
          <w:rFonts w:ascii="Times New Roman" w:eastAsia="Courier 10cpi" w:hAnsi="Times New Roman" w:cs="Courier 10cpi"/>
          <w:color w:val="010101"/>
          <w:sz w:val="24"/>
          <w:szCs w:val="24"/>
          <w:lang w:eastAsia="ar-SA"/>
        </w:rPr>
        <w:tab/>
      </w:r>
      <w:r w:rsidRPr="003B5B5D">
        <w:rPr>
          <w:rFonts w:ascii="Times New Roman" w:eastAsia="Courier 10cpi" w:hAnsi="Times New Roman" w:cs="Courier 10cpi"/>
          <w:color w:val="010101"/>
          <w:sz w:val="24"/>
          <w:szCs w:val="24"/>
          <w:lang w:eastAsia="ar-SA"/>
        </w:rPr>
        <w:tab/>
      </w:r>
    </w:p>
    <w:p w:rsidR="003B5B5D" w:rsidRPr="003B5B5D" w:rsidRDefault="002F1A96" w:rsidP="003B5B5D">
      <w:pPr>
        <w:suppressAutoHyphens/>
        <w:spacing w:after="0" w:line="100" w:lineRule="atLeast"/>
        <w:ind w:left="1410" w:hanging="1410"/>
        <w:jc w:val="both"/>
        <w:rPr>
          <w:rFonts w:ascii="Times New Roman" w:eastAsia="Courier 10cpi" w:hAnsi="Times New Roman" w:cs="Courier 10cpi"/>
          <w:color w:val="010101"/>
          <w:sz w:val="24"/>
          <w:szCs w:val="24"/>
          <w:lang w:eastAsia="ar-SA"/>
        </w:rPr>
      </w:pPr>
      <w:r>
        <w:rPr>
          <w:rFonts w:ascii="Times New Roman" w:eastAsia="Courier 10cpi" w:hAnsi="Times New Roman" w:cs="Courier 10cpi"/>
          <w:color w:val="010101"/>
          <w:sz w:val="24"/>
          <w:szCs w:val="24"/>
          <w:lang w:eastAsia="ar-SA"/>
        </w:rPr>
        <w:t>38</w:t>
      </w:r>
      <w:r w:rsidR="003B5B5D" w:rsidRPr="003B5B5D">
        <w:rPr>
          <w:rFonts w:ascii="Times New Roman" w:eastAsia="Courier 10cpi" w:hAnsi="Times New Roman" w:cs="Courier 10cpi"/>
          <w:color w:val="010101"/>
          <w:sz w:val="24"/>
          <w:szCs w:val="24"/>
          <w:lang w:eastAsia="ar-SA"/>
        </w:rPr>
        <w:tab/>
      </w:r>
      <w:r w:rsidR="003B5B5D" w:rsidRPr="003B5B5D">
        <w:rPr>
          <w:rFonts w:ascii="Times New Roman" w:eastAsia="Courier 10cpi" w:hAnsi="Times New Roman" w:cs="Courier 10cpi"/>
          <w:color w:val="010101"/>
          <w:sz w:val="24"/>
          <w:szCs w:val="24"/>
          <w:lang w:eastAsia="ar-SA"/>
        </w:rPr>
        <w:tab/>
      </w:r>
      <w:r w:rsidR="00D85DB7">
        <w:rPr>
          <w:rFonts w:ascii="Times New Roman" w:eastAsia="Courier 10cpi" w:hAnsi="Times New Roman" w:cs="Courier 10cpi"/>
          <w:color w:val="010101"/>
          <w:sz w:val="24"/>
          <w:szCs w:val="24"/>
          <w:lang w:eastAsia="ar-SA"/>
        </w:rPr>
        <w:t>Espagne : Réformes de la succession d’employeurs</w:t>
      </w:r>
    </w:p>
    <w:p w:rsidR="003B5B5D" w:rsidRPr="003B5B5D" w:rsidRDefault="003B5B5D" w:rsidP="003B5B5D">
      <w:pPr>
        <w:suppressAutoHyphens/>
        <w:spacing w:after="0" w:line="100" w:lineRule="atLeast"/>
        <w:jc w:val="both"/>
        <w:rPr>
          <w:rFonts w:ascii="Times New Roman" w:eastAsia="Courier 10cpi" w:hAnsi="Times New Roman" w:cs="Courier 10cpi"/>
          <w:color w:val="010101"/>
          <w:sz w:val="24"/>
          <w:szCs w:val="24"/>
          <w:lang w:eastAsia="ar-SA"/>
        </w:rPr>
      </w:pPr>
      <w:r w:rsidRPr="003B5B5D">
        <w:rPr>
          <w:rFonts w:ascii="Times New Roman" w:eastAsia="Courier 10cpi" w:hAnsi="Times New Roman" w:cs="Courier 10cpi"/>
          <w:color w:val="010101"/>
          <w:sz w:val="24"/>
          <w:szCs w:val="24"/>
          <w:lang w:eastAsia="ar-SA"/>
        </w:rPr>
        <w:tab/>
      </w:r>
      <w:r w:rsidRPr="003B5B5D">
        <w:rPr>
          <w:rFonts w:ascii="Times New Roman" w:eastAsia="Courier 10cpi" w:hAnsi="Times New Roman" w:cs="Courier 10cpi"/>
          <w:color w:val="010101"/>
          <w:sz w:val="24"/>
          <w:szCs w:val="24"/>
          <w:lang w:eastAsia="ar-SA"/>
        </w:rPr>
        <w:tab/>
      </w:r>
    </w:p>
    <w:p w:rsidR="003B5B5D" w:rsidRPr="003B5B5D" w:rsidRDefault="001D0A9C" w:rsidP="003B5B5D">
      <w:pPr>
        <w:suppressAutoHyphens/>
        <w:spacing w:after="0" w:line="100" w:lineRule="atLeast"/>
        <w:ind w:left="1410" w:hanging="1410"/>
        <w:rPr>
          <w:rFonts w:ascii="Times New Roman" w:eastAsia="Courier 10cpi" w:hAnsi="Times New Roman" w:cs="Courier 10cpi"/>
          <w:color w:val="010101"/>
          <w:sz w:val="24"/>
          <w:szCs w:val="24"/>
          <w:lang w:eastAsia="ar-SA"/>
        </w:rPr>
      </w:pPr>
      <w:r>
        <w:rPr>
          <w:rFonts w:ascii="Times New Roman" w:eastAsia="Courier 10cpi" w:hAnsi="Times New Roman" w:cs="Courier 10cpi"/>
          <w:color w:val="010101"/>
          <w:sz w:val="24"/>
          <w:szCs w:val="24"/>
          <w:lang w:eastAsia="ar-SA"/>
        </w:rPr>
        <w:t>41</w:t>
      </w:r>
      <w:r w:rsidR="003B5B5D" w:rsidRPr="003B5B5D">
        <w:rPr>
          <w:rFonts w:ascii="Times New Roman" w:eastAsia="Courier 10cpi" w:hAnsi="Times New Roman" w:cs="Courier 10cpi"/>
          <w:color w:val="010101"/>
          <w:sz w:val="24"/>
          <w:szCs w:val="24"/>
          <w:lang w:eastAsia="ar-SA"/>
        </w:rPr>
        <w:tab/>
      </w:r>
      <w:r w:rsidR="00D85DB7">
        <w:rPr>
          <w:rFonts w:ascii="Times New Roman" w:eastAsia="Courier 10cpi" w:hAnsi="Times New Roman" w:cs="Courier 10cpi"/>
          <w:color w:val="010101"/>
          <w:sz w:val="24"/>
          <w:szCs w:val="24"/>
          <w:lang w:eastAsia="ar-SA"/>
        </w:rPr>
        <w:t>Finlande</w:t>
      </w:r>
      <w:r w:rsidR="003E307D">
        <w:rPr>
          <w:rFonts w:ascii="Times New Roman" w:eastAsia="Courier 10cpi" w:hAnsi="Times New Roman" w:cs="Courier 10cpi"/>
          <w:color w:val="010101"/>
          <w:sz w:val="24"/>
          <w:szCs w:val="24"/>
          <w:lang w:eastAsia="ar-SA"/>
        </w:rPr>
        <w:t> : Peaufinage d’un régime de l’insolvabilité déjà stable</w:t>
      </w:r>
      <w:r w:rsidR="003B5B5D" w:rsidRPr="003B5B5D">
        <w:rPr>
          <w:rFonts w:ascii="Times New Roman" w:eastAsia="Courier 10cpi" w:hAnsi="Times New Roman" w:cs="Courier 10cpi"/>
          <w:color w:val="010101"/>
          <w:sz w:val="24"/>
          <w:szCs w:val="24"/>
          <w:lang w:eastAsia="ar-SA"/>
        </w:rPr>
        <w:tab/>
      </w:r>
      <w:r w:rsidR="003B5B5D" w:rsidRPr="003B5B5D">
        <w:rPr>
          <w:rFonts w:ascii="Times New Roman" w:eastAsia="Courier 10cpi" w:hAnsi="Times New Roman" w:cs="Courier 10cpi"/>
          <w:color w:val="010101"/>
          <w:sz w:val="24"/>
          <w:szCs w:val="24"/>
          <w:lang w:eastAsia="ar-SA"/>
        </w:rPr>
        <w:tab/>
      </w:r>
    </w:p>
    <w:p w:rsidR="003B5B5D" w:rsidRPr="003B5B5D" w:rsidRDefault="003B5B5D" w:rsidP="003B5B5D">
      <w:pPr>
        <w:suppressAutoHyphens/>
        <w:spacing w:after="0" w:line="100" w:lineRule="atLeast"/>
        <w:ind w:left="1410" w:hanging="1410"/>
        <w:jc w:val="both"/>
        <w:rPr>
          <w:rFonts w:ascii="Times New Roman" w:eastAsia="Courier 10cpi" w:hAnsi="Times New Roman" w:cs="Courier 10cpi"/>
          <w:color w:val="010101"/>
          <w:sz w:val="24"/>
          <w:szCs w:val="24"/>
          <w:lang w:eastAsia="ar-SA"/>
        </w:rPr>
      </w:pPr>
    </w:p>
    <w:p w:rsidR="003B5B5D" w:rsidRPr="003B5B5D" w:rsidRDefault="001D0A9C" w:rsidP="003B5B5D">
      <w:pPr>
        <w:suppressAutoHyphens/>
        <w:spacing w:after="0" w:line="100" w:lineRule="atLeast"/>
        <w:ind w:left="1410" w:hanging="1410"/>
        <w:jc w:val="both"/>
        <w:rPr>
          <w:rFonts w:ascii="Times New Roman" w:eastAsia="Courier 10cpi" w:hAnsi="Times New Roman" w:cs="Courier 10cpi"/>
          <w:color w:val="010101"/>
          <w:sz w:val="24"/>
          <w:szCs w:val="24"/>
          <w:lang w:eastAsia="ar-SA"/>
        </w:rPr>
      </w:pPr>
      <w:r>
        <w:rPr>
          <w:rFonts w:ascii="Times New Roman" w:eastAsia="Courier 10cpi" w:hAnsi="Times New Roman" w:cs="Courier 10cpi"/>
          <w:color w:val="010101"/>
          <w:sz w:val="24"/>
          <w:szCs w:val="24"/>
          <w:lang w:eastAsia="ar-SA"/>
        </w:rPr>
        <w:t>44</w:t>
      </w:r>
      <w:r w:rsidR="003E307D">
        <w:rPr>
          <w:rFonts w:ascii="Times New Roman" w:eastAsia="Courier 10cpi" w:hAnsi="Times New Roman" w:cs="Courier 10cpi"/>
          <w:color w:val="010101"/>
          <w:sz w:val="24"/>
          <w:szCs w:val="24"/>
          <w:lang w:eastAsia="ar-SA"/>
        </w:rPr>
        <w:tab/>
        <w:t>Belgique </w:t>
      </w:r>
      <w:r w:rsidR="00FC3B6C">
        <w:rPr>
          <w:rFonts w:ascii="Times New Roman" w:eastAsia="Courier 10cpi" w:hAnsi="Times New Roman" w:cs="Courier 10cpi"/>
          <w:color w:val="010101"/>
          <w:sz w:val="24"/>
          <w:szCs w:val="24"/>
          <w:lang w:eastAsia="ar-SA"/>
        </w:rPr>
        <w:t>: Nouveau code b</w:t>
      </w:r>
      <w:r w:rsidR="003E307D">
        <w:rPr>
          <w:rFonts w:ascii="Times New Roman" w:eastAsia="Courier 10cpi" w:hAnsi="Times New Roman" w:cs="Courier 10cpi"/>
          <w:color w:val="010101"/>
          <w:sz w:val="24"/>
          <w:szCs w:val="24"/>
          <w:lang w:eastAsia="ar-SA"/>
        </w:rPr>
        <w:t>elge de l’insolvabilité</w:t>
      </w:r>
      <w:r w:rsidR="003B5B5D" w:rsidRPr="003B5B5D">
        <w:rPr>
          <w:rFonts w:ascii="Times New Roman" w:eastAsia="Courier 10cpi" w:hAnsi="Times New Roman" w:cs="Courier 10cpi"/>
          <w:color w:val="010101"/>
          <w:sz w:val="24"/>
          <w:szCs w:val="24"/>
          <w:lang w:eastAsia="ar-SA"/>
        </w:rPr>
        <w:tab/>
      </w:r>
      <w:r w:rsidR="003B5B5D" w:rsidRPr="003B5B5D">
        <w:rPr>
          <w:rFonts w:ascii="Times New Roman" w:eastAsia="Courier 10cpi" w:hAnsi="Times New Roman" w:cs="Courier 10cpi"/>
          <w:color w:val="010101"/>
          <w:sz w:val="24"/>
          <w:szCs w:val="24"/>
          <w:lang w:eastAsia="ar-SA"/>
        </w:rPr>
        <w:tab/>
      </w:r>
    </w:p>
    <w:p w:rsidR="003B5B5D" w:rsidRPr="003B5B5D" w:rsidRDefault="003B5B5D" w:rsidP="003B5B5D">
      <w:pPr>
        <w:suppressAutoHyphens/>
        <w:spacing w:after="0" w:line="100" w:lineRule="atLeast"/>
        <w:ind w:left="1410" w:hanging="1410"/>
        <w:jc w:val="both"/>
        <w:rPr>
          <w:rFonts w:ascii="Times New Roman" w:eastAsia="Courier 10cpi" w:hAnsi="Times New Roman" w:cs="Courier 10cpi"/>
          <w:color w:val="010101"/>
          <w:sz w:val="24"/>
          <w:szCs w:val="24"/>
          <w:lang w:eastAsia="ar-SA"/>
        </w:rPr>
      </w:pPr>
      <w:r w:rsidRPr="003B5B5D">
        <w:rPr>
          <w:rFonts w:ascii="Times New Roman" w:eastAsia="Courier 10cpi" w:hAnsi="Times New Roman" w:cs="Courier 10cpi"/>
          <w:color w:val="010101"/>
          <w:sz w:val="24"/>
          <w:szCs w:val="24"/>
          <w:lang w:eastAsia="ar-SA"/>
        </w:rPr>
        <w:tab/>
      </w:r>
      <w:r w:rsidRPr="003B5B5D">
        <w:rPr>
          <w:rFonts w:ascii="Times New Roman" w:eastAsia="Courier 10cpi" w:hAnsi="Times New Roman" w:cs="Courier 10cpi"/>
          <w:color w:val="010101"/>
          <w:sz w:val="24"/>
          <w:szCs w:val="24"/>
          <w:lang w:eastAsia="ar-SA"/>
        </w:rPr>
        <w:tab/>
      </w:r>
      <w:r w:rsidRPr="003B5B5D">
        <w:rPr>
          <w:rFonts w:ascii="Times New Roman" w:eastAsia="Courier 10cpi" w:hAnsi="Times New Roman" w:cs="Courier 10cpi"/>
          <w:color w:val="010101"/>
          <w:sz w:val="24"/>
          <w:szCs w:val="24"/>
          <w:lang w:eastAsia="ar-SA"/>
        </w:rPr>
        <w:tab/>
      </w:r>
      <w:r w:rsidRPr="003B5B5D">
        <w:rPr>
          <w:rFonts w:ascii="Times New Roman" w:eastAsia="Courier 10cpi" w:hAnsi="Times New Roman" w:cs="Courier 10cpi"/>
          <w:color w:val="010101"/>
          <w:sz w:val="24"/>
          <w:szCs w:val="24"/>
          <w:lang w:eastAsia="ar-SA"/>
        </w:rPr>
        <w:tab/>
      </w:r>
      <w:r w:rsidRPr="003B5B5D">
        <w:rPr>
          <w:rFonts w:ascii="Times New Roman" w:eastAsia="Courier 10cpi" w:hAnsi="Times New Roman" w:cs="Courier 10cpi"/>
          <w:color w:val="010101"/>
          <w:sz w:val="24"/>
          <w:szCs w:val="24"/>
          <w:lang w:eastAsia="ar-SA"/>
        </w:rPr>
        <w:tab/>
      </w:r>
      <w:r w:rsidRPr="003B5B5D">
        <w:rPr>
          <w:rFonts w:ascii="Times New Roman" w:eastAsia="Courier 10cpi" w:hAnsi="Times New Roman" w:cs="Courier 10cpi"/>
          <w:color w:val="010101"/>
          <w:sz w:val="24"/>
          <w:szCs w:val="24"/>
          <w:lang w:eastAsia="ar-SA"/>
        </w:rPr>
        <w:tab/>
      </w:r>
      <w:r w:rsidRPr="003B5B5D">
        <w:rPr>
          <w:rFonts w:ascii="Times New Roman" w:eastAsia="Courier 10cpi" w:hAnsi="Times New Roman" w:cs="Courier 10cpi"/>
          <w:color w:val="010101"/>
          <w:sz w:val="24"/>
          <w:szCs w:val="24"/>
          <w:lang w:eastAsia="ar-SA"/>
        </w:rPr>
        <w:tab/>
      </w:r>
      <w:r w:rsidRPr="003B5B5D">
        <w:rPr>
          <w:rFonts w:ascii="Times New Roman" w:eastAsia="Courier 10cpi" w:hAnsi="Times New Roman" w:cs="Courier 10cpi"/>
          <w:color w:val="010101"/>
          <w:sz w:val="24"/>
          <w:szCs w:val="24"/>
          <w:lang w:eastAsia="ar-SA"/>
        </w:rPr>
        <w:tab/>
      </w:r>
    </w:p>
    <w:p w:rsidR="003B5B5D" w:rsidRPr="003B5B5D" w:rsidRDefault="003B5B5D" w:rsidP="003B5B5D">
      <w:pPr>
        <w:suppressAutoHyphens/>
        <w:spacing w:after="0" w:line="100" w:lineRule="atLeast"/>
        <w:ind w:left="1410" w:hanging="1410"/>
        <w:jc w:val="both"/>
        <w:rPr>
          <w:rFonts w:ascii="Times New Roman" w:eastAsia="Courier 10cpi" w:hAnsi="Times New Roman" w:cs="Courier 10cpi"/>
          <w:color w:val="010101"/>
          <w:sz w:val="24"/>
          <w:szCs w:val="24"/>
          <w:lang w:eastAsia="ar-SA"/>
        </w:rPr>
      </w:pPr>
      <w:r w:rsidRPr="003B5B5D">
        <w:rPr>
          <w:rFonts w:ascii="Times New Roman" w:eastAsia="Courier 10cpi" w:hAnsi="Times New Roman" w:cs="Courier 10cpi"/>
          <w:color w:val="010101"/>
          <w:sz w:val="24"/>
          <w:szCs w:val="24"/>
          <w:lang w:eastAsia="ar-SA"/>
        </w:rPr>
        <w:t>4</w:t>
      </w:r>
      <w:r w:rsidR="001D0A9C">
        <w:rPr>
          <w:rFonts w:ascii="Times New Roman" w:eastAsia="Courier 10cpi" w:hAnsi="Times New Roman" w:cs="Courier 10cpi"/>
          <w:color w:val="010101"/>
          <w:sz w:val="24"/>
          <w:szCs w:val="24"/>
          <w:lang w:eastAsia="ar-SA"/>
        </w:rPr>
        <w:t>7</w:t>
      </w:r>
      <w:r w:rsidRPr="003B5B5D">
        <w:rPr>
          <w:rFonts w:ascii="Times New Roman" w:eastAsia="Courier 10cpi" w:hAnsi="Times New Roman" w:cs="Courier 10cpi"/>
          <w:color w:val="010101"/>
          <w:sz w:val="24"/>
          <w:szCs w:val="24"/>
          <w:lang w:eastAsia="ar-SA"/>
        </w:rPr>
        <w:tab/>
      </w:r>
      <w:r w:rsidR="003E307D">
        <w:rPr>
          <w:rFonts w:ascii="Times New Roman" w:eastAsia="Courier 10cpi" w:hAnsi="Times New Roman" w:cs="Courier 10cpi"/>
          <w:color w:val="010101"/>
          <w:sz w:val="24"/>
          <w:szCs w:val="24"/>
          <w:lang w:eastAsia="ar-SA"/>
        </w:rPr>
        <w:t>Etats-Unis : Gestion du risque du crédit dans la chaîne d’approvisionnement</w:t>
      </w:r>
    </w:p>
    <w:p w:rsidR="003B5B5D" w:rsidRPr="003B5B5D" w:rsidRDefault="003B5B5D" w:rsidP="003B5B5D">
      <w:pPr>
        <w:suppressAutoHyphens/>
        <w:spacing w:after="0" w:line="100" w:lineRule="atLeast"/>
        <w:ind w:left="1410" w:hanging="1410"/>
        <w:jc w:val="both"/>
        <w:rPr>
          <w:rFonts w:ascii="Times New Roman" w:eastAsia="Courier 10cpi" w:hAnsi="Times New Roman" w:cs="Courier 10cpi"/>
          <w:color w:val="010101"/>
          <w:sz w:val="24"/>
          <w:szCs w:val="24"/>
          <w:lang w:eastAsia="ar-SA"/>
        </w:rPr>
      </w:pPr>
      <w:r w:rsidRPr="003B5B5D">
        <w:rPr>
          <w:rFonts w:ascii="Times New Roman" w:eastAsia="Courier 10cpi" w:hAnsi="Times New Roman" w:cs="Courier 10cpi"/>
          <w:color w:val="010101"/>
          <w:sz w:val="24"/>
          <w:szCs w:val="24"/>
          <w:lang w:eastAsia="ar-SA"/>
        </w:rPr>
        <w:t xml:space="preserve"> </w:t>
      </w:r>
      <w:r w:rsidRPr="003B5B5D">
        <w:rPr>
          <w:rFonts w:ascii="Times New Roman" w:eastAsia="Courier 10cpi" w:hAnsi="Times New Roman" w:cs="Courier 10cpi"/>
          <w:color w:val="010101"/>
          <w:sz w:val="24"/>
          <w:szCs w:val="24"/>
          <w:lang w:eastAsia="ar-SA"/>
        </w:rPr>
        <w:tab/>
      </w:r>
      <w:r w:rsidRPr="003B5B5D">
        <w:rPr>
          <w:rFonts w:ascii="Times New Roman" w:eastAsia="Courier 10cpi" w:hAnsi="Times New Roman" w:cs="Courier 10cpi"/>
          <w:color w:val="010101"/>
          <w:sz w:val="24"/>
          <w:szCs w:val="24"/>
          <w:lang w:eastAsia="ar-SA"/>
        </w:rPr>
        <w:tab/>
      </w:r>
    </w:p>
    <w:p w:rsidR="003B5B5D" w:rsidRDefault="00F52D53" w:rsidP="003B5B5D">
      <w:pPr>
        <w:suppressAutoHyphens/>
        <w:spacing w:after="0" w:line="100" w:lineRule="atLeast"/>
        <w:ind w:left="1410" w:hanging="1410"/>
        <w:jc w:val="both"/>
        <w:rPr>
          <w:rFonts w:ascii="Times New Roman" w:eastAsia="Courier 10cpi" w:hAnsi="Times New Roman" w:cs="Courier 10cpi"/>
          <w:color w:val="010101"/>
          <w:sz w:val="24"/>
          <w:szCs w:val="24"/>
          <w:lang w:eastAsia="ar-SA"/>
        </w:rPr>
      </w:pPr>
      <w:r>
        <w:rPr>
          <w:rFonts w:ascii="Times New Roman" w:eastAsia="Courier 10cpi" w:hAnsi="Times New Roman" w:cs="Courier 10cpi"/>
          <w:color w:val="010101"/>
          <w:sz w:val="24"/>
          <w:szCs w:val="24"/>
          <w:lang w:eastAsia="ar-SA"/>
        </w:rPr>
        <w:t>51</w:t>
      </w:r>
      <w:r w:rsidR="003B5B5D" w:rsidRPr="003B5B5D">
        <w:rPr>
          <w:rFonts w:ascii="Times New Roman" w:eastAsia="Courier 10cpi" w:hAnsi="Times New Roman" w:cs="Courier 10cpi"/>
          <w:color w:val="010101"/>
          <w:sz w:val="24"/>
          <w:szCs w:val="24"/>
          <w:lang w:eastAsia="ar-SA"/>
        </w:rPr>
        <w:tab/>
      </w:r>
      <w:r w:rsidR="003B5B5D" w:rsidRPr="003B5B5D">
        <w:rPr>
          <w:rFonts w:ascii="Times New Roman" w:eastAsia="Courier 10cpi" w:hAnsi="Times New Roman" w:cs="Courier 10cpi"/>
          <w:color w:val="010101"/>
          <w:sz w:val="24"/>
          <w:szCs w:val="24"/>
          <w:lang w:eastAsia="ar-SA"/>
        </w:rPr>
        <w:tab/>
        <w:t xml:space="preserve">Actualités par pays : </w:t>
      </w:r>
      <w:r w:rsidR="0023188F">
        <w:rPr>
          <w:rFonts w:ascii="Times New Roman" w:eastAsia="Courier 10cpi" w:hAnsi="Times New Roman" w:cs="Courier 10cpi"/>
          <w:color w:val="010101"/>
          <w:sz w:val="24"/>
          <w:szCs w:val="24"/>
          <w:lang w:eastAsia="ar-SA"/>
        </w:rPr>
        <w:t>France, Turquie, Italie, Letonnie</w:t>
      </w:r>
    </w:p>
    <w:p w:rsidR="001D0A9C" w:rsidRDefault="001D0A9C" w:rsidP="003B5B5D">
      <w:pPr>
        <w:suppressAutoHyphens/>
        <w:spacing w:after="0" w:line="100" w:lineRule="atLeast"/>
        <w:ind w:left="1410" w:hanging="1410"/>
        <w:jc w:val="both"/>
        <w:rPr>
          <w:rFonts w:ascii="Times New Roman" w:eastAsia="Courier 10cpi" w:hAnsi="Times New Roman" w:cs="Courier 10cpi"/>
          <w:color w:val="010101"/>
          <w:sz w:val="24"/>
          <w:szCs w:val="24"/>
          <w:lang w:eastAsia="ar-SA"/>
        </w:rPr>
      </w:pPr>
    </w:p>
    <w:p w:rsidR="001D0A9C" w:rsidRPr="003B5B5D" w:rsidRDefault="001D0A9C" w:rsidP="003B5B5D">
      <w:pPr>
        <w:suppressAutoHyphens/>
        <w:spacing w:after="0" w:line="100" w:lineRule="atLeast"/>
        <w:ind w:left="1410" w:hanging="1410"/>
        <w:jc w:val="both"/>
        <w:rPr>
          <w:rFonts w:ascii="Times New Roman" w:eastAsia="Courier 10cpi" w:hAnsi="Times New Roman" w:cs="Courier 10cpi"/>
          <w:color w:val="010101"/>
          <w:sz w:val="24"/>
          <w:szCs w:val="24"/>
          <w:lang w:eastAsia="ar-SA"/>
        </w:rPr>
      </w:pPr>
      <w:r>
        <w:rPr>
          <w:rFonts w:ascii="Times New Roman" w:eastAsia="Courier 10cpi" w:hAnsi="Times New Roman" w:cs="Courier 10cpi"/>
          <w:color w:val="010101"/>
          <w:sz w:val="24"/>
          <w:szCs w:val="24"/>
          <w:lang w:eastAsia="ar-SA"/>
        </w:rPr>
        <w:t>57</w:t>
      </w:r>
      <w:r>
        <w:rPr>
          <w:rFonts w:ascii="Times New Roman" w:eastAsia="Courier 10cpi" w:hAnsi="Times New Roman" w:cs="Courier 10cpi"/>
          <w:color w:val="010101"/>
          <w:sz w:val="24"/>
          <w:szCs w:val="24"/>
          <w:lang w:eastAsia="ar-SA"/>
        </w:rPr>
        <w:tab/>
      </w:r>
      <w:r>
        <w:rPr>
          <w:rFonts w:ascii="Times New Roman" w:eastAsia="Courier 10cpi" w:hAnsi="Times New Roman" w:cs="Courier 10cpi"/>
          <w:color w:val="010101"/>
          <w:sz w:val="24"/>
          <w:szCs w:val="24"/>
          <w:lang w:eastAsia="ar-SA"/>
        </w:rPr>
        <w:tab/>
        <w:t>Registre d’affaires fondées sur REI</w:t>
      </w:r>
    </w:p>
    <w:p w:rsidR="003B5B5D" w:rsidRPr="003B5B5D" w:rsidRDefault="003B5B5D" w:rsidP="003B5B5D">
      <w:pPr>
        <w:suppressAutoHyphens/>
        <w:spacing w:after="0" w:line="100" w:lineRule="atLeast"/>
        <w:ind w:left="1410" w:hanging="1410"/>
        <w:jc w:val="both"/>
        <w:rPr>
          <w:rFonts w:ascii="Times New Roman" w:eastAsia="Courier 10cpi" w:hAnsi="Times New Roman" w:cs="Courier 10cpi"/>
          <w:color w:val="010101"/>
          <w:sz w:val="24"/>
          <w:szCs w:val="24"/>
          <w:lang w:eastAsia="ar-SA"/>
        </w:rPr>
      </w:pPr>
    </w:p>
    <w:p w:rsidR="003B5B5D" w:rsidRPr="003B5B5D" w:rsidRDefault="00F52D53" w:rsidP="003B5B5D">
      <w:pPr>
        <w:suppressAutoHyphens/>
        <w:spacing w:after="0" w:line="100" w:lineRule="atLeast"/>
        <w:ind w:left="1410" w:hanging="1410"/>
        <w:jc w:val="both"/>
        <w:rPr>
          <w:rFonts w:ascii="Times New Roman" w:eastAsia="Courier 10cpi" w:hAnsi="Times New Roman" w:cs="Courier 10cpi"/>
          <w:color w:val="010101"/>
          <w:sz w:val="24"/>
          <w:szCs w:val="24"/>
          <w:lang w:eastAsia="ar-SA"/>
        </w:rPr>
      </w:pPr>
      <w:r>
        <w:rPr>
          <w:rFonts w:ascii="Times New Roman" w:eastAsia="Courier 10cpi" w:hAnsi="Times New Roman" w:cs="Courier 10cpi"/>
          <w:color w:val="010101"/>
          <w:sz w:val="24"/>
          <w:szCs w:val="24"/>
          <w:lang w:eastAsia="ar-SA"/>
        </w:rPr>
        <w:t>61</w:t>
      </w:r>
      <w:r w:rsidR="003B5B5D" w:rsidRPr="003B5B5D">
        <w:rPr>
          <w:rFonts w:ascii="Times New Roman" w:eastAsia="Courier 10cpi" w:hAnsi="Times New Roman" w:cs="Courier 10cpi"/>
          <w:color w:val="010101"/>
          <w:sz w:val="24"/>
          <w:szCs w:val="24"/>
          <w:lang w:eastAsia="ar-SA"/>
        </w:rPr>
        <w:tab/>
      </w:r>
      <w:r w:rsidR="003B5B5D" w:rsidRPr="003B5B5D">
        <w:rPr>
          <w:rFonts w:ascii="Times New Roman" w:eastAsia="Courier 10cpi" w:hAnsi="Times New Roman" w:cs="Courier 10cpi"/>
          <w:color w:val="010101"/>
          <w:sz w:val="24"/>
          <w:szCs w:val="24"/>
          <w:lang w:eastAsia="ar-SA"/>
        </w:rPr>
        <w:tab/>
        <w:t xml:space="preserve">Compte-rendu technique : </w:t>
      </w:r>
      <w:r w:rsidR="0023188F">
        <w:rPr>
          <w:rFonts w:ascii="Times New Roman" w:eastAsia="Courier 10cpi" w:hAnsi="Times New Roman" w:cs="Courier 10cpi"/>
          <w:color w:val="010101"/>
          <w:sz w:val="24"/>
          <w:szCs w:val="24"/>
          <w:lang w:eastAsia="ar-SA"/>
        </w:rPr>
        <w:t>Nouvelles affaires appliquant la refonte du REI</w:t>
      </w:r>
    </w:p>
    <w:p w:rsidR="003B5B5D" w:rsidRPr="003B5B5D" w:rsidRDefault="003B5B5D" w:rsidP="003B5B5D">
      <w:pPr>
        <w:suppressAutoHyphens/>
        <w:spacing w:after="0" w:line="100" w:lineRule="atLeast"/>
        <w:ind w:left="1410"/>
        <w:jc w:val="both"/>
        <w:rPr>
          <w:rFonts w:ascii="Times New Roman" w:eastAsia="Courier 10cpi" w:hAnsi="Times New Roman" w:cs="Courier 10cpi"/>
          <w:color w:val="010101"/>
          <w:sz w:val="24"/>
          <w:szCs w:val="24"/>
          <w:lang w:eastAsia="ar-SA"/>
        </w:rPr>
      </w:pPr>
      <w:r w:rsidRPr="003B5B5D">
        <w:rPr>
          <w:rFonts w:ascii="Times New Roman" w:eastAsia="Courier 10cpi" w:hAnsi="Times New Roman" w:cs="Courier 10cpi"/>
          <w:color w:val="010101"/>
          <w:sz w:val="24"/>
          <w:szCs w:val="24"/>
          <w:lang w:eastAsia="ar-SA"/>
        </w:rPr>
        <w:t>par Myriam Mailly</w:t>
      </w:r>
      <w:r w:rsidR="0023188F">
        <w:rPr>
          <w:rFonts w:ascii="Times New Roman" w:eastAsia="Courier 10cpi" w:hAnsi="Times New Roman" w:cs="Courier 10cpi"/>
          <w:color w:val="010101"/>
          <w:sz w:val="24"/>
          <w:szCs w:val="24"/>
          <w:lang w:eastAsia="ar-SA"/>
        </w:rPr>
        <w:t xml:space="preserve"> et Liens utiles</w:t>
      </w:r>
    </w:p>
    <w:p w:rsidR="003B5B5D" w:rsidRPr="003B5B5D" w:rsidRDefault="003B5B5D" w:rsidP="003B5B5D">
      <w:pPr>
        <w:suppressAutoHyphens/>
        <w:spacing w:after="0" w:line="100" w:lineRule="atLeast"/>
        <w:ind w:left="1410" w:hanging="1410"/>
        <w:rPr>
          <w:rFonts w:ascii="Times New Roman" w:eastAsia="Courier 10cpi" w:hAnsi="Times New Roman" w:cs="Courier 10cpi"/>
          <w:color w:val="010101"/>
          <w:sz w:val="24"/>
          <w:szCs w:val="24"/>
          <w:lang w:eastAsia="ar-SA"/>
        </w:rPr>
      </w:pPr>
      <w:r w:rsidRPr="003B5B5D">
        <w:rPr>
          <w:rFonts w:ascii="Times New Roman" w:eastAsia="Courier 10cpi" w:hAnsi="Times New Roman" w:cs="Courier 10cpi"/>
          <w:color w:val="010101"/>
          <w:sz w:val="24"/>
          <w:szCs w:val="24"/>
          <w:lang w:eastAsia="ar-SA"/>
        </w:rPr>
        <w:tab/>
      </w:r>
      <w:r w:rsidRPr="003B5B5D">
        <w:rPr>
          <w:rFonts w:ascii="Times New Roman" w:eastAsia="Courier 10cpi" w:hAnsi="Times New Roman" w:cs="Courier 10cpi"/>
          <w:color w:val="010101"/>
          <w:sz w:val="24"/>
          <w:szCs w:val="24"/>
          <w:lang w:eastAsia="ar-SA"/>
        </w:rPr>
        <w:tab/>
      </w:r>
    </w:p>
    <w:p w:rsidR="003B5B5D" w:rsidRPr="003B5B5D" w:rsidRDefault="001D0A9C" w:rsidP="003B5B5D">
      <w:pPr>
        <w:suppressAutoHyphens/>
        <w:spacing w:after="0" w:line="100" w:lineRule="atLeast"/>
        <w:ind w:left="1410" w:hanging="1410"/>
        <w:rPr>
          <w:rFonts w:ascii="Times New Roman" w:eastAsia="Courier 10cpi" w:hAnsi="Times New Roman" w:cs="Courier 10cpi"/>
          <w:color w:val="010101"/>
          <w:sz w:val="24"/>
          <w:szCs w:val="24"/>
          <w:lang w:eastAsia="ar-SA"/>
        </w:rPr>
      </w:pPr>
      <w:r>
        <w:rPr>
          <w:rFonts w:ascii="Times New Roman" w:eastAsia="Courier 10cpi" w:hAnsi="Times New Roman" w:cs="Courier 10cpi"/>
          <w:color w:val="010101"/>
          <w:sz w:val="24"/>
          <w:szCs w:val="24"/>
          <w:lang w:eastAsia="ar-SA"/>
        </w:rPr>
        <w:t>6</w:t>
      </w:r>
      <w:r w:rsidR="00F52D53">
        <w:rPr>
          <w:rFonts w:ascii="Times New Roman" w:eastAsia="Courier 10cpi" w:hAnsi="Times New Roman" w:cs="Courier 10cpi"/>
          <w:color w:val="010101"/>
          <w:sz w:val="24"/>
          <w:szCs w:val="24"/>
          <w:lang w:eastAsia="ar-SA"/>
        </w:rPr>
        <w:t>3</w:t>
      </w:r>
      <w:r w:rsidR="003B5B5D" w:rsidRPr="003B5B5D">
        <w:rPr>
          <w:rFonts w:ascii="Times New Roman" w:eastAsia="Courier 10cpi" w:hAnsi="Times New Roman" w:cs="Courier 10cpi"/>
          <w:color w:val="010101"/>
          <w:sz w:val="24"/>
          <w:szCs w:val="24"/>
          <w:lang w:eastAsia="ar-SA"/>
        </w:rPr>
        <w:tab/>
      </w:r>
      <w:r w:rsidR="0023188F">
        <w:rPr>
          <w:rFonts w:ascii="Times New Roman" w:eastAsia="Courier 10cpi" w:hAnsi="Times New Roman" w:cs="Courier 10cpi"/>
          <w:color w:val="010101"/>
          <w:sz w:val="24"/>
          <w:szCs w:val="24"/>
          <w:lang w:eastAsia="ar-SA"/>
        </w:rPr>
        <w:t>Nouvelles publications</w:t>
      </w:r>
    </w:p>
    <w:p w:rsidR="003B5B5D" w:rsidRPr="003B5B5D" w:rsidRDefault="003B5B5D" w:rsidP="003B5B5D">
      <w:pPr>
        <w:suppressAutoHyphens/>
        <w:spacing w:after="0" w:line="100" w:lineRule="atLeast"/>
        <w:ind w:left="1410" w:hanging="1410"/>
        <w:rPr>
          <w:rFonts w:ascii="Times New Roman" w:eastAsia="Courier 10cpi" w:hAnsi="Times New Roman" w:cs="Courier 10cpi"/>
          <w:color w:val="010101"/>
          <w:sz w:val="24"/>
          <w:szCs w:val="24"/>
          <w:lang w:eastAsia="ar-SA"/>
        </w:rPr>
      </w:pPr>
    </w:p>
    <w:p w:rsidR="003B5B5D" w:rsidRPr="003B5B5D" w:rsidRDefault="001D0A9C" w:rsidP="003B5B5D">
      <w:pPr>
        <w:spacing w:after="0" w:line="240" w:lineRule="auto"/>
        <w:rPr>
          <w:rFonts w:ascii="Times New Roman" w:eastAsia="Courier 10cpi" w:hAnsi="Times New Roman" w:cs="Courier 10cpi"/>
          <w:i/>
          <w:color w:val="010101"/>
          <w:sz w:val="24"/>
          <w:szCs w:val="24"/>
          <w:lang w:eastAsia="ar-SA"/>
        </w:rPr>
      </w:pPr>
      <w:r>
        <w:rPr>
          <w:rFonts w:ascii="Times New Roman" w:eastAsia="Courier 10cpi" w:hAnsi="Times New Roman" w:cs="Courier 10cpi"/>
          <w:color w:val="010101"/>
          <w:sz w:val="24"/>
          <w:szCs w:val="24"/>
          <w:lang w:eastAsia="ar-SA"/>
        </w:rPr>
        <w:t>66</w:t>
      </w:r>
      <w:r w:rsidR="003B5B5D" w:rsidRPr="003B5B5D">
        <w:rPr>
          <w:rFonts w:ascii="Times New Roman" w:eastAsia="Courier 10cpi" w:hAnsi="Times New Roman" w:cs="Courier 10cpi"/>
          <w:color w:val="010101"/>
          <w:sz w:val="24"/>
          <w:szCs w:val="24"/>
          <w:lang w:eastAsia="ar-SA"/>
        </w:rPr>
        <w:tab/>
      </w:r>
      <w:r w:rsidR="003B5B5D" w:rsidRPr="003B5B5D">
        <w:rPr>
          <w:rFonts w:ascii="Times New Roman" w:eastAsia="Courier 10cpi" w:hAnsi="Times New Roman" w:cs="Courier 10cpi"/>
          <w:color w:val="010101"/>
          <w:sz w:val="24"/>
          <w:szCs w:val="24"/>
          <w:lang w:eastAsia="ar-SA"/>
        </w:rPr>
        <w:tab/>
        <w:t xml:space="preserve">Dates pour votre calendrier </w:t>
      </w:r>
    </w:p>
    <w:p w:rsidR="003B5B5D" w:rsidRPr="003B5B5D" w:rsidRDefault="003B5B5D" w:rsidP="003B5B5D">
      <w:pPr>
        <w:spacing w:after="0" w:line="240" w:lineRule="auto"/>
        <w:rPr>
          <w:rFonts w:ascii="Times New Roman" w:eastAsia="Courier 10cpi" w:hAnsi="Times New Roman" w:cs="Courier 10cpi"/>
          <w:color w:val="010101"/>
          <w:sz w:val="24"/>
          <w:szCs w:val="24"/>
          <w:lang w:eastAsia="ar-SA"/>
        </w:rPr>
      </w:pPr>
    </w:p>
    <w:p w:rsidR="003B5B5D" w:rsidRPr="003B5B5D" w:rsidRDefault="003B5B5D" w:rsidP="003B5B5D">
      <w:pPr>
        <w:suppressAutoHyphens/>
        <w:spacing w:after="0" w:line="100" w:lineRule="atLeast"/>
        <w:ind w:left="1410" w:hanging="1410"/>
        <w:rPr>
          <w:rFonts w:ascii="Times New Roman" w:eastAsia="Courier 10cpi" w:hAnsi="Times New Roman" w:cs="Courier 10cpi"/>
          <w:color w:val="010101"/>
          <w:sz w:val="24"/>
          <w:szCs w:val="24"/>
          <w:lang w:eastAsia="ar-SA"/>
        </w:rPr>
      </w:pPr>
    </w:p>
    <w:p w:rsidR="003B5B5D" w:rsidRPr="003B5B5D" w:rsidRDefault="003B5B5D" w:rsidP="003B5B5D">
      <w:pPr>
        <w:suppressAutoHyphens/>
        <w:spacing w:after="0" w:line="100" w:lineRule="atLeast"/>
        <w:ind w:left="1410" w:hanging="1410"/>
        <w:rPr>
          <w:rFonts w:ascii="Times New Roman" w:eastAsia="Courier 10cpi" w:hAnsi="Times New Roman" w:cs="Courier 10cpi"/>
          <w:color w:val="010101"/>
          <w:sz w:val="24"/>
          <w:szCs w:val="24"/>
          <w:lang w:eastAsia="ar-SA"/>
        </w:rPr>
      </w:pPr>
      <w:r w:rsidRPr="003B5B5D">
        <w:rPr>
          <w:rFonts w:ascii="Times New Roman" w:eastAsia="Courier 10cpi" w:hAnsi="Times New Roman" w:cs="Courier 10cpi"/>
          <w:color w:val="010101"/>
          <w:sz w:val="24"/>
          <w:szCs w:val="24"/>
          <w:lang w:eastAsia="ar-SA"/>
        </w:rPr>
        <w:tab/>
      </w:r>
      <w:r w:rsidRPr="003B5B5D">
        <w:rPr>
          <w:rFonts w:ascii="Times New Roman" w:eastAsia="Courier 10cpi" w:hAnsi="Times New Roman" w:cs="Courier 10cpi"/>
          <w:color w:val="010101"/>
          <w:sz w:val="24"/>
          <w:szCs w:val="24"/>
          <w:lang w:eastAsia="ar-SA"/>
        </w:rPr>
        <w:tab/>
        <w:t xml:space="preserve"> </w:t>
      </w:r>
      <w:r w:rsidRPr="003B5B5D">
        <w:rPr>
          <w:rFonts w:ascii="Times New Roman" w:eastAsia="Times New Roman" w:hAnsi="Times New Roman" w:cs="Times New Roman"/>
          <w:b/>
          <w:sz w:val="24"/>
          <w:szCs w:val="24"/>
          <w:lang w:eastAsia="ar-SA" w:bidi="he-IL"/>
        </w:rPr>
        <w:t>Note :</w:t>
      </w:r>
      <w:r w:rsidRPr="003B5B5D">
        <w:rPr>
          <w:rFonts w:ascii="Times New Roman" w:eastAsia="Times New Roman" w:hAnsi="Times New Roman" w:cs="Times New Roman"/>
          <w:sz w:val="24"/>
          <w:szCs w:val="24"/>
          <w:lang w:eastAsia="ar-SA" w:bidi="he-IL"/>
        </w:rPr>
        <w:t xml:space="preserve"> le numéro en français ne reprend pas les publicités, les photos et la page des sponsors : pour les consulter voir la </w:t>
      </w:r>
      <w:r w:rsidRPr="003B5B5D">
        <w:rPr>
          <w:rFonts w:ascii="Times New Roman" w:eastAsia="Times New Roman" w:hAnsi="Times New Roman" w:cs="Times New Roman"/>
          <w:b/>
          <w:sz w:val="24"/>
          <w:szCs w:val="24"/>
          <w:lang w:eastAsia="ar-SA" w:bidi="he-IL"/>
        </w:rPr>
        <w:t>version anglaise.</w:t>
      </w:r>
      <w:r w:rsidRPr="003B5B5D">
        <w:rPr>
          <w:rFonts w:ascii="Times New Roman" w:eastAsia="Times New Roman" w:hAnsi="Times New Roman" w:cs="Times New Roman"/>
          <w:sz w:val="24"/>
          <w:szCs w:val="24"/>
          <w:lang w:eastAsia="ar-SA" w:bidi="he-IL"/>
        </w:rPr>
        <w:t xml:space="preserve"> </w:t>
      </w:r>
    </w:p>
    <w:p w:rsidR="003B5B5D" w:rsidRPr="003B5B5D" w:rsidRDefault="003B5B5D" w:rsidP="003B5B5D">
      <w:pPr>
        <w:suppressAutoHyphens/>
        <w:spacing w:after="0" w:line="100" w:lineRule="atLeast"/>
        <w:ind w:left="1410" w:hanging="1410"/>
        <w:rPr>
          <w:rFonts w:ascii="Times New Roman" w:eastAsia="Times New Roman" w:hAnsi="Times New Roman" w:cs="Times New Roman"/>
          <w:b/>
          <w:i/>
          <w:sz w:val="24"/>
          <w:szCs w:val="24"/>
          <w:lang w:eastAsia="ar-SA" w:bidi="he-IL"/>
        </w:rPr>
      </w:pPr>
    </w:p>
    <w:p w:rsidR="003B5B5D" w:rsidRPr="003B5B5D" w:rsidRDefault="003B5B5D" w:rsidP="003B5B5D">
      <w:pPr>
        <w:suppressAutoHyphens/>
        <w:spacing w:after="0" w:line="100" w:lineRule="atLeast"/>
        <w:rPr>
          <w:rFonts w:ascii="Times New Roman" w:eastAsia="Times New Roman" w:hAnsi="Times New Roman" w:cs="Times New Roman"/>
          <w:b/>
          <w:i/>
          <w:sz w:val="24"/>
          <w:szCs w:val="24"/>
          <w:lang w:eastAsia="ar-SA" w:bidi="he-IL"/>
        </w:rPr>
      </w:pPr>
    </w:p>
    <w:p w:rsidR="003B5B5D" w:rsidRPr="003B5B5D" w:rsidRDefault="003B5B5D" w:rsidP="003B5B5D">
      <w:pPr>
        <w:suppressAutoHyphens/>
        <w:spacing w:after="0" w:line="100" w:lineRule="atLeast"/>
        <w:rPr>
          <w:rFonts w:ascii="Times New Roman" w:eastAsia="Times New Roman" w:hAnsi="Times New Roman" w:cs="Times New Roman"/>
          <w:b/>
          <w:i/>
          <w:sz w:val="24"/>
          <w:szCs w:val="24"/>
          <w:lang w:eastAsia="ar-SA" w:bidi="he-IL"/>
        </w:rPr>
      </w:pPr>
    </w:p>
    <w:p w:rsidR="003B5B5D" w:rsidRPr="003B5B5D" w:rsidRDefault="003B5B5D" w:rsidP="003B5B5D">
      <w:pPr>
        <w:suppressAutoHyphens/>
        <w:spacing w:after="0" w:line="100" w:lineRule="atLeast"/>
        <w:rPr>
          <w:rFonts w:ascii="Times New Roman" w:eastAsia="Times New Roman" w:hAnsi="Times New Roman" w:cs="Times New Roman"/>
          <w:b/>
          <w:i/>
          <w:sz w:val="24"/>
          <w:szCs w:val="24"/>
          <w:lang w:eastAsia="ar-SA" w:bidi="he-IL"/>
        </w:rPr>
      </w:pPr>
      <w:r w:rsidRPr="003B5B5D">
        <w:rPr>
          <w:rFonts w:ascii="Times New Roman" w:eastAsia="Times New Roman" w:hAnsi="Times New Roman" w:cs="Times New Roman"/>
          <w:b/>
          <w:i/>
          <w:sz w:val="24"/>
          <w:szCs w:val="24"/>
          <w:lang w:eastAsia="ar-SA" w:bidi="he-IL"/>
        </w:rPr>
        <w:lastRenderedPageBreak/>
        <w:t xml:space="preserve">Contacts </w:t>
      </w:r>
      <w:r w:rsidRPr="003B5B5D">
        <w:rPr>
          <w:rFonts w:ascii="Times New Roman" w:eastAsia="Times New Roman" w:hAnsi="Times New Roman" w:cs="Times New Roman"/>
          <w:b/>
          <w:sz w:val="24"/>
          <w:szCs w:val="24"/>
          <w:lang w:eastAsia="ar-SA" w:bidi="he-IL"/>
        </w:rPr>
        <w:t>euro</w:t>
      </w:r>
      <w:r w:rsidRPr="003B5B5D">
        <w:rPr>
          <w:rFonts w:ascii="Times New Roman" w:eastAsia="Times New Roman" w:hAnsi="Times New Roman" w:cs="Times New Roman"/>
          <w:b/>
          <w:i/>
          <w:sz w:val="24"/>
          <w:szCs w:val="24"/>
          <w:lang w:eastAsia="ar-SA" w:bidi="he-IL"/>
        </w:rPr>
        <w:t>fenix</w:t>
      </w:r>
    </w:p>
    <w:p w:rsidR="003B5B5D" w:rsidRPr="003B5B5D" w:rsidRDefault="003B5B5D" w:rsidP="003B5B5D">
      <w:pPr>
        <w:suppressAutoHyphens/>
        <w:spacing w:after="0" w:line="100" w:lineRule="atLeast"/>
        <w:ind w:left="1410" w:hanging="1410"/>
        <w:rPr>
          <w:rFonts w:ascii="Times New Roman" w:eastAsia="Courier 10cpi" w:hAnsi="Times New Roman" w:cs="Courier 10cpi"/>
          <w:color w:val="010101"/>
          <w:sz w:val="24"/>
          <w:szCs w:val="24"/>
          <w:lang w:eastAsia="ar-SA"/>
        </w:rPr>
      </w:pPr>
    </w:p>
    <w:tbl>
      <w:tblPr>
        <w:tblW w:w="10100" w:type="dxa"/>
        <w:tblInd w:w="-300" w:type="dxa"/>
        <w:tblLayout w:type="fixed"/>
        <w:tblCellMar>
          <w:left w:w="70" w:type="dxa"/>
          <w:right w:w="70" w:type="dxa"/>
        </w:tblCellMar>
        <w:tblLook w:val="0000" w:firstRow="0" w:lastRow="0" w:firstColumn="0" w:lastColumn="0" w:noHBand="0" w:noVBand="0"/>
      </w:tblPr>
      <w:tblGrid>
        <w:gridCol w:w="3510"/>
        <w:gridCol w:w="2530"/>
        <w:gridCol w:w="2060"/>
        <w:gridCol w:w="2000"/>
      </w:tblGrid>
      <w:tr w:rsidR="003B5B5D" w:rsidRPr="003B5B5D" w:rsidTr="0052658C">
        <w:tc>
          <w:tcPr>
            <w:tcW w:w="3510" w:type="dxa"/>
            <w:tcBorders>
              <w:top w:val="single" w:sz="4" w:space="0" w:color="000000"/>
              <w:left w:val="single" w:sz="4" w:space="0" w:color="000000"/>
              <w:bottom w:val="single" w:sz="4" w:space="0" w:color="000000"/>
            </w:tcBorders>
            <w:shd w:val="clear" w:color="auto" w:fill="auto"/>
          </w:tcPr>
          <w:p w:rsidR="003B5B5D" w:rsidRPr="003B5B5D" w:rsidRDefault="003B5B5D" w:rsidP="003B5B5D">
            <w:pPr>
              <w:keepNext/>
              <w:numPr>
                <w:ilvl w:val="3"/>
                <w:numId w:val="0"/>
              </w:numPr>
              <w:tabs>
                <w:tab w:val="num" w:pos="0"/>
              </w:tabs>
              <w:suppressAutoHyphens/>
              <w:spacing w:after="0" w:line="240" w:lineRule="auto"/>
              <w:ind w:left="864" w:hanging="864"/>
              <w:jc w:val="both"/>
              <w:outlineLvl w:val="3"/>
              <w:rPr>
                <w:rFonts w:ascii="Times New Roman" w:eastAsia="Times New Roman" w:hAnsi="Times New Roman" w:cs="Times New Roman"/>
                <w:b/>
                <w:bCs/>
                <w:sz w:val="20"/>
                <w:szCs w:val="20"/>
                <w:lang w:eastAsia="he-IL" w:bidi="he-IL"/>
              </w:rPr>
            </w:pPr>
          </w:p>
          <w:p w:rsidR="003B5B5D" w:rsidRPr="003B5B5D" w:rsidRDefault="003B5B5D" w:rsidP="003B5B5D">
            <w:pPr>
              <w:suppressAutoHyphens/>
              <w:spacing w:after="0" w:line="240" w:lineRule="auto"/>
              <w:rPr>
                <w:rFonts w:ascii="Times New Roman" w:eastAsia="Times New Roman" w:hAnsi="Times New Roman" w:cs="Times New Roman"/>
                <w:b/>
                <w:bCs/>
                <w:sz w:val="20"/>
                <w:szCs w:val="20"/>
                <w:lang w:eastAsia="ar-SA"/>
              </w:rPr>
            </w:pPr>
            <w:r w:rsidRPr="003B5B5D">
              <w:rPr>
                <w:rFonts w:ascii="Times New Roman" w:eastAsia="Times New Roman" w:hAnsi="Times New Roman" w:cs="Times New Roman"/>
                <w:b/>
                <w:bCs/>
                <w:sz w:val="20"/>
                <w:szCs w:val="20"/>
                <w:lang w:eastAsia="ar-SA"/>
              </w:rPr>
              <w:t xml:space="preserve">Co-Rédacteurs en chef : </w:t>
            </w:r>
          </w:p>
          <w:p w:rsidR="003B5B5D" w:rsidRPr="003B5B5D" w:rsidRDefault="003B5B5D" w:rsidP="003B5B5D">
            <w:pPr>
              <w:suppressAutoHyphens/>
              <w:spacing w:after="0" w:line="240" w:lineRule="auto"/>
              <w:rPr>
                <w:rFonts w:ascii="Times New Roman" w:eastAsia="Times New Roman" w:hAnsi="Times New Roman" w:cs="Times New Roman"/>
                <w:color w:val="000000"/>
                <w:sz w:val="20"/>
                <w:szCs w:val="20"/>
                <w:lang w:eastAsia="ar-SA"/>
              </w:rPr>
            </w:pPr>
            <w:r w:rsidRPr="003B5B5D">
              <w:rPr>
                <w:rFonts w:ascii="Times New Roman" w:eastAsia="Times New Roman" w:hAnsi="Times New Roman" w:cs="Times New Roman"/>
                <w:color w:val="000000"/>
                <w:sz w:val="20"/>
                <w:szCs w:val="20"/>
                <w:lang w:eastAsia="ar-SA"/>
              </w:rPr>
              <w:t>Frank Heemann, Lithuania</w:t>
            </w:r>
          </w:p>
          <w:p w:rsidR="003B5B5D" w:rsidRPr="003B5B5D" w:rsidRDefault="003B5B5D" w:rsidP="003B5B5D">
            <w:pPr>
              <w:suppressAutoHyphens/>
              <w:spacing w:after="0" w:line="240" w:lineRule="auto"/>
              <w:rPr>
                <w:rFonts w:ascii="Times New Roman" w:eastAsia="Times New Roman" w:hAnsi="Times New Roman" w:cs="Times New Roman"/>
                <w:sz w:val="20"/>
                <w:szCs w:val="20"/>
                <w:lang w:eastAsia="ar-SA"/>
              </w:rPr>
            </w:pPr>
            <w:r w:rsidRPr="003B5B5D">
              <w:rPr>
                <w:rFonts w:ascii="Times New Roman" w:eastAsia="Times New Roman" w:hAnsi="Times New Roman" w:cs="Times New Roman"/>
                <w:sz w:val="20"/>
                <w:szCs w:val="20"/>
                <w:lang w:eastAsia="ar-SA"/>
              </w:rPr>
              <w:t>(</w:t>
            </w:r>
            <w:hyperlink r:id="rId49" w:history="1">
              <w:r w:rsidRPr="003B5B5D">
                <w:rPr>
                  <w:rFonts w:ascii="Times New Roman" w:eastAsia="Times New Roman" w:hAnsi="Times New Roman" w:cs="Times New Roman"/>
                  <w:color w:val="0000FF"/>
                  <w:sz w:val="20"/>
                  <w:szCs w:val="20"/>
                  <w:u w:val="single"/>
                  <w:lang w:eastAsia="ar-SA"/>
                </w:rPr>
                <w:t>frank.heemann@bnt.eu</w:t>
              </w:r>
            </w:hyperlink>
            <w:r w:rsidRPr="003B5B5D">
              <w:rPr>
                <w:rFonts w:ascii="Times New Roman" w:eastAsia="Times New Roman" w:hAnsi="Times New Roman" w:cs="Times New Roman"/>
                <w:color w:val="0000FF"/>
                <w:sz w:val="20"/>
                <w:szCs w:val="20"/>
                <w:u w:val="single"/>
                <w:lang w:eastAsia="ar-SA"/>
              </w:rPr>
              <w:t>)</w:t>
            </w:r>
          </w:p>
          <w:p w:rsidR="003B5B5D" w:rsidRPr="003B5B5D" w:rsidRDefault="003B5B5D" w:rsidP="003B5B5D">
            <w:pPr>
              <w:suppressAutoHyphens/>
              <w:spacing w:after="0" w:line="240" w:lineRule="auto"/>
              <w:rPr>
                <w:rFonts w:ascii="Times New Roman" w:eastAsia="Times New Roman" w:hAnsi="Times New Roman" w:cs="Times New Roman"/>
                <w:sz w:val="20"/>
                <w:szCs w:val="20"/>
                <w:lang w:eastAsia="ar-SA"/>
              </w:rPr>
            </w:pPr>
            <w:r w:rsidRPr="003B5B5D">
              <w:rPr>
                <w:rFonts w:ascii="Times New Roman" w:eastAsia="Times New Roman" w:hAnsi="Times New Roman" w:cs="Times New Roman"/>
                <w:sz w:val="20"/>
                <w:szCs w:val="20"/>
                <w:lang w:eastAsia="ar-SA"/>
              </w:rPr>
              <w:t xml:space="preserve"> Catarina Serra, Portugal</w:t>
            </w:r>
          </w:p>
          <w:p w:rsidR="003B5B5D" w:rsidRPr="003B5B5D" w:rsidRDefault="003B5B5D" w:rsidP="003B5B5D">
            <w:pPr>
              <w:suppressAutoHyphens/>
              <w:spacing w:after="0" w:line="240" w:lineRule="auto"/>
              <w:rPr>
                <w:rFonts w:ascii="Times New Roman" w:eastAsia="Times New Roman" w:hAnsi="Times New Roman" w:cs="Times New Roman"/>
                <w:sz w:val="20"/>
                <w:szCs w:val="20"/>
                <w:lang w:eastAsia="ar-SA"/>
              </w:rPr>
            </w:pPr>
            <w:r w:rsidRPr="003B5B5D">
              <w:rPr>
                <w:rFonts w:ascii="Times New Roman" w:eastAsia="Times New Roman" w:hAnsi="Times New Roman" w:cs="Times New Roman"/>
                <w:sz w:val="20"/>
                <w:szCs w:val="20"/>
                <w:lang w:eastAsia="ar-SA"/>
              </w:rPr>
              <w:t>(</w:t>
            </w:r>
            <w:hyperlink r:id="rId50" w:history="1">
              <w:r w:rsidRPr="003B5B5D">
                <w:rPr>
                  <w:rFonts w:ascii="Times New Roman" w:eastAsia="Times New Roman" w:hAnsi="Times New Roman" w:cs="Times New Roman"/>
                  <w:color w:val="0000FF"/>
                  <w:sz w:val="20"/>
                  <w:szCs w:val="20"/>
                  <w:u w:val="single"/>
                  <w:lang w:eastAsia="ar-SA"/>
                </w:rPr>
                <w:t>csserra@gmail.com</w:t>
              </w:r>
            </w:hyperlink>
            <w:r w:rsidRPr="003B5B5D">
              <w:rPr>
                <w:rFonts w:ascii="Times New Roman" w:eastAsia="Times New Roman" w:hAnsi="Times New Roman" w:cs="Times New Roman"/>
                <w:color w:val="0000FF"/>
                <w:sz w:val="20"/>
                <w:szCs w:val="20"/>
                <w:u w:val="single"/>
                <w:lang w:eastAsia="ar-SA"/>
              </w:rPr>
              <w:t>)</w:t>
            </w:r>
          </w:p>
          <w:p w:rsidR="003B5B5D" w:rsidRPr="003B5B5D" w:rsidRDefault="003B5B5D" w:rsidP="003B5B5D">
            <w:pPr>
              <w:suppressAutoHyphens/>
              <w:spacing w:after="0" w:line="240" w:lineRule="auto"/>
              <w:rPr>
                <w:rFonts w:ascii="Times New Roman" w:eastAsia="Times New Roman" w:hAnsi="Times New Roman" w:cs="Times New Roman"/>
                <w:b/>
                <w:bCs/>
                <w:sz w:val="20"/>
                <w:szCs w:val="20"/>
                <w:lang w:eastAsia="ar-SA"/>
              </w:rPr>
            </w:pPr>
          </w:p>
          <w:p w:rsidR="003B5B5D" w:rsidRPr="003B5B5D" w:rsidRDefault="003B5B5D" w:rsidP="003B5B5D">
            <w:pPr>
              <w:suppressAutoHyphens/>
              <w:spacing w:after="0" w:line="240" w:lineRule="auto"/>
              <w:rPr>
                <w:rFonts w:ascii="Times New Roman" w:eastAsia="Times New Roman" w:hAnsi="Times New Roman" w:cs="Times New Roman"/>
                <w:b/>
                <w:bCs/>
                <w:sz w:val="20"/>
                <w:szCs w:val="20"/>
                <w:lang w:eastAsia="ar-SA"/>
              </w:rPr>
            </w:pPr>
            <w:r w:rsidRPr="003B5B5D">
              <w:rPr>
                <w:rFonts w:ascii="Times New Roman" w:eastAsia="Times New Roman" w:hAnsi="Times New Roman" w:cs="Times New Roman"/>
                <w:b/>
                <w:bCs/>
                <w:sz w:val="20"/>
                <w:szCs w:val="20"/>
                <w:lang w:eastAsia="ar-SA"/>
              </w:rPr>
              <w:t>Comité éxécutif de rédaction :</w:t>
            </w:r>
          </w:p>
          <w:p w:rsidR="003B5B5D" w:rsidRPr="003B5B5D" w:rsidRDefault="003B5B5D" w:rsidP="003B5B5D">
            <w:pPr>
              <w:suppressAutoHyphens/>
              <w:spacing w:after="0" w:line="240" w:lineRule="auto"/>
              <w:rPr>
                <w:rFonts w:ascii="Times New Roman" w:eastAsia="Times New Roman" w:hAnsi="Times New Roman" w:cs="Times New Roman"/>
                <w:bCs/>
                <w:sz w:val="20"/>
                <w:szCs w:val="20"/>
                <w:lang w:eastAsia="ar-SA"/>
              </w:rPr>
            </w:pPr>
            <w:r w:rsidRPr="003B5B5D">
              <w:rPr>
                <w:rFonts w:ascii="Times New Roman" w:eastAsia="Times New Roman" w:hAnsi="Times New Roman" w:cs="Times New Roman"/>
                <w:bCs/>
                <w:sz w:val="20"/>
                <w:szCs w:val="20"/>
                <w:lang w:eastAsia="ar-SA"/>
              </w:rPr>
              <w:t xml:space="preserve">Emmanuelle Inacio, </w:t>
            </w:r>
            <w:hyperlink r:id="rId51" w:history="1">
              <w:r w:rsidRPr="003B5B5D">
                <w:rPr>
                  <w:rFonts w:ascii="Times New Roman" w:eastAsia="Times New Roman" w:hAnsi="Times New Roman" w:cs="Times New Roman"/>
                  <w:bCs/>
                  <w:color w:val="0000FF"/>
                  <w:sz w:val="20"/>
                  <w:szCs w:val="20"/>
                  <w:u w:val="single"/>
                  <w:lang w:eastAsia="ar-SA"/>
                </w:rPr>
                <w:t>technical@insol-europe.org</w:t>
              </w:r>
            </w:hyperlink>
          </w:p>
          <w:p w:rsidR="003B5B5D" w:rsidRPr="003B5B5D" w:rsidRDefault="003B5B5D" w:rsidP="003B5B5D">
            <w:pPr>
              <w:suppressAutoHyphens/>
              <w:spacing w:after="0" w:line="240" w:lineRule="auto"/>
              <w:rPr>
                <w:rFonts w:ascii="Times New Roman" w:eastAsia="Times New Roman" w:hAnsi="Times New Roman" w:cs="Times New Roman"/>
                <w:sz w:val="20"/>
                <w:szCs w:val="20"/>
                <w:lang w:val="de-DE" w:eastAsia="ar-SA"/>
              </w:rPr>
            </w:pPr>
            <w:r w:rsidRPr="003B5B5D">
              <w:rPr>
                <w:rFonts w:ascii="Times New Roman" w:eastAsia="Times New Roman" w:hAnsi="Times New Roman" w:cs="Times New Roman"/>
                <w:sz w:val="20"/>
                <w:szCs w:val="20"/>
                <w:lang w:eastAsia="ar-SA"/>
              </w:rPr>
              <w:t xml:space="preserve">Paul </w:t>
            </w:r>
            <w:r w:rsidRPr="003B5B5D">
              <w:rPr>
                <w:rFonts w:ascii="Times New Roman" w:eastAsia="Times New Roman" w:hAnsi="Times New Roman" w:cs="Times New Roman"/>
                <w:b/>
                <w:sz w:val="20"/>
                <w:szCs w:val="20"/>
                <w:lang w:eastAsia="ar-SA"/>
              </w:rPr>
              <w:t>Newson</w:t>
            </w:r>
            <w:r w:rsidRPr="003B5B5D">
              <w:rPr>
                <w:rFonts w:ascii="Times New Roman" w:eastAsia="Times New Roman" w:hAnsi="Times New Roman" w:cs="Times New Roman"/>
                <w:sz w:val="20"/>
                <w:szCs w:val="20"/>
                <w:lang w:eastAsia="ar-SA"/>
              </w:rPr>
              <w:t xml:space="preserve">, </w:t>
            </w:r>
            <w:hyperlink r:id="rId52" w:history="1">
              <w:r w:rsidRPr="003B5B5D">
                <w:rPr>
                  <w:rFonts w:ascii="Times New Roman" w:eastAsia="Times New Roman" w:hAnsi="Times New Roman" w:cs="Times New Roman"/>
                  <w:color w:val="0000FF"/>
                  <w:sz w:val="20"/>
                  <w:szCs w:val="20"/>
                  <w:u w:val="single"/>
                  <w:lang w:eastAsia="ar-SA"/>
                </w:rPr>
                <w:t>paulnewson@pndesign.co.uk</w:t>
              </w:r>
            </w:hyperlink>
          </w:p>
          <w:p w:rsidR="003B5B5D" w:rsidRPr="003B5B5D" w:rsidRDefault="003B5B5D" w:rsidP="003B5B5D">
            <w:pPr>
              <w:suppressAutoHyphens/>
              <w:spacing w:after="0" w:line="240" w:lineRule="auto"/>
              <w:rPr>
                <w:rFonts w:ascii="Times New Roman" w:eastAsia="Times New Roman" w:hAnsi="Times New Roman" w:cs="Times New Roman"/>
                <w:sz w:val="20"/>
                <w:szCs w:val="20"/>
                <w:lang w:val="de-DE" w:eastAsia="ar-SA"/>
              </w:rPr>
            </w:pPr>
            <w:r w:rsidRPr="003B5B5D">
              <w:rPr>
                <w:rFonts w:ascii="Times New Roman" w:eastAsia="Times New Roman" w:hAnsi="Times New Roman" w:cs="Times New Roman"/>
                <w:sz w:val="20"/>
                <w:szCs w:val="20"/>
                <w:lang w:val="de-DE" w:eastAsia="ar-SA"/>
              </w:rPr>
              <w:t xml:space="preserve">Florica </w:t>
            </w:r>
            <w:r w:rsidRPr="003B5B5D">
              <w:rPr>
                <w:rFonts w:ascii="Times New Roman" w:eastAsia="Times New Roman" w:hAnsi="Times New Roman" w:cs="Times New Roman"/>
                <w:b/>
                <w:sz w:val="20"/>
                <w:szCs w:val="20"/>
                <w:lang w:val="de-DE" w:eastAsia="ar-SA"/>
              </w:rPr>
              <w:t>Sincu</w:t>
            </w:r>
            <w:r w:rsidRPr="003B5B5D">
              <w:rPr>
                <w:rFonts w:ascii="Times New Roman" w:eastAsia="Times New Roman" w:hAnsi="Times New Roman" w:cs="Times New Roman"/>
                <w:sz w:val="20"/>
                <w:szCs w:val="20"/>
                <w:lang w:val="de-DE" w:eastAsia="ar-SA"/>
              </w:rPr>
              <w:t xml:space="preserve">, </w:t>
            </w:r>
          </w:p>
          <w:p w:rsidR="003B5B5D" w:rsidRPr="003B5B5D" w:rsidRDefault="009A1930" w:rsidP="003B5B5D">
            <w:pPr>
              <w:suppressAutoHyphens/>
              <w:spacing w:after="0" w:line="240" w:lineRule="auto"/>
              <w:rPr>
                <w:rFonts w:ascii="Times New Roman" w:eastAsia="Times New Roman" w:hAnsi="Times New Roman" w:cs="Times New Roman"/>
                <w:sz w:val="20"/>
                <w:szCs w:val="20"/>
                <w:lang w:val="de-DE" w:eastAsia="ar-SA"/>
              </w:rPr>
            </w:pPr>
            <w:hyperlink r:id="rId53" w:history="1">
              <w:r w:rsidR="003B5B5D" w:rsidRPr="003B5B5D">
                <w:rPr>
                  <w:rFonts w:ascii="Times New Roman" w:eastAsia="Times New Roman" w:hAnsi="Times New Roman" w:cs="Times New Roman"/>
                  <w:color w:val="0000FF"/>
                  <w:sz w:val="20"/>
                  <w:szCs w:val="20"/>
                  <w:u w:val="single"/>
                  <w:lang w:val="de-DE" w:eastAsia="ar-SA"/>
                </w:rPr>
                <w:t>floricasincu@insol-europe.org</w:t>
              </w:r>
            </w:hyperlink>
          </w:p>
          <w:p w:rsidR="003B5B5D" w:rsidRPr="003B5B5D" w:rsidRDefault="003B5B5D" w:rsidP="003B5B5D">
            <w:pPr>
              <w:suppressAutoHyphens/>
              <w:spacing w:after="0" w:line="240" w:lineRule="auto"/>
              <w:rPr>
                <w:rFonts w:ascii="Times New Roman" w:eastAsia="Times New Roman" w:hAnsi="Times New Roman" w:cs="Times New Roman"/>
                <w:sz w:val="20"/>
                <w:szCs w:val="20"/>
                <w:lang w:val="de-DE" w:eastAsia="ar-SA"/>
              </w:rPr>
            </w:pPr>
            <w:r w:rsidRPr="003B5B5D">
              <w:rPr>
                <w:rFonts w:ascii="Times New Roman" w:eastAsia="Times New Roman" w:hAnsi="Times New Roman" w:cs="Times New Roman"/>
                <w:sz w:val="20"/>
                <w:szCs w:val="20"/>
                <w:lang w:val="nl-NL" w:eastAsia="ar-SA"/>
              </w:rPr>
              <w:t xml:space="preserve">Louise </w:t>
            </w:r>
            <w:r w:rsidRPr="003B5B5D">
              <w:rPr>
                <w:rFonts w:ascii="Times New Roman" w:eastAsia="Times New Roman" w:hAnsi="Times New Roman" w:cs="Times New Roman"/>
                <w:b/>
                <w:bCs/>
                <w:sz w:val="20"/>
                <w:szCs w:val="20"/>
                <w:lang w:val="nl-NL" w:eastAsia="ar-SA"/>
              </w:rPr>
              <w:t>Verrill</w:t>
            </w:r>
            <w:r w:rsidRPr="003B5B5D">
              <w:rPr>
                <w:rFonts w:ascii="Times New Roman" w:eastAsia="Times New Roman" w:hAnsi="Times New Roman" w:cs="Times New Roman"/>
                <w:sz w:val="20"/>
                <w:szCs w:val="20"/>
                <w:lang w:val="nl-NL" w:eastAsia="ar-SA"/>
              </w:rPr>
              <w:t xml:space="preserve">, </w:t>
            </w:r>
            <w:hyperlink r:id="rId54" w:history="1">
              <w:r w:rsidRPr="003B5B5D">
                <w:rPr>
                  <w:rFonts w:ascii="Times New Roman" w:eastAsia="Times New Roman" w:hAnsi="Times New Roman" w:cs="Times New Roman"/>
                  <w:color w:val="0000FF"/>
                  <w:sz w:val="20"/>
                  <w:szCs w:val="20"/>
                  <w:u w:val="single"/>
                  <w:lang w:eastAsia="ar-SA"/>
                </w:rPr>
                <w:t>lverrill@brownrudnick.com</w:t>
              </w:r>
            </w:hyperlink>
          </w:p>
          <w:p w:rsidR="003B5B5D" w:rsidRPr="003B5B5D" w:rsidRDefault="003B5B5D" w:rsidP="003B5B5D">
            <w:pPr>
              <w:suppressAutoHyphens/>
              <w:spacing w:after="0" w:line="240" w:lineRule="auto"/>
              <w:rPr>
                <w:rFonts w:ascii="Times New Roman" w:eastAsia="Times New Roman" w:hAnsi="Times New Roman" w:cs="Times New Roman"/>
                <w:sz w:val="20"/>
                <w:szCs w:val="20"/>
                <w:lang w:val="de-DE" w:eastAsia="ar-SA"/>
              </w:rPr>
            </w:pPr>
          </w:p>
          <w:p w:rsidR="003B5B5D" w:rsidRPr="003B5B5D" w:rsidRDefault="003B5B5D" w:rsidP="003B5B5D">
            <w:pPr>
              <w:suppressAutoHyphens/>
              <w:spacing w:after="0" w:line="240" w:lineRule="auto"/>
              <w:rPr>
                <w:rFonts w:ascii="Times New Roman" w:eastAsia="Times New Roman" w:hAnsi="Times New Roman" w:cs="Times New Roman"/>
                <w:sz w:val="20"/>
                <w:szCs w:val="20"/>
                <w:lang w:val="de-DE" w:eastAsia="ar-SA"/>
              </w:rPr>
            </w:pPr>
            <w:r w:rsidRPr="003B5B5D">
              <w:rPr>
                <w:rFonts w:ascii="Times New Roman" w:eastAsia="Times New Roman" w:hAnsi="Times New Roman" w:cs="Times New Roman"/>
                <w:b/>
                <w:sz w:val="20"/>
                <w:szCs w:val="20"/>
                <w:lang w:val="de-DE" w:eastAsia="ar-SA"/>
              </w:rPr>
              <w:t>Comité de rédaction</w:t>
            </w:r>
            <w:r w:rsidRPr="003B5B5D">
              <w:rPr>
                <w:rFonts w:ascii="Times New Roman" w:eastAsia="Times New Roman" w:hAnsi="Times New Roman" w:cs="Times New Roman"/>
                <w:sz w:val="20"/>
                <w:szCs w:val="20"/>
                <w:lang w:val="de-DE" w:eastAsia="ar-SA"/>
              </w:rPr>
              <w:t xml:space="preserve"> :</w:t>
            </w:r>
          </w:p>
          <w:p w:rsidR="003B5B5D" w:rsidRPr="003B5B5D" w:rsidRDefault="003B5B5D" w:rsidP="003B5B5D">
            <w:pPr>
              <w:suppressAutoHyphens/>
              <w:spacing w:after="0" w:line="240" w:lineRule="auto"/>
              <w:rPr>
                <w:rFonts w:ascii="Times New Roman" w:eastAsia="Times New Roman" w:hAnsi="Times New Roman" w:cs="Times New Roman"/>
                <w:sz w:val="20"/>
                <w:szCs w:val="20"/>
                <w:lang w:val="de-DE" w:eastAsia="ar-SA"/>
              </w:rPr>
            </w:pPr>
          </w:p>
          <w:p w:rsidR="003B5B5D" w:rsidRPr="003B5B5D" w:rsidRDefault="003B5B5D" w:rsidP="003B5B5D">
            <w:pPr>
              <w:suppressAutoHyphens/>
              <w:spacing w:after="0" w:line="240" w:lineRule="auto"/>
              <w:rPr>
                <w:rFonts w:ascii="Times New Roman" w:eastAsia="Times New Roman" w:hAnsi="Times New Roman" w:cs="Times New Roman"/>
                <w:sz w:val="20"/>
                <w:szCs w:val="20"/>
                <w:lang w:val="de-DE" w:eastAsia="ar-SA"/>
              </w:rPr>
            </w:pPr>
            <w:r w:rsidRPr="003B5B5D">
              <w:rPr>
                <w:rFonts w:ascii="Times New Roman" w:eastAsia="Times New Roman" w:hAnsi="Times New Roman" w:cs="Times New Roman"/>
                <w:sz w:val="20"/>
                <w:szCs w:val="20"/>
                <w:lang w:val="de-DE" w:eastAsia="ar-SA"/>
              </w:rPr>
              <w:t xml:space="preserve">Harald </w:t>
            </w:r>
            <w:r w:rsidRPr="003B5B5D">
              <w:rPr>
                <w:rFonts w:ascii="Times New Roman" w:eastAsia="Times New Roman" w:hAnsi="Times New Roman" w:cs="Times New Roman"/>
                <w:b/>
                <w:bCs/>
                <w:sz w:val="20"/>
                <w:szCs w:val="20"/>
                <w:lang w:val="de-DE" w:eastAsia="ar-SA"/>
              </w:rPr>
              <w:t>Bußhardt</w:t>
            </w:r>
            <w:r w:rsidRPr="003B5B5D">
              <w:rPr>
                <w:rFonts w:ascii="Times New Roman" w:eastAsia="Times New Roman" w:hAnsi="Times New Roman" w:cs="Times New Roman"/>
                <w:sz w:val="20"/>
                <w:szCs w:val="20"/>
                <w:lang w:val="de-DE" w:eastAsia="ar-SA"/>
              </w:rPr>
              <w:t xml:space="preserve">, </w:t>
            </w:r>
            <w:hyperlink r:id="rId55" w:history="1">
              <w:r w:rsidRPr="003B5B5D">
                <w:rPr>
                  <w:rFonts w:ascii="Times New Roman" w:eastAsia="Times New Roman" w:hAnsi="Times New Roman" w:cs="Times New Roman"/>
                  <w:color w:val="0000FF"/>
                  <w:sz w:val="20"/>
                  <w:szCs w:val="20"/>
                  <w:u w:val="single"/>
                  <w:lang w:val="de-DE" w:eastAsia="ar-SA"/>
                </w:rPr>
                <w:t>hbusshardt@schubra.de</w:t>
              </w:r>
            </w:hyperlink>
          </w:p>
          <w:p w:rsidR="003B5B5D" w:rsidRPr="003B5B5D" w:rsidRDefault="003B5B5D" w:rsidP="003B5B5D">
            <w:pPr>
              <w:suppressAutoHyphens/>
              <w:spacing w:after="0" w:line="240" w:lineRule="auto"/>
              <w:ind w:left="6"/>
              <w:rPr>
                <w:rFonts w:ascii="Times New Roman" w:eastAsia="Times New Roman" w:hAnsi="Times New Roman" w:cs="Times New Roman"/>
                <w:sz w:val="20"/>
                <w:szCs w:val="20"/>
                <w:lang w:val="de-DE" w:eastAsia="ar-SA"/>
              </w:rPr>
            </w:pPr>
            <w:r w:rsidRPr="003B5B5D">
              <w:rPr>
                <w:rFonts w:ascii="Times New Roman" w:eastAsia="Times New Roman" w:hAnsi="Times New Roman" w:cs="Times New Roman"/>
                <w:sz w:val="20"/>
                <w:szCs w:val="20"/>
                <w:lang w:val="de-DE" w:eastAsia="ar-SA"/>
              </w:rPr>
              <w:t xml:space="preserve">Giorgio </w:t>
            </w:r>
            <w:r w:rsidRPr="003B5B5D">
              <w:rPr>
                <w:rFonts w:ascii="Times New Roman" w:eastAsia="Times New Roman" w:hAnsi="Times New Roman" w:cs="Times New Roman"/>
                <w:b/>
                <w:bCs/>
                <w:sz w:val="20"/>
                <w:szCs w:val="20"/>
                <w:lang w:val="de-DE" w:eastAsia="ar-SA"/>
              </w:rPr>
              <w:t>Cherubini</w:t>
            </w:r>
            <w:r w:rsidRPr="003B5B5D">
              <w:rPr>
                <w:rFonts w:ascii="Times New Roman" w:eastAsia="Times New Roman" w:hAnsi="Times New Roman" w:cs="Times New Roman"/>
                <w:sz w:val="20"/>
                <w:szCs w:val="20"/>
                <w:lang w:val="de-DE" w:eastAsia="ar-SA"/>
              </w:rPr>
              <w:t xml:space="preserve">, </w:t>
            </w:r>
            <w:hyperlink r:id="rId56" w:history="1">
              <w:r w:rsidRPr="003B5B5D">
                <w:rPr>
                  <w:rFonts w:ascii="Times New Roman" w:eastAsia="Times New Roman" w:hAnsi="Times New Roman" w:cs="Times New Roman"/>
                  <w:color w:val="0000FF"/>
                  <w:sz w:val="20"/>
                  <w:szCs w:val="20"/>
                  <w:u w:val="single"/>
                  <w:lang w:val="de-DE" w:eastAsia="ar-SA"/>
                </w:rPr>
                <w:t>Gcherubini@explegal.it</w:t>
              </w:r>
            </w:hyperlink>
          </w:p>
          <w:p w:rsidR="003B5B5D" w:rsidRPr="003B5B5D" w:rsidRDefault="003B5B5D" w:rsidP="003B5B5D">
            <w:pPr>
              <w:suppressAutoHyphens/>
              <w:spacing w:after="0" w:line="240" w:lineRule="auto"/>
              <w:rPr>
                <w:rFonts w:ascii="Times New Roman" w:eastAsia="Times New Roman" w:hAnsi="Times New Roman" w:cs="Times New Roman"/>
                <w:sz w:val="20"/>
                <w:szCs w:val="20"/>
                <w:lang w:val="de-DE" w:eastAsia="ar-SA"/>
              </w:rPr>
            </w:pPr>
            <w:r w:rsidRPr="003B5B5D">
              <w:rPr>
                <w:rFonts w:ascii="Times New Roman" w:eastAsia="Times New Roman" w:hAnsi="Times New Roman" w:cs="Times New Roman"/>
                <w:sz w:val="20"/>
                <w:szCs w:val="20"/>
                <w:lang w:val="de-DE" w:eastAsia="ar-SA"/>
              </w:rPr>
              <w:t xml:space="preserve">David </w:t>
            </w:r>
            <w:r w:rsidRPr="003B5B5D">
              <w:rPr>
                <w:rFonts w:ascii="Times New Roman" w:eastAsia="Times New Roman" w:hAnsi="Times New Roman" w:cs="Times New Roman"/>
                <w:b/>
                <w:sz w:val="20"/>
                <w:szCs w:val="20"/>
                <w:lang w:val="de-DE" w:eastAsia="ar-SA"/>
              </w:rPr>
              <w:t>Conaway</w:t>
            </w:r>
            <w:r w:rsidRPr="003B5B5D">
              <w:rPr>
                <w:rFonts w:ascii="Times New Roman" w:eastAsia="Times New Roman" w:hAnsi="Times New Roman" w:cs="Times New Roman"/>
                <w:sz w:val="20"/>
                <w:szCs w:val="20"/>
                <w:lang w:val="de-DE" w:eastAsia="ar-SA"/>
              </w:rPr>
              <w:t xml:space="preserve">, </w:t>
            </w:r>
            <w:hyperlink r:id="rId57" w:history="1">
              <w:r w:rsidRPr="003B5B5D">
                <w:rPr>
                  <w:rFonts w:ascii="Times New Roman" w:eastAsia="Times New Roman" w:hAnsi="Times New Roman" w:cs="Times New Roman"/>
                  <w:color w:val="0000FF"/>
                  <w:sz w:val="20"/>
                  <w:szCs w:val="20"/>
                  <w:u w:val="single"/>
                  <w:lang w:val="de-DE" w:eastAsia="ar-SA"/>
                </w:rPr>
                <w:t>dconaway@slk-law.co</w:t>
              </w:r>
            </w:hyperlink>
            <w:r w:rsidRPr="003B5B5D">
              <w:rPr>
                <w:rFonts w:ascii="Times New Roman" w:eastAsia="Times New Roman" w:hAnsi="Times New Roman" w:cs="Times New Roman"/>
                <w:sz w:val="20"/>
                <w:szCs w:val="20"/>
                <w:lang w:val="de-DE" w:eastAsia="ar-SA"/>
              </w:rPr>
              <w:t>m</w:t>
            </w:r>
          </w:p>
          <w:p w:rsidR="003B5B5D" w:rsidRPr="003B5B5D" w:rsidRDefault="003B5B5D" w:rsidP="003B5B5D">
            <w:pPr>
              <w:suppressAutoHyphens/>
              <w:spacing w:after="0" w:line="240" w:lineRule="auto"/>
              <w:rPr>
                <w:rFonts w:ascii="Times New Roman" w:eastAsia="Times New Roman" w:hAnsi="Times New Roman" w:cs="Times New Roman"/>
                <w:sz w:val="20"/>
                <w:szCs w:val="20"/>
                <w:lang w:eastAsia="ar-SA"/>
              </w:rPr>
            </w:pPr>
            <w:r w:rsidRPr="003B5B5D">
              <w:rPr>
                <w:rFonts w:ascii="Times New Roman" w:eastAsia="Times New Roman" w:hAnsi="Times New Roman" w:cs="Times New Roman"/>
                <w:sz w:val="20"/>
                <w:szCs w:val="20"/>
                <w:lang w:eastAsia="ar-SA"/>
              </w:rPr>
              <w:t xml:space="preserve">Pau </w:t>
            </w:r>
            <w:r w:rsidRPr="003B5B5D">
              <w:rPr>
                <w:rFonts w:ascii="Times New Roman" w:eastAsia="Times New Roman" w:hAnsi="Times New Roman" w:cs="Times New Roman"/>
                <w:b/>
                <w:sz w:val="20"/>
                <w:szCs w:val="20"/>
                <w:lang w:eastAsia="ar-SA"/>
              </w:rPr>
              <w:t>Donat</w:t>
            </w:r>
            <w:r w:rsidRPr="003B5B5D">
              <w:rPr>
                <w:rFonts w:ascii="Times New Roman" w:eastAsia="Times New Roman" w:hAnsi="Times New Roman" w:cs="Times New Roman"/>
                <w:sz w:val="20"/>
                <w:szCs w:val="20"/>
                <w:lang w:eastAsia="ar-SA"/>
              </w:rPr>
              <w:t xml:space="preserve">, </w:t>
            </w:r>
            <w:hyperlink r:id="rId58" w:history="1">
              <w:r w:rsidRPr="003B5B5D">
                <w:rPr>
                  <w:rFonts w:ascii="Times New Roman" w:eastAsia="Times New Roman" w:hAnsi="Times New Roman" w:cs="Times New Roman"/>
                  <w:color w:val="0000FF"/>
                  <w:sz w:val="20"/>
                  <w:szCs w:val="20"/>
                  <w:u w:val="single"/>
                  <w:lang w:eastAsia="ar-SA"/>
                </w:rPr>
                <w:t>donat@gabinetebegur.com</w:t>
              </w:r>
            </w:hyperlink>
          </w:p>
          <w:p w:rsidR="003B5B5D" w:rsidRPr="00BD2829" w:rsidRDefault="003B5B5D" w:rsidP="003B5B5D">
            <w:pPr>
              <w:suppressAutoHyphens/>
              <w:spacing w:after="0" w:line="240" w:lineRule="auto"/>
              <w:rPr>
                <w:rFonts w:ascii="Times New Roman" w:eastAsia="Times New Roman" w:hAnsi="Times New Roman" w:cs="Times New Roman"/>
                <w:color w:val="0000FF"/>
                <w:sz w:val="20"/>
                <w:szCs w:val="20"/>
                <w:u w:val="single"/>
                <w:lang w:eastAsia="ar-SA"/>
              </w:rPr>
            </w:pPr>
            <w:r w:rsidRPr="003B5B5D">
              <w:rPr>
                <w:rFonts w:ascii="Times New Roman" w:eastAsia="Times New Roman" w:hAnsi="Times New Roman" w:cs="Times New Roman"/>
                <w:sz w:val="20"/>
                <w:szCs w:val="20"/>
                <w:lang w:eastAsia="ar-SA"/>
              </w:rPr>
              <w:t xml:space="preserve">Edvins </w:t>
            </w:r>
            <w:r w:rsidRPr="003B5B5D">
              <w:rPr>
                <w:rFonts w:ascii="Times New Roman" w:eastAsia="Times New Roman" w:hAnsi="Times New Roman" w:cs="Times New Roman"/>
                <w:b/>
                <w:sz w:val="20"/>
                <w:szCs w:val="20"/>
                <w:lang w:eastAsia="ar-SA"/>
              </w:rPr>
              <w:t>Draba</w:t>
            </w:r>
            <w:r w:rsidRPr="003B5B5D">
              <w:rPr>
                <w:rFonts w:ascii="Times New Roman" w:eastAsia="Times New Roman" w:hAnsi="Times New Roman" w:cs="Times New Roman"/>
                <w:sz w:val="20"/>
                <w:szCs w:val="20"/>
                <w:lang w:eastAsia="ar-SA"/>
              </w:rPr>
              <w:t xml:space="preserve">, </w:t>
            </w:r>
            <w:hyperlink r:id="rId59" w:history="1">
              <w:r w:rsidRPr="003B5B5D">
                <w:rPr>
                  <w:rFonts w:ascii="Times New Roman" w:eastAsia="Times New Roman" w:hAnsi="Times New Roman" w:cs="Times New Roman"/>
                  <w:color w:val="0000FF"/>
                  <w:sz w:val="20"/>
                  <w:szCs w:val="20"/>
                  <w:u w:val="single"/>
                  <w:lang w:eastAsia="ar-SA"/>
                </w:rPr>
                <w:t>edvins.draba@sorainen.com</w:t>
              </w:r>
            </w:hyperlink>
          </w:p>
          <w:p w:rsidR="003B5B5D" w:rsidRPr="003B5B5D" w:rsidRDefault="003B5B5D" w:rsidP="003B5B5D">
            <w:pPr>
              <w:suppressAutoHyphens/>
              <w:spacing w:after="0" w:line="240" w:lineRule="auto"/>
              <w:rPr>
                <w:rFonts w:ascii="Times New Roman" w:eastAsia="Times New Roman" w:hAnsi="Times New Roman" w:cs="Times New Roman"/>
                <w:b/>
                <w:sz w:val="20"/>
                <w:szCs w:val="20"/>
                <w:lang w:val="en-GB" w:eastAsia="he-IL" w:bidi="he-IL"/>
              </w:rPr>
            </w:pPr>
            <w:r w:rsidRPr="003B5B5D">
              <w:rPr>
                <w:rFonts w:ascii="Times New Roman" w:eastAsia="Times New Roman" w:hAnsi="Times New Roman" w:cs="Times New Roman"/>
                <w:sz w:val="20"/>
                <w:szCs w:val="20"/>
                <w:lang w:val="en-GB" w:eastAsia="he-IL" w:bidi="he-IL"/>
              </w:rPr>
              <w:t xml:space="preserve">Martine </w:t>
            </w:r>
            <w:r w:rsidRPr="003B5B5D">
              <w:rPr>
                <w:rFonts w:ascii="Times New Roman" w:eastAsia="Times New Roman" w:hAnsi="Times New Roman" w:cs="Times New Roman"/>
                <w:b/>
                <w:sz w:val="20"/>
                <w:szCs w:val="20"/>
                <w:lang w:val="en-GB" w:eastAsia="he-IL" w:bidi="he-IL"/>
              </w:rPr>
              <w:t xml:space="preserve">Gerber, </w:t>
            </w:r>
          </w:p>
          <w:p w:rsidR="003B5B5D" w:rsidRDefault="009A1930" w:rsidP="003B5B5D">
            <w:pPr>
              <w:suppressAutoHyphens/>
              <w:spacing w:after="0" w:line="240" w:lineRule="auto"/>
              <w:rPr>
                <w:rFonts w:ascii="Times New Roman" w:eastAsia="Times New Roman" w:hAnsi="Times New Roman" w:cs="Times New Roman"/>
                <w:color w:val="0000FF"/>
                <w:sz w:val="20"/>
                <w:szCs w:val="20"/>
                <w:u w:val="single"/>
                <w:lang w:val="en-GB" w:eastAsia="he-IL" w:bidi="he-IL"/>
              </w:rPr>
            </w:pPr>
            <w:hyperlink r:id="rId60" w:history="1">
              <w:r w:rsidR="003B5B5D" w:rsidRPr="003B5B5D">
                <w:rPr>
                  <w:rFonts w:ascii="Times New Roman" w:eastAsia="Times New Roman" w:hAnsi="Times New Roman" w:cs="Times New Roman"/>
                  <w:color w:val="0000FF"/>
                  <w:sz w:val="20"/>
                  <w:szCs w:val="20"/>
                  <w:u w:val="single"/>
                  <w:lang w:val="en-GB" w:eastAsia="he-IL" w:bidi="he-IL"/>
                </w:rPr>
                <w:t>mgerber@opf-partners.com</w:t>
              </w:r>
            </w:hyperlink>
            <w:r w:rsidR="003B5B5D" w:rsidRPr="003B5B5D">
              <w:rPr>
                <w:rFonts w:ascii="Times New Roman" w:eastAsia="Times New Roman" w:hAnsi="Times New Roman" w:cs="Times New Roman"/>
                <w:color w:val="0000FF"/>
                <w:sz w:val="20"/>
                <w:szCs w:val="20"/>
                <w:u w:val="single"/>
                <w:lang w:val="en-GB" w:eastAsia="he-IL" w:bidi="he-IL"/>
              </w:rPr>
              <w:t xml:space="preserve"> </w:t>
            </w:r>
          </w:p>
          <w:p w:rsidR="00BD2829" w:rsidRPr="003B5B5D" w:rsidRDefault="00BD2829" w:rsidP="003B5B5D">
            <w:pPr>
              <w:suppressAutoHyphens/>
              <w:spacing w:after="0" w:line="240" w:lineRule="auto"/>
              <w:rPr>
                <w:rFonts w:ascii="Times New Roman" w:eastAsia="Times New Roman" w:hAnsi="Times New Roman" w:cs="Times New Roman"/>
                <w:color w:val="0000FF"/>
                <w:sz w:val="20"/>
                <w:szCs w:val="20"/>
                <w:u w:val="single"/>
                <w:lang w:val="en-GB" w:eastAsia="he-IL" w:bidi="he-IL"/>
              </w:rPr>
            </w:pPr>
            <w:r w:rsidRPr="003B5B5D">
              <w:rPr>
                <w:rFonts w:ascii="Times New Roman" w:eastAsia="Times New Roman" w:hAnsi="Times New Roman" w:cs="Times New Roman"/>
                <w:sz w:val="20"/>
                <w:szCs w:val="20"/>
                <w:lang w:val="en-GB" w:eastAsia="he-IL" w:bidi="he-IL"/>
              </w:rPr>
              <w:t>Guy</w:t>
            </w:r>
            <w:r w:rsidRPr="003B5B5D">
              <w:rPr>
                <w:rFonts w:ascii="Times New Roman" w:eastAsia="Times New Roman" w:hAnsi="Times New Roman" w:cs="Times New Roman"/>
                <w:b/>
                <w:sz w:val="20"/>
                <w:szCs w:val="20"/>
                <w:lang w:val="en-GB" w:eastAsia="he-IL" w:bidi="he-IL"/>
              </w:rPr>
              <w:t xml:space="preserve"> Lofalk</w:t>
            </w:r>
            <w:r w:rsidRPr="003B5B5D">
              <w:rPr>
                <w:rFonts w:ascii="Times New Roman" w:eastAsia="Times New Roman" w:hAnsi="Times New Roman" w:cs="Times New Roman"/>
                <w:sz w:val="20"/>
                <w:szCs w:val="20"/>
                <w:lang w:val="en-GB" w:eastAsia="he-IL" w:bidi="he-IL"/>
              </w:rPr>
              <w:t xml:space="preserve">, </w:t>
            </w:r>
            <w:hyperlink r:id="rId61" w:history="1">
              <w:r w:rsidRPr="003B5B5D">
                <w:rPr>
                  <w:rFonts w:ascii="Times New Roman" w:eastAsia="Times New Roman" w:hAnsi="Times New Roman" w:cs="Times New Roman"/>
                  <w:color w:val="0000FF"/>
                  <w:sz w:val="20"/>
                  <w:szCs w:val="20"/>
                  <w:u w:val="single"/>
                  <w:lang w:val="en-GB" w:eastAsia="he-IL" w:bidi="he-IL"/>
                </w:rPr>
                <w:t>guy.lofalk@lofalk.se</w:t>
              </w:r>
            </w:hyperlink>
          </w:p>
          <w:p w:rsidR="003B5B5D" w:rsidRPr="003B5B5D" w:rsidRDefault="003B5B5D" w:rsidP="003B5B5D">
            <w:pPr>
              <w:suppressAutoHyphens/>
              <w:spacing w:after="0" w:line="240" w:lineRule="auto"/>
              <w:rPr>
                <w:rFonts w:ascii="Times New Roman" w:eastAsia="Times New Roman" w:hAnsi="Times New Roman" w:cs="Times New Roman"/>
                <w:sz w:val="20"/>
                <w:szCs w:val="20"/>
                <w:lang w:val="en-US" w:eastAsia="ar-SA"/>
              </w:rPr>
            </w:pPr>
            <w:r w:rsidRPr="003B5B5D">
              <w:rPr>
                <w:rFonts w:ascii="Times New Roman" w:eastAsia="Times New Roman" w:hAnsi="Times New Roman" w:cs="Times New Roman"/>
                <w:sz w:val="20"/>
                <w:szCs w:val="20"/>
                <w:lang w:val="en-US" w:eastAsia="ar-SA"/>
              </w:rPr>
              <w:t xml:space="preserve">Enda </w:t>
            </w:r>
            <w:r w:rsidRPr="003B5B5D">
              <w:rPr>
                <w:rFonts w:ascii="Times New Roman" w:eastAsia="Times New Roman" w:hAnsi="Times New Roman" w:cs="Times New Roman"/>
                <w:b/>
                <w:sz w:val="20"/>
                <w:szCs w:val="20"/>
                <w:lang w:val="en-US" w:eastAsia="ar-SA"/>
              </w:rPr>
              <w:t>Lowry</w:t>
            </w:r>
            <w:r w:rsidRPr="003B5B5D">
              <w:rPr>
                <w:rFonts w:ascii="Times New Roman" w:eastAsia="Times New Roman" w:hAnsi="Times New Roman" w:cs="Times New Roman"/>
                <w:sz w:val="20"/>
                <w:szCs w:val="20"/>
                <w:lang w:val="en-US" w:eastAsia="ar-SA"/>
              </w:rPr>
              <w:t xml:space="preserve">, </w:t>
            </w:r>
            <w:hyperlink r:id="rId62" w:history="1">
              <w:r w:rsidRPr="003B5B5D">
                <w:rPr>
                  <w:rFonts w:ascii="Times New Roman" w:eastAsia="Times New Roman" w:hAnsi="Times New Roman" w:cs="Times New Roman"/>
                  <w:color w:val="0000FF"/>
                  <w:sz w:val="20"/>
                  <w:szCs w:val="20"/>
                  <w:u w:val="single"/>
                  <w:lang w:val="en-US" w:eastAsia="ar-SA"/>
                </w:rPr>
                <w:t>lowry@mcstayluby@luby.ie</w:t>
              </w:r>
            </w:hyperlink>
          </w:p>
          <w:p w:rsidR="003B5B5D" w:rsidRPr="003B5B5D" w:rsidRDefault="003B5B5D" w:rsidP="003B5B5D">
            <w:pPr>
              <w:suppressAutoHyphens/>
              <w:spacing w:after="0" w:line="240" w:lineRule="auto"/>
              <w:rPr>
                <w:rFonts w:ascii="Times New Roman" w:eastAsia="Times New Roman" w:hAnsi="Times New Roman" w:cs="Times New Roman"/>
                <w:sz w:val="20"/>
                <w:szCs w:val="20"/>
                <w:lang w:val="en-US" w:eastAsia="ar-SA"/>
              </w:rPr>
            </w:pPr>
            <w:r w:rsidRPr="003B5B5D">
              <w:rPr>
                <w:rFonts w:ascii="Times New Roman" w:eastAsia="Times New Roman" w:hAnsi="Times New Roman" w:cs="Times New Roman"/>
                <w:sz w:val="20"/>
                <w:szCs w:val="20"/>
                <w:lang w:val="en-US" w:eastAsia="ar-SA"/>
              </w:rPr>
              <w:t xml:space="preserve">Ana-Irina </w:t>
            </w:r>
            <w:r w:rsidRPr="003B5B5D">
              <w:rPr>
                <w:rFonts w:ascii="Times New Roman" w:eastAsia="Times New Roman" w:hAnsi="Times New Roman" w:cs="Times New Roman"/>
                <w:b/>
                <w:bCs/>
                <w:sz w:val="20"/>
                <w:szCs w:val="20"/>
                <w:lang w:val="en-US" w:eastAsia="ar-SA"/>
              </w:rPr>
              <w:t xml:space="preserve">Sarcane, </w:t>
            </w:r>
            <w:hyperlink r:id="rId63" w:history="1">
              <w:r w:rsidRPr="003B5B5D">
                <w:rPr>
                  <w:rFonts w:ascii="Times New Roman" w:eastAsia="Times New Roman" w:hAnsi="Times New Roman" w:cs="Times New Roman"/>
                  <w:color w:val="0000FF"/>
                  <w:sz w:val="20"/>
                  <w:szCs w:val="20"/>
                  <w:u w:val="single"/>
                  <w:lang w:val="en-US" w:eastAsia="ar-SA"/>
                </w:rPr>
                <w:t>irina.sarcane@sarcane.ro</w:t>
              </w:r>
            </w:hyperlink>
          </w:p>
          <w:p w:rsidR="003B5B5D" w:rsidRPr="003B5B5D" w:rsidRDefault="003B5B5D" w:rsidP="003B5B5D">
            <w:pPr>
              <w:suppressAutoHyphens/>
              <w:spacing w:after="0" w:line="240" w:lineRule="auto"/>
              <w:rPr>
                <w:rFonts w:ascii="Times New Roman" w:eastAsia="Times New Roman" w:hAnsi="Times New Roman" w:cs="Times New Roman"/>
                <w:sz w:val="20"/>
                <w:szCs w:val="20"/>
                <w:lang w:val="en-US" w:eastAsia="ar-SA"/>
              </w:rPr>
            </w:pPr>
            <w:r w:rsidRPr="003B5B5D">
              <w:rPr>
                <w:rFonts w:ascii="Times New Roman" w:eastAsia="Times New Roman" w:hAnsi="Times New Roman" w:cs="Times New Roman"/>
                <w:sz w:val="20"/>
                <w:szCs w:val="20"/>
                <w:lang w:val="en-US" w:eastAsia="ar-SA"/>
              </w:rPr>
              <w:t xml:space="preserve">Daniel </w:t>
            </w:r>
            <w:r w:rsidRPr="003B5B5D">
              <w:rPr>
                <w:rFonts w:ascii="Times New Roman" w:eastAsia="Times New Roman" w:hAnsi="Times New Roman" w:cs="Times New Roman"/>
                <w:b/>
                <w:sz w:val="20"/>
                <w:szCs w:val="20"/>
                <w:lang w:val="en-US" w:eastAsia="ar-SA"/>
              </w:rPr>
              <w:t>Staehelin,</w:t>
            </w:r>
          </w:p>
          <w:p w:rsidR="003B5B5D" w:rsidRPr="003B5B5D" w:rsidRDefault="009A1930" w:rsidP="003B5B5D">
            <w:pPr>
              <w:suppressAutoHyphens/>
              <w:spacing w:after="0" w:line="240" w:lineRule="auto"/>
              <w:rPr>
                <w:rFonts w:ascii="Times New Roman" w:eastAsia="Times New Roman" w:hAnsi="Times New Roman" w:cs="Times New Roman"/>
                <w:sz w:val="20"/>
                <w:szCs w:val="20"/>
                <w:lang w:val="en-US" w:eastAsia="ar-SA"/>
              </w:rPr>
            </w:pPr>
            <w:hyperlink r:id="rId64" w:history="1">
              <w:r w:rsidR="003B5B5D" w:rsidRPr="003B5B5D">
                <w:rPr>
                  <w:rFonts w:ascii="Times New Roman" w:eastAsia="Times New Roman" w:hAnsi="Times New Roman" w:cs="Times New Roman"/>
                  <w:color w:val="0000FF"/>
                  <w:sz w:val="20"/>
                  <w:szCs w:val="20"/>
                  <w:u w:val="single"/>
                  <w:lang w:val="en-US" w:eastAsia="ar-SA"/>
                </w:rPr>
                <w:t>Daniel.staehelin@kelerhals-carrard.ch</w:t>
              </w:r>
            </w:hyperlink>
          </w:p>
          <w:p w:rsidR="003B5B5D" w:rsidRPr="003B5B5D" w:rsidRDefault="003B5B5D" w:rsidP="003B5B5D">
            <w:pPr>
              <w:suppressAutoHyphens/>
              <w:spacing w:after="0" w:line="240" w:lineRule="auto"/>
              <w:rPr>
                <w:rFonts w:ascii="Times New Roman" w:eastAsia="Times New Roman" w:hAnsi="Times New Roman" w:cs="Times New Roman"/>
                <w:sz w:val="20"/>
                <w:szCs w:val="20"/>
                <w:lang w:val="en-US" w:eastAsia="ar-SA"/>
              </w:rPr>
            </w:pPr>
            <w:r w:rsidRPr="003B5B5D">
              <w:rPr>
                <w:rFonts w:ascii="Times New Roman" w:eastAsia="Times New Roman" w:hAnsi="Times New Roman" w:cs="Times New Roman"/>
                <w:sz w:val="20"/>
                <w:szCs w:val="20"/>
                <w:lang w:val="en-US" w:eastAsia="ar-SA"/>
              </w:rPr>
              <w:t>Annerose</w:t>
            </w:r>
            <w:r w:rsidRPr="003B5B5D">
              <w:rPr>
                <w:rFonts w:ascii="Times New Roman" w:eastAsia="Times New Roman" w:hAnsi="Times New Roman" w:cs="Times New Roman"/>
                <w:b/>
                <w:sz w:val="20"/>
                <w:szCs w:val="20"/>
                <w:lang w:val="en-US" w:eastAsia="ar-SA"/>
              </w:rPr>
              <w:t xml:space="preserve"> Tashiro,</w:t>
            </w:r>
          </w:p>
          <w:p w:rsidR="003B5B5D" w:rsidRPr="003B5B5D" w:rsidRDefault="009A1930" w:rsidP="003B5B5D">
            <w:pPr>
              <w:suppressAutoHyphens/>
              <w:spacing w:after="0" w:line="240" w:lineRule="auto"/>
              <w:rPr>
                <w:rFonts w:ascii="Times New Roman" w:eastAsia="Times New Roman" w:hAnsi="Times New Roman" w:cs="Times New Roman"/>
                <w:sz w:val="20"/>
                <w:szCs w:val="20"/>
                <w:lang w:val="en-US" w:eastAsia="ar-SA"/>
              </w:rPr>
            </w:pPr>
            <w:hyperlink r:id="rId65" w:history="1">
              <w:r w:rsidR="003B5B5D" w:rsidRPr="003B5B5D">
                <w:rPr>
                  <w:rFonts w:ascii="Times New Roman" w:eastAsia="Times New Roman" w:hAnsi="Times New Roman" w:cs="Times New Roman"/>
                  <w:color w:val="0000FF"/>
                  <w:sz w:val="20"/>
                  <w:szCs w:val="20"/>
                  <w:u w:val="single"/>
                  <w:lang w:val="en-US" w:eastAsia="ar-SA"/>
                </w:rPr>
                <w:t>atashiro@schubra.de</w:t>
              </w:r>
            </w:hyperlink>
          </w:p>
          <w:p w:rsidR="003B5B5D" w:rsidRPr="003B5B5D" w:rsidRDefault="003B5B5D" w:rsidP="003B5B5D">
            <w:pPr>
              <w:suppressAutoHyphens/>
              <w:spacing w:after="0" w:line="240" w:lineRule="auto"/>
              <w:rPr>
                <w:rFonts w:ascii="Times New Roman" w:eastAsia="Times New Roman" w:hAnsi="Times New Roman" w:cs="Times New Roman"/>
                <w:sz w:val="20"/>
                <w:szCs w:val="20"/>
                <w:lang w:val="en-US" w:eastAsia="ar-SA"/>
              </w:rPr>
            </w:pPr>
            <w:r w:rsidRPr="003B5B5D">
              <w:rPr>
                <w:rFonts w:ascii="Times New Roman" w:eastAsia="Times New Roman" w:hAnsi="Times New Roman" w:cs="Times New Roman"/>
                <w:sz w:val="20"/>
                <w:szCs w:val="20"/>
                <w:lang w:val="en-US" w:eastAsia="ar-SA"/>
              </w:rPr>
              <w:t xml:space="preserve">Caroline </w:t>
            </w:r>
            <w:r w:rsidRPr="003B5B5D">
              <w:rPr>
                <w:rFonts w:ascii="Times New Roman" w:eastAsia="Times New Roman" w:hAnsi="Times New Roman" w:cs="Times New Roman"/>
                <w:b/>
                <w:sz w:val="20"/>
                <w:szCs w:val="20"/>
                <w:lang w:val="en-US" w:eastAsia="ar-SA"/>
              </w:rPr>
              <w:t>Taylor</w:t>
            </w:r>
            <w:r w:rsidRPr="003B5B5D">
              <w:rPr>
                <w:rFonts w:ascii="Times New Roman" w:eastAsia="Times New Roman" w:hAnsi="Times New Roman" w:cs="Times New Roman"/>
                <w:sz w:val="20"/>
                <w:szCs w:val="20"/>
                <w:lang w:val="en-US" w:eastAsia="ar-SA"/>
              </w:rPr>
              <w:t xml:space="preserve">, </w:t>
            </w:r>
            <w:hyperlink r:id="rId66" w:history="1">
              <w:r w:rsidRPr="003B5B5D">
                <w:rPr>
                  <w:rFonts w:ascii="Times New Roman" w:eastAsia="Times New Roman" w:hAnsi="Times New Roman" w:cs="Times New Roman"/>
                  <w:color w:val="0000FF"/>
                  <w:sz w:val="20"/>
                  <w:szCs w:val="20"/>
                  <w:u w:val="single"/>
                  <w:lang w:val="en-US" w:eastAsia="ar-SA"/>
                </w:rPr>
                <w:t>carolinetaylor@insol-europe.org</w:t>
              </w:r>
            </w:hyperlink>
          </w:p>
          <w:p w:rsidR="003B5B5D" w:rsidRPr="003B5B5D" w:rsidRDefault="003B5B5D" w:rsidP="003B5B5D">
            <w:pPr>
              <w:suppressAutoHyphens/>
              <w:spacing w:after="0" w:line="240" w:lineRule="auto"/>
              <w:rPr>
                <w:rFonts w:ascii="Times New Roman" w:eastAsia="Times New Roman" w:hAnsi="Times New Roman" w:cs="Times New Roman"/>
                <w:sz w:val="20"/>
                <w:szCs w:val="20"/>
                <w:lang w:val="en-US" w:eastAsia="ar-SA"/>
              </w:rPr>
            </w:pPr>
            <w:r w:rsidRPr="003B5B5D">
              <w:rPr>
                <w:rFonts w:ascii="Times New Roman" w:eastAsia="Times New Roman" w:hAnsi="Times New Roman" w:cs="Times New Roman"/>
                <w:sz w:val="20"/>
                <w:szCs w:val="20"/>
                <w:lang w:val="en-GB" w:eastAsia="ar-SA"/>
              </w:rPr>
              <w:t xml:space="preserve">Michael </w:t>
            </w:r>
            <w:r w:rsidRPr="003B5B5D">
              <w:rPr>
                <w:rFonts w:ascii="Times New Roman" w:eastAsia="Times New Roman" w:hAnsi="Times New Roman" w:cs="Times New Roman"/>
                <w:b/>
                <w:sz w:val="20"/>
                <w:szCs w:val="20"/>
                <w:lang w:val="en-GB" w:eastAsia="ar-SA"/>
              </w:rPr>
              <w:t>Tierhoff</w:t>
            </w:r>
            <w:r w:rsidRPr="003B5B5D">
              <w:rPr>
                <w:rFonts w:ascii="Times New Roman" w:eastAsia="Times New Roman" w:hAnsi="Times New Roman" w:cs="Times New Roman"/>
                <w:sz w:val="20"/>
                <w:szCs w:val="20"/>
                <w:lang w:val="en-GB" w:eastAsia="ar-SA"/>
              </w:rPr>
              <w:t xml:space="preserve">, </w:t>
            </w:r>
            <w:hyperlink r:id="rId67" w:history="1">
              <w:r w:rsidRPr="003B5B5D">
                <w:rPr>
                  <w:rFonts w:ascii="Times New Roman" w:eastAsia="Times New Roman" w:hAnsi="Times New Roman" w:cs="Times New Roman"/>
                  <w:color w:val="0000FF"/>
                  <w:sz w:val="20"/>
                  <w:szCs w:val="20"/>
                  <w:u w:val="single"/>
                  <w:lang w:val="en-US" w:eastAsia="ar-SA"/>
                </w:rPr>
                <w:t>michael.thierhoff@tmpartner.de</w:t>
              </w:r>
            </w:hyperlink>
          </w:p>
          <w:p w:rsidR="003B5B5D" w:rsidRPr="003B5B5D" w:rsidRDefault="003B5B5D" w:rsidP="003B5B5D">
            <w:pPr>
              <w:suppressAutoHyphens/>
              <w:spacing w:after="0" w:line="240" w:lineRule="auto"/>
              <w:rPr>
                <w:rFonts w:ascii="Times New Roman" w:eastAsia="Times New Roman" w:hAnsi="Times New Roman" w:cs="Times New Roman"/>
                <w:sz w:val="20"/>
                <w:szCs w:val="20"/>
                <w:lang w:val="nl-NL" w:eastAsia="ar-SA"/>
              </w:rPr>
            </w:pPr>
            <w:r w:rsidRPr="003B5B5D">
              <w:rPr>
                <w:rFonts w:ascii="Times New Roman" w:eastAsia="Times New Roman" w:hAnsi="Times New Roman" w:cs="Times New Roman"/>
                <w:sz w:val="20"/>
                <w:szCs w:val="20"/>
                <w:lang w:val="nl-NL" w:eastAsia="ar-SA"/>
              </w:rPr>
              <w:t xml:space="preserve">Jesper </w:t>
            </w:r>
            <w:r w:rsidRPr="003B5B5D">
              <w:rPr>
                <w:rFonts w:ascii="Times New Roman" w:eastAsia="Times New Roman" w:hAnsi="Times New Roman" w:cs="Times New Roman"/>
                <w:b/>
                <w:bCs/>
                <w:sz w:val="20"/>
                <w:szCs w:val="20"/>
                <w:lang w:val="nl-NL" w:eastAsia="ar-SA"/>
              </w:rPr>
              <w:t xml:space="preserve">Trommer Volf, </w:t>
            </w:r>
            <w:hyperlink r:id="rId68" w:history="1">
              <w:r w:rsidRPr="003B5B5D">
                <w:rPr>
                  <w:rFonts w:ascii="Times New Roman" w:eastAsia="Times New Roman" w:hAnsi="Times New Roman" w:cs="Times New Roman"/>
                  <w:color w:val="0000FF"/>
                  <w:sz w:val="20"/>
                  <w:szCs w:val="20"/>
                  <w:u w:val="single"/>
                  <w:lang w:val="nl-NL" w:eastAsia="ar-SA"/>
                </w:rPr>
                <w:t>jtv@delacour.dk</w:t>
              </w:r>
            </w:hyperlink>
          </w:p>
          <w:p w:rsidR="003B5B5D" w:rsidRPr="003B5B5D" w:rsidRDefault="003B5B5D" w:rsidP="003B5B5D">
            <w:pPr>
              <w:suppressAutoHyphens/>
              <w:spacing w:after="0" w:line="240" w:lineRule="auto"/>
              <w:rPr>
                <w:rFonts w:ascii="Times New Roman" w:eastAsia="Times New Roman" w:hAnsi="Times New Roman" w:cs="Times New Roman"/>
                <w:sz w:val="20"/>
                <w:szCs w:val="20"/>
                <w:lang w:val="nl-NL" w:eastAsia="ar-SA"/>
              </w:rPr>
            </w:pPr>
            <w:r w:rsidRPr="003B5B5D">
              <w:rPr>
                <w:rFonts w:ascii="Times New Roman" w:eastAsia="Times New Roman" w:hAnsi="Times New Roman" w:cs="Times New Roman"/>
                <w:sz w:val="20"/>
                <w:szCs w:val="20"/>
                <w:lang w:val="nl-NL" w:eastAsia="ar-SA"/>
              </w:rPr>
              <w:t xml:space="preserve">Jean-Luc </w:t>
            </w:r>
            <w:r w:rsidRPr="003B5B5D">
              <w:rPr>
                <w:rFonts w:ascii="Times New Roman" w:eastAsia="Times New Roman" w:hAnsi="Times New Roman" w:cs="Times New Roman"/>
                <w:b/>
                <w:bCs/>
                <w:sz w:val="20"/>
                <w:szCs w:val="20"/>
                <w:lang w:val="nl-NL" w:eastAsia="ar-SA"/>
              </w:rPr>
              <w:t>Vallens</w:t>
            </w:r>
            <w:r w:rsidRPr="003B5B5D">
              <w:rPr>
                <w:rFonts w:ascii="Times New Roman" w:eastAsia="Times New Roman" w:hAnsi="Times New Roman" w:cs="Times New Roman"/>
                <w:sz w:val="20"/>
                <w:szCs w:val="20"/>
                <w:lang w:val="nl-NL" w:eastAsia="ar-SA"/>
              </w:rPr>
              <w:t xml:space="preserve">, </w:t>
            </w:r>
            <w:hyperlink r:id="rId69" w:history="1">
              <w:r w:rsidRPr="003B5B5D">
                <w:rPr>
                  <w:rFonts w:ascii="Times New Roman" w:eastAsia="Times New Roman" w:hAnsi="Times New Roman" w:cs="Times New Roman"/>
                  <w:color w:val="0000FF"/>
                  <w:sz w:val="20"/>
                  <w:szCs w:val="20"/>
                  <w:u w:val="single"/>
                  <w:lang w:val="nl-NL" w:eastAsia="ar-SA"/>
                </w:rPr>
                <w:t>vallensjl@ymail.com</w:t>
              </w:r>
            </w:hyperlink>
          </w:p>
          <w:p w:rsidR="003B5B5D" w:rsidRPr="003B5B5D" w:rsidRDefault="003B5B5D" w:rsidP="003B5B5D">
            <w:pPr>
              <w:suppressAutoHyphens/>
              <w:spacing w:after="0" w:line="240" w:lineRule="auto"/>
              <w:rPr>
                <w:rFonts w:ascii="Times New Roman" w:eastAsia="Times New Roman" w:hAnsi="Times New Roman" w:cs="Times New Roman"/>
                <w:sz w:val="20"/>
                <w:szCs w:val="20"/>
                <w:lang w:val="nl-NL" w:eastAsia="ar-SA"/>
              </w:rPr>
            </w:pPr>
            <w:r w:rsidRPr="003B5B5D">
              <w:rPr>
                <w:rFonts w:ascii="Times New Roman" w:eastAsia="Times New Roman" w:hAnsi="Times New Roman" w:cs="Times New Roman"/>
                <w:sz w:val="20"/>
                <w:szCs w:val="20"/>
                <w:lang w:val="nl-NL" w:eastAsia="ar-SA"/>
              </w:rPr>
              <w:t xml:space="preserve">Evert </w:t>
            </w:r>
            <w:r w:rsidRPr="003B5B5D">
              <w:rPr>
                <w:rFonts w:ascii="Times New Roman" w:eastAsia="Times New Roman" w:hAnsi="Times New Roman" w:cs="Times New Roman"/>
                <w:b/>
                <w:sz w:val="20"/>
                <w:szCs w:val="20"/>
                <w:lang w:val="nl-NL" w:eastAsia="ar-SA"/>
              </w:rPr>
              <w:t>Verwey</w:t>
            </w:r>
            <w:r w:rsidRPr="003B5B5D">
              <w:rPr>
                <w:rFonts w:ascii="Times New Roman" w:eastAsia="Times New Roman" w:hAnsi="Times New Roman" w:cs="Times New Roman"/>
                <w:sz w:val="20"/>
                <w:szCs w:val="20"/>
                <w:lang w:val="nl-NL" w:eastAsia="ar-SA"/>
              </w:rPr>
              <w:t xml:space="preserve">, </w:t>
            </w:r>
            <w:hyperlink r:id="rId70" w:history="1">
              <w:r w:rsidRPr="003B5B5D">
                <w:rPr>
                  <w:rFonts w:ascii="Times New Roman" w:eastAsia="Times New Roman" w:hAnsi="Times New Roman" w:cs="Times New Roman"/>
                  <w:color w:val="0000FF"/>
                  <w:sz w:val="20"/>
                  <w:szCs w:val="20"/>
                  <w:u w:val="single"/>
                  <w:lang w:val="nl-NL" w:eastAsia="ar-SA"/>
                </w:rPr>
                <w:t>evert.verwey@cliffordchance.com</w:t>
              </w:r>
            </w:hyperlink>
          </w:p>
          <w:p w:rsidR="003B5B5D" w:rsidRPr="003B5B5D" w:rsidRDefault="003B5B5D" w:rsidP="003B5B5D">
            <w:pPr>
              <w:suppressAutoHyphens/>
              <w:spacing w:after="0" w:line="240" w:lineRule="auto"/>
              <w:rPr>
                <w:rFonts w:ascii="Times New Roman" w:eastAsia="Times New Roman" w:hAnsi="Times New Roman" w:cs="Times New Roman"/>
                <w:sz w:val="20"/>
                <w:szCs w:val="20"/>
                <w:lang w:val="nl-NL" w:eastAsia="ar-SA"/>
              </w:rPr>
            </w:pPr>
            <w:r w:rsidRPr="003B5B5D">
              <w:rPr>
                <w:rFonts w:ascii="Times New Roman" w:eastAsia="Times New Roman" w:hAnsi="Times New Roman" w:cs="Times New Roman"/>
                <w:sz w:val="20"/>
                <w:szCs w:val="20"/>
                <w:lang w:val="nl-NL" w:eastAsia="ar-SA"/>
              </w:rPr>
              <w:t xml:space="preserve">Signe </w:t>
            </w:r>
            <w:r w:rsidRPr="003B5B5D">
              <w:rPr>
                <w:rFonts w:ascii="Times New Roman" w:eastAsia="Times New Roman" w:hAnsi="Times New Roman" w:cs="Times New Roman"/>
                <w:b/>
                <w:sz w:val="20"/>
                <w:szCs w:val="20"/>
                <w:lang w:val="nl-NL" w:eastAsia="ar-SA"/>
              </w:rPr>
              <w:t>Viimsalu,</w:t>
            </w:r>
          </w:p>
          <w:p w:rsidR="003B5B5D" w:rsidRPr="003B5B5D" w:rsidRDefault="009A1930" w:rsidP="003B5B5D">
            <w:pPr>
              <w:suppressAutoHyphens/>
              <w:spacing w:after="0" w:line="240" w:lineRule="auto"/>
              <w:rPr>
                <w:rFonts w:ascii="Times New Roman" w:eastAsia="Times New Roman" w:hAnsi="Times New Roman" w:cs="Times New Roman"/>
                <w:sz w:val="20"/>
                <w:szCs w:val="20"/>
                <w:lang w:val="nl-NL" w:eastAsia="ar-SA"/>
              </w:rPr>
            </w:pPr>
            <w:hyperlink r:id="rId71" w:history="1">
              <w:r w:rsidR="003B5B5D" w:rsidRPr="003B5B5D">
                <w:rPr>
                  <w:rFonts w:ascii="Times New Roman" w:eastAsia="Times New Roman" w:hAnsi="Times New Roman" w:cs="Times New Roman"/>
                  <w:color w:val="0000FF"/>
                  <w:sz w:val="20"/>
                  <w:szCs w:val="20"/>
                  <w:u w:val="single"/>
                  <w:lang w:val="nl-NL" w:eastAsia="ar-SA"/>
                </w:rPr>
                <w:t>Signe.viimsalu@gmail.com</w:t>
              </w:r>
            </w:hyperlink>
          </w:p>
          <w:p w:rsidR="003B5B5D" w:rsidRPr="003B5B5D" w:rsidRDefault="003B5B5D" w:rsidP="003B5B5D">
            <w:pPr>
              <w:suppressAutoHyphens/>
              <w:spacing w:after="0" w:line="240" w:lineRule="auto"/>
              <w:rPr>
                <w:rFonts w:ascii="Times New Roman" w:eastAsia="Times New Roman" w:hAnsi="Times New Roman" w:cs="Times New Roman"/>
                <w:sz w:val="20"/>
                <w:szCs w:val="20"/>
                <w:lang w:val="nl-NL" w:eastAsia="ar-SA"/>
              </w:rPr>
            </w:pPr>
          </w:p>
        </w:tc>
        <w:tc>
          <w:tcPr>
            <w:tcW w:w="2530" w:type="dxa"/>
            <w:tcBorders>
              <w:top w:val="single" w:sz="4" w:space="0" w:color="000000"/>
              <w:left w:val="single" w:sz="4" w:space="0" w:color="000000"/>
              <w:bottom w:val="single" w:sz="4" w:space="0" w:color="000000"/>
            </w:tcBorders>
            <w:shd w:val="clear" w:color="auto" w:fill="auto"/>
          </w:tcPr>
          <w:p w:rsidR="003B5B5D" w:rsidRPr="003B5B5D" w:rsidRDefault="003B5B5D" w:rsidP="003B5B5D">
            <w:pPr>
              <w:suppressAutoHyphens/>
              <w:spacing w:after="0" w:line="240" w:lineRule="auto"/>
              <w:rPr>
                <w:rFonts w:ascii="Times New Roman" w:eastAsia="Times New Roman" w:hAnsi="Times New Roman" w:cs="Times New Roman"/>
                <w:b/>
                <w:bCs/>
                <w:sz w:val="20"/>
                <w:szCs w:val="20"/>
                <w:lang w:eastAsia="ar-SA"/>
              </w:rPr>
            </w:pPr>
          </w:p>
          <w:p w:rsidR="003B5B5D" w:rsidRPr="003B5B5D" w:rsidRDefault="003B5B5D" w:rsidP="003B5B5D">
            <w:pPr>
              <w:suppressAutoHyphens/>
              <w:spacing w:after="0" w:line="240" w:lineRule="auto"/>
              <w:rPr>
                <w:rFonts w:ascii="Times New Roman" w:eastAsia="Times New Roman" w:hAnsi="Times New Roman" w:cs="Times New Roman"/>
                <w:sz w:val="20"/>
                <w:szCs w:val="20"/>
                <w:lang w:eastAsia="ar-SA"/>
              </w:rPr>
            </w:pPr>
          </w:p>
          <w:p w:rsidR="003B5B5D" w:rsidRPr="003B5B5D" w:rsidRDefault="003B5B5D" w:rsidP="003B5B5D">
            <w:pPr>
              <w:suppressAutoHyphens/>
              <w:spacing w:after="0" w:line="240" w:lineRule="auto"/>
              <w:rPr>
                <w:rFonts w:ascii="Times New Roman" w:eastAsia="Times New Roman" w:hAnsi="Times New Roman" w:cs="Times New Roman"/>
                <w:b/>
                <w:bCs/>
                <w:sz w:val="20"/>
                <w:szCs w:val="20"/>
                <w:lang w:eastAsia="ar-SA"/>
              </w:rPr>
            </w:pPr>
            <w:r w:rsidRPr="003B5B5D">
              <w:rPr>
                <w:rFonts w:ascii="Times New Roman" w:eastAsia="Times New Roman" w:hAnsi="Times New Roman" w:cs="Times New Roman"/>
                <w:b/>
                <w:bCs/>
                <w:sz w:val="20"/>
                <w:szCs w:val="20"/>
                <w:lang w:eastAsia="ar-SA"/>
              </w:rPr>
              <w:t>euro</w:t>
            </w:r>
            <w:r w:rsidRPr="003B5B5D">
              <w:rPr>
                <w:rFonts w:ascii="Times New Roman" w:eastAsia="Times New Roman" w:hAnsi="Times New Roman" w:cs="Times New Roman"/>
                <w:b/>
                <w:bCs/>
                <w:i/>
                <w:iCs/>
                <w:sz w:val="20"/>
                <w:szCs w:val="20"/>
                <w:lang w:eastAsia="ar-SA"/>
              </w:rPr>
              <w:t>fenix</w:t>
            </w:r>
            <w:r w:rsidRPr="003B5B5D">
              <w:rPr>
                <w:rFonts w:ascii="Times New Roman" w:eastAsia="Times New Roman" w:hAnsi="Times New Roman" w:cs="Times New Roman"/>
                <w:b/>
                <w:bCs/>
                <w:sz w:val="20"/>
                <w:szCs w:val="20"/>
                <w:lang w:eastAsia="ar-SA"/>
              </w:rPr>
              <w:t xml:space="preserve"> français</w:t>
            </w:r>
          </w:p>
          <w:p w:rsidR="003B5B5D" w:rsidRPr="003B5B5D" w:rsidRDefault="003B5B5D" w:rsidP="003B5B5D">
            <w:pPr>
              <w:suppressAutoHyphens/>
              <w:spacing w:after="0" w:line="240" w:lineRule="auto"/>
              <w:rPr>
                <w:rFonts w:ascii="Times New Roman" w:eastAsia="Times New Roman" w:hAnsi="Times New Roman" w:cs="Times New Roman"/>
                <w:sz w:val="20"/>
                <w:szCs w:val="20"/>
                <w:lang w:eastAsia="ar-SA"/>
              </w:rPr>
            </w:pPr>
            <w:r w:rsidRPr="003B5B5D">
              <w:rPr>
                <w:rFonts w:ascii="Times New Roman" w:eastAsia="Times New Roman" w:hAnsi="Times New Roman" w:cs="Times New Roman"/>
                <w:sz w:val="20"/>
                <w:szCs w:val="20"/>
                <w:lang w:eastAsia="ar-SA"/>
              </w:rPr>
              <w:t xml:space="preserve">Parrainé par </w:t>
            </w:r>
            <w:r w:rsidRPr="003B5B5D">
              <w:rPr>
                <w:rFonts w:ascii="Times New Roman" w:eastAsia="Times New Roman" w:hAnsi="Times New Roman" w:cs="Times New Roman"/>
                <w:b/>
                <w:sz w:val="20"/>
                <w:szCs w:val="20"/>
                <w:lang w:eastAsia="ar-SA"/>
              </w:rPr>
              <w:t>CNAJMJ</w:t>
            </w:r>
            <w:r w:rsidRPr="003B5B5D">
              <w:rPr>
                <w:rFonts w:ascii="Times New Roman" w:eastAsia="Times New Roman" w:hAnsi="Times New Roman" w:cs="Times New Roman"/>
                <w:sz w:val="20"/>
                <w:szCs w:val="20"/>
                <w:lang w:eastAsia="ar-SA"/>
              </w:rPr>
              <w:t xml:space="preserve"> – France</w:t>
            </w:r>
          </w:p>
          <w:p w:rsidR="003B5B5D" w:rsidRPr="003B5B5D" w:rsidRDefault="003B5B5D" w:rsidP="003B5B5D">
            <w:pPr>
              <w:suppressAutoHyphens/>
              <w:spacing w:after="0" w:line="240" w:lineRule="auto"/>
              <w:rPr>
                <w:rFonts w:ascii="Times New Roman" w:eastAsia="Times New Roman" w:hAnsi="Times New Roman" w:cs="Times New Roman"/>
                <w:sz w:val="20"/>
                <w:szCs w:val="20"/>
                <w:lang w:eastAsia="ar-SA"/>
              </w:rPr>
            </w:pPr>
            <w:r w:rsidRPr="003B5B5D">
              <w:rPr>
                <w:rFonts w:ascii="Times New Roman" w:eastAsia="Times New Roman" w:hAnsi="Times New Roman" w:cs="Times New Roman"/>
                <w:sz w:val="20"/>
                <w:szCs w:val="20"/>
                <w:lang w:eastAsia="ar-SA"/>
              </w:rPr>
              <w:t>Editeur/Renseignements/</w:t>
            </w:r>
          </w:p>
          <w:p w:rsidR="003B5B5D" w:rsidRPr="003B5B5D" w:rsidRDefault="003B5B5D" w:rsidP="003B5B5D">
            <w:pPr>
              <w:suppressAutoHyphens/>
              <w:spacing w:after="0" w:line="240" w:lineRule="auto"/>
              <w:rPr>
                <w:rFonts w:ascii="Times New Roman" w:eastAsia="Times New Roman" w:hAnsi="Times New Roman" w:cs="Times New Roman"/>
                <w:sz w:val="20"/>
                <w:szCs w:val="20"/>
                <w:lang w:eastAsia="ar-SA"/>
              </w:rPr>
            </w:pPr>
            <w:r w:rsidRPr="003B5B5D">
              <w:rPr>
                <w:rFonts w:ascii="Times New Roman" w:eastAsia="Times New Roman" w:hAnsi="Times New Roman" w:cs="Times New Roman"/>
                <w:sz w:val="20"/>
                <w:szCs w:val="20"/>
                <w:lang w:eastAsia="ar-SA"/>
              </w:rPr>
              <w:t xml:space="preserve">Proposition d’article : </w:t>
            </w:r>
          </w:p>
          <w:p w:rsidR="003B5B5D" w:rsidRPr="003B5B5D" w:rsidRDefault="003B5B5D" w:rsidP="003B5B5D">
            <w:pPr>
              <w:suppressAutoHyphens/>
              <w:spacing w:after="0" w:line="240" w:lineRule="auto"/>
              <w:rPr>
                <w:rFonts w:ascii="Times New Roman" w:eastAsia="Times New Roman" w:hAnsi="Times New Roman" w:cs="Times New Roman"/>
                <w:b/>
                <w:bCs/>
                <w:sz w:val="20"/>
                <w:szCs w:val="20"/>
                <w:lang w:eastAsia="ar-SA"/>
              </w:rPr>
            </w:pPr>
            <w:r w:rsidRPr="003B5B5D">
              <w:rPr>
                <w:rFonts w:ascii="Times New Roman" w:eastAsia="Times New Roman" w:hAnsi="Times New Roman" w:cs="Times New Roman"/>
                <w:b/>
                <w:bCs/>
                <w:sz w:val="20"/>
                <w:szCs w:val="20"/>
                <w:lang w:eastAsia="ar-SA"/>
              </w:rPr>
              <w:t>Florica Sincu</w:t>
            </w:r>
          </w:p>
          <w:p w:rsidR="003B5B5D" w:rsidRPr="003B5B5D" w:rsidRDefault="009A1930" w:rsidP="003B5B5D">
            <w:pPr>
              <w:suppressAutoHyphens/>
              <w:spacing w:after="0" w:line="240" w:lineRule="auto"/>
              <w:rPr>
                <w:rFonts w:ascii="Times New Roman" w:eastAsia="Times New Roman" w:hAnsi="Times New Roman" w:cs="Times New Roman"/>
                <w:sz w:val="20"/>
                <w:szCs w:val="20"/>
                <w:lang w:eastAsia="ar-SA"/>
              </w:rPr>
            </w:pPr>
            <w:hyperlink r:id="rId72" w:history="1">
              <w:r w:rsidR="003B5B5D" w:rsidRPr="003B5B5D">
                <w:rPr>
                  <w:rFonts w:ascii="Times New Roman" w:eastAsia="Times New Roman" w:hAnsi="Times New Roman" w:cs="Times New Roman"/>
                  <w:color w:val="0000FF"/>
                  <w:sz w:val="20"/>
                  <w:szCs w:val="20"/>
                  <w:u w:val="single"/>
                  <w:lang w:eastAsia="ar-SA"/>
                </w:rPr>
                <w:t>floricasincu@insol-europe.org</w:t>
              </w:r>
            </w:hyperlink>
          </w:p>
          <w:p w:rsidR="003B5B5D" w:rsidRPr="003B5B5D" w:rsidRDefault="003B5B5D" w:rsidP="003B5B5D">
            <w:pPr>
              <w:suppressAutoHyphens/>
              <w:spacing w:after="0" w:line="240" w:lineRule="auto"/>
              <w:rPr>
                <w:rFonts w:ascii="Times New Roman" w:eastAsia="Times New Roman" w:hAnsi="Times New Roman" w:cs="Times New Roman"/>
                <w:sz w:val="20"/>
                <w:szCs w:val="20"/>
                <w:lang w:eastAsia="ar-SA"/>
              </w:rPr>
            </w:pPr>
            <w:r w:rsidRPr="003B5B5D">
              <w:rPr>
                <w:rFonts w:ascii="Times New Roman" w:eastAsia="Times New Roman" w:hAnsi="Times New Roman" w:cs="Times New Roman"/>
                <w:bCs/>
                <w:sz w:val="20"/>
                <w:szCs w:val="20"/>
                <w:lang w:eastAsia="ar-SA"/>
              </w:rPr>
              <w:t>Traduction</w:t>
            </w:r>
            <w:r w:rsidRPr="003B5B5D">
              <w:rPr>
                <w:rFonts w:ascii="Times New Roman" w:eastAsia="Times New Roman" w:hAnsi="Times New Roman" w:cs="Times New Roman"/>
                <w:b/>
                <w:bCs/>
                <w:sz w:val="20"/>
                <w:szCs w:val="20"/>
                <w:lang w:eastAsia="ar-SA"/>
              </w:rPr>
              <w:t xml:space="preserve"> : </w:t>
            </w:r>
            <w:r w:rsidRPr="003B5B5D">
              <w:rPr>
                <w:rFonts w:ascii="Times New Roman" w:eastAsia="Times New Roman" w:hAnsi="Times New Roman" w:cs="Times New Roman"/>
                <w:b/>
                <w:sz w:val="20"/>
                <w:szCs w:val="20"/>
                <w:lang w:eastAsia="ar-SA"/>
              </w:rPr>
              <w:t>Gabrielle Allemand</w:t>
            </w:r>
            <w:r w:rsidRPr="003B5B5D">
              <w:rPr>
                <w:rFonts w:ascii="Times New Roman" w:eastAsia="Times New Roman" w:hAnsi="Times New Roman" w:cs="Times New Roman"/>
                <w:sz w:val="20"/>
                <w:szCs w:val="20"/>
                <w:lang w:eastAsia="ar-SA"/>
              </w:rPr>
              <w:t xml:space="preserve"> (</w:t>
            </w:r>
            <w:hyperlink r:id="rId73" w:history="1">
              <w:r w:rsidRPr="003B5B5D">
                <w:rPr>
                  <w:rFonts w:ascii="Times New Roman" w:eastAsia="Times New Roman" w:hAnsi="Times New Roman" w:cs="Times New Roman"/>
                  <w:color w:val="0000FF"/>
                  <w:sz w:val="20"/>
                  <w:szCs w:val="20"/>
                  <w:u w:val="single"/>
                  <w:lang w:eastAsia="ar-SA"/>
                </w:rPr>
                <w:t>gamtrad@free.fr</w:t>
              </w:r>
            </w:hyperlink>
            <w:r w:rsidRPr="003B5B5D">
              <w:rPr>
                <w:rFonts w:ascii="Times New Roman" w:eastAsia="Times New Roman" w:hAnsi="Times New Roman" w:cs="Times New Roman"/>
                <w:sz w:val="20"/>
                <w:szCs w:val="20"/>
                <w:lang w:eastAsia="ar-SA"/>
              </w:rPr>
              <w:t>)</w:t>
            </w:r>
          </w:p>
          <w:p w:rsidR="003B5B5D" w:rsidRPr="003B5B5D" w:rsidRDefault="003B5B5D" w:rsidP="003B5B5D">
            <w:pPr>
              <w:suppressAutoHyphens/>
              <w:spacing w:after="0" w:line="240" w:lineRule="auto"/>
              <w:rPr>
                <w:rFonts w:ascii="Times New Roman" w:eastAsia="Times New Roman" w:hAnsi="Times New Roman" w:cs="Times New Roman"/>
                <w:b/>
                <w:bCs/>
                <w:sz w:val="20"/>
                <w:szCs w:val="20"/>
                <w:lang w:eastAsia="ar-SA"/>
              </w:rPr>
            </w:pPr>
          </w:p>
          <w:p w:rsidR="003B5B5D" w:rsidRPr="003B5B5D" w:rsidRDefault="003B5B5D" w:rsidP="003B5B5D">
            <w:pPr>
              <w:suppressAutoHyphens/>
              <w:spacing w:after="0" w:line="240" w:lineRule="auto"/>
              <w:rPr>
                <w:rFonts w:ascii="Times New Roman" w:eastAsia="Times New Roman" w:hAnsi="Times New Roman" w:cs="Times New Roman"/>
                <w:b/>
                <w:bCs/>
                <w:sz w:val="20"/>
                <w:szCs w:val="20"/>
                <w:lang w:eastAsia="ar-SA"/>
              </w:rPr>
            </w:pPr>
          </w:p>
          <w:p w:rsidR="003B5B5D" w:rsidRPr="003B5B5D" w:rsidRDefault="003B5B5D" w:rsidP="003B5B5D">
            <w:pPr>
              <w:suppressAutoHyphens/>
              <w:spacing w:after="0" w:line="240" w:lineRule="auto"/>
              <w:rPr>
                <w:rFonts w:ascii="Times New Roman" w:eastAsia="Times New Roman" w:hAnsi="Times New Roman" w:cs="Times New Roman"/>
                <w:sz w:val="20"/>
                <w:szCs w:val="20"/>
                <w:lang w:eastAsia="ar-SA"/>
              </w:rPr>
            </w:pPr>
            <w:r w:rsidRPr="003B5B5D">
              <w:rPr>
                <w:rFonts w:ascii="Times New Roman" w:eastAsia="Times New Roman" w:hAnsi="Times New Roman" w:cs="Times New Roman"/>
                <w:b/>
                <w:bCs/>
                <w:sz w:val="20"/>
                <w:szCs w:val="20"/>
                <w:lang w:eastAsia="ar-SA"/>
              </w:rPr>
              <w:t>Publicité et ventes</w:t>
            </w:r>
            <w:r w:rsidRPr="003B5B5D">
              <w:rPr>
                <w:rFonts w:ascii="Times New Roman" w:eastAsia="Times New Roman" w:hAnsi="Times New Roman" w:cs="Times New Roman"/>
                <w:sz w:val="20"/>
                <w:szCs w:val="20"/>
                <w:lang w:eastAsia="ar-SA"/>
              </w:rPr>
              <w:t> :</w:t>
            </w:r>
          </w:p>
          <w:p w:rsidR="003B5B5D" w:rsidRPr="00BD2829" w:rsidRDefault="003B5B5D" w:rsidP="003B5B5D">
            <w:pPr>
              <w:suppressAutoHyphens/>
              <w:spacing w:after="0" w:line="240" w:lineRule="auto"/>
              <w:rPr>
                <w:rFonts w:ascii="Times New Roman" w:eastAsia="Times New Roman" w:hAnsi="Times New Roman" w:cs="Times New Roman"/>
                <w:sz w:val="20"/>
                <w:szCs w:val="20"/>
                <w:lang w:val="en-US" w:eastAsia="ar-SA"/>
              </w:rPr>
            </w:pPr>
            <w:r w:rsidRPr="00BD2829">
              <w:rPr>
                <w:rFonts w:ascii="Times New Roman" w:eastAsia="Times New Roman" w:hAnsi="Times New Roman" w:cs="Times New Roman"/>
                <w:b/>
                <w:sz w:val="20"/>
                <w:szCs w:val="20"/>
                <w:lang w:val="en-US" w:eastAsia="ar-SA"/>
              </w:rPr>
              <w:t>Edward Taylor - MRP Print</w:t>
            </w:r>
            <w:r w:rsidRPr="00BD2829">
              <w:rPr>
                <w:rFonts w:ascii="Times New Roman" w:eastAsia="Times New Roman" w:hAnsi="Times New Roman" w:cs="Times New Roman"/>
                <w:sz w:val="20"/>
                <w:szCs w:val="20"/>
                <w:lang w:val="en-US" w:eastAsia="ar-SA"/>
              </w:rPr>
              <w:t xml:space="preserve"> </w:t>
            </w:r>
            <w:hyperlink r:id="rId74" w:history="1">
              <w:r w:rsidRPr="00BD2829">
                <w:rPr>
                  <w:rFonts w:ascii="Times New Roman" w:eastAsia="Times New Roman" w:hAnsi="Times New Roman" w:cs="Times New Roman"/>
                  <w:color w:val="0000FF"/>
                  <w:sz w:val="20"/>
                  <w:szCs w:val="20"/>
                  <w:u w:val="single"/>
                  <w:lang w:val="en-US" w:eastAsia="ar-SA"/>
                </w:rPr>
                <w:t>eurofenix@mrp.uk.com</w:t>
              </w:r>
            </w:hyperlink>
          </w:p>
          <w:p w:rsidR="003B5B5D" w:rsidRPr="003B5B5D" w:rsidRDefault="003B5B5D" w:rsidP="003B5B5D">
            <w:pPr>
              <w:suppressAutoHyphens/>
              <w:spacing w:after="0" w:line="240" w:lineRule="auto"/>
              <w:rPr>
                <w:rFonts w:ascii="Times New Roman" w:eastAsia="Times New Roman" w:hAnsi="Times New Roman" w:cs="Times New Roman"/>
                <w:b/>
                <w:bCs/>
                <w:sz w:val="20"/>
                <w:szCs w:val="20"/>
                <w:lang w:eastAsia="ar-SA"/>
              </w:rPr>
            </w:pPr>
            <w:r w:rsidRPr="003B5B5D">
              <w:rPr>
                <w:rFonts w:ascii="Times New Roman" w:eastAsia="Times New Roman" w:hAnsi="Times New Roman" w:cs="Times New Roman"/>
                <w:sz w:val="20"/>
                <w:szCs w:val="20"/>
                <w:lang w:eastAsia="ar-SA"/>
              </w:rPr>
              <w:t>Tél. +44 115 955 1000</w:t>
            </w:r>
          </w:p>
          <w:p w:rsidR="003B5B5D" w:rsidRPr="003B5B5D" w:rsidRDefault="003B5B5D" w:rsidP="003B5B5D">
            <w:pPr>
              <w:suppressAutoHyphens/>
              <w:spacing w:after="0" w:line="240" w:lineRule="auto"/>
              <w:rPr>
                <w:rFonts w:ascii="Times New Roman" w:eastAsia="Times New Roman" w:hAnsi="Times New Roman" w:cs="Times New Roman"/>
                <w:b/>
                <w:bCs/>
                <w:sz w:val="20"/>
                <w:szCs w:val="20"/>
                <w:lang w:eastAsia="ar-SA"/>
              </w:rPr>
            </w:pPr>
          </w:p>
          <w:p w:rsidR="006A5AC6" w:rsidRDefault="006A5AC6" w:rsidP="003B5B5D">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Imprimeur de la version a</w:t>
            </w:r>
            <w:r w:rsidR="003B5B5D" w:rsidRPr="003B5B5D">
              <w:rPr>
                <w:rFonts w:ascii="Times New Roman" w:eastAsia="Times New Roman" w:hAnsi="Times New Roman" w:cs="Times New Roman"/>
                <w:b/>
                <w:bCs/>
                <w:sz w:val="20"/>
                <w:szCs w:val="20"/>
                <w:lang w:eastAsia="ar-SA"/>
              </w:rPr>
              <w:t>nglaise  :</w:t>
            </w:r>
            <w:r w:rsidR="003B5B5D" w:rsidRPr="003B5B5D">
              <w:rPr>
                <w:rFonts w:ascii="Times New Roman" w:eastAsia="Times New Roman" w:hAnsi="Times New Roman" w:cs="Times New Roman"/>
                <w:sz w:val="20"/>
                <w:szCs w:val="20"/>
                <w:lang w:eastAsia="ar-SA"/>
              </w:rPr>
              <w:t xml:space="preserve">  </w:t>
            </w:r>
            <w:r w:rsidR="003B5B5D" w:rsidRPr="003B5B5D">
              <w:rPr>
                <w:rFonts w:ascii="Times New Roman" w:eastAsia="Times New Roman" w:hAnsi="Times New Roman" w:cs="Times New Roman"/>
                <w:b/>
                <w:sz w:val="20"/>
                <w:szCs w:val="20"/>
                <w:lang w:eastAsia="ar-SA"/>
              </w:rPr>
              <w:t>MRP Print</w:t>
            </w:r>
            <w:r w:rsidR="003B5B5D" w:rsidRPr="003B5B5D">
              <w:rPr>
                <w:rFonts w:ascii="Times New Roman" w:eastAsia="Times New Roman" w:hAnsi="Times New Roman" w:cs="Times New Roman"/>
                <w:sz w:val="20"/>
                <w:szCs w:val="20"/>
                <w:lang w:eastAsia="ar-SA"/>
              </w:rPr>
              <w:t xml:space="preserve"> </w:t>
            </w:r>
          </w:p>
          <w:p w:rsidR="006A5AC6" w:rsidRDefault="006A5AC6" w:rsidP="003B5B5D">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www.mrp.uk.com</w:t>
            </w:r>
          </w:p>
          <w:p w:rsidR="003B5B5D" w:rsidRPr="003B5B5D" w:rsidRDefault="003B5B5D" w:rsidP="003B5B5D">
            <w:pPr>
              <w:suppressAutoHyphens/>
              <w:spacing w:after="0" w:line="240" w:lineRule="auto"/>
              <w:rPr>
                <w:rFonts w:ascii="Times New Roman" w:eastAsia="Times New Roman" w:hAnsi="Times New Roman" w:cs="Times New Roman"/>
                <w:b/>
                <w:bCs/>
                <w:sz w:val="20"/>
                <w:szCs w:val="20"/>
                <w:lang w:eastAsia="ar-SA"/>
              </w:rPr>
            </w:pPr>
          </w:p>
          <w:p w:rsidR="003B5B5D" w:rsidRPr="003B5B5D" w:rsidRDefault="003B5B5D" w:rsidP="003B5B5D">
            <w:pPr>
              <w:suppressAutoHyphens/>
              <w:spacing w:after="0" w:line="240" w:lineRule="auto"/>
              <w:rPr>
                <w:rFonts w:ascii="Times New Roman" w:eastAsia="Times New Roman" w:hAnsi="Times New Roman" w:cs="Times New Roman"/>
                <w:b/>
                <w:bCs/>
                <w:sz w:val="20"/>
                <w:szCs w:val="20"/>
                <w:lang w:eastAsia="ar-SA"/>
              </w:rPr>
            </w:pPr>
          </w:p>
          <w:p w:rsidR="003B5B5D" w:rsidRPr="003B5B5D" w:rsidRDefault="003B5B5D" w:rsidP="003B5B5D">
            <w:pPr>
              <w:suppressAutoHyphens/>
              <w:spacing w:after="0" w:line="240" w:lineRule="auto"/>
              <w:rPr>
                <w:rFonts w:ascii="Times New Roman" w:eastAsia="Times New Roman" w:hAnsi="Times New Roman" w:cs="Times New Roman"/>
                <w:sz w:val="20"/>
                <w:szCs w:val="20"/>
                <w:lang w:eastAsia="ar-SA"/>
              </w:rPr>
            </w:pPr>
          </w:p>
          <w:p w:rsidR="003B5B5D" w:rsidRPr="003B5B5D" w:rsidRDefault="003B5B5D" w:rsidP="003B5B5D">
            <w:pPr>
              <w:suppressAutoHyphens/>
              <w:spacing w:after="0" w:line="240" w:lineRule="auto"/>
              <w:rPr>
                <w:rFonts w:ascii="Times New Roman" w:eastAsia="Times New Roman" w:hAnsi="Times New Roman" w:cs="Times New Roman"/>
                <w:b/>
                <w:sz w:val="20"/>
                <w:szCs w:val="20"/>
                <w:lang w:eastAsia="ar-SA"/>
              </w:rPr>
            </w:pPr>
            <w:r w:rsidRPr="003B5B5D">
              <w:rPr>
                <w:rFonts w:ascii="Times New Roman" w:eastAsia="Times New Roman" w:hAnsi="Times New Roman" w:cs="Times New Roman"/>
                <w:b/>
                <w:sz w:val="20"/>
                <w:szCs w:val="20"/>
                <w:lang w:eastAsia="ar-SA"/>
              </w:rPr>
              <w:t xml:space="preserve">Le </w:t>
            </w:r>
            <w:r w:rsidRPr="003B5B5D">
              <w:rPr>
                <w:rFonts w:ascii="Times New Roman" w:eastAsia="Times New Roman" w:hAnsi="Times New Roman" w:cs="Times New Roman"/>
                <w:b/>
                <w:bCs/>
                <w:sz w:val="20"/>
                <w:szCs w:val="20"/>
                <w:lang w:eastAsia="ar-SA"/>
              </w:rPr>
              <w:t>futur numéro</w:t>
            </w:r>
            <w:r w:rsidRPr="003B5B5D">
              <w:rPr>
                <w:rFonts w:ascii="Times New Roman" w:eastAsia="Times New Roman" w:hAnsi="Times New Roman" w:cs="Times New Roman"/>
                <w:b/>
                <w:sz w:val="20"/>
                <w:szCs w:val="20"/>
                <w:lang w:eastAsia="ar-SA"/>
              </w:rPr>
              <w:t xml:space="preserve"> sera publié en</w:t>
            </w:r>
            <w:r w:rsidR="006A5AC6">
              <w:rPr>
                <w:rFonts w:ascii="Times New Roman" w:eastAsia="Times New Roman" w:hAnsi="Times New Roman" w:cs="Times New Roman"/>
                <w:b/>
                <w:sz w:val="20"/>
                <w:szCs w:val="20"/>
                <w:lang w:eastAsia="ar-SA"/>
              </w:rPr>
              <w:t xml:space="preserve"> Juillet</w:t>
            </w:r>
            <w:r w:rsidRPr="003B5B5D">
              <w:rPr>
                <w:rFonts w:ascii="Times New Roman" w:eastAsia="Times New Roman" w:hAnsi="Times New Roman" w:cs="Times New Roman"/>
                <w:b/>
                <w:sz w:val="20"/>
                <w:szCs w:val="20"/>
                <w:lang w:eastAsia="ar-SA"/>
              </w:rPr>
              <w:t xml:space="preserve"> 2018</w:t>
            </w:r>
          </w:p>
          <w:p w:rsidR="003B5B5D" w:rsidRPr="003B5B5D" w:rsidRDefault="003B5B5D" w:rsidP="003B5B5D">
            <w:pPr>
              <w:suppressAutoHyphens/>
              <w:spacing w:after="0" w:line="240" w:lineRule="auto"/>
              <w:rPr>
                <w:rFonts w:ascii="Times New Roman" w:eastAsia="Times New Roman" w:hAnsi="Times New Roman" w:cs="Times New Roman"/>
                <w:sz w:val="20"/>
                <w:szCs w:val="20"/>
                <w:lang w:eastAsia="ar-SA"/>
              </w:rPr>
            </w:pPr>
          </w:p>
          <w:p w:rsidR="003B5B5D" w:rsidRPr="003B5B5D" w:rsidRDefault="003B5B5D" w:rsidP="003B5B5D">
            <w:pPr>
              <w:suppressAutoHyphens/>
              <w:spacing w:after="0" w:line="240" w:lineRule="auto"/>
              <w:rPr>
                <w:rFonts w:ascii="Times New Roman" w:eastAsia="Times New Roman" w:hAnsi="Times New Roman" w:cs="Times New Roman"/>
                <w:sz w:val="20"/>
                <w:szCs w:val="20"/>
                <w:lang w:eastAsia="ar-SA"/>
              </w:rPr>
            </w:pPr>
          </w:p>
          <w:p w:rsidR="003B5B5D" w:rsidRPr="003B5B5D" w:rsidRDefault="003B5B5D" w:rsidP="003B5B5D">
            <w:pPr>
              <w:suppressAutoHyphens/>
              <w:spacing w:after="0" w:line="240" w:lineRule="auto"/>
              <w:rPr>
                <w:rFonts w:ascii="Times New Roman" w:eastAsia="Times New Roman" w:hAnsi="Times New Roman" w:cs="Times New Roman"/>
                <w:sz w:val="20"/>
                <w:szCs w:val="20"/>
                <w:lang w:eastAsia="ar-SA"/>
              </w:rPr>
            </w:pPr>
            <w:r w:rsidRPr="003B5B5D">
              <w:rPr>
                <w:rFonts w:ascii="Times New Roman" w:eastAsia="Times New Roman" w:hAnsi="Times New Roman" w:cs="Times New Roman"/>
                <w:sz w:val="20"/>
                <w:szCs w:val="20"/>
                <w:lang w:eastAsia="ar-SA"/>
              </w:rPr>
              <w:t>Toute correspondance, y compris toute proposition d’article, doit être adressée à:</w:t>
            </w:r>
          </w:p>
          <w:p w:rsidR="003B5B5D" w:rsidRPr="003B5B5D" w:rsidRDefault="003B5B5D" w:rsidP="003B5B5D">
            <w:pPr>
              <w:suppressAutoHyphens/>
              <w:spacing w:after="0" w:line="240" w:lineRule="auto"/>
              <w:rPr>
                <w:rFonts w:ascii="Times New Roman" w:eastAsia="Times New Roman" w:hAnsi="Times New Roman" w:cs="Times New Roman"/>
                <w:sz w:val="20"/>
                <w:szCs w:val="20"/>
                <w:lang w:val="en-US" w:eastAsia="ar-SA"/>
              </w:rPr>
            </w:pPr>
            <w:r w:rsidRPr="003B5B5D">
              <w:rPr>
                <w:rFonts w:ascii="Times New Roman" w:eastAsia="Times New Roman" w:hAnsi="Times New Roman" w:cs="Times New Roman"/>
                <w:sz w:val="20"/>
                <w:szCs w:val="20"/>
                <w:lang w:val="en-US" w:eastAsia="ar-SA"/>
              </w:rPr>
              <w:t xml:space="preserve">Paul </w:t>
            </w:r>
            <w:r w:rsidRPr="003B5B5D">
              <w:rPr>
                <w:rFonts w:ascii="Times New Roman" w:eastAsia="Times New Roman" w:hAnsi="Times New Roman" w:cs="Times New Roman"/>
                <w:bCs/>
                <w:sz w:val="20"/>
                <w:szCs w:val="20"/>
                <w:lang w:val="en-US" w:eastAsia="ar-SA"/>
              </w:rPr>
              <w:t>Newson</w:t>
            </w:r>
            <w:r w:rsidRPr="003B5B5D">
              <w:rPr>
                <w:rFonts w:ascii="Times New Roman" w:eastAsia="Times New Roman" w:hAnsi="Times New Roman" w:cs="Times New Roman"/>
                <w:sz w:val="20"/>
                <w:szCs w:val="20"/>
                <w:lang w:val="en-US" w:eastAsia="ar-SA"/>
              </w:rPr>
              <w:t xml:space="preserve"> - </w:t>
            </w:r>
          </w:p>
          <w:p w:rsidR="003B5B5D" w:rsidRPr="003B5B5D" w:rsidRDefault="003B5B5D" w:rsidP="003B5B5D">
            <w:pPr>
              <w:suppressAutoHyphens/>
              <w:spacing w:after="0" w:line="240" w:lineRule="auto"/>
              <w:rPr>
                <w:rFonts w:ascii="Times New Roman" w:eastAsia="Times New Roman" w:hAnsi="Times New Roman" w:cs="Times New Roman"/>
                <w:sz w:val="20"/>
                <w:szCs w:val="20"/>
                <w:lang w:val="en-US" w:eastAsia="ar-SA"/>
              </w:rPr>
            </w:pPr>
            <w:r w:rsidRPr="003B5B5D">
              <w:rPr>
                <w:rFonts w:ascii="Times New Roman" w:eastAsia="Times New Roman" w:hAnsi="Times New Roman" w:cs="Times New Roman"/>
                <w:bCs/>
                <w:sz w:val="20"/>
                <w:szCs w:val="20"/>
                <w:lang w:val="en-GB" w:eastAsia="ar-SA"/>
              </w:rPr>
              <w:t>PNDesign</w:t>
            </w:r>
            <w:r w:rsidRPr="003B5B5D">
              <w:rPr>
                <w:rFonts w:ascii="Times New Roman" w:eastAsia="Times New Roman" w:hAnsi="Times New Roman" w:cs="Times New Roman"/>
                <w:sz w:val="20"/>
                <w:szCs w:val="20"/>
                <w:lang w:val="en-GB" w:eastAsia="ar-SA"/>
              </w:rPr>
              <w:t xml:space="preserve">, </w:t>
            </w:r>
          </w:p>
          <w:p w:rsidR="003B5B5D" w:rsidRPr="003B5B5D" w:rsidRDefault="009A1930" w:rsidP="003B5B5D">
            <w:pPr>
              <w:suppressAutoHyphens/>
              <w:spacing w:after="0" w:line="240" w:lineRule="auto"/>
              <w:rPr>
                <w:rFonts w:ascii="Times New Roman" w:eastAsia="Times New Roman" w:hAnsi="Times New Roman" w:cs="Times New Roman"/>
                <w:b/>
                <w:bCs/>
                <w:sz w:val="20"/>
                <w:szCs w:val="20"/>
                <w:lang w:val="en-US" w:eastAsia="ar-SA"/>
              </w:rPr>
            </w:pPr>
            <w:hyperlink r:id="rId75" w:history="1">
              <w:r w:rsidR="003B5B5D" w:rsidRPr="003B5B5D">
                <w:rPr>
                  <w:rFonts w:ascii="Times New Roman" w:eastAsia="Times New Roman" w:hAnsi="Times New Roman" w:cs="Times New Roman"/>
                  <w:color w:val="0000FF"/>
                  <w:sz w:val="20"/>
                  <w:szCs w:val="20"/>
                  <w:u w:val="single"/>
                  <w:lang w:val="en-US" w:eastAsia="ar-SA"/>
                </w:rPr>
                <w:t>pndesign@icloud.com</w:t>
              </w:r>
            </w:hyperlink>
          </w:p>
          <w:p w:rsidR="003B5B5D" w:rsidRPr="003B5B5D" w:rsidRDefault="003B5B5D" w:rsidP="003B5B5D">
            <w:pPr>
              <w:suppressAutoHyphens/>
              <w:spacing w:after="0" w:line="240" w:lineRule="auto"/>
              <w:rPr>
                <w:rFonts w:ascii="Times New Roman" w:eastAsia="Times New Roman" w:hAnsi="Times New Roman" w:cs="Times New Roman"/>
                <w:b/>
                <w:bCs/>
                <w:sz w:val="20"/>
                <w:szCs w:val="20"/>
                <w:lang w:val="en-US" w:eastAsia="ar-SA"/>
              </w:rPr>
            </w:pPr>
          </w:p>
          <w:p w:rsidR="003B5B5D" w:rsidRPr="003B5B5D" w:rsidRDefault="003B5B5D" w:rsidP="003B5B5D">
            <w:pPr>
              <w:suppressAutoHyphens/>
              <w:spacing w:after="0" w:line="240" w:lineRule="auto"/>
              <w:rPr>
                <w:rFonts w:ascii="Times New Roman" w:eastAsia="Times New Roman" w:hAnsi="Times New Roman" w:cs="Times New Roman"/>
                <w:sz w:val="20"/>
                <w:szCs w:val="20"/>
                <w:lang w:val="en-GB" w:eastAsia="ar-SA"/>
              </w:rPr>
            </w:pPr>
          </w:p>
        </w:tc>
        <w:tc>
          <w:tcPr>
            <w:tcW w:w="2060" w:type="dxa"/>
            <w:tcBorders>
              <w:top w:val="single" w:sz="4" w:space="0" w:color="000000"/>
              <w:left w:val="single" w:sz="4" w:space="0" w:color="000000"/>
              <w:bottom w:val="single" w:sz="4" w:space="0" w:color="000000"/>
            </w:tcBorders>
            <w:shd w:val="clear" w:color="auto" w:fill="auto"/>
          </w:tcPr>
          <w:p w:rsidR="003B5B5D" w:rsidRPr="003B5B5D" w:rsidRDefault="003B5B5D" w:rsidP="003B5B5D">
            <w:pPr>
              <w:suppressAutoHyphens/>
              <w:snapToGrid w:val="0"/>
              <w:spacing w:after="0" w:line="240" w:lineRule="auto"/>
              <w:rPr>
                <w:rFonts w:ascii="Times New Roman" w:eastAsia="Times New Roman" w:hAnsi="Times New Roman" w:cs="Times New Roman"/>
                <w:b/>
                <w:bCs/>
                <w:sz w:val="20"/>
                <w:szCs w:val="20"/>
                <w:lang w:val="en-US" w:eastAsia="ar-SA"/>
              </w:rPr>
            </w:pPr>
          </w:p>
          <w:p w:rsidR="003B5B5D" w:rsidRPr="003B5B5D" w:rsidRDefault="003B5B5D" w:rsidP="003B5B5D">
            <w:pPr>
              <w:suppressAutoHyphens/>
              <w:spacing w:after="0" w:line="240" w:lineRule="auto"/>
              <w:rPr>
                <w:rFonts w:ascii="Times New Roman" w:eastAsia="Times New Roman" w:hAnsi="Times New Roman" w:cs="Times New Roman"/>
                <w:b/>
                <w:bCs/>
                <w:sz w:val="20"/>
                <w:szCs w:val="20"/>
                <w:lang w:val="en-US" w:eastAsia="ar-SA"/>
              </w:rPr>
            </w:pPr>
          </w:p>
          <w:p w:rsidR="003B5B5D" w:rsidRPr="003B5B5D" w:rsidRDefault="003B5B5D" w:rsidP="003B5B5D">
            <w:pPr>
              <w:suppressAutoHyphens/>
              <w:spacing w:after="0" w:line="240" w:lineRule="auto"/>
              <w:rPr>
                <w:rFonts w:ascii="Times New Roman" w:eastAsia="Times New Roman" w:hAnsi="Times New Roman" w:cs="Times New Roman"/>
                <w:b/>
                <w:bCs/>
                <w:sz w:val="20"/>
                <w:szCs w:val="20"/>
                <w:lang w:val="en-US" w:eastAsia="ar-SA"/>
              </w:rPr>
            </w:pPr>
          </w:p>
          <w:p w:rsidR="003B5B5D" w:rsidRPr="003B5B5D" w:rsidRDefault="003B5B5D" w:rsidP="003B5B5D">
            <w:pPr>
              <w:suppressAutoHyphens/>
              <w:spacing w:after="0" w:line="240" w:lineRule="auto"/>
              <w:rPr>
                <w:rFonts w:ascii="Times New Roman" w:eastAsia="Times New Roman" w:hAnsi="Times New Roman" w:cs="Times New Roman"/>
                <w:sz w:val="20"/>
                <w:szCs w:val="20"/>
                <w:lang w:val="en-US" w:eastAsia="ar-SA"/>
              </w:rPr>
            </w:pPr>
            <w:r w:rsidRPr="003B5B5D">
              <w:rPr>
                <w:rFonts w:ascii="Times New Roman" w:eastAsia="Times New Roman" w:hAnsi="Times New Roman" w:cs="Times New Roman"/>
                <w:sz w:val="20"/>
                <w:szCs w:val="20"/>
                <w:lang w:val="en-US" w:eastAsia="ar-SA"/>
              </w:rPr>
              <w:t xml:space="preserve"> </w:t>
            </w:r>
          </w:p>
          <w:p w:rsidR="003B5B5D" w:rsidRPr="003B5B5D" w:rsidRDefault="003B5B5D" w:rsidP="003B5B5D">
            <w:pPr>
              <w:suppressAutoHyphens/>
              <w:spacing w:after="0" w:line="240" w:lineRule="auto"/>
              <w:rPr>
                <w:rFonts w:ascii="Times New Roman" w:eastAsia="Times New Roman" w:hAnsi="Times New Roman" w:cs="Times New Roman"/>
                <w:sz w:val="20"/>
                <w:szCs w:val="20"/>
                <w:lang w:val="en-US" w:eastAsia="ar-SA"/>
              </w:rPr>
            </w:pPr>
          </w:p>
          <w:p w:rsidR="003B5B5D" w:rsidRPr="003B5B5D" w:rsidRDefault="003B5B5D" w:rsidP="003B5B5D">
            <w:pPr>
              <w:suppressAutoHyphens/>
              <w:spacing w:after="0" w:line="240" w:lineRule="auto"/>
              <w:rPr>
                <w:rFonts w:ascii="Times New Roman" w:eastAsia="Times New Roman" w:hAnsi="Times New Roman" w:cs="Times New Roman"/>
                <w:sz w:val="20"/>
                <w:szCs w:val="20"/>
                <w:lang w:val="en-US" w:eastAsia="ar-SA"/>
              </w:rPr>
            </w:pPr>
          </w:p>
          <w:p w:rsidR="003B5B5D" w:rsidRPr="003B5B5D" w:rsidRDefault="003B5B5D" w:rsidP="003B5B5D">
            <w:pPr>
              <w:suppressAutoHyphens/>
              <w:spacing w:after="0" w:line="240" w:lineRule="auto"/>
              <w:rPr>
                <w:rFonts w:ascii="Times New Roman" w:eastAsia="Times New Roman" w:hAnsi="Times New Roman" w:cs="Times New Roman"/>
                <w:sz w:val="20"/>
                <w:szCs w:val="20"/>
                <w:lang w:val="en-US" w:eastAsia="ar-SA"/>
              </w:rPr>
            </w:pPr>
          </w:p>
          <w:p w:rsidR="003B5B5D" w:rsidRPr="003B5B5D" w:rsidRDefault="003B5B5D" w:rsidP="003B5B5D">
            <w:pPr>
              <w:suppressAutoHyphens/>
              <w:spacing w:after="0" w:line="240" w:lineRule="auto"/>
              <w:rPr>
                <w:rFonts w:ascii="Times New Roman" w:eastAsia="Times New Roman" w:hAnsi="Times New Roman" w:cs="Times New Roman"/>
                <w:b/>
                <w:bCs/>
                <w:i/>
                <w:iCs/>
                <w:sz w:val="20"/>
                <w:szCs w:val="20"/>
                <w:lang w:val="en-US" w:eastAsia="ar-SA"/>
              </w:rPr>
            </w:pPr>
          </w:p>
          <w:p w:rsidR="003B5B5D" w:rsidRPr="003B5B5D" w:rsidRDefault="003B5B5D" w:rsidP="003B5B5D">
            <w:pPr>
              <w:suppressAutoHyphens/>
              <w:spacing w:after="0" w:line="240" w:lineRule="auto"/>
              <w:rPr>
                <w:rFonts w:ascii="Times New Roman" w:eastAsia="Times New Roman" w:hAnsi="Times New Roman" w:cs="Times New Roman"/>
                <w:sz w:val="20"/>
                <w:szCs w:val="20"/>
                <w:lang w:eastAsia="ar-SA"/>
              </w:rPr>
            </w:pPr>
            <w:r w:rsidRPr="003B5B5D">
              <w:rPr>
                <w:rFonts w:ascii="Times New Roman" w:eastAsia="Times New Roman" w:hAnsi="Times New Roman" w:cs="Times New Roman"/>
                <w:b/>
                <w:bCs/>
                <w:i/>
                <w:iCs/>
                <w:sz w:val="20"/>
                <w:szCs w:val="20"/>
                <w:lang w:eastAsia="ar-SA"/>
              </w:rPr>
              <w:t>Copyright</w:t>
            </w:r>
            <w:r w:rsidRPr="003B5B5D">
              <w:rPr>
                <w:rFonts w:ascii="Times New Roman" w:eastAsia="Times New Roman" w:hAnsi="Times New Roman" w:cs="Times New Roman"/>
                <w:i/>
                <w:iCs/>
                <w:sz w:val="20"/>
                <w:szCs w:val="20"/>
                <w:lang w:eastAsia="ar-SA"/>
              </w:rPr>
              <w:t> </w:t>
            </w:r>
            <w:r w:rsidRPr="003B5B5D">
              <w:rPr>
                <w:rFonts w:ascii="Times New Roman" w:eastAsia="Times New Roman" w:hAnsi="Times New Roman" w:cs="Times New Roman"/>
                <w:sz w:val="20"/>
                <w:szCs w:val="20"/>
                <w:lang w:eastAsia="ar-SA"/>
              </w:rPr>
              <w:t xml:space="preserve">: </w:t>
            </w:r>
          </w:p>
          <w:p w:rsidR="003B5B5D" w:rsidRPr="003B5B5D" w:rsidRDefault="003B5B5D" w:rsidP="003B5B5D">
            <w:pPr>
              <w:suppressAutoHyphens/>
              <w:spacing w:after="0" w:line="240" w:lineRule="auto"/>
              <w:rPr>
                <w:rFonts w:ascii="Times New Roman" w:eastAsia="Times New Roman" w:hAnsi="Times New Roman" w:cs="Times New Roman"/>
                <w:sz w:val="20"/>
                <w:szCs w:val="20"/>
                <w:lang w:eastAsia="ar-SA"/>
              </w:rPr>
            </w:pPr>
            <w:r w:rsidRPr="003B5B5D">
              <w:rPr>
                <w:rFonts w:ascii="Times New Roman" w:eastAsia="Times New Roman" w:hAnsi="Times New Roman" w:cs="Times New Roman"/>
                <w:sz w:val="20"/>
                <w:szCs w:val="20"/>
                <w:lang w:eastAsia="ar-SA"/>
              </w:rPr>
              <w:t>INSOL Europe 2017</w:t>
            </w:r>
          </w:p>
          <w:p w:rsidR="003B5B5D" w:rsidRPr="003B5B5D" w:rsidRDefault="003B5B5D" w:rsidP="003B5B5D">
            <w:pPr>
              <w:suppressAutoHyphens/>
              <w:spacing w:after="0" w:line="240" w:lineRule="auto"/>
              <w:rPr>
                <w:rFonts w:ascii="Times New Roman" w:eastAsia="Times New Roman" w:hAnsi="Times New Roman" w:cs="Times New Roman"/>
                <w:sz w:val="20"/>
                <w:szCs w:val="20"/>
                <w:lang w:eastAsia="ar-SA"/>
              </w:rPr>
            </w:pPr>
          </w:p>
          <w:p w:rsidR="003B5B5D" w:rsidRPr="003B5B5D" w:rsidRDefault="003B5B5D" w:rsidP="003B5B5D">
            <w:pPr>
              <w:suppressAutoHyphens/>
              <w:spacing w:after="0" w:line="240" w:lineRule="auto"/>
              <w:rPr>
                <w:rFonts w:ascii="Times New Roman" w:eastAsia="Times New Roman" w:hAnsi="Times New Roman" w:cs="Times New Roman"/>
                <w:sz w:val="20"/>
                <w:szCs w:val="20"/>
                <w:lang w:eastAsia="ar-SA"/>
              </w:rPr>
            </w:pPr>
          </w:p>
          <w:p w:rsidR="003B5B5D" w:rsidRPr="003B5B5D" w:rsidRDefault="003B5B5D" w:rsidP="003B5B5D">
            <w:pPr>
              <w:suppressAutoHyphens/>
              <w:spacing w:after="0" w:line="240" w:lineRule="auto"/>
              <w:rPr>
                <w:rFonts w:ascii="Times New Roman" w:eastAsia="Times New Roman" w:hAnsi="Times New Roman" w:cs="Times New Roman"/>
                <w:sz w:val="20"/>
                <w:szCs w:val="20"/>
                <w:lang w:eastAsia="ar-SA"/>
              </w:rPr>
            </w:pPr>
            <w:r w:rsidRPr="003B5B5D">
              <w:rPr>
                <w:rFonts w:ascii="Times New Roman" w:eastAsia="Times New Roman" w:hAnsi="Times New Roman" w:cs="Times New Roman"/>
                <w:sz w:val="20"/>
                <w:szCs w:val="20"/>
                <w:lang w:eastAsia="ar-SA"/>
              </w:rPr>
              <w:t>Aucun extrait de la présente lettre d’information ne pourra être reproduit ou transféré, sous quelque forme et par quelque biais que ce soit, sans l’accord préalable d’INSOL Europe</w:t>
            </w:r>
          </w:p>
          <w:p w:rsidR="003B5B5D" w:rsidRPr="003B5B5D" w:rsidRDefault="003B5B5D" w:rsidP="003B5B5D">
            <w:pPr>
              <w:suppressAutoHyphens/>
              <w:spacing w:after="0" w:line="240" w:lineRule="auto"/>
              <w:rPr>
                <w:rFonts w:ascii="Times New Roman" w:eastAsia="Times New Roman" w:hAnsi="Times New Roman" w:cs="Times New Roman"/>
                <w:sz w:val="20"/>
                <w:szCs w:val="20"/>
                <w:lang w:eastAsia="ar-SA"/>
              </w:rPr>
            </w:pPr>
          </w:p>
          <w:p w:rsidR="003B5B5D" w:rsidRPr="003B5B5D" w:rsidRDefault="003B5B5D" w:rsidP="003B5B5D">
            <w:pPr>
              <w:suppressAutoHyphens/>
              <w:spacing w:after="0" w:line="240" w:lineRule="auto"/>
              <w:rPr>
                <w:rFonts w:ascii="Times New Roman" w:eastAsia="Times New Roman" w:hAnsi="Times New Roman" w:cs="Times New Roman"/>
                <w:sz w:val="20"/>
                <w:szCs w:val="20"/>
                <w:lang w:eastAsia="ar-SA"/>
              </w:rPr>
            </w:pPr>
          </w:p>
          <w:p w:rsidR="003B5B5D" w:rsidRPr="003B5B5D" w:rsidRDefault="003B5B5D" w:rsidP="003B5B5D">
            <w:pPr>
              <w:suppressAutoHyphens/>
              <w:spacing w:after="0" w:line="240" w:lineRule="auto"/>
              <w:rPr>
                <w:rFonts w:ascii="Times New Roman" w:eastAsia="Times New Roman" w:hAnsi="Times New Roman" w:cs="Times New Roman"/>
                <w:sz w:val="20"/>
                <w:szCs w:val="20"/>
                <w:lang w:eastAsia="ar-SA"/>
              </w:rPr>
            </w:pPr>
          </w:p>
          <w:p w:rsidR="003B5B5D" w:rsidRPr="003B5B5D" w:rsidRDefault="003B5B5D" w:rsidP="003B5B5D">
            <w:pPr>
              <w:suppressAutoHyphens/>
              <w:spacing w:after="0" w:line="240" w:lineRule="auto"/>
              <w:rPr>
                <w:rFonts w:ascii="Times New Roman" w:eastAsia="Times New Roman" w:hAnsi="Times New Roman" w:cs="Times New Roman"/>
                <w:sz w:val="20"/>
                <w:szCs w:val="20"/>
                <w:lang w:eastAsia="ar-SA"/>
              </w:rPr>
            </w:pPr>
          </w:p>
          <w:p w:rsidR="003B5B5D" w:rsidRPr="003B5B5D" w:rsidRDefault="003B5B5D" w:rsidP="003B5B5D">
            <w:pPr>
              <w:suppressAutoHyphens/>
              <w:spacing w:after="0" w:line="240" w:lineRule="auto"/>
              <w:rPr>
                <w:rFonts w:ascii="Times New Roman" w:eastAsia="Times New Roman" w:hAnsi="Times New Roman" w:cs="Times New Roman"/>
                <w:sz w:val="20"/>
                <w:szCs w:val="20"/>
                <w:lang w:eastAsia="ar-SA"/>
              </w:rPr>
            </w:pPr>
            <w:r w:rsidRPr="003B5B5D">
              <w:rPr>
                <w:rFonts w:ascii="Times New Roman" w:eastAsia="Times New Roman" w:hAnsi="Times New Roman" w:cs="Times New Roman"/>
                <w:b/>
                <w:sz w:val="20"/>
                <w:szCs w:val="20"/>
                <w:lang w:eastAsia="ar-SA"/>
              </w:rPr>
              <w:t>Images</w:t>
            </w:r>
            <w:r w:rsidRPr="003B5B5D">
              <w:rPr>
                <w:rFonts w:ascii="Times New Roman" w:eastAsia="Times New Roman" w:hAnsi="Times New Roman" w:cs="Times New Roman"/>
                <w:sz w:val="20"/>
                <w:szCs w:val="20"/>
                <w:lang w:eastAsia="ar-SA"/>
              </w:rPr>
              <w:t xml:space="preserve"> : </w:t>
            </w:r>
          </w:p>
          <w:p w:rsidR="003B5B5D" w:rsidRPr="003B5B5D" w:rsidRDefault="003B5B5D" w:rsidP="003B5B5D">
            <w:pPr>
              <w:suppressAutoHyphens/>
              <w:spacing w:after="0" w:line="240" w:lineRule="auto"/>
              <w:rPr>
                <w:rFonts w:ascii="Times New Roman" w:eastAsia="Times New Roman" w:hAnsi="Times New Roman" w:cs="Times New Roman"/>
                <w:sz w:val="20"/>
                <w:szCs w:val="20"/>
                <w:lang w:eastAsia="ar-SA"/>
              </w:rPr>
            </w:pPr>
            <w:r w:rsidRPr="003B5B5D">
              <w:rPr>
                <w:rFonts w:ascii="Times New Roman" w:eastAsia="Times New Roman" w:hAnsi="Times New Roman" w:cs="Times New Roman"/>
                <w:sz w:val="20"/>
                <w:szCs w:val="20"/>
                <w:lang w:eastAsia="ar-SA"/>
              </w:rPr>
              <w:t>@Fotolia.com (s’il n’y a pas une autre mention)</w:t>
            </w:r>
          </w:p>
          <w:p w:rsidR="003B5B5D" w:rsidRPr="003B5B5D" w:rsidRDefault="003B5B5D" w:rsidP="003B5B5D">
            <w:pPr>
              <w:suppressAutoHyphens/>
              <w:spacing w:after="0" w:line="240" w:lineRule="auto"/>
              <w:rPr>
                <w:rFonts w:ascii="Times New Roman" w:eastAsia="Times New Roman" w:hAnsi="Times New Roman" w:cs="Times New Roman"/>
                <w:sz w:val="20"/>
                <w:szCs w:val="20"/>
                <w:lang w:eastAsia="ar-SA"/>
              </w:rPr>
            </w:pPr>
          </w:p>
          <w:p w:rsidR="003B5B5D" w:rsidRPr="003B5B5D" w:rsidRDefault="003B5B5D" w:rsidP="003B5B5D">
            <w:pPr>
              <w:suppressAutoHyphens/>
              <w:spacing w:after="0" w:line="240" w:lineRule="auto"/>
              <w:rPr>
                <w:rFonts w:ascii="Times New Roman" w:eastAsia="Times New Roman" w:hAnsi="Times New Roman" w:cs="Times New Roman"/>
                <w:sz w:val="20"/>
                <w:szCs w:val="20"/>
                <w:lang w:eastAsia="ar-SA"/>
              </w:rPr>
            </w:pPr>
            <w:r w:rsidRPr="003B5B5D">
              <w:rPr>
                <w:rFonts w:ascii="Times New Roman" w:eastAsia="Times New Roman" w:hAnsi="Times New Roman" w:cs="Times New Roman"/>
                <w:sz w:val="20"/>
                <w:szCs w:val="20"/>
                <w:lang w:eastAsia="ar-SA"/>
              </w:rPr>
              <w:t xml:space="preserve">EUROFENIX et </w:t>
            </w:r>
            <w:r w:rsidRPr="003B5B5D">
              <w:rPr>
                <w:rFonts w:ascii="Times New Roman" w:eastAsia="Times New Roman" w:hAnsi="Times New Roman" w:cs="Times New Roman"/>
                <w:i/>
                <w:sz w:val="20"/>
                <w:szCs w:val="20"/>
                <w:lang w:eastAsia="ar-SA"/>
              </w:rPr>
              <w:t>eurofenix</w:t>
            </w:r>
            <w:r w:rsidRPr="003B5B5D">
              <w:rPr>
                <w:rFonts w:ascii="Times New Roman" w:eastAsia="Times New Roman" w:hAnsi="Times New Roman" w:cs="Times New Roman"/>
                <w:sz w:val="20"/>
                <w:szCs w:val="20"/>
                <w:lang w:eastAsia="ar-SA"/>
              </w:rPr>
              <w:t xml:space="preserve"> sont des marques enregistrées au  nom d’INSOL Europe</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3B5B5D" w:rsidRPr="003B5B5D" w:rsidRDefault="003B5B5D" w:rsidP="003B5B5D">
            <w:pPr>
              <w:suppressAutoHyphens/>
              <w:snapToGrid w:val="0"/>
              <w:spacing w:after="0" w:line="240" w:lineRule="auto"/>
              <w:rPr>
                <w:rFonts w:ascii="Times New Roman" w:eastAsia="Times New Roman" w:hAnsi="Times New Roman" w:cs="Times New Roman"/>
                <w:b/>
                <w:bCs/>
                <w:i/>
                <w:iCs/>
                <w:sz w:val="20"/>
                <w:szCs w:val="20"/>
                <w:lang w:eastAsia="ar-SA"/>
              </w:rPr>
            </w:pPr>
          </w:p>
          <w:p w:rsidR="003B5B5D" w:rsidRPr="003B5B5D" w:rsidRDefault="003B5B5D" w:rsidP="003B5B5D">
            <w:pPr>
              <w:suppressAutoHyphens/>
              <w:spacing w:after="0" w:line="240" w:lineRule="auto"/>
              <w:rPr>
                <w:rFonts w:ascii="Times New Roman" w:eastAsia="Times New Roman" w:hAnsi="Times New Roman" w:cs="Times New Roman"/>
                <w:b/>
                <w:bCs/>
                <w:i/>
                <w:iCs/>
                <w:sz w:val="20"/>
                <w:szCs w:val="20"/>
                <w:lang w:eastAsia="ar-SA"/>
              </w:rPr>
            </w:pPr>
          </w:p>
          <w:p w:rsidR="003B5B5D" w:rsidRPr="003B5B5D" w:rsidRDefault="003B5B5D" w:rsidP="003B5B5D">
            <w:pPr>
              <w:suppressAutoHyphens/>
              <w:spacing w:after="0" w:line="240" w:lineRule="auto"/>
              <w:rPr>
                <w:rFonts w:ascii="Times New Roman" w:eastAsia="Times New Roman" w:hAnsi="Times New Roman" w:cs="Times New Roman"/>
                <w:i/>
                <w:iCs/>
                <w:sz w:val="20"/>
                <w:szCs w:val="20"/>
                <w:lang w:eastAsia="ar-SA"/>
              </w:rPr>
            </w:pPr>
            <w:r w:rsidRPr="003B5B5D">
              <w:rPr>
                <w:rFonts w:ascii="Times New Roman" w:eastAsia="Times New Roman" w:hAnsi="Times New Roman" w:cs="Times New Roman"/>
                <w:b/>
                <w:bCs/>
                <w:i/>
                <w:iCs/>
                <w:sz w:val="20"/>
                <w:szCs w:val="20"/>
                <w:lang w:eastAsia="ar-SA"/>
              </w:rPr>
              <w:t>Avertissement</w:t>
            </w:r>
            <w:r w:rsidRPr="003B5B5D">
              <w:rPr>
                <w:rFonts w:ascii="Times New Roman" w:eastAsia="Times New Roman" w:hAnsi="Times New Roman" w:cs="Times New Roman"/>
                <w:i/>
                <w:iCs/>
                <w:sz w:val="20"/>
                <w:szCs w:val="20"/>
                <w:lang w:eastAsia="ar-SA"/>
              </w:rPr>
              <w:t xml:space="preserve"> : </w:t>
            </w:r>
          </w:p>
          <w:p w:rsidR="003B5B5D" w:rsidRPr="003B5B5D" w:rsidRDefault="003B5B5D" w:rsidP="003B5B5D">
            <w:pPr>
              <w:suppressAutoHyphens/>
              <w:spacing w:after="0" w:line="240" w:lineRule="auto"/>
              <w:rPr>
                <w:rFonts w:ascii="Times New Roman" w:eastAsia="Times New Roman" w:hAnsi="Times New Roman" w:cs="Times New Roman"/>
                <w:i/>
                <w:iCs/>
                <w:sz w:val="20"/>
                <w:szCs w:val="20"/>
                <w:lang w:eastAsia="ar-SA"/>
              </w:rPr>
            </w:pPr>
          </w:p>
          <w:p w:rsidR="003B5B5D" w:rsidRPr="003B5B5D" w:rsidRDefault="003B5B5D" w:rsidP="003B5B5D">
            <w:pPr>
              <w:suppressAutoHyphens/>
              <w:spacing w:after="0" w:line="240" w:lineRule="auto"/>
              <w:rPr>
                <w:rFonts w:ascii="Times New Roman" w:eastAsia="Times New Roman" w:hAnsi="Times New Roman" w:cs="Times New Roman"/>
                <w:sz w:val="20"/>
                <w:szCs w:val="20"/>
                <w:lang w:eastAsia="ar-SA"/>
              </w:rPr>
            </w:pPr>
          </w:p>
          <w:p w:rsidR="003B5B5D" w:rsidRPr="003B5B5D" w:rsidRDefault="003B5B5D" w:rsidP="003B5B5D">
            <w:pPr>
              <w:suppressAutoHyphens/>
              <w:spacing w:after="0" w:line="240" w:lineRule="auto"/>
              <w:rPr>
                <w:rFonts w:ascii="Times New Roman" w:eastAsia="Times New Roman" w:hAnsi="Times New Roman" w:cs="Times New Roman"/>
                <w:sz w:val="20"/>
                <w:szCs w:val="20"/>
                <w:lang w:eastAsia="ar-SA"/>
              </w:rPr>
            </w:pPr>
            <w:r w:rsidRPr="003B5B5D">
              <w:rPr>
                <w:rFonts w:ascii="Times New Roman" w:eastAsia="Times New Roman" w:hAnsi="Times New Roman" w:cs="Times New Roman"/>
                <w:sz w:val="20"/>
                <w:szCs w:val="20"/>
                <w:lang w:eastAsia="ar-SA"/>
              </w:rPr>
              <w:t>La présence d’une erreur ou omission dans les articles publiés n’engagera nullement la responsabilité</w:t>
            </w:r>
            <w:r w:rsidRPr="003B5B5D">
              <w:rPr>
                <w:rFonts w:ascii="Times New Roman" w:eastAsia="Times New Roman" w:hAnsi="Times New Roman" w:cs="Times New Roman"/>
                <w:b/>
                <w:sz w:val="20"/>
                <w:szCs w:val="20"/>
                <w:lang w:eastAsia="ar-SA"/>
              </w:rPr>
              <w:t>, à quelque titre que ce soit</w:t>
            </w:r>
            <w:r w:rsidRPr="003B5B5D">
              <w:rPr>
                <w:rFonts w:ascii="Times New Roman" w:eastAsia="Times New Roman" w:hAnsi="Times New Roman" w:cs="Times New Roman"/>
                <w:sz w:val="20"/>
                <w:szCs w:val="20"/>
                <w:lang w:eastAsia="ar-SA"/>
              </w:rPr>
              <w:t xml:space="preserve">, de la rédaction, la production, ou du   comité exécutif d’INSOL Europe. </w:t>
            </w:r>
          </w:p>
          <w:p w:rsidR="003B5B5D" w:rsidRPr="003B5B5D" w:rsidRDefault="003B5B5D" w:rsidP="003B5B5D">
            <w:pPr>
              <w:suppressAutoHyphens/>
              <w:spacing w:after="0" w:line="240" w:lineRule="auto"/>
              <w:rPr>
                <w:rFonts w:ascii="Times New Roman" w:eastAsia="Times New Roman" w:hAnsi="Times New Roman" w:cs="Times New Roman"/>
                <w:sz w:val="20"/>
                <w:szCs w:val="20"/>
                <w:lang w:eastAsia="ar-SA"/>
              </w:rPr>
            </w:pPr>
          </w:p>
          <w:p w:rsidR="003B5B5D" w:rsidRPr="003B5B5D" w:rsidRDefault="003B5B5D" w:rsidP="003B5B5D">
            <w:pPr>
              <w:suppressAutoHyphens/>
              <w:spacing w:after="0" w:line="240" w:lineRule="auto"/>
              <w:rPr>
                <w:rFonts w:ascii="Times New Roman" w:eastAsia="Times New Roman" w:hAnsi="Times New Roman" w:cs="Times New Roman"/>
                <w:sz w:val="20"/>
                <w:szCs w:val="20"/>
                <w:lang w:eastAsia="ar-SA"/>
              </w:rPr>
            </w:pPr>
            <w:r w:rsidRPr="003B5B5D">
              <w:rPr>
                <w:rFonts w:ascii="Times New Roman" w:eastAsia="Times New Roman" w:hAnsi="Times New Roman" w:cs="Times New Roman"/>
                <w:b/>
                <w:bCs/>
                <w:sz w:val="20"/>
                <w:szCs w:val="20"/>
                <w:lang w:eastAsia="ar-SA"/>
              </w:rPr>
              <w:t xml:space="preserve">Les opinions exprimées dans les articles publiés dans la présente revue </w:t>
            </w:r>
            <w:r w:rsidRPr="003B5B5D">
              <w:rPr>
                <w:rFonts w:ascii="Times New Roman" w:eastAsia="Times New Roman" w:hAnsi="Times New Roman" w:cs="Times New Roman"/>
                <w:sz w:val="20"/>
                <w:szCs w:val="20"/>
                <w:lang w:eastAsia="ar-SA"/>
              </w:rPr>
              <w:t>ne sont pas nécessairement partagées par les rédacteurs en chef, la production, ou l’un ou l’autre des représentants d’INSOL Europe, ou bien par  les sociétés et les organisations auxquelles appartiennent les auteurs des articles.</w:t>
            </w:r>
          </w:p>
        </w:tc>
      </w:tr>
    </w:tbl>
    <w:p w:rsidR="003B5B5D" w:rsidRPr="003B5B5D" w:rsidRDefault="003B5B5D" w:rsidP="003B5B5D">
      <w:pPr>
        <w:suppressAutoHyphens/>
        <w:autoSpaceDE w:val="0"/>
        <w:spacing w:after="0" w:line="240" w:lineRule="auto"/>
        <w:jc w:val="both"/>
        <w:rPr>
          <w:rFonts w:ascii="Arial Narrow" w:eastAsia="Times New Roman" w:hAnsi="Arial Narrow" w:cs="Times New Roman"/>
          <w:b/>
          <w:sz w:val="28"/>
          <w:szCs w:val="28"/>
          <w:lang w:eastAsia="ar-SA"/>
        </w:rPr>
      </w:pPr>
    </w:p>
    <w:p w:rsidR="003B5B5D" w:rsidRPr="003B5B5D" w:rsidRDefault="003B5B5D" w:rsidP="003B5B5D">
      <w:pPr>
        <w:suppressAutoHyphens/>
        <w:autoSpaceDE w:val="0"/>
        <w:spacing w:after="0" w:line="240" w:lineRule="auto"/>
        <w:jc w:val="both"/>
        <w:rPr>
          <w:rFonts w:ascii="Arial Narrow" w:eastAsia="Times New Roman" w:hAnsi="Arial Narrow" w:cs="Times New Roman"/>
          <w:b/>
          <w:sz w:val="28"/>
          <w:szCs w:val="28"/>
          <w:lang w:eastAsia="ar-SA"/>
        </w:rPr>
      </w:pPr>
    </w:p>
    <w:p w:rsidR="003B5B5D" w:rsidRPr="003B5B5D" w:rsidRDefault="003B5B5D" w:rsidP="003B5B5D">
      <w:pPr>
        <w:suppressAutoHyphens/>
        <w:autoSpaceDE w:val="0"/>
        <w:spacing w:after="0" w:line="240" w:lineRule="auto"/>
        <w:jc w:val="both"/>
        <w:rPr>
          <w:rFonts w:ascii="Arial Narrow" w:eastAsia="Times New Roman" w:hAnsi="Arial Narrow" w:cs="Times New Roman"/>
          <w:b/>
          <w:sz w:val="28"/>
          <w:szCs w:val="28"/>
          <w:lang w:eastAsia="ar-SA"/>
        </w:rPr>
      </w:pPr>
      <w:r w:rsidRPr="003B5B5D">
        <w:rPr>
          <w:rFonts w:ascii="Arial Narrow" w:eastAsia="Times New Roman" w:hAnsi="Arial Narrow" w:cs="Times New Roman"/>
          <w:b/>
          <w:sz w:val="28"/>
          <w:szCs w:val="28"/>
          <w:lang w:eastAsia="ar-SA"/>
        </w:rPr>
        <w:lastRenderedPageBreak/>
        <w:t>Bienvenue</w:t>
      </w:r>
    </w:p>
    <w:p w:rsidR="003B5B5D" w:rsidRPr="003B5B5D" w:rsidRDefault="003B5B5D" w:rsidP="003B5B5D">
      <w:pPr>
        <w:suppressAutoHyphens/>
        <w:autoSpaceDE w:val="0"/>
        <w:spacing w:after="0" w:line="240" w:lineRule="auto"/>
        <w:jc w:val="both"/>
        <w:rPr>
          <w:rFonts w:ascii="Arial Narrow" w:eastAsia="Times New Roman" w:hAnsi="Arial Narrow" w:cs="Times New Roman"/>
          <w:b/>
          <w:sz w:val="28"/>
          <w:szCs w:val="28"/>
          <w:lang w:eastAsia="ar-SA"/>
        </w:rPr>
      </w:pPr>
    </w:p>
    <w:p w:rsidR="003B5B5D" w:rsidRPr="0052658C" w:rsidRDefault="003B5B5D" w:rsidP="0052658C">
      <w:pPr>
        <w:suppressAutoHyphens/>
        <w:autoSpaceDE w:val="0"/>
        <w:spacing w:after="0" w:line="240" w:lineRule="auto"/>
        <w:jc w:val="both"/>
        <w:rPr>
          <w:rFonts w:ascii="Arial Narrow" w:eastAsia="Times New Roman" w:hAnsi="Arial Narrow" w:cs="Times New Roman"/>
          <w:b/>
          <w:sz w:val="28"/>
          <w:szCs w:val="28"/>
          <w:lang w:eastAsia="ar-SA"/>
        </w:rPr>
      </w:pPr>
      <w:r w:rsidRPr="003B5B5D">
        <w:rPr>
          <w:rFonts w:ascii="Arial Narrow" w:eastAsia="Times New Roman" w:hAnsi="Arial Narrow" w:cs="Times New Roman"/>
          <w:b/>
          <w:sz w:val="28"/>
          <w:szCs w:val="28"/>
          <w:lang w:eastAsia="ar-SA"/>
        </w:rPr>
        <w:t>La lettre des co-rédacteurs-en-chef</w:t>
      </w:r>
    </w:p>
    <w:p w:rsidR="003B5B5D" w:rsidRPr="003B5B5D" w:rsidRDefault="003B5B5D" w:rsidP="003B5B5D">
      <w:pPr>
        <w:suppressAutoHyphens/>
        <w:spacing w:after="0" w:line="240" w:lineRule="auto"/>
        <w:jc w:val="both"/>
        <w:rPr>
          <w:rFonts w:ascii="Times New Roman" w:eastAsia="Times New Roman" w:hAnsi="Times New Roman" w:cs="Times New Roman"/>
          <w:b/>
          <w:sz w:val="24"/>
          <w:szCs w:val="24"/>
          <w:lang w:eastAsia="ar-SA"/>
        </w:rPr>
      </w:pPr>
    </w:p>
    <w:p w:rsidR="003B5B5D" w:rsidRPr="003B5B5D" w:rsidRDefault="003B5B5D" w:rsidP="003B5B5D">
      <w:pPr>
        <w:spacing w:after="160" w:line="259" w:lineRule="auto"/>
        <w:jc w:val="center"/>
        <w:rPr>
          <w:rFonts w:ascii="Times New Roman" w:eastAsia="Calibri" w:hAnsi="Times New Roman" w:cs="Times New Roman"/>
          <w:b/>
          <w:sz w:val="48"/>
          <w:szCs w:val="48"/>
        </w:rPr>
      </w:pPr>
      <w:r w:rsidRPr="003B5B5D">
        <w:rPr>
          <w:rFonts w:ascii="Times New Roman" w:eastAsia="Calibri" w:hAnsi="Times New Roman" w:cs="Times New Roman"/>
          <w:b/>
          <w:sz w:val="48"/>
          <w:szCs w:val="48"/>
        </w:rPr>
        <w:t>2018: des progrès malgré la tourmente</w:t>
      </w:r>
    </w:p>
    <w:p w:rsidR="003B5B5D" w:rsidRPr="003B5B5D" w:rsidRDefault="003B5B5D" w:rsidP="003B5B5D">
      <w:pPr>
        <w:spacing w:after="160" w:line="259" w:lineRule="auto"/>
        <w:jc w:val="both"/>
        <w:rPr>
          <w:rFonts w:ascii="Times New Roman" w:eastAsia="Calibri" w:hAnsi="Times New Roman" w:cs="Times New Roman"/>
          <w:sz w:val="24"/>
        </w:rPr>
      </w:pPr>
      <w:r w:rsidRPr="003B5B5D">
        <w:rPr>
          <w:rFonts w:ascii="Times New Roman" w:eastAsia="Calibri" w:hAnsi="Times New Roman" w:cs="Times New Roman"/>
          <w:sz w:val="24"/>
        </w:rPr>
        <w:t xml:space="preserve">L’année 2018 ne fait que commencer, mais elle s’annonce passionnante. </w:t>
      </w:r>
    </w:p>
    <w:p w:rsidR="003B5B5D" w:rsidRPr="003B5B5D" w:rsidRDefault="003B5B5D" w:rsidP="000D634D">
      <w:pPr>
        <w:spacing w:line="259" w:lineRule="auto"/>
        <w:jc w:val="both"/>
        <w:rPr>
          <w:rFonts w:ascii="Times New Roman" w:eastAsia="Calibri" w:hAnsi="Times New Roman" w:cs="Times New Roman"/>
          <w:sz w:val="24"/>
        </w:rPr>
      </w:pPr>
      <w:r w:rsidRPr="003B5B5D">
        <w:rPr>
          <w:rFonts w:ascii="Times New Roman" w:eastAsia="Calibri" w:hAnsi="Times New Roman" w:cs="Times New Roman"/>
          <w:sz w:val="24"/>
        </w:rPr>
        <w:t xml:space="preserve">Cela n’est dû qu’en partie à la capacité du président Trump à déclencher la tourmente. D’autres développements et conflits non résolus auront indéniablement une influence sur le cadre dans lequel évoluent les entreprises et les praticiens de l’insolvabilité. </w:t>
      </w:r>
    </w:p>
    <w:p w:rsidR="003B5B5D" w:rsidRPr="003B5B5D" w:rsidRDefault="003B5B5D" w:rsidP="000D634D">
      <w:pPr>
        <w:spacing w:line="259" w:lineRule="auto"/>
        <w:jc w:val="both"/>
        <w:rPr>
          <w:rFonts w:ascii="Times New Roman" w:eastAsia="Calibri" w:hAnsi="Times New Roman" w:cs="Times New Roman"/>
          <w:sz w:val="24"/>
        </w:rPr>
      </w:pPr>
      <w:r w:rsidRPr="003B5B5D">
        <w:rPr>
          <w:rFonts w:ascii="Times New Roman" w:eastAsia="Calibri" w:hAnsi="Times New Roman" w:cs="Times New Roman"/>
          <w:sz w:val="24"/>
        </w:rPr>
        <w:t xml:space="preserve">L’horloge du Brexit fait entendre son tic-tac implacable ; les négociateurs européens et britanniques vont devoir accélérer le processus de négociation s’ils veulent avoir une chance de respecter le calendrier serré du Brexit. En Italie, les élections législatives ont mis en lumière un réveil des sentiments anti-européens et contestataires, principalement à cause de la crise des migrants. En Syrie, la situation devient de plus en plus complexe depuis que la Turquie s’est mêlée au conflit, et le risque de propagation de la violence reste un facteur préoccupant et déstabilisant aux portes de l’Europe. </w:t>
      </w:r>
    </w:p>
    <w:p w:rsidR="003B5B5D" w:rsidRPr="003B5B5D" w:rsidRDefault="003B5B5D" w:rsidP="000D634D">
      <w:pPr>
        <w:spacing w:line="259" w:lineRule="auto"/>
        <w:jc w:val="both"/>
        <w:rPr>
          <w:rFonts w:ascii="Times New Roman" w:eastAsia="Calibri" w:hAnsi="Times New Roman" w:cs="Times New Roman"/>
          <w:sz w:val="24"/>
        </w:rPr>
      </w:pPr>
      <w:r w:rsidRPr="003B5B5D">
        <w:rPr>
          <w:rFonts w:ascii="Times New Roman" w:eastAsia="Calibri" w:hAnsi="Times New Roman" w:cs="Times New Roman"/>
          <w:sz w:val="24"/>
        </w:rPr>
        <w:t xml:space="preserve">Toutefois, d’autres développements offrent des perspectives plus positives. Après des mois d’errances politiques, l’Allemagne s’est enfin dotée d’un gouvernement qui fonctionne. L’économie du pays se porte bien, comme d’habitude, serait-on tenté de dire, tandis que la machine économique française semble enfin avoir été relancée en 2017, comme le confirment les statistiques citées par notre Président dans sa rubrique et par les auteurs des actualités par pays. La stabilité politique et les progrès économiques de ces deux pays importants augurent de bonnes choses pour 2018, tout comme les récentes avancées économiques d’autres pays de la zone euro, notamment de l’Autriche, de l’Espagne, du Portugal, des Pays-Bas et même de l’Italie. </w:t>
      </w:r>
    </w:p>
    <w:p w:rsidR="003B5B5D" w:rsidRPr="003B5B5D" w:rsidRDefault="003B5B5D" w:rsidP="000D634D">
      <w:pPr>
        <w:spacing w:line="259" w:lineRule="auto"/>
        <w:jc w:val="both"/>
        <w:rPr>
          <w:rFonts w:ascii="Times New Roman" w:eastAsia="Calibri" w:hAnsi="Times New Roman" w:cs="Times New Roman"/>
          <w:sz w:val="24"/>
        </w:rPr>
      </w:pPr>
      <w:r w:rsidRPr="003B5B5D">
        <w:rPr>
          <w:rFonts w:ascii="Times New Roman" w:eastAsia="Calibri" w:hAnsi="Times New Roman" w:cs="Times New Roman"/>
          <w:sz w:val="24"/>
        </w:rPr>
        <w:t xml:space="preserve">Ce numéro attire votre attention sur l’importance de la cybersécurité et de la protection des données, que les entreprises européennes ne peuvent plus ignorer. L’article consacré à la cybersécurité nous rappelle à point nommé qu’il y a beaucoup de travail à faire (y compris par les PI) pour assurer la conformité au règlement général sur la protection des données (RGPD), qui entrera en vigueur en mai prochain. </w:t>
      </w:r>
    </w:p>
    <w:p w:rsidR="003B5B5D" w:rsidRPr="003B5B5D" w:rsidRDefault="003B5B5D" w:rsidP="000D634D">
      <w:pPr>
        <w:spacing w:line="259" w:lineRule="auto"/>
        <w:jc w:val="both"/>
        <w:rPr>
          <w:rFonts w:ascii="Times New Roman" w:eastAsia="Calibri" w:hAnsi="Times New Roman" w:cs="Times New Roman"/>
          <w:sz w:val="24"/>
        </w:rPr>
      </w:pPr>
      <w:r w:rsidRPr="003B5B5D">
        <w:rPr>
          <w:rFonts w:ascii="Times New Roman" w:eastAsia="Calibri" w:hAnsi="Times New Roman" w:cs="Times New Roman"/>
          <w:sz w:val="24"/>
        </w:rPr>
        <w:t>Ce numéro contient un autre article qui pourra vous intéresser, en rapport avec le traitement des données : il traite des expériences acquises en Lituanie, en Slovaquie et en Hongrie dans le domaine des systèmes de sélection aléatoire des PI. Dans nos prochains numéros, d’autres articles pourraient se pencher plus en détail sur les opportunités et les risques de la « </w:t>
      </w:r>
      <w:r w:rsidRPr="003B5B5D">
        <w:rPr>
          <w:rFonts w:ascii="Times New Roman" w:eastAsia="Calibri" w:hAnsi="Times New Roman" w:cs="Times New Roman"/>
          <w:i/>
          <w:sz w:val="24"/>
        </w:rPr>
        <w:t>LegalTech</w:t>
      </w:r>
      <w:r w:rsidRPr="003B5B5D">
        <w:rPr>
          <w:rFonts w:ascii="Times New Roman" w:eastAsia="Calibri" w:hAnsi="Times New Roman" w:cs="Times New Roman"/>
          <w:sz w:val="24"/>
        </w:rPr>
        <w:t> »</w:t>
      </w:r>
      <w:r w:rsidRPr="003B5B5D">
        <w:rPr>
          <w:rFonts w:ascii="Times New Roman" w:eastAsia="Calibri" w:hAnsi="Times New Roman" w:cs="Times New Roman"/>
          <w:sz w:val="24"/>
          <w:vertAlign w:val="superscript"/>
        </w:rPr>
        <w:footnoteReference w:id="1"/>
      </w:r>
      <w:r w:rsidRPr="003B5B5D">
        <w:rPr>
          <w:rFonts w:ascii="Times New Roman" w:eastAsia="Calibri" w:hAnsi="Times New Roman" w:cs="Times New Roman"/>
          <w:sz w:val="24"/>
        </w:rPr>
        <w:t xml:space="preserve">, voire de l’intelligence artificielle. </w:t>
      </w:r>
    </w:p>
    <w:p w:rsidR="003B5B5D" w:rsidRPr="003B5B5D" w:rsidRDefault="003B5B5D" w:rsidP="000D634D">
      <w:pPr>
        <w:spacing w:line="259" w:lineRule="auto"/>
        <w:jc w:val="both"/>
        <w:rPr>
          <w:rFonts w:ascii="Times New Roman" w:eastAsia="Calibri" w:hAnsi="Times New Roman" w:cs="Times New Roman"/>
          <w:sz w:val="24"/>
        </w:rPr>
      </w:pPr>
      <w:r w:rsidRPr="003B5B5D">
        <w:rPr>
          <w:rFonts w:ascii="Times New Roman" w:eastAsia="Calibri" w:hAnsi="Times New Roman" w:cs="Times New Roman"/>
          <w:sz w:val="24"/>
        </w:rPr>
        <w:lastRenderedPageBreak/>
        <w:t xml:space="preserve">Personnellement, je suivrai avec grand intérêt la façon dont les nouvelles procédures d’insolvabilité de groupe passeront les épreuves pratiques, qu’elles soient gérées en vertu du REI (refonte) ou des nouvelles lois nationales, telles que le Code allemand de l’insolvabilité. À propos du REI et de la précieuse source que peuvent devenir les décisions prononcées par les tribunaux d’un État membre pour trancher des litiges dans d’autres pays, le Professeur Bork nous présente en détail dans son article notre merveilleux outil qu’est le Registre d’INSOL Europe d’affaires fondées sur le REI, tandis que Myriam Mailly, dans sa rubrique technique, nous présente les affaires qui y ont été publiées depuis l’entrée en vigueur de la refonte du REI. </w:t>
      </w:r>
    </w:p>
    <w:p w:rsidR="003B5B5D" w:rsidRPr="003B5B5D" w:rsidRDefault="003B5B5D" w:rsidP="000D634D">
      <w:pPr>
        <w:spacing w:line="259" w:lineRule="auto"/>
        <w:jc w:val="both"/>
        <w:rPr>
          <w:rFonts w:ascii="Times New Roman" w:eastAsia="Calibri" w:hAnsi="Times New Roman" w:cs="Times New Roman"/>
          <w:sz w:val="24"/>
        </w:rPr>
      </w:pPr>
      <w:r w:rsidRPr="003B5B5D">
        <w:rPr>
          <w:rFonts w:ascii="Times New Roman" w:eastAsia="Calibri" w:hAnsi="Times New Roman" w:cs="Times New Roman"/>
          <w:sz w:val="24"/>
        </w:rPr>
        <w:t xml:space="preserve">Les délibérations concernant la proposition de directive sur un cadre de restructuration préventif avanceront sans aucun doute cette année, amenant les législateurs à commencer à étudier si leurs lois nationales sont conformes au projet de directive, si tant est qu’ils n’aient pas déjà commencé de le faire. Toutefois, les cadres nationaux de l’insolvabilité se modernisent malgré cette proposition de directive. C’est la raison pour laquelle j’ai été très intéressé par les actualités présentées dans les articles sur le droit de l’insolvabilité en Belgique, en Finlande, en Italie et en Lettonie. Et bien que son passionnant article n’ait pas de lien direct avec l’évolution de la législation, je me dois de remercier Isabelle Didier de m’avoir enfin permis de comprendre les différents rôles des administrateurs judiciaires en France. </w:t>
      </w:r>
    </w:p>
    <w:p w:rsidR="003B5B5D" w:rsidRPr="003B5B5D" w:rsidRDefault="003B5B5D" w:rsidP="000D634D">
      <w:pPr>
        <w:spacing w:line="259" w:lineRule="auto"/>
        <w:jc w:val="both"/>
        <w:rPr>
          <w:rFonts w:ascii="Times New Roman" w:eastAsia="Calibri" w:hAnsi="Times New Roman" w:cs="Times New Roman"/>
          <w:sz w:val="24"/>
        </w:rPr>
      </w:pPr>
      <w:r w:rsidRPr="003B5B5D">
        <w:rPr>
          <w:rFonts w:ascii="Times New Roman" w:eastAsia="Calibri" w:hAnsi="Times New Roman" w:cs="Times New Roman"/>
          <w:sz w:val="24"/>
        </w:rPr>
        <w:t xml:space="preserve">D’autres sujets toujours d’actualité sont abordés, tels que la responsabilité des dirigeants (actualités par pays pour la Turquie), la gestion du risque de crédit (rubrique États-Unis) et les droits des salariés dans le contexte d’une cession de fonds de commerce (article sur la situation en Espagne). </w:t>
      </w:r>
    </w:p>
    <w:p w:rsidR="003B5B5D" w:rsidRPr="003B5B5D" w:rsidRDefault="003B5B5D" w:rsidP="000D634D">
      <w:pPr>
        <w:spacing w:line="259" w:lineRule="auto"/>
        <w:jc w:val="both"/>
        <w:rPr>
          <w:rFonts w:ascii="Times New Roman" w:eastAsia="Calibri" w:hAnsi="Times New Roman" w:cs="Times New Roman"/>
          <w:sz w:val="24"/>
        </w:rPr>
      </w:pPr>
      <w:r w:rsidRPr="003B5B5D">
        <w:rPr>
          <w:rFonts w:ascii="Times New Roman" w:eastAsia="Calibri" w:hAnsi="Times New Roman" w:cs="Times New Roman"/>
          <w:sz w:val="24"/>
        </w:rPr>
        <w:t xml:space="preserve">Il ne faut pas non plus oublier qu’INSOL Europe, au nombre de ses activités, est présente au sein du groupe de travail V de la CNUDCI. Florian Bruder nous en rend compte. </w:t>
      </w:r>
    </w:p>
    <w:p w:rsidR="003B5B5D" w:rsidRPr="003B5B5D" w:rsidRDefault="003B5B5D" w:rsidP="000D634D">
      <w:pPr>
        <w:spacing w:line="259" w:lineRule="auto"/>
        <w:jc w:val="both"/>
        <w:rPr>
          <w:rFonts w:ascii="Times New Roman" w:eastAsia="Calibri" w:hAnsi="Times New Roman" w:cs="Times New Roman"/>
          <w:sz w:val="24"/>
        </w:rPr>
      </w:pPr>
      <w:r w:rsidRPr="003B5B5D">
        <w:rPr>
          <w:rFonts w:ascii="Times New Roman" w:eastAsia="Calibri" w:hAnsi="Times New Roman" w:cs="Times New Roman"/>
          <w:sz w:val="24"/>
        </w:rPr>
        <w:t xml:space="preserve">En conclusion, ce numéro de printemps, qui accompagnera la conférence de l’EECC à Riga (Lettonie), relate de nombreux événements positifs en Europe et au sein de notre association. Vous êtes invités à vous référer aux informations publiées dans notre revue et vous pouvez faire confiance à INSOL Europe pour organiser des conférences et des manifestations avec la précision d’une horloge suisse. </w:t>
      </w:r>
    </w:p>
    <w:p w:rsidR="003B5B5D" w:rsidRPr="003B5B5D" w:rsidRDefault="003B5B5D" w:rsidP="000D634D">
      <w:pPr>
        <w:spacing w:line="259" w:lineRule="auto"/>
        <w:jc w:val="both"/>
        <w:rPr>
          <w:rFonts w:ascii="Times New Roman" w:eastAsia="Calibri" w:hAnsi="Times New Roman" w:cs="Times New Roman"/>
          <w:sz w:val="24"/>
        </w:rPr>
      </w:pPr>
      <w:r w:rsidRPr="003B5B5D">
        <w:rPr>
          <w:rFonts w:ascii="Times New Roman" w:eastAsia="Calibri" w:hAnsi="Times New Roman" w:cs="Times New Roman"/>
          <w:sz w:val="24"/>
        </w:rPr>
        <w:t xml:space="preserve">Enfin, comme le soulignait ma collègue Catarina Serra dans notre dernier éditorial : toutes les idées et recommandations qui nous aideront à améliorer davantage </w:t>
      </w:r>
      <w:r w:rsidRPr="003B5B5D">
        <w:rPr>
          <w:rFonts w:ascii="Times New Roman" w:eastAsia="Calibri" w:hAnsi="Times New Roman" w:cs="Times New Roman"/>
          <w:i/>
          <w:sz w:val="24"/>
        </w:rPr>
        <w:t>eurofenix</w:t>
      </w:r>
      <w:r w:rsidRPr="003B5B5D">
        <w:rPr>
          <w:rFonts w:ascii="Times New Roman" w:eastAsia="Calibri" w:hAnsi="Times New Roman" w:cs="Times New Roman"/>
          <w:sz w:val="24"/>
        </w:rPr>
        <w:t xml:space="preserve"> sont plus que bienvenues ! </w:t>
      </w:r>
    </w:p>
    <w:p w:rsidR="003B5B5D" w:rsidRPr="003B5B5D" w:rsidRDefault="003B5B5D" w:rsidP="000D634D">
      <w:pPr>
        <w:spacing w:line="259" w:lineRule="auto"/>
        <w:jc w:val="both"/>
        <w:rPr>
          <w:rFonts w:ascii="Times New Roman" w:eastAsia="Calibri" w:hAnsi="Times New Roman" w:cs="Times New Roman"/>
          <w:sz w:val="24"/>
        </w:rPr>
      </w:pPr>
      <w:r w:rsidRPr="003B5B5D">
        <w:rPr>
          <w:rFonts w:ascii="Times New Roman" w:eastAsia="Calibri" w:hAnsi="Times New Roman" w:cs="Times New Roman"/>
          <w:sz w:val="24"/>
        </w:rPr>
        <w:t>Bonne lecture !</w:t>
      </w:r>
    </w:p>
    <w:p w:rsidR="003B5B5D" w:rsidRPr="003B5B5D" w:rsidRDefault="003B5B5D" w:rsidP="003B5B5D">
      <w:pPr>
        <w:spacing w:after="160" w:line="259" w:lineRule="auto"/>
        <w:jc w:val="both"/>
        <w:rPr>
          <w:rFonts w:ascii="Times New Roman" w:eastAsia="Calibri" w:hAnsi="Times New Roman" w:cs="Times New Roman"/>
          <w:b/>
          <w:i/>
          <w:sz w:val="24"/>
        </w:rPr>
      </w:pPr>
      <w:r w:rsidRPr="003B5B5D">
        <w:rPr>
          <w:rFonts w:ascii="Times New Roman" w:eastAsia="Calibri" w:hAnsi="Times New Roman" w:cs="Times New Roman"/>
          <w:b/>
          <w:i/>
          <w:sz w:val="24"/>
        </w:rPr>
        <w:t>Frank Heeman</w:t>
      </w:r>
    </w:p>
    <w:p w:rsidR="003B5B5D" w:rsidRPr="003B5B5D" w:rsidRDefault="003B5B5D" w:rsidP="003B5B5D">
      <w:pPr>
        <w:spacing w:after="0" w:line="240" w:lineRule="auto"/>
        <w:rPr>
          <w:rFonts w:ascii="Arial Narrow" w:eastAsia="Times New Roman" w:hAnsi="Arial Narrow" w:cs="Times New Roman"/>
          <w:b/>
          <w:sz w:val="32"/>
          <w:szCs w:val="32"/>
          <w:lang w:eastAsia="ar-SA"/>
        </w:rPr>
      </w:pPr>
    </w:p>
    <w:p w:rsidR="003B5B5D" w:rsidRPr="003B5B5D" w:rsidRDefault="003B5B5D" w:rsidP="003B5B5D">
      <w:pPr>
        <w:spacing w:after="0" w:line="240" w:lineRule="auto"/>
        <w:rPr>
          <w:rFonts w:ascii="Arial Narrow" w:eastAsia="Times New Roman" w:hAnsi="Arial Narrow" w:cs="Times New Roman"/>
          <w:b/>
          <w:sz w:val="32"/>
          <w:szCs w:val="32"/>
          <w:lang w:eastAsia="ar-SA"/>
        </w:rPr>
      </w:pPr>
    </w:p>
    <w:p w:rsidR="003B5B5D" w:rsidRPr="003B5B5D" w:rsidRDefault="003B5B5D" w:rsidP="003B5B5D">
      <w:pPr>
        <w:spacing w:after="0" w:line="240" w:lineRule="auto"/>
        <w:rPr>
          <w:rFonts w:ascii="Arial Narrow" w:eastAsia="Times New Roman" w:hAnsi="Arial Narrow" w:cs="Times New Roman"/>
          <w:b/>
          <w:sz w:val="32"/>
          <w:szCs w:val="32"/>
          <w:lang w:eastAsia="ar-SA"/>
        </w:rPr>
      </w:pPr>
    </w:p>
    <w:p w:rsidR="003B5B5D" w:rsidRPr="003B5B5D" w:rsidRDefault="003B5B5D" w:rsidP="003B5B5D">
      <w:pPr>
        <w:spacing w:after="0" w:line="240" w:lineRule="auto"/>
        <w:rPr>
          <w:rFonts w:ascii="Arial Narrow" w:eastAsia="Times New Roman" w:hAnsi="Arial Narrow" w:cs="Times New Roman"/>
          <w:b/>
          <w:sz w:val="32"/>
          <w:szCs w:val="32"/>
          <w:lang w:eastAsia="ar-SA"/>
        </w:rPr>
      </w:pPr>
    </w:p>
    <w:p w:rsidR="003B5B5D" w:rsidRPr="003B5B5D" w:rsidRDefault="003B5B5D" w:rsidP="003B5B5D">
      <w:pPr>
        <w:spacing w:after="0" w:line="240" w:lineRule="auto"/>
        <w:rPr>
          <w:rFonts w:ascii="Arial Narrow" w:eastAsia="Times New Roman" w:hAnsi="Arial Narrow" w:cs="Times New Roman"/>
          <w:b/>
          <w:sz w:val="32"/>
          <w:szCs w:val="32"/>
          <w:lang w:eastAsia="ar-SA"/>
        </w:rPr>
      </w:pPr>
    </w:p>
    <w:p w:rsidR="003B5B5D" w:rsidRPr="003B5B5D" w:rsidRDefault="003B5B5D" w:rsidP="003B5B5D">
      <w:pPr>
        <w:spacing w:after="0" w:line="240" w:lineRule="auto"/>
        <w:rPr>
          <w:rFonts w:ascii="Times New Roman" w:eastAsia="Times New Roman" w:hAnsi="Times New Roman" w:cs="Times New Roman"/>
          <w:iCs/>
          <w:sz w:val="24"/>
          <w:szCs w:val="24"/>
          <w:lang w:eastAsia="fr-FR"/>
        </w:rPr>
      </w:pPr>
      <w:r w:rsidRPr="003B5B5D">
        <w:rPr>
          <w:rFonts w:ascii="Arial Narrow" w:eastAsia="Times New Roman" w:hAnsi="Arial Narrow" w:cs="Times New Roman"/>
          <w:b/>
          <w:sz w:val="32"/>
          <w:szCs w:val="32"/>
          <w:lang w:eastAsia="ar-SA"/>
        </w:rPr>
        <w:lastRenderedPageBreak/>
        <w:t>La lettre du Président</w:t>
      </w:r>
    </w:p>
    <w:p w:rsidR="003B5B5D" w:rsidRPr="003B5B5D" w:rsidRDefault="003B5B5D" w:rsidP="003B5B5D">
      <w:pPr>
        <w:suppressAutoHyphens/>
        <w:spacing w:after="0" w:line="240" w:lineRule="auto"/>
        <w:rPr>
          <w:rFonts w:ascii="Times New Roman" w:eastAsia="Times New Roman" w:hAnsi="Times New Roman" w:cs="Times New Roman"/>
          <w:sz w:val="24"/>
          <w:szCs w:val="24"/>
          <w:lang w:eastAsia="ar-SA"/>
        </w:rPr>
      </w:pPr>
    </w:p>
    <w:p w:rsidR="003B5B5D" w:rsidRPr="003B5B5D" w:rsidRDefault="003B5B5D" w:rsidP="003B5B5D">
      <w:pPr>
        <w:spacing w:after="160" w:line="259" w:lineRule="auto"/>
        <w:jc w:val="center"/>
        <w:rPr>
          <w:rFonts w:ascii="Times New Roman" w:eastAsia="Calibri" w:hAnsi="Times New Roman" w:cs="Times New Roman"/>
          <w:b/>
          <w:sz w:val="48"/>
          <w:szCs w:val="48"/>
        </w:rPr>
      </w:pPr>
      <w:r w:rsidRPr="003B5B5D">
        <w:rPr>
          <w:rFonts w:ascii="Times New Roman" w:eastAsia="Calibri" w:hAnsi="Times New Roman" w:cs="Times New Roman"/>
          <w:b/>
          <w:sz w:val="48"/>
          <w:szCs w:val="48"/>
        </w:rPr>
        <w:t>Prévisions pour l’année à venir et les suivantes</w:t>
      </w:r>
    </w:p>
    <w:p w:rsidR="003B5B5D" w:rsidRPr="003B5B5D" w:rsidRDefault="003B5B5D" w:rsidP="003B5B5D">
      <w:pPr>
        <w:spacing w:after="0" w:line="259" w:lineRule="auto"/>
        <w:jc w:val="center"/>
        <w:rPr>
          <w:rFonts w:ascii="Arial Narrow" w:eastAsia="Calibri" w:hAnsi="Arial Narrow" w:cs="Times New Roman"/>
          <w:i/>
          <w:sz w:val="24"/>
        </w:rPr>
      </w:pPr>
      <w:r w:rsidRPr="003B5B5D">
        <w:rPr>
          <w:rFonts w:ascii="Arial Narrow" w:eastAsia="Calibri" w:hAnsi="Arial Narrow" w:cs="Times New Roman"/>
          <w:i/>
          <w:sz w:val="24"/>
        </w:rPr>
        <w:t>Radu Lotrean* évoque le contexte dans lequel s’inscrivent ses projets pour INSOL Europe et compare les différentes tendances européennes en matière d’insolvabilité</w:t>
      </w:r>
    </w:p>
    <w:p w:rsidR="003B5B5D" w:rsidRPr="003B5B5D" w:rsidRDefault="003B5B5D" w:rsidP="003B5B5D">
      <w:pPr>
        <w:spacing w:after="0" w:line="259" w:lineRule="auto"/>
        <w:jc w:val="both"/>
        <w:rPr>
          <w:rFonts w:ascii="Times New Roman" w:eastAsia="Calibri" w:hAnsi="Times New Roman" w:cs="Times New Roman"/>
          <w:b/>
          <w:sz w:val="24"/>
        </w:rPr>
      </w:pPr>
    </w:p>
    <w:p w:rsidR="003B5B5D" w:rsidRPr="003B5B5D" w:rsidRDefault="003B5B5D" w:rsidP="000D634D">
      <w:pPr>
        <w:spacing w:line="259" w:lineRule="auto"/>
        <w:jc w:val="both"/>
        <w:rPr>
          <w:rFonts w:ascii="Times New Roman" w:eastAsia="Calibri" w:hAnsi="Times New Roman" w:cs="Times New Roman"/>
          <w:b/>
          <w:sz w:val="24"/>
        </w:rPr>
      </w:pPr>
      <w:r w:rsidRPr="003B5B5D">
        <w:rPr>
          <w:rFonts w:ascii="Times New Roman" w:eastAsia="Calibri" w:hAnsi="Times New Roman" w:cs="Times New Roman"/>
          <w:b/>
          <w:sz w:val="24"/>
        </w:rPr>
        <w:t>Je souhaite partager avec vous quelques idées sur la future stratégie d’INSOL Europe. Toute organisation est un chantier permanent, de sa conception à la fin de son existence.</w:t>
      </w:r>
    </w:p>
    <w:p w:rsidR="003B5B5D" w:rsidRPr="003B5B5D" w:rsidRDefault="003B5B5D" w:rsidP="000D634D">
      <w:pPr>
        <w:spacing w:line="259" w:lineRule="auto"/>
        <w:jc w:val="both"/>
        <w:rPr>
          <w:rFonts w:ascii="Times New Roman" w:eastAsia="Calibri" w:hAnsi="Times New Roman" w:cs="Times New Roman"/>
          <w:sz w:val="24"/>
        </w:rPr>
      </w:pPr>
      <w:r w:rsidRPr="003B5B5D">
        <w:rPr>
          <w:rFonts w:ascii="Times New Roman" w:eastAsia="Calibri" w:hAnsi="Times New Roman" w:cs="Times New Roman"/>
          <w:sz w:val="24"/>
        </w:rPr>
        <w:t>On pourrait avancer que la fin d’existence d’une organisation correspond à l’arrêt de sa construction, quelle qu’en soit la raison. Le fait qu’une organisation soit toujours « en travaux » peut sembler inconséquent, mais cela transmet un message de vitalité qui renforce la confiance de ses membres et en attire de nouveaux. Ce qui motive les gens, c’est de voir de l’énergie, de voir que les choses bougent. Je crois en cette organisation et, en tant que président, je souhaite apporter ma pierre à l’édifice pour qu’elle réalise son potentiel. C’est le défi personnel que je me suis fixé pour 2018. On peut le résumer facilement en un mot : croissance.</w:t>
      </w:r>
    </w:p>
    <w:p w:rsidR="003B5B5D" w:rsidRPr="003B5B5D" w:rsidRDefault="003B5B5D" w:rsidP="000D634D">
      <w:pPr>
        <w:spacing w:line="259" w:lineRule="auto"/>
        <w:jc w:val="both"/>
        <w:rPr>
          <w:rFonts w:ascii="Times New Roman" w:eastAsia="Calibri" w:hAnsi="Times New Roman" w:cs="Times New Roman"/>
          <w:sz w:val="24"/>
        </w:rPr>
      </w:pPr>
      <w:r w:rsidRPr="003B5B5D">
        <w:rPr>
          <w:rFonts w:ascii="Times New Roman" w:eastAsia="Calibri" w:hAnsi="Times New Roman" w:cs="Times New Roman"/>
          <w:sz w:val="24"/>
        </w:rPr>
        <w:t>Je ne veux pas seulement faire de petites réparations, combler des fissures : je veux me pencher de près sur ses fondations. La main dans la main avec le groupe de travail 2025 d’INSOL Europe, le Comité exécutif, le Conseil et le Secrétariat, nous avons passé l’année dernière à recueillir et compiler des données qui pourraient nous aider à mieux comprendre la place qu’occupe aujourd’hui INSOL Europe. Le questionnaire et les entretiens réalisés par les membres du groupe de travail 2025 d’INSOL Europe ont révélé des faits intéressants sur notre organisation, ce qui nous a amené à penser et repenser notre rôle, la croissance de notre organisation, sa présence et ses groupes cibles. Ce qui m’a le plus intrigué est l’aspect des données relatif à notre présence : nous avons un énorme potentiel d’attraction de membres de grands pays qui sont actuellement sous-représentés, en termes de ratio d’adhérents, tels que la France, l’Italie, l’Espagne et l’Allemagne, ainsi que de pays qui ne sont pas représentés au Conseil, tels que Chypre, la Hongrie, la Belgique, le Portugal, le Luxembourg et la Finlande. Nous devons étudier nos membres, leurs besoins, le contenu que nous leur offrons et la façon dont nous « vendons » notre organisation.</w:t>
      </w:r>
    </w:p>
    <w:p w:rsidR="003B5B5D" w:rsidRPr="003B5B5D" w:rsidRDefault="003B5B5D" w:rsidP="000D634D">
      <w:pPr>
        <w:spacing w:line="259" w:lineRule="auto"/>
        <w:jc w:val="both"/>
        <w:rPr>
          <w:rFonts w:ascii="Times New Roman" w:eastAsia="Calibri" w:hAnsi="Times New Roman" w:cs="Times New Roman"/>
          <w:sz w:val="24"/>
        </w:rPr>
      </w:pPr>
      <w:r w:rsidRPr="003B5B5D">
        <w:rPr>
          <w:rFonts w:ascii="Times New Roman" w:eastAsia="Calibri" w:hAnsi="Times New Roman" w:cs="Times New Roman"/>
          <w:sz w:val="24"/>
        </w:rPr>
        <w:t>Je dois dire que ce type de travaux nécessite de trouver un juste équilibre. Bien qu’étant un bastion d’administrateurs de l’insolvabilité, de conseillers et de chercheurs en insolvabilité, nous voulons également cibler d’autres professions liées à l’insolvabilité ou à la restructuration. Sommes-nous pour autant capables d’assumer les risques qui vont de pair avec cette concentration de notre objectif ? À quel point pouvons-nous changer sans qu’INSOL Europe perde son identité ? Il y a indubitablement là matière à réflexion et à discussion. Ces nouveaux objectifs et les étapes qui y conduisent ont déjà été évoqués et adoptés par les présidents de nos groupes de travail et les membres du Conseil. J’espère que ce nouveau plan stratégique à long terme prendra forme après notre réunion du Conseil d’avril, à Sibiu (Roumanie).</w:t>
      </w:r>
    </w:p>
    <w:p w:rsidR="000D634D" w:rsidRDefault="000D634D" w:rsidP="000D634D">
      <w:pPr>
        <w:spacing w:line="259" w:lineRule="auto"/>
        <w:jc w:val="both"/>
        <w:rPr>
          <w:rFonts w:ascii="Times New Roman" w:eastAsia="Calibri" w:hAnsi="Times New Roman" w:cs="Times New Roman"/>
          <w:b/>
          <w:sz w:val="24"/>
        </w:rPr>
      </w:pPr>
    </w:p>
    <w:p w:rsidR="003B5B5D" w:rsidRPr="003B5B5D" w:rsidRDefault="003B5B5D" w:rsidP="000D634D">
      <w:pPr>
        <w:spacing w:line="259" w:lineRule="auto"/>
        <w:jc w:val="both"/>
        <w:rPr>
          <w:rFonts w:ascii="Times New Roman" w:eastAsia="Calibri" w:hAnsi="Times New Roman" w:cs="Times New Roman"/>
          <w:sz w:val="24"/>
        </w:rPr>
      </w:pPr>
      <w:r w:rsidRPr="003B5B5D">
        <w:rPr>
          <w:rFonts w:ascii="Times New Roman" w:eastAsia="Calibri" w:hAnsi="Times New Roman" w:cs="Times New Roman"/>
          <w:b/>
          <w:sz w:val="24"/>
        </w:rPr>
        <w:lastRenderedPageBreak/>
        <w:t>Allons de l’avant</w:t>
      </w:r>
      <w:r w:rsidRPr="003B5B5D">
        <w:rPr>
          <w:rFonts w:ascii="Times New Roman" w:eastAsia="Calibri" w:hAnsi="Times New Roman" w:cs="Times New Roman"/>
          <w:sz w:val="24"/>
        </w:rPr>
        <w:t xml:space="preserve"> </w:t>
      </w:r>
    </w:p>
    <w:p w:rsidR="003B5B5D" w:rsidRPr="003B5B5D" w:rsidRDefault="003B5B5D" w:rsidP="000D634D">
      <w:pPr>
        <w:spacing w:line="259" w:lineRule="auto"/>
        <w:jc w:val="both"/>
        <w:rPr>
          <w:rFonts w:ascii="Times New Roman" w:eastAsia="Calibri" w:hAnsi="Times New Roman" w:cs="Times New Roman"/>
          <w:sz w:val="24"/>
        </w:rPr>
      </w:pPr>
      <w:r w:rsidRPr="003B5B5D">
        <w:rPr>
          <w:rFonts w:ascii="Times New Roman" w:eastAsia="Calibri" w:hAnsi="Times New Roman" w:cs="Times New Roman"/>
          <w:sz w:val="24"/>
        </w:rPr>
        <w:t xml:space="preserve">Je profite de l’occasion pour mentionner un important projet en cours d’INSOL Europe : la </w:t>
      </w:r>
      <w:r w:rsidRPr="003B5B5D">
        <w:rPr>
          <w:rFonts w:ascii="Times New Roman" w:eastAsia="Calibri" w:hAnsi="Times New Roman" w:cs="Times New Roman"/>
          <w:b/>
          <w:sz w:val="24"/>
        </w:rPr>
        <w:t>formation de haut niveau sur le droit de l’insolvabilité</w:t>
      </w:r>
      <w:r w:rsidRPr="003B5B5D">
        <w:rPr>
          <w:rFonts w:ascii="Times New Roman" w:eastAsia="Calibri" w:hAnsi="Times New Roman" w:cs="Times New Roman"/>
          <w:sz w:val="24"/>
        </w:rPr>
        <w:t>.</w:t>
      </w:r>
    </w:p>
    <w:p w:rsidR="003B5B5D" w:rsidRPr="003B5B5D" w:rsidRDefault="003B5B5D" w:rsidP="000D634D">
      <w:pPr>
        <w:spacing w:line="259" w:lineRule="auto"/>
        <w:jc w:val="both"/>
        <w:rPr>
          <w:rFonts w:ascii="Times New Roman" w:eastAsia="Calibri" w:hAnsi="Times New Roman" w:cs="Times New Roman"/>
          <w:sz w:val="24"/>
        </w:rPr>
      </w:pPr>
      <w:r w:rsidRPr="003B5B5D">
        <w:rPr>
          <w:rFonts w:ascii="Times New Roman" w:eastAsia="Calibri" w:hAnsi="Times New Roman" w:cs="Times New Roman"/>
          <w:sz w:val="24"/>
        </w:rPr>
        <w:t>Après la réussite de la formation organisée en Roumanie, nous allons continuer sur notre lancée. Après avoir hésité entre la Pologne, la Slovaquie ou Chypre, nous avons finalement retenu Chypre pour organiser la formation de cette année. Ceci nous permettra de recruter de nouveaux membres chypriotes (actuellement, ils ne sont que quatre) et donnera l’occasion aux professionnels de l’insolvabilité locaux d’analyser en profondeur, au travers du prisme des pratiques de référence internationales, les récentes évolutions de leur législation.</w:t>
      </w:r>
    </w:p>
    <w:p w:rsidR="003B5B5D" w:rsidRPr="003B5B5D" w:rsidRDefault="003B5B5D" w:rsidP="000D634D">
      <w:pPr>
        <w:spacing w:line="259" w:lineRule="auto"/>
        <w:jc w:val="both"/>
        <w:rPr>
          <w:rFonts w:ascii="Times New Roman" w:eastAsia="Calibri" w:hAnsi="Times New Roman" w:cs="Times New Roman"/>
          <w:sz w:val="24"/>
        </w:rPr>
      </w:pPr>
      <w:r w:rsidRPr="003B5B5D">
        <w:rPr>
          <w:rFonts w:ascii="Times New Roman" w:eastAsia="Calibri" w:hAnsi="Times New Roman" w:cs="Times New Roman"/>
          <w:sz w:val="24"/>
        </w:rPr>
        <w:t>La réforme de 2016 du cadre législatif de l’insolvabilité était l’une des conditions prévues par le protocole d’accord passé entre le Gouvernement chypriote, le Fonds monétaire international, la Banque centrale européenne et la Commission européenne en 2013, pendant la crise bancaire. Dans une certaine mesure, le nouveau régime de l’insolvabilité s’inspire du modèle qui avait été adopté par l’Irlande. Ainsi, cette formation semble parfaitement indiquée. Chypre compte environ 300 praticiens de l’insolvabilité et de nombreuses procédures d’insolvabilité, ainsi qu’un marché très actif des prêts non productifs. Nous espérons pouvoir débattre ouvertement avec tous les acteurs de l’insolvabilité réunis autour d’une même table : PI, créanciers, juges et représentants de la masse.</w:t>
      </w:r>
    </w:p>
    <w:p w:rsidR="003B5B5D" w:rsidRPr="003B5B5D" w:rsidRDefault="003B5B5D" w:rsidP="000D634D">
      <w:pPr>
        <w:spacing w:line="259" w:lineRule="auto"/>
        <w:jc w:val="both"/>
        <w:rPr>
          <w:rFonts w:ascii="Times New Roman" w:eastAsia="Calibri" w:hAnsi="Times New Roman" w:cs="Times New Roman"/>
          <w:b/>
          <w:sz w:val="24"/>
        </w:rPr>
      </w:pPr>
      <w:r w:rsidRPr="003B5B5D">
        <w:rPr>
          <w:rFonts w:ascii="Times New Roman" w:eastAsia="Calibri" w:hAnsi="Times New Roman" w:cs="Times New Roman"/>
          <w:b/>
          <w:sz w:val="24"/>
        </w:rPr>
        <w:t xml:space="preserve">Tour d’Europe </w:t>
      </w:r>
    </w:p>
    <w:p w:rsidR="003B5B5D" w:rsidRPr="003B5B5D" w:rsidRDefault="003B5B5D" w:rsidP="000D634D">
      <w:pPr>
        <w:spacing w:line="259" w:lineRule="auto"/>
        <w:jc w:val="both"/>
        <w:rPr>
          <w:rFonts w:ascii="Times New Roman" w:eastAsia="Calibri" w:hAnsi="Times New Roman" w:cs="Times New Roman"/>
          <w:sz w:val="24"/>
        </w:rPr>
      </w:pPr>
      <w:r w:rsidRPr="003B5B5D">
        <w:rPr>
          <w:rFonts w:ascii="Times New Roman" w:eastAsia="Calibri" w:hAnsi="Times New Roman" w:cs="Times New Roman"/>
          <w:sz w:val="24"/>
        </w:rPr>
        <w:t>Je pense que 2018 sera une année très intéressante, non seulement pour notre organisation, mais également pour le marché européen de l’insolvabilité : le nombre d’insolvabilités devrait diminuer en 2018, dans la lignée de la tendance amorcée en 2017. Les exceptions sont le Royaume-Uni, dans le contexte du Brexit, et l’Europe centrale et de l’Est, marquée par la tourmente politique.</w:t>
      </w:r>
    </w:p>
    <w:p w:rsidR="003B5B5D" w:rsidRPr="003B5B5D" w:rsidRDefault="003B5B5D" w:rsidP="000D634D">
      <w:pPr>
        <w:spacing w:line="259" w:lineRule="auto"/>
        <w:jc w:val="both"/>
        <w:rPr>
          <w:rFonts w:ascii="Times New Roman" w:eastAsia="Calibri" w:hAnsi="Times New Roman" w:cs="Times New Roman"/>
          <w:sz w:val="24"/>
        </w:rPr>
      </w:pPr>
      <w:r w:rsidRPr="003B5B5D">
        <w:rPr>
          <w:rFonts w:ascii="Times New Roman" w:eastAsia="Calibri" w:hAnsi="Times New Roman" w:cs="Times New Roman"/>
          <w:sz w:val="24"/>
        </w:rPr>
        <w:t xml:space="preserve">En </w:t>
      </w:r>
      <w:r w:rsidRPr="003B5B5D">
        <w:rPr>
          <w:rFonts w:ascii="Times New Roman" w:eastAsia="Calibri" w:hAnsi="Times New Roman" w:cs="Times New Roman"/>
          <w:b/>
          <w:sz w:val="24"/>
        </w:rPr>
        <w:t>Allemagne</w:t>
      </w:r>
      <w:r w:rsidRPr="003B5B5D">
        <w:rPr>
          <w:rFonts w:ascii="Times New Roman" w:eastAsia="Calibri" w:hAnsi="Times New Roman" w:cs="Times New Roman"/>
          <w:sz w:val="24"/>
        </w:rPr>
        <w:t>, on a assisté a un déclin régulier du nombre d’insolvabilités d’entreprises au cours des dernières années. La majorité des experts chiffrent cette diminution à 4 % pour 2017, par rapport aux quelque 23 100 insolvabilités de 2016, et prévoient une nouvelle diminution de 4 % pour 2018. D’autres, au contraire, tirent le signal d’alarme et pensent que nous verrons de grandes entreprises rencontrer des difficultés et donc que la valeur totale des dettes décotées devrait également augmenter. La législation allemande évolue elle aussi : en avril 2018, les dispositions relatives aux insolvabilités de groupe entreront en vigueur, permettant aux procédures dirigées à l’encontre d’entreprises faisant partie d’un groupe d’être regroupées auprès d’un tribunal de l’insolvabilité unique et d’être administrées par un seul praticien.</w:t>
      </w:r>
    </w:p>
    <w:p w:rsidR="003B5B5D" w:rsidRPr="003B5B5D" w:rsidRDefault="003B5B5D" w:rsidP="000D634D">
      <w:pPr>
        <w:spacing w:line="259" w:lineRule="auto"/>
        <w:jc w:val="both"/>
        <w:rPr>
          <w:rFonts w:ascii="Times New Roman" w:eastAsia="Calibri" w:hAnsi="Times New Roman" w:cs="Times New Roman"/>
          <w:sz w:val="24"/>
        </w:rPr>
      </w:pPr>
      <w:r w:rsidRPr="003B5B5D">
        <w:rPr>
          <w:rFonts w:ascii="Times New Roman" w:eastAsia="Calibri" w:hAnsi="Times New Roman" w:cs="Times New Roman"/>
          <w:sz w:val="24"/>
        </w:rPr>
        <w:t xml:space="preserve">Au </w:t>
      </w:r>
      <w:r w:rsidRPr="003B5B5D">
        <w:rPr>
          <w:rFonts w:ascii="Times New Roman" w:eastAsia="Calibri" w:hAnsi="Times New Roman" w:cs="Times New Roman"/>
          <w:b/>
          <w:sz w:val="24"/>
        </w:rPr>
        <w:t>Royaume-Uni</w:t>
      </w:r>
      <w:r w:rsidRPr="003B5B5D">
        <w:rPr>
          <w:rFonts w:ascii="Times New Roman" w:eastAsia="Calibri" w:hAnsi="Times New Roman" w:cs="Times New Roman"/>
          <w:sz w:val="24"/>
        </w:rPr>
        <w:t>, l’économie paye son tribut au Brexit et les insolvabilités sont à la hausse. L’association des professionnels de l’insolvabilité britannique a récemment réalisé une étude auprès de ses membres, qui sont environ 1 700. La majorité écrasante des experts de l’insolvabilité et de la restructuration qui y ont répondu estimait que la décision du Royaume-Uni de quitter l’UE entraînerait une augmentation des insolvabilité d’entreprises en 2017 et 2018 et que le Brexit avait déjà eu des répercussions négatives sur le financement de nombreuses entreprises.</w:t>
      </w:r>
    </w:p>
    <w:p w:rsidR="003B5B5D" w:rsidRPr="003B5B5D" w:rsidRDefault="003B5B5D" w:rsidP="000D634D">
      <w:pPr>
        <w:spacing w:line="259" w:lineRule="auto"/>
        <w:jc w:val="both"/>
        <w:rPr>
          <w:rFonts w:ascii="Times New Roman" w:eastAsia="Calibri" w:hAnsi="Times New Roman" w:cs="Times New Roman"/>
          <w:sz w:val="24"/>
        </w:rPr>
      </w:pPr>
      <w:r w:rsidRPr="003B5B5D">
        <w:rPr>
          <w:rFonts w:ascii="Times New Roman" w:eastAsia="Calibri" w:hAnsi="Times New Roman" w:cs="Times New Roman"/>
          <w:sz w:val="24"/>
        </w:rPr>
        <w:lastRenderedPageBreak/>
        <w:t>L’</w:t>
      </w:r>
      <w:r w:rsidRPr="003B5B5D">
        <w:rPr>
          <w:rFonts w:ascii="Times New Roman" w:eastAsia="Calibri" w:hAnsi="Times New Roman" w:cs="Times New Roman"/>
          <w:b/>
          <w:sz w:val="24"/>
        </w:rPr>
        <w:t xml:space="preserve">Espagne </w:t>
      </w:r>
      <w:r w:rsidRPr="003B5B5D">
        <w:rPr>
          <w:rFonts w:ascii="Times New Roman" w:eastAsia="Calibri" w:hAnsi="Times New Roman" w:cs="Times New Roman"/>
          <w:sz w:val="24"/>
        </w:rPr>
        <w:t>connaît sa quatrième année d’expansion et de création d’emplois, ce qui amène les experts à prévoir une diminution de 7 % du nombre d’insolvabilités en 2018</w:t>
      </w:r>
      <w:r w:rsidRPr="003B5B5D">
        <w:rPr>
          <w:rFonts w:ascii="Times New Roman" w:eastAsia="Calibri" w:hAnsi="Times New Roman" w:cs="Times New Roman"/>
          <w:b/>
          <w:sz w:val="24"/>
        </w:rPr>
        <w:t>.</w:t>
      </w:r>
    </w:p>
    <w:p w:rsidR="003B5B5D" w:rsidRPr="003B5B5D" w:rsidRDefault="003B5B5D" w:rsidP="000D634D">
      <w:pPr>
        <w:spacing w:line="259" w:lineRule="auto"/>
        <w:jc w:val="both"/>
        <w:rPr>
          <w:rFonts w:ascii="Times New Roman" w:eastAsia="Calibri" w:hAnsi="Times New Roman" w:cs="Times New Roman"/>
          <w:sz w:val="24"/>
        </w:rPr>
      </w:pPr>
      <w:r w:rsidRPr="003B5B5D">
        <w:rPr>
          <w:rFonts w:ascii="Times New Roman" w:eastAsia="Calibri" w:hAnsi="Times New Roman" w:cs="Times New Roman"/>
          <w:sz w:val="24"/>
        </w:rPr>
        <w:t xml:space="preserve">En </w:t>
      </w:r>
      <w:r w:rsidRPr="003B5B5D">
        <w:rPr>
          <w:rFonts w:ascii="Times New Roman" w:eastAsia="Calibri" w:hAnsi="Times New Roman" w:cs="Times New Roman"/>
          <w:b/>
          <w:sz w:val="24"/>
        </w:rPr>
        <w:t>Italie</w:t>
      </w:r>
      <w:r w:rsidRPr="003B5B5D">
        <w:rPr>
          <w:rFonts w:ascii="Times New Roman" w:eastAsia="Calibri" w:hAnsi="Times New Roman" w:cs="Times New Roman"/>
          <w:sz w:val="24"/>
        </w:rPr>
        <w:t>, où les entreprises se redressent, les experts ont prédit une diminution de 5 % du nombre d’insolvabilités en 2017 et de 4 % en 2018. Leur nombre restera néanmoins élevé, tournant autour des 14 000. En vertu de la loi 155/2017, qui est entrée en vigueur le 14 novembre 2017, le Parlement italien a chargé le Gouvernement d’adopter, dans les douze mois à venir, une réforme organique globale de la procédure d’insolvabilité et des règles applicables aux crises d’entreprise.</w:t>
      </w:r>
    </w:p>
    <w:p w:rsidR="003B5B5D" w:rsidRPr="003B5B5D" w:rsidRDefault="003B5B5D" w:rsidP="000D634D">
      <w:pPr>
        <w:spacing w:line="259" w:lineRule="auto"/>
        <w:jc w:val="both"/>
        <w:rPr>
          <w:rFonts w:ascii="Times New Roman" w:eastAsia="Calibri" w:hAnsi="Times New Roman" w:cs="Times New Roman"/>
          <w:sz w:val="24"/>
        </w:rPr>
      </w:pPr>
      <w:r w:rsidRPr="003B5B5D">
        <w:rPr>
          <w:rFonts w:ascii="Times New Roman" w:eastAsia="Calibri" w:hAnsi="Times New Roman" w:cs="Times New Roman"/>
          <w:sz w:val="24"/>
        </w:rPr>
        <w:t xml:space="preserve">Les économies de </w:t>
      </w:r>
      <w:r w:rsidRPr="003B5B5D">
        <w:rPr>
          <w:rFonts w:ascii="Times New Roman" w:eastAsia="Calibri" w:hAnsi="Times New Roman" w:cs="Times New Roman"/>
          <w:b/>
          <w:sz w:val="24"/>
        </w:rPr>
        <w:t>Grèce</w:t>
      </w:r>
      <w:r w:rsidRPr="003B5B5D">
        <w:rPr>
          <w:rFonts w:ascii="Times New Roman" w:eastAsia="Calibri" w:hAnsi="Times New Roman" w:cs="Times New Roman"/>
          <w:sz w:val="24"/>
        </w:rPr>
        <w:t xml:space="preserve">, du </w:t>
      </w:r>
      <w:r w:rsidRPr="003B5B5D">
        <w:rPr>
          <w:rFonts w:ascii="Times New Roman" w:eastAsia="Calibri" w:hAnsi="Times New Roman" w:cs="Times New Roman"/>
          <w:b/>
          <w:sz w:val="24"/>
        </w:rPr>
        <w:t>Portugal</w:t>
      </w:r>
      <w:r w:rsidRPr="003B5B5D">
        <w:rPr>
          <w:rFonts w:ascii="Times New Roman" w:eastAsia="Calibri" w:hAnsi="Times New Roman" w:cs="Times New Roman"/>
          <w:sz w:val="24"/>
        </w:rPr>
        <w:t xml:space="preserve"> et d’</w:t>
      </w:r>
      <w:r w:rsidRPr="003B5B5D">
        <w:rPr>
          <w:rFonts w:ascii="Times New Roman" w:eastAsia="Calibri" w:hAnsi="Times New Roman" w:cs="Times New Roman"/>
          <w:b/>
          <w:sz w:val="24"/>
        </w:rPr>
        <w:t>Irlande</w:t>
      </w:r>
      <w:r w:rsidRPr="003B5B5D">
        <w:rPr>
          <w:rFonts w:ascii="Times New Roman" w:eastAsia="Calibri" w:hAnsi="Times New Roman" w:cs="Times New Roman"/>
          <w:sz w:val="24"/>
        </w:rPr>
        <w:t xml:space="preserve"> ayant elles aussi connu une croissance, on a pu y observer un déclin régulier des insolvabilités en 2017 ; il est prévu que le nombre d’insolvabilités diminue de 8 % en Grèce, de 6 % au Portugal et de 3 % en Irlande.</w:t>
      </w:r>
    </w:p>
    <w:p w:rsidR="003B5B5D" w:rsidRPr="003B5B5D" w:rsidRDefault="003B5B5D" w:rsidP="000D634D">
      <w:pPr>
        <w:spacing w:line="259" w:lineRule="auto"/>
        <w:jc w:val="both"/>
        <w:rPr>
          <w:rFonts w:ascii="Times New Roman" w:eastAsia="Calibri" w:hAnsi="Times New Roman" w:cs="Times New Roman"/>
          <w:sz w:val="24"/>
        </w:rPr>
      </w:pPr>
      <w:r w:rsidRPr="003B5B5D">
        <w:rPr>
          <w:rFonts w:ascii="Times New Roman" w:eastAsia="Calibri" w:hAnsi="Times New Roman" w:cs="Times New Roman"/>
          <w:sz w:val="24"/>
        </w:rPr>
        <w:t xml:space="preserve">En </w:t>
      </w:r>
      <w:r w:rsidRPr="003B5B5D">
        <w:rPr>
          <w:rFonts w:ascii="Times New Roman" w:eastAsia="Calibri" w:hAnsi="Times New Roman" w:cs="Times New Roman"/>
          <w:b/>
          <w:sz w:val="24"/>
        </w:rPr>
        <w:t>Roumanie</w:t>
      </w:r>
      <w:r w:rsidRPr="003B5B5D">
        <w:rPr>
          <w:rFonts w:ascii="Times New Roman" w:eastAsia="Calibri" w:hAnsi="Times New Roman" w:cs="Times New Roman"/>
          <w:sz w:val="24"/>
        </w:rPr>
        <w:t>, on observe un paradoxe. Bien que les résultats financiers macroéconomiques du pays la placent en tête du palmarès européen en termes de croissance économique, le secteur de l’insolvabilité reste très actif et tumultueux. Ces quatre dernières années, la Roumanie a connu une diminution importante et constante du nombre d’insolvabilités. Il est passé de 20 000 insolvabilités par an en 2014 à 10 000 en 2015, diminuant ensuite de 20 % en 2016, les prévisions annonçant une diminution de 5 % en 2017. Ces pronostics se sont avérés erronés, puisqu’une augmentation de près de 9 % a eu lieu en 2017. L’année 2018 s’accompagne de son lot de mauvaises surprises, qui risquent d’entraîner une augmentation du nombre d’insolvabilités.</w:t>
      </w:r>
    </w:p>
    <w:p w:rsidR="003B5B5D" w:rsidRPr="003B5B5D" w:rsidRDefault="003B5B5D" w:rsidP="000D634D">
      <w:pPr>
        <w:spacing w:line="259" w:lineRule="auto"/>
        <w:jc w:val="both"/>
        <w:rPr>
          <w:rFonts w:ascii="Times New Roman" w:eastAsia="Calibri" w:hAnsi="Times New Roman" w:cs="Times New Roman"/>
          <w:sz w:val="24"/>
        </w:rPr>
      </w:pPr>
      <w:r w:rsidRPr="003B5B5D">
        <w:rPr>
          <w:rFonts w:ascii="Times New Roman" w:eastAsia="Calibri" w:hAnsi="Times New Roman" w:cs="Times New Roman"/>
          <w:sz w:val="24"/>
        </w:rPr>
        <w:t>En novembre 2017, le Gouvernement a adopté une nouvelle loi, « révolution fiscale » auto-proclamée. Cette loi est entrée en vigueur le 1</w:t>
      </w:r>
      <w:r w:rsidRPr="003B5B5D">
        <w:rPr>
          <w:rFonts w:ascii="Times New Roman" w:eastAsia="Calibri" w:hAnsi="Times New Roman" w:cs="Times New Roman"/>
          <w:sz w:val="24"/>
          <w:vertAlign w:val="superscript"/>
        </w:rPr>
        <w:t>er</w:t>
      </w:r>
      <w:r w:rsidRPr="003B5B5D">
        <w:rPr>
          <w:rFonts w:ascii="Times New Roman" w:eastAsia="Calibri" w:hAnsi="Times New Roman" w:cs="Times New Roman"/>
          <w:sz w:val="24"/>
        </w:rPr>
        <w:t> janvier 2018. Elle modifie les cotisations de sécurité sociale et l’impôt sur le revenu ; elle augmente le salaire minimum et menace les entreprises qui reposent essentiellement sur de la main-d’œuvre bon marché. Nous ne sommes qu’en mars, mais le Gouvernement a déjà promulgué un nouveau texte pour corriger certains des effets de cette révolution fiscale.</w:t>
      </w:r>
    </w:p>
    <w:p w:rsidR="003B5B5D" w:rsidRPr="003B5B5D" w:rsidRDefault="003B5B5D" w:rsidP="000D634D">
      <w:pPr>
        <w:spacing w:line="259" w:lineRule="auto"/>
        <w:jc w:val="both"/>
        <w:rPr>
          <w:rFonts w:ascii="Times New Roman" w:eastAsia="Calibri" w:hAnsi="Times New Roman" w:cs="Times New Roman"/>
          <w:sz w:val="24"/>
        </w:rPr>
      </w:pPr>
      <w:r w:rsidRPr="003B5B5D">
        <w:rPr>
          <w:rFonts w:ascii="Times New Roman" w:eastAsia="Calibri" w:hAnsi="Times New Roman" w:cs="Times New Roman"/>
          <w:sz w:val="24"/>
        </w:rPr>
        <w:t>Considérations nationales mises à part, je suis persuadé que l’année 2018 lancera des défis inattendus aux professionnels de l’insolvabilité, de la restructuration et du redressement, et INSOL Europe continuera de les soutenir dans leurs efforts.</w:t>
      </w:r>
    </w:p>
    <w:p w:rsidR="003B5B5D" w:rsidRPr="003B5B5D" w:rsidRDefault="003B5B5D" w:rsidP="000D634D">
      <w:pPr>
        <w:spacing w:line="259" w:lineRule="auto"/>
        <w:jc w:val="both"/>
        <w:rPr>
          <w:rFonts w:ascii="Times New Roman" w:eastAsia="Calibri" w:hAnsi="Times New Roman" w:cs="Times New Roman"/>
          <w:sz w:val="24"/>
        </w:rPr>
      </w:pPr>
      <w:r w:rsidRPr="003B5B5D">
        <w:rPr>
          <w:rFonts w:ascii="Times New Roman" w:eastAsia="Calibri" w:hAnsi="Times New Roman" w:cs="Times New Roman"/>
          <w:b/>
          <w:sz w:val="24"/>
        </w:rPr>
        <w:t>Invitation à Riga</w:t>
      </w:r>
      <w:r w:rsidRPr="003B5B5D">
        <w:rPr>
          <w:rFonts w:ascii="Times New Roman" w:eastAsia="Calibri" w:hAnsi="Times New Roman" w:cs="Times New Roman"/>
          <w:sz w:val="24"/>
        </w:rPr>
        <w:t xml:space="preserve"> </w:t>
      </w:r>
    </w:p>
    <w:p w:rsidR="003B5B5D" w:rsidRPr="003B5B5D" w:rsidRDefault="003B5B5D" w:rsidP="000D634D">
      <w:pPr>
        <w:spacing w:line="259" w:lineRule="auto"/>
        <w:jc w:val="both"/>
        <w:rPr>
          <w:rFonts w:ascii="Times New Roman" w:eastAsia="Calibri" w:hAnsi="Times New Roman" w:cs="Times New Roman"/>
          <w:sz w:val="24"/>
        </w:rPr>
      </w:pPr>
      <w:r w:rsidRPr="003B5B5D">
        <w:rPr>
          <w:rFonts w:ascii="Times New Roman" w:eastAsia="Calibri" w:hAnsi="Times New Roman" w:cs="Times New Roman"/>
          <w:sz w:val="24"/>
        </w:rPr>
        <w:t xml:space="preserve">Je conclurai cet article en vous invitant à la </w:t>
      </w:r>
      <w:r w:rsidRPr="003B5B5D">
        <w:rPr>
          <w:rFonts w:ascii="Times New Roman" w:eastAsia="Calibri" w:hAnsi="Times New Roman" w:cs="Times New Roman"/>
          <w:b/>
          <w:sz w:val="24"/>
        </w:rPr>
        <w:t>Conférence du</w:t>
      </w:r>
      <w:r w:rsidRPr="003B5B5D">
        <w:rPr>
          <w:rFonts w:ascii="Times New Roman" w:eastAsia="Calibri" w:hAnsi="Times New Roman" w:cs="Times New Roman"/>
          <w:sz w:val="24"/>
        </w:rPr>
        <w:t xml:space="preserve"> </w:t>
      </w:r>
      <w:r w:rsidRPr="003B5B5D">
        <w:rPr>
          <w:rFonts w:ascii="Times New Roman" w:eastAsia="Calibri" w:hAnsi="Times New Roman" w:cs="Times New Roman"/>
          <w:b/>
          <w:sz w:val="24"/>
        </w:rPr>
        <w:t>Comité des Pays de l’Europe orientale</w:t>
      </w:r>
      <w:r w:rsidRPr="003B5B5D">
        <w:rPr>
          <w:rFonts w:ascii="Times New Roman" w:eastAsia="Calibri" w:hAnsi="Times New Roman" w:cs="Times New Roman"/>
          <w:sz w:val="24"/>
        </w:rPr>
        <w:t>, qui se tiendra cette année à Riga. Cette conférence se focalisera essentiellement sur les nouvelles approches de l’insolvabilité en Europe, sur la façon dont les lois locales et européennes ont évolué et sur les projets de la Commission européenne tendant à l’harmonisation des lois sur l’insolvabilité dans les États membres. Nous avons l’intention de nous concentrer sur l’aspect pratique et, à cet effet, d’y présenter des études de cas de restructuration très intéressantes. Cerise sur le gâteau, nous avons invité deux intervenants principaux de haut vol : le Premier Ministre et le ministre de la Justice de Lettonie. Ne ratez pas cet événement !</w:t>
      </w:r>
    </w:p>
    <w:p w:rsidR="003B5B5D" w:rsidRPr="003B5B5D" w:rsidRDefault="003B5B5D" w:rsidP="000D634D">
      <w:pPr>
        <w:spacing w:line="259" w:lineRule="auto"/>
        <w:ind w:left="4248" w:firstLine="708"/>
        <w:jc w:val="both"/>
        <w:rPr>
          <w:rFonts w:ascii="Arial Narrow" w:eastAsia="Calibri" w:hAnsi="Arial Narrow" w:cs="Times New Roman"/>
          <w:i/>
          <w:sz w:val="20"/>
        </w:rPr>
      </w:pPr>
      <w:r w:rsidRPr="003B5B5D">
        <w:rPr>
          <w:rFonts w:ascii="Arial Narrow" w:eastAsia="Calibri" w:hAnsi="Arial Narrow" w:cs="Times New Roman"/>
          <w:i/>
          <w:sz w:val="20"/>
        </w:rPr>
        <w:t>*Radu Lotrean est le Président d’INSOL Europe</w:t>
      </w:r>
    </w:p>
    <w:p w:rsidR="004623E2" w:rsidRPr="003B5B5D" w:rsidRDefault="004623E2" w:rsidP="003B5B5D">
      <w:pPr>
        <w:suppressAutoHyphens/>
        <w:spacing w:after="0" w:line="240" w:lineRule="auto"/>
        <w:jc w:val="center"/>
        <w:rPr>
          <w:rFonts w:ascii="Times New Roman" w:eastAsia="Times New Roman" w:hAnsi="Times New Roman" w:cs="Times New Roman"/>
          <w:sz w:val="24"/>
          <w:szCs w:val="24"/>
          <w:lang w:eastAsia="ar-SA"/>
        </w:rPr>
      </w:pPr>
    </w:p>
    <w:p w:rsidR="003B5B5D" w:rsidRPr="0052658C" w:rsidRDefault="003B5B5D" w:rsidP="0052658C">
      <w:pPr>
        <w:suppressAutoHyphens/>
        <w:spacing w:after="0" w:line="240" w:lineRule="auto"/>
        <w:rPr>
          <w:rFonts w:ascii="Times New Roman" w:eastAsia="Times New Roman" w:hAnsi="Times New Roman" w:cs="Times New Roman"/>
          <w:sz w:val="24"/>
          <w:szCs w:val="24"/>
          <w:lang w:eastAsia="ar-SA"/>
        </w:rPr>
      </w:pPr>
      <w:r w:rsidRPr="003B5B5D">
        <w:rPr>
          <w:rFonts w:ascii="Arial Narrow" w:eastAsia="Times New Roman" w:hAnsi="Arial Narrow" w:cs="Times New Roman"/>
          <w:b/>
          <w:sz w:val="28"/>
          <w:szCs w:val="28"/>
          <w:lang w:eastAsia="fr-FR"/>
        </w:rPr>
        <w:t>Actualités et événements</w:t>
      </w:r>
    </w:p>
    <w:p w:rsidR="003B5B5D" w:rsidRPr="003B5B5D" w:rsidRDefault="003B5B5D" w:rsidP="003B5B5D">
      <w:pPr>
        <w:spacing w:after="0" w:line="240" w:lineRule="auto"/>
        <w:jc w:val="center"/>
        <w:rPr>
          <w:rFonts w:ascii="Times New Roman" w:eastAsia="Times New Roman" w:hAnsi="Times New Roman" w:cs="Times New Roman"/>
          <w:b/>
          <w:sz w:val="48"/>
          <w:szCs w:val="48"/>
          <w:lang w:eastAsia="fr-FR"/>
        </w:rPr>
      </w:pPr>
      <w:r w:rsidRPr="003B5B5D">
        <w:rPr>
          <w:rFonts w:ascii="Times New Roman" w:eastAsia="Times New Roman" w:hAnsi="Times New Roman" w:cs="Times New Roman"/>
          <w:b/>
          <w:sz w:val="48"/>
          <w:szCs w:val="48"/>
          <w:lang w:eastAsia="fr-FR"/>
        </w:rPr>
        <w:t>Actualités</w:t>
      </w:r>
    </w:p>
    <w:p w:rsidR="003B5B5D" w:rsidRPr="003B5B5D" w:rsidRDefault="003B5B5D" w:rsidP="003B5B5D">
      <w:pPr>
        <w:spacing w:after="0" w:line="240" w:lineRule="auto"/>
        <w:rPr>
          <w:rFonts w:ascii="Arial Narrow" w:eastAsia="Times New Roman" w:hAnsi="Arial Narrow" w:cs="Times New Roman"/>
          <w:i/>
          <w:sz w:val="24"/>
          <w:szCs w:val="24"/>
          <w:lang w:eastAsia="fr-FR"/>
        </w:rPr>
      </w:pPr>
    </w:p>
    <w:p w:rsidR="003B5B5D" w:rsidRPr="003B5B5D" w:rsidRDefault="003B5B5D" w:rsidP="003B5B5D">
      <w:pPr>
        <w:suppressAutoHyphens/>
        <w:spacing w:after="0" w:line="240" w:lineRule="auto"/>
        <w:jc w:val="both"/>
        <w:rPr>
          <w:rFonts w:ascii="Times New Roman" w:eastAsia="Times New Roman" w:hAnsi="Times New Roman" w:cs="Times New Roman"/>
          <w:b/>
          <w:i/>
          <w:sz w:val="24"/>
          <w:szCs w:val="24"/>
          <w:lang w:eastAsia="ar-SA"/>
        </w:rPr>
      </w:pPr>
      <w:r w:rsidRPr="003B5B5D">
        <w:rPr>
          <w:rFonts w:ascii="Times New Roman" w:eastAsia="Times New Roman" w:hAnsi="Times New Roman" w:cs="Times New Roman"/>
          <w:b/>
          <w:i/>
          <w:sz w:val="24"/>
          <w:szCs w:val="24"/>
          <w:lang w:eastAsia="ar-SA"/>
        </w:rPr>
        <w:t>Nous accueillons volontiers les propositions d’articles et d’actualités. Pour savoir</w:t>
      </w:r>
      <w:r w:rsidRPr="003B5B5D">
        <w:rPr>
          <w:rFonts w:ascii="Times New Roman" w:eastAsia="Times New Roman" w:hAnsi="Times New Roman" w:cs="Times New Roman"/>
          <w:i/>
          <w:sz w:val="24"/>
          <w:szCs w:val="24"/>
          <w:lang w:eastAsia="ar-SA"/>
        </w:rPr>
        <w:t xml:space="preserve"> </w:t>
      </w:r>
      <w:r w:rsidRPr="003B5B5D">
        <w:rPr>
          <w:rFonts w:ascii="Times New Roman" w:eastAsia="Times New Roman" w:hAnsi="Times New Roman" w:cs="Times New Roman"/>
          <w:b/>
          <w:i/>
          <w:sz w:val="24"/>
          <w:szCs w:val="24"/>
          <w:lang w:eastAsia="ar-SA"/>
        </w:rPr>
        <w:t xml:space="preserve">plus sur les modalités de rédaction et sur le calendrier de remise des articles pour l’année prochaine, veuillez contacter Paul Newson, directeur de publication, </w:t>
      </w:r>
    </w:p>
    <w:p w:rsidR="003B5B5D" w:rsidRPr="003B5B5D" w:rsidRDefault="003B5B5D" w:rsidP="003B5B5D">
      <w:pPr>
        <w:suppressAutoHyphens/>
        <w:spacing w:after="0" w:line="240" w:lineRule="auto"/>
        <w:ind w:left="2124" w:firstLine="708"/>
        <w:jc w:val="both"/>
        <w:rPr>
          <w:rFonts w:ascii="Times New Roman" w:eastAsia="Times New Roman" w:hAnsi="Times New Roman" w:cs="Times New Roman"/>
          <w:i/>
          <w:sz w:val="24"/>
          <w:szCs w:val="24"/>
          <w:lang w:eastAsia="ar-SA"/>
        </w:rPr>
      </w:pPr>
      <w:r w:rsidRPr="003B5B5D">
        <w:rPr>
          <w:rFonts w:ascii="Times New Roman" w:eastAsia="Times New Roman" w:hAnsi="Times New Roman" w:cs="Times New Roman"/>
          <w:b/>
          <w:i/>
          <w:sz w:val="24"/>
          <w:szCs w:val="24"/>
          <w:lang w:eastAsia="ar-SA"/>
        </w:rPr>
        <w:t>à l’adresse paulnewson@insol-europe.org</w:t>
      </w:r>
    </w:p>
    <w:p w:rsidR="003B5B5D" w:rsidRPr="003B5B5D" w:rsidRDefault="003B5B5D" w:rsidP="003B5B5D">
      <w:pPr>
        <w:suppressAutoHyphens/>
        <w:spacing w:after="0" w:line="240" w:lineRule="auto"/>
        <w:rPr>
          <w:rFonts w:ascii="Times New Roman" w:eastAsia="Times New Roman" w:hAnsi="Times New Roman" w:cs="Times New Roman"/>
          <w:b/>
          <w:sz w:val="32"/>
          <w:szCs w:val="32"/>
          <w:lang w:eastAsia="ar-SA"/>
        </w:rPr>
      </w:pPr>
    </w:p>
    <w:p w:rsidR="003B5B5D" w:rsidRPr="003B5B5D" w:rsidRDefault="003B5B5D" w:rsidP="003B5B5D">
      <w:pPr>
        <w:spacing w:after="160" w:line="259" w:lineRule="auto"/>
        <w:jc w:val="center"/>
        <w:rPr>
          <w:rFonts w:ascii="Times New Roman" w:eastAsia="Calibri" w:hAnsi="Times New Roman" w:cs="Times New Roman"/>
          <w:b/>
          <w:sz w:val="36"/>
          <w:szCs w:val="36"/>
        </w:rPr>
      </w:pPr>
      <w:r w:rsidRPr="003B5B5D">
        <w:rPr>
          <w:rFonts w:ascii="Times New Roman" w:eastAsia="Calibri" w:hAnsi="Times New Roman" w:cs="Times New Roman"/>
          <w:b/>
          <w:sz w:val="36"/>
          <w:szCs w:val="36"/>
        </w:rPr>
        <w:t>Congrès annuel Athènes 2018 : les inscriptions sont ouvertes !</w:t>
      </w:r>
    </w:p>
    <w:p w:rsidR="003B5B5D" w:rsidRPr="003B5B5D" w:rsidRDefault="003B5B5D" w:rsidP="000D634D">
      <w:pPr>
        <w:spacing w:line="259" w:lineRule="auto"/>
        <w:jc w:val="both"/>
        <w:rPr>
          <w:rFonts w:ascii="Times New Roman" w:eastAsia="Calibri" w:hAnsi="Times New Roman" w:cs="Times New Roman"/>
          <w:sz w:val="24"/>
          <w:szCs w:val="24"/>
        </w:rPr>
      </w:pPr>
      <w:r w:rsidRPr="003B5B5D">
        <w:rPr>
          <w:rFonts w:ascii="Times New Roman" w:eastAsia="Calibri" w:hAnsi="Times New Roman" w:cs="Times New Roman"/>
          <w:sz w:val="24"/>
          <w:szCs w:val="24"/>
        </w:rPr>
        <w:t>Il suffit de prononcer le mot « Athènes » pour penser immédiatement à la plus ancienne et la plus importante civilisation d’Europe, qui date de plus de trois millénaires. Imaginez que vous gravissez la colline de la Pnyx ou que vous déambulez dans l’ancienne Agora, ces places où le peuple se réunissait pour discuter d’importantes questions publiques : c’est là que la démocratie est née.</w:t>
      </w:r>
    </w:p>
    <w:p w:rsidR="003B5B5D" w:rsidRPr="003B5B5D" w:rsidRDefault="003B5B5D" w:rsidP="000D634D">
      <w:pPr>
        <w:spacing w:line="259" w:lineRule="auto"/>
        <w:jc w:val="both"/>
        <w:rPr>
          <w:rFonts w:ascii="Times New Roman" w:eastAsia="Calibri" w:hAnsi="Times New Roman" w:cs="Times New Roman"/>
          <w:sz w:val="24"/>
          <w:szCs w:val="24"/>
        </w:rPr>
      </w:pPr>
      <w:r w:rsidRPr="003B5B5D">
        <w:rPr>
          <w:rFonts w:ascii="Times New Roman" w:eastAsia="Calibri" w:hAnsi="Times New Roman" w:cs="Times New Roman"/>
          <w:sz w:val="24"/>
          <w:szCs w:val="24"/>
        </w:rPr>
        <w:t>Ce lieu est donc parfaitement approprié pour une manifestation professionnelle aussi importante que le 37</w:t>
      </w:r>
      <w:r w:rsidRPr="003B5B5D">
        <w:rPr>
          <w:rFonts w:ascii="Times New Roman" w:eastAsia="Calibri" w:hAnsi="Times New Roman" w:cs="Times New Roman"/>
          <w:sz w:val="24"/>
          <w:szCs w:val="24"/>
          <w:vertAlign w:val="superscript"/>
        </w:rPr>
        <w:t>e</w:t>
      </w:r>
      <w:r w:rsidRPr="003B5B5D">
        <w:rPr>
          <w:rFonts w:ascii="Times New Roman" w:eastAsia="Calibri" w:hAnsi="Times New Roman" w:cs="Times New Roman"/>
          <w:sz w:val="24"/>
          <w:szCs w:val="24"/>
        </w:rPr>
        <w:t xml:space="preserve"> Congrès d’INSOL Europe. « </w:t>
      </w:r>
      <w:r w:rsidRPr="003B5B5D">
        <w:rPr>
          <w:rFonts w:ascii="Times New Roman" w:eastAsia="Calibri" w:hAnsi="Times New Roman" w:cs="Times New Roman"/>
          <w:b/>
          <w:sz w:val="24"/>
          <w:szCs w:val="24"/>
        </w:rPr>
        <w:t>Briser les chaînes</w:t>
      </w:r>
      <w:r w:rsidRPr="003B5B5D">
        <w:rPr>
          <w:rFonts w:ascii="Times New Roman" w:eastAsia="Calibri" w:hAnsi="Times New Roman" w:cs="Times New Roman"/>
          <w:sz w:val="24"/>
          <w:szCs w:val="24"/>
        </w:rPr>
        <w:t> » : le thème de notre Congrès va comme un gant à la Grèce. La résilience, le calme et la force de la nation grecque l’ont aidée à surmonter la crise économique.</w:t>
      </w:r>
    </w:p>
    <w:p w:rsidR="003B5B5D" w:rsidRPr="003B5B5D" w:rsidRDefault="003B5B5D" w:rsidP="000D634D">
      <w:pPr>
        <w:spacing w:line="259" w:lineRule="auto"/>
        <w:jc w:val="both"/>
        <w:rPr>
          <w:rFonts w:ascii="Times New Roman" w:eastAsia="Calibri" w:hAnsi="Times New Roman" w:cs="Times New Roman"/>
          <w:sz w:val="24"/>
          <w:szCs w:val="24"/>
        </w:rPr>
      </w:pPr>
      <w:r w:rsidRPr="003B5B5D">
        <w:rPr>
          <w:rFonts w:ascii="Times New Roman" w:eastAsia="Calibri" w:hAnsi="Times New Roman" w:cs="Times New Roman"/>
          <w:sz w:val="24"/>
          <w:szCs w:val="24"/>
        </w:rPr>
        <w:t>Athènes sera le lieu idéal pour réfléchir, établir de nouvelles connexions, réseauter et rencontrer d’autres professionnels partageant les mêmes idées. Après le Congrès, quoi de mieux que d’échanger avec de nouveaux amis, à la manière des Grecs anciens, au son de musiques traditionnelles, tout en dégustant un verre de vin sous le ciel bleu ! Nous sommes impatients de vous y voir !</w:t>
      </w:r>
    </w:p>
    <w:p w:rsidR="003B5B5D" w:rsidRDefault="003B5B5D" w:rsidP="003B5B5D">
      <w:pPr>
        <w:spacing w:after="160" w:line="259" w:lineRule="auto"/>
        <w:jc w:val="both"/>
        <w:rPr>
          <w:rFonts w:ascii="Times New Roman" w:eastAsia="Calibri" w:hAnsi="Times New Roman" w:cs="Times New Roman"/>
          <w:i/>
          <w:sz w:val="24"/>
          <w:szCs w:val="24"/>
        </w:rPr>
      </w:pPr>
      <w:r w:rsidRPr="003B5B5D">
        <w:rPr>
          <w:rFonts w:ascii="Times New Roman" w:eastAsia="Calibri" w:hAnsi="Times New Roman" w:cs="Times New Roman"/>
          <w:i/>
          <w:sz w:val="24"/>
          <w:szCs w:val="24"/>
        </w:rPr>
        <w:t xml:space="preserve">Pour de plus amples renseignements ou pour réserver votre place, rendez-vous sur notre site à l’adresse </w:t>
      </w:r>
      <w:hyperlink r:id="rId76" w:history="1">
        <w:r w:rsidR="0052658C" w:rsidRPr="00313101">
          <w:rPr>
            <w:rStyle w:val="Lienhypertexte"/>
            <w:rFonts w:ascii="Times New Roman" w:eastAsia="Calibri" w:hAnsi="Times New Roman" w:cs="Times New Roman"/>
            <w:i/>
            <w:sz w:val="24"/>
            <w:szCs w:val="24"/>
          </w:rPr>
          <w:t>www.insol-europe.org/events</w:t>
        </w:r>
      </w:hyperlink>
    </w:p>
    <w:p w:rsidR="0052658C" w:rsidRPr="003B5B5D" w:rsidRDefault="0052658C" w:rsidP="003B5B5D">
      <w:pPr>
        <w:spacing w:after="160" w:line="259"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_______________________________________________________________________________</w:t>
      </w:r>
    </w:p>
    <w:p w:rsidR="003B5B5D" w:rsidRPr="003B5B5D" w:rsidRDefault="003B5B5D" w:rsidP="003B5B5D">
      <w:pPr>
        <w:spacing w:after="160" w:line="259" w:lineRule="auto"/>
        <w:jc w:val="center"/>
        <w:rPr>
          <w:rFonts w:ascii="Times New Roman" w:eastAsia="Calibri" w:hAnsi="Times New Roman" w:cs="Times New Roman"/>
          <w:b/>
          <w:sz w:val="36"/>
          <w:szCs w:val="36"/>
        </w:rPr>
      </w:pPr>
      <w:r w:rsidRPr="003B5B5D">
        <w:rPr>
          <w:rFonts w:ascii="Times New Roman" w:eastAsia="Calibri" w:hAnsi="Times New Roman" w:cs="Times New Roman"/>
          <w:b/>
          <w:sz w:val="36"/>
          <w:szCs w:val="36"/>
        </w:rPr>
        <w:t xml:space="preserve">À la recherche de la sagesse athénienne : </w:t>
      </w:r>
    </w:p>
    <w:p w:rsidR="003B5B5D" w:rsidRPr="003B5B5D" w:rsidRDefault="003B5B5D" w:rsidP="003B5B5D">
      <w:pPr>
        <w:spacing w:after="160" w:line="259" w:lineRule="auto"/>
        <w:jc w:val="center"/>
        <w:rPr>
          <w:rFonts w:ascii="Times New Roman" w:eastAsia="Calibri" w:hAnsi="Times New Roman" w:cs="Times New Roman"/>
          <w:b/>
          <w:sz w:val="36"/>
          <w:szCs w:val="36"/>
        </w:rPr>
      </w:pPr>
      <w:r w:rsidRPr="003B5B5D">
        <w:rPr>
          <w:rFonts w:ascii="Times New Roman" w:eastAsia="Calibri" w:hAnsi="Times New Roman" w:cs="Times New Roman"/>
          <w:b/>
          <w:sz w:val="36"/>
          <w:szCs w:val="36"/>
        </w:rPr>
        <w:t>le Forum universitaire</w:t>
      </w:r>
    </w:p>
    <w:p w:rsidR="003B5B5D" w:rsidRPr="003B5B5D" w:rsidRDefault="003B5B5D" w:rsidP="003B5B5D">
      <w:pPr>
        <w:spacing w:after="160" w:line="259" w:lineRule="auto"/>
        <w:jc w:val="both"/>
        <w:rPr>
          <w:rFonts w:ascii="Times New Roman" w:eastAsia="Calibri" w:hAnsi="Times New Roman" w:cs="Times New Roman"/>
          <w:b/>
          <w:sz w:val="24"/>
          <w:szCs w:val="24"/>
        </w:rPr>
      </w:pPr>
      <w:r w:rsidRPr="003B5B5D">
        <w:rPr>
          <w:rFonts w:ascii="Times New Roman" w:eastAsia="Calibri" w:hAnsi="Times New Roman" w:cs="Times New Roman"/>
          <w:b/>
          <w:sz w:val="24"/>
          <w:szCs w:val="24"/>
        </w:rPr>
        <w:t>Berceau de la démocratie et du droit, ville d’Athéna, déesse de la sagesse, dont le symbole est la chouette : Athènes est l’une des plus vieilles villes du monde et elle peut s’enorgueillir de posséder certaines des ruines anciennes les plus représentatives de la civilisation hellénique.</w:t>
      </w:r>
    </w:p>
    <w:p w:rsidR="003B5B5D" w:rsidRPr="003B5B5D" w:rsidRDefault="003B5B5D" w:rsidP="000D634D">
      <w:pPr>
        <w:spacing w:line="259" w:lineRule="auto"/>
        <w:jc w:val="both"/>
        <w:rPr>
          <w:rFonts w:ascii="Times New Roman" w:eastAsia="Calibri" w:hAnsi="Times New Roman" w:cs="Times New Roman"/>
          <w:sz w:val="24"/>
          <w:szCs w:val="24"/>
        </w:rPr>
      </w:pPr>
      <w:r w:rsidRPr="003B5B5D">
        <w:rPr>
          <w:rFonts w:ascii="Times New Roman" w:eastAsia="Calibri" w:hAnsi="Times New Roman" w:cs="Times New Roman"/>
          <w:sz w:val="24"/>
          <w:szCs w:val="24"/>
        </w:rPr>
        <w:t>Cet automne, la conférence du Forum universitaire se rend en Grèce pour deux jours (3-4 octobre 2018), dans le golfe Saronique, en mer Égée. C’est là que s’est déroulée la célèbre bataille de Salamis, l’un des événements déterminants de l’Antiquité.</w:t>
      </w:r>
    </w:p>
    <w:p w:rsidR="003B5B5D" w:rsidRPr="003B5B5D" w:rsidRDefault="003B5B5D" w:rsidP="000D634D">
      <w:pPr>
        <w:spacing w:line="259" w:lineRule="auto"/>
        <w:jc w:val="both"/>
        <w:rPr>
          <w:rFonts w:ascii="Times New Roman" w:eastAsia="Calibri" w:hAnsi="Times New Roman" w:cs="Times New Roman"/>
          <w:sz w:val="24"/>
          <w:szCs w:val="24"/>
        </w:rPr>
      </w:pPr>
      <w:r w:rsidRPr="003B5B5D">
        <w:rPr>
          <w:rFonts w:ascii="Times New Roman" w:eastAsia="Calibri" w:hAnsi="Times New Roman" w:cs="Times New Roman"/>
          <w:sz w:val="24"/>
          <w:szCs w:val="24"/>
        </w:rPr>
        <w:lastRenderedPageBreak/>
        <w:t>Cette année, notre symposium a pour thème « </w:t>
      </w:r>
      <w:r w:rsidRPr="003B5B5D">
        <w:rPr>
          <w:rFonts w:ascii="Times New Roman" w:eastAsia="Calibri" w:hAnsi="Times New Roman" w:cs="Times New Roman"/>
          <w:b/>
          <w:sz w:val="24"/>
          <w:szCs w:val="24"/>
        </w:rPr>
        <w:t>Autonomie des parties et protection des tiers en droit de l’insolvabilité </w:t>
      </w:r>
      <w:r w:rsidRPr="003B5B5D">
        <w:rPr>
          <w:rFonts w:ascii="Times New Roman" w:eastAsia="Calibri" w:hAnsi="Times New Roman" w:cs="Times New Roman"/>
          <w:sz w:val="24"/>
          <w:szCs w:val="24"/>
        </w:rPr>
        <w:t>». L’idée est de retracer les liens entre le droit des contrats, le droit de la propriété, le droit des sociétés, mais aussi le droit international privé et le droit de l’insolvabilité. Ces domaines très proches, qui influencent le discours en matière d’insolvabilité et de restructuration, permettent de comprendre la façon dont l’insolvabilité interagit avec d’autres thèmes juridiques. Notre rencontre à Athènes a pour but de nous donner l’occasion de remettre en question les approches existantes, de stimuler les débats et de nous interroger en profondeur sur diverses questions qui touchent à ces domaines.</w:t>
      </w:r>
    </w:p>
    <w:p w:rsidR="003B5B5D" w:rsidRPr="003B5B5D" w:rsidRDefault="003B5B5D" w:rsidP="000D634D">
      <w:pPr>
        <w:spacing w:line="259" w:lineRule="auto"/>
        <w:jc w:val="both"/>
        <w:rPr>
          <w:rFonts w:ascii="Times New Roman" w:eastAsia="Calibri" w:hAnsi="Times New Roman" w:cs="Times New Roman"/>
          <w:sz w:val="24"/>
          <w:szCs w:val="24"/>
        </w:rPr>
      </w:pPr>
      <w:r w:rsidRPr="003B5B5D">
        <w:rPr>
          <w:rFonts w:ascii="Times New Roman" w:eastAsia="Calibri" w:hAnsi="Times New Roman" w:cs="Times New Roman"/>
          <w:sz w:val="24"/>
          <w:szCs w:val="24"/>
        </w:rPr>
        <w:t>À l’heure où nous écrivons ces lignes, nous recevons déjà des réponses à notre appel à contributions de janvier, que nous avons transmises à notre conseil d’administration. Le programme est en cours de préparation et la liste complète des intervenants sera publiée dans le prochain numéro d’</w:t>
      </w:r>
      <w:r w:rsidRPr="003B5B5D">
        <w:rPr>
          <w:rFonts w:ascii="Times New Roman" w:eastAsia="Calibri" w:hAnsi="Times New Roman" w:cs="Times New Roman"/>
          <w:i/>
          <w:sz w:val="24"/>
          <w:szCs w:val="24"/>
        </w:rPr>
        <w:t>eurofenix</w:t>
      </w:r>
      <w:r w:rsidRPr="003B5B5D">
        <w:rPr>
          <w:rFonts w:ascii="Times New Roman" w:eastAsia="Calibri" w:hAnsi="Times New Roman" w:cs="Times New Roman"/>
          <w:sz w:val="24"/>
          <w:szCs w:val="24"/>
        </w:rPr>
        <w:t>. Cependant, les propositions pour Athènes ont décidément un parfum de droit comparatif. En outre, plusieurs d’entre elles émanent de membres du Réseau des jeunes chercheurs en droit de l’insolvabilité, à qui une séance spéciale est consacrée dans le cadre du programme de notre conférence.</w:t>
      </w:r>
    </w:p>
    <w:p w:rsidR="003B5B5D" w:rsidRPr="003B5B5D" w:rsidRDefault="003B5B5D" w:rsidP="000D634D">
      <w:pPr>
        <w:spacing w:line="259" w:lineRule="auto"/>
        <w:jc w:val="both"/>
        <w:rPr>
          <w:rFonts w:ascii="Times New Roman" w:eastAsia="Calibri" w:hAnsi="Times New Roman" w:cs="Times New Roman"/>
          <w:sz w:val="24"/>
          <w:szCs w:val="24"/>
        </w:rPr>
      </w:pPr>
      <w:r w:rsidRPr="003B5B5D">
        <w:rPr>
          <w:rFonts w:ascii="Times New Roman" w:eastAsia="Calibri" w:hAnsi="Times New Roman" w:cs="Times New Roman"/>
          <w:sz w:val="24"/>
          <w:szCs w:val="24"/>
        </w:rPr>
        <w:t>Cette conférence s’annonce comme une occasion de remettre en question les idées reçues et les préjugés, d’apprendre de nouvelles choses, de nouer des amitiés et des relations de travail, et bien entendu de profiter de l’hospitalité grecque et des magnifiques paysages et monuments chargés d’histoire. Rejoignez-nous à Athènes pour un voyage dans le temps, aux sources de la civilisation !</w:t>
      </w:r>
    </w:p>
    <w:p w:rsidR="003B5B5D" w:rsidRPr="003B5B5D" w:rsidRDefault="003B5B5D" w:rsidP="003B5B5D">
      <w:pPr>
        <w:spacing w:after="160" w:line="259" w:lineRule="auto"/>
        <w:jc w:val="both"/>
        <w:rPr>
          <w:rFonts w:ascii="Arial Narrow" w:eastAsia="Calibri" w:hAnsi="Arial Narrow" w:cs="Times New Roman"/>
          <w:i/>
          <w:sz w:val="24"/>
          <w:szCs w:val="24"/>
        </w:rPr>
      </w:pPr>
      <w:r w:rsidRPr="003B5B5D">
        <w:rPr>
          <w:rFonts w:ascii="Arial Narrow" w:eastAsia="Calibri" w:hAnsi="Arial Narrow" w:cs="Times New Roman"/>
          <w:i/>
          <w:sz w:val="24"/>
          <w:szCs w:val="24"/>
        </w:rPr>
        <w:t>Jennifer Gant et Paul Omar</w:t>
      </w:r>
    </w:p>
    <w:p w:rsidR="003B5B5D" w:rsidRPr="003B5B5D" w:rsidRDefault="003B5B5D" w:rsidP="003B5B5D">
      <w:pPr>
        <w:pBdr>
          <w:bottom w:val="single" w:sz="6" w:space="1" w:color="auto"/>
        </w:pBdr>
        <w:spacing w:after="160" w:line="259" w:lineRule="auto"/>
        <w:jc w:val="both"/>
        <w:rPr>
          <w:rFonts w:ascii="Times New Roman" w:eastAsia="Calibri" w:hAnsi="Times New Roman" w:cs="Times New Roman"/>
          <w:sz w:val="24"/>
          <w:szCs w:val="24"/>
        </w:rPr>
      </w:pPr>
    </w:p>
    <w:p w:rsidR="003B5B5D" w:rsidRPr="003B5B5D" w:rsidRDefault="003B5B5D" w:rsidP="0052658C">
      <w:pPr>
        <w:spacing w:after="160" w:line="259" w:lineRule="auto"/>
        <w:jc w:val="center"/>
        <w:rPr>
          <w:rFonts w:ascii="Arial Narrow" w:eastAsia="Calibri" w:hAnsi="Arial Narrow" w:cs="Times New Roman"/>
          <w:b/>
          <w:i/>
          <w:sz w:val="36"/>
          <w:szCs w:val="36"/>
        </w:rPr>
      </w:pPr>
      <w:r w:rsidRPr="003B5B5D">
        <w:rPr>
          <w:rFonts w:ascii="Times New Roman" w:eastAsia="Calibri" w:hAnsi="Times New Roman" w:cs="Times New Roman"/>
          <w:b/>
          <w:sz w:val="36"/>
          <w:szCs w:val="36"/>
        </w:rPr>
        <w:t>INSOL Europe participe à la 52</w:t>
      </w:r>
      <w:r w:rsidRPr="003B5B5D">
        <w:rPr>
          <w:rFonts w:ascii="Times New Roman" w:eastAsia="Calibri" w:hAnsi="Times New Roman" w:cs="Times New Roman"/>
          <w:b/>
          <w:sz w:val="36"/>
          <w:szCs w:val="36"/>
          <w:vertAlign w:val="superscript"/>
        </w:rPr>
        <w:t>e</w:t>
      </w:r>
      <w:r w:rsidRPr="003B5B5D">
        <w:rPr>
          <w:rFonts w:ascii="Times New Roman" w:eastAsia="Calibri" w:hAnsi="Times New Roman" w:cs="Times New Roman"/>
          <w:b/>
          <w:sz w:val="36"/>
          <w:szCs w:val="36"/>
        </w:rPr>
        <w:t xml:space="preserve"> session du Groupe de travail V de la CNUDCI (droit de l’insolvabilité)</w:t>
      </w:r>
    </w:p>
    <w:p w:rsidR="003B5B5D" w:rsidRPr="003B5B5D" w:rsidRDefault="003B5B5D" w:rsidP="000D634D">
      <w:pPr>
        <w:spacing w:line="259" w:lineRule="auto"/>
        <w:jc w:val="both"/>
        <w:rPr>
          <w:rFonts w:ascii="Times New Roman" w:eastAsia="Calibri" w:hAnsi="Times New Roman" w:cs="Times New Roman"/>
          <w:sz w:val="24"/>
          <w:szCs w:val="24"/>
        </w:rPr>
      </w:pPr>
      <w:r w:rsidRPr="003B5B5D">
        <w:rPr>
          <w:rFonts w:ascii="Times New Roman" w:eastAsia="Calibri" w:hAnsi="Times New Roman" w:cs="Times New Roman"/>
          <w:sz w:val="24"/>
          <w:szCs w:val="24"/>
        </w:rPr>
        <w:t>INSOL Europe a participé à la 52</w:t>
      </w:r>
      <w:r w:rsidRPr="003B5B5D">
        <w:rPr>
          <w:rFonts w:ascii="Times New Roman" w:eastAsia="Calibri" w:hAnsi="Times New Roman" w:cs="Times New Roman"/>
          <w:sz w:val="24"/>
          <w:szCs w:val="24"/>
          <w:vertAlign w:val="superscript"/>
        </w:rPr>
        <w:t>e</w:t>
      </w:r>
      <w:r w:rsidRPr="003B5B5D">
        <w:rPr>
          <w:rFonts w:ascii="Times New Roman" w:eastAsia="Calibri" w:hAnsi="Times New Roman" w:cs="Times New Roman"/>
          <w:sz w:val="24"/>
          <w:szCs w:val="24"/>
        </w:rPr>
        <w:t xml:space="preserve"> session du Groupe de travail V (droit de l’insolvabilité) qui s’est tenue à Vienne du 18 au 22 décembre 2017, en sa qualité d’organisation non gouvernementale internationale invitée (« ONG ») disposant du statut d’observateur. Parmi les autres observateurs citons la Banque mondiale, la Banque européenne d’investissement, la Fédération bancaire de l’Union européenne, l’American Bar Association, l’International Bar Association, INSOL International, l’International Insolvency Institute et l’Institut européen du droit.</w:t>
      </w:r>
    </w:p>
    <w:p w:rsidR="003B5B5D" w:rsidRPr="003B5B5D" w:rsidRDefault="003B5B5D" w:rsidP="000D634D">
      <w:pPr>
        <w:spacing w:line="259" w:lineRule="auto"/>
        <w:jc w:val="both"/>
        <w:rPr>
          <w:rFonts w:ascii="Times New Roman" w:eastAsia="Calibri" w:hAnsi="Times New Roman" w:cs="Times New Roman"/>
          <w:sz w:val="24"/>
          <w:szCs w:val="24"/>
        </w:rPr>
      </w:pPr>
      <w:r w:rsidRPr="003B5B5D">
        <w:rPr>
          <w:rFonts w:ascii="Times New Roman" w:eastAsia="Calibri" w:hAnsi="Times New Roman" w:cs="Times New Roman"/>
          <w:sz w:val="24"/>
          <w:szCs w:val="24"/>
        </w:rPr>
        <w:t>La délégation d’INSOL Europe, qui était dirigée par son Président, Radu Lotrean, comprenait également Steffen Koch, Frank Tschentscher et Florian Bruder. La délégation a participé à de nombreux débats avec les délégations du Groupe de travail lors de cette 52</w:t>
      </w:r>
      <w:r w:rsidRPr="003B5B5D">
        <w:rPr>
          <w:rFonts w:ascii="Times New Roman" w:eastAsia="Calibri" w:hAnsi="Times New Roman" w:cs="Times New Roman"/>
          <w:sz w:val="24"/>
          <w:szCs w:val="24"/>
          <w:vertAlign w:val="superscript"/>
        </w:rPr>
        <w:t>e</w:t>
      </w:r>
      <w:r w:rsidRPr="003B5B5D">
        <w:rPr>
          <w:rFonts w:ascii="Times New Roman" w:eastAsia="Calibri" w:hAnsi="Times New Roman" w:cs="Times New Roman"/>
          <w:sz w:val="24"/>
          <w:szCs w:val="24"/>
        </w:rPr>
        <w:t xml:space="preserve"> session afin de donner l’avis d’INSOL Europe sur les questions abordées, puisque nous estimons que notre organisation dispose d’une expertise nationale et internationale avérée dans le domaine de l’insolvabilité.</w:t>
      </w:r>
    </w:p>
    <w:p w:rsidR="003B5B5D" w:rsidRPr="003B5B5D" w:rsidRDefault="003B5B5D" w:rsidP="000D634D">
      <w:pPr>
        <w:spacing w:line="259" w:lineRule="auto"/>
        <w:jc w:val="both"/>
        <w:rPr>
          <w:rFonts w:ascii="Times New Roman" w:eastAsia="Calibri" w:hAnsi="Times New Roman" w:cs="Times New Roman"/>
          <w:sz w:val="24"/>
          <w:szCs w:val="24"/>
        </w:rPr>
      </w:pPr>
      <w:r w:rsidRPr="003B5B5D">
        <w:rPr>
          <w:rFonts w:ascii="Times New Roman" w:eastAsia="Calibri" w:hAnsi="Times New Roman" w:cs="Times New Roman"/>
          <w:sz w:val="24"/>
          <w:szCs w:val="24"/>
        </w:rPr>
        <w:t>Au cours de cette 52</w:t>
      </w:r>
      <w:r w:rsidRPr="003B5B5D">
        <w:rPr>
          <w:rFonts w:ascii="Times New Roman" w:eastAsia="Calibri" w:hAnsi="Times New Roman" w:cs="Times New Roman"/>
          <w:sz w:val="24"/>
          <w:szCs w:val="24"/>
          <w:vertAlign w:val="superscript"/>
        </w:rPr>
        <w:t>e</w:t>
      </w:r>
      <w:r w:rsidRPr="003B5B5D">
        <w:rPr>
          <w:rFonts w:ascii="Times New Roman" w:eastAsia="Calibri" w:hAnsi="Times New Roman" w:cs="Times New Roman"/>
          <w:sz w:val="24"/>
          <w:szCs w:val="24"/>
        </w:rPr>
        <w:t xml:space="preserve"> session, le Groupe de travail V de la CNUDCI s’est principalement concentré sur les thèmes suivants, s’appuyant sur les documents de travail correspondants, à savoir : </w:t>
      </w:r>
    </w:p>
    <w:p w:rsidR="003B5B5D" w:rsidRPr="003B5B5D" w:rsidRDefault="003B5B5D" w:rsidP="000D634D">
      <w:pPr>
        <w:numPr>
          <w:ilvl w:val="0"/>
          <w:numId w:val="38"/>
        </w:numPr>
        <w:suppressAutoHyphens/>
        <w:spacing w:line="259" w:lineRule="auto"/>
        <w:contextualSpacing/>
        <w:jc w:val="both"/>
        <w:rPr>
          <w:rFonts w:ascii="Times New Roman" w:eastAsia="Calibri" w:hAnsi="Times New Roman" w:cs="Times New Roman"/>
          <w:sz w:val="24"/>
          <w:szCs w:val="24"/>
        </w:rPr>
      </w:pPr>
      <w:r w:rsidRPr="003B5B5D">
        <w:rPr>
          <w:rFonts w:ascii="Times New Roman" w:eastAsia="Calibri" w:hAnsi="Times New Roman" w:cs="Times New Roman"/>
          <w:sz w:val="24"/>
          <w:szCs w:val="24"/>
        </w:rPr>
        <w:lastRenderedPageBreak/>
        <w:t xml:space="preserve">Reconnaissance et exécution des jugements liés à l’insolvabilité : projet de loi type et projet de guide pour l’incorporation de la loi type – </w:t>
      </w:r>
      <w:r w:rsidRPr="003B5B5D">
        <w:rPr>
          <w:rFonts w:ascii="Times New Roman" w:eastAsia="Calibri" w:hAnsi="Times New Roman" w:cs="Times New Roman"/>
          <w:i/>
          <w:sz w:val="24"/>
          <w:szCs w:val="24"/>
        </w:rPr>
        <w:t xml:space="preserve">A/AC.9/WG.V/WP.150 et WP.151 </w:t>
      </w:r>
    </w:p>
    <w:p w:rsidR="003B5B5D" w:rsidRPr="003B5B5D" w:rsidRDefault="003B5B5D" w:rsidP="000D634D">
      <w:pPr>
        <w:numPr>
          <w:ilvl w:val="0"/>
          <w:numId w:val="38"/>
        </w:numPr>
        <w:suppressAutoHyphens/>
        <w:spacing w:line="259" w:lineRule="auto"/>
        <w:contextualSpacing/>
        <w:jc w:val="both"/>
        <w:rPr>
          <w:rFonts w:ascii="Times New Roman" w:eastAsia="Calibri" w:hAnsi="Times New Roman" w:cs="Times New Roman"/>
          <w:sz w:val="24"/>
          <w:szCs w:val="24"/>
        </w:rPr>
      </w:pPr>
      <w:r w:rsidRPr="003B5B5D">
        <w:rPr>
          <w:rFonts w:ascii="Times New Roman" w:eastAsia="Calibri" w:hAnsi="Times New Roman" w:cs="Times New Roman"/>
          <w:sz w:val="24"/>
          <w:szCs w:val="24"/>
        </w:rPr>
        <w:t xml:space="preserve">Faciliter les procédures d’insolvabilité internationale visant des groupes d’entreprises multinationaux : projet révisé de dispositions législatives, et obligations des administrateurs de groupes d’entreprises dans la période précédant l’insolvabilité </w:t>
      </w:r>
      <w:r w:rsidRPr="003B5B5D">
        <w:rPr>
          <w:rFonts w:ascii="Times New Roman" w:eastAsia="Calibri" w:hAnsi="Times New Roman" w:cs="Times New Roman"/>
          <w:i/>
          <w:sz w:val="24"/>
          <w:szCs w:val="24"/>
        </w:rPr>
        <w:t>– A/CN.9/WG.V/WP.152 et WP.153</w:t>
      </w:r>
    </w:p>
    <w:p w:rsidR="003B5B5D" w:rsidRPr="003B5B5D" w:rsidRDefault="003B5B5D" w:rsidP="000D634D">
      <w:pPr>
        <w:numPr>
          <w:ilvl w:val="0"/>
          <w:numId w:val="38"/>
        </w:numPr>
        <w:suppressAutoHyphens/>
        <w:spacing w:line="259" w:lineRule="auto"/>
        <w:contextualSpacing/>
        <w:jc w:val="both"/>
        <w:rPr>
          <w:rFonts w:ascii="Times New Roman" w:eastAsia="Calibri" w:hAnsi="Times New Roman" w:cs="Times New Roman"/>
          <w:sz w:val="24"/>
          <w:szCs w:val="24"/>
        </w:rPr>
      </w:pPr>
      <w:r w:rsidRPr="003B5B5D">
        <w:rPr>
          <w:rFonts w:ascii="Times New Roman" w:eastAsia="Calibri" w:hAnsi="Times New Roman" w:cs="Times New Roman"/>
          <w:sz w:val="24"/>
          <w:szCs w:val="24"/>
        </w:rPr>
        <w:t xml:space="preserve">Proposition de travaux futurs présentée par les États-Unis d’Amérique concernant l’élaboration de dispositions législatives types sur la localisation et le recouvrement civils des avoirs </w:t>
      </w:r>
      <w:r w:rsidRPr="003B5B5D">
        <w:rPr>
          <w:rFonts w:ascii="Times New Roman" w:eastAsia="Calibri" w:hAnsi="Times New Roman" w:cs="Times New Roman"/>
          <w:i/>
          <w:sz w:val="24"/>
          <w:szCs w:val="24"/>
        </w:rPr>
        <w:t xml:space="preserve">– A/CN.9/WG.V/WP.154 </w:t>
      </w:r>
    </w:p>
    <w:p w:rsidR="003B5B5D" w:rsidRPr="003B5B5D" w:rsidRDefault="003B5B5D" w:rsidP="000D634D">
      <w:pPr>
        <w:spacing w:line="259" w:lineRule="auto"/>
        <w:jc w:val="both"/>
        <w:rPr>
          <w:rFonts w:ascii="Times New Roman" w:eastAsia="Calibri" w:hAnsi="Times New Roman" w:cs="Times New Roman"/>
          <w:sz w:val="24"/>
          <w:szCs w:val="24"/>
        </w:rPr>
      </w:pPr>
      <w:r w:rsidRPr="003B5B5D">
        <w:rPr>
          <w:rFonts w:ascii="Times New Roman" w:eastAsia="Calibri" w:hAnsi="Times New Roman" w:cs="Times New Roman"/>
          <w:sz w:val="24"/>
          <w:szCs w:val="24"/>
        </w:rPr>
        <w:t>Les documents ci-dessus et d’autres documents de travail (à savoir les commentaires et notes préparés par le Secrétariat) sont disponibles sur le site de la CNUDCI à l’adresse</w:t>
      </w:r>
      <w:r w:rsidRPr="003B5B5D">
        <w:rPr>
          <w:rFonts w:ascii="Calibri" w:eastAsia="Calibri" w:hAnsi="Calibri" w:cs="Times New Roman"/>
        </w:rPr>
        <w:t xml:space="preserve"> </w:t>
      </w:r>
      <w:r w:rsidRPr="003B5B5D">
        <w:rPr>
          <w:rFonts w:ascii="Times New Roman" w:eastAsia="Calibri" w:hAnsi="Times New Roman" w:cs="Times New Roman"/>
          <w:sz w:val="24"/>
          <w:szCs w:val="24"/>
        </w:rPr>
        <w:t>www.uncitral.org/uncitral/en/commission/working_groups/5Insolvency.html.</w:t>
      </w:r>
    </w:p>
    <w:p w:rsidR="003B5B5D" w:rsidRPr="003B5B5D" w:rsidRDefault="003B5B5D" w:rsidP="000D634D">
      <w:pPr>
        <w:spacing w:line="259" w:lineRule="auto"/>
        <w:jc w:val="both"/>
        <w:rPr>
          <w:rFonts w:ascii="Times New Roman" w:eastAsia="Calibri" w:hAnsi="Times New Roman" w:cs="Times New Roman"/>
          <w:sz w:val="24"/>
          <w:szCs w:val="24"/>
        </w:rPr>
      </w:pPr>
      <w:r w:rsidRPr="003B5B5D">
        <w:rPr>
          <w:rFonts w:ascii="Times New Roman" w:eastAsia="Calibri" w:hAnsi="Times New Roman" w:cs="Times New Roman"/>
          <w:sz w:val="24"/>
          <w:szCs w:val="24"/>
        </w:rPr>
        <w:t>Nous prévoyons de présenter plus en détail les travaux portant sur le projet de loi type sur la reconnaissance et l’exécution des jugements liés à l’insolvabilité dans un autre article.</w:t>
      </w:r>
    </w:p>
    <w:p w:rsidR="003B5B5D" w:rsidRPr="003B5B5D" w:rsidRDefault="003B5B5D" w:rsidP="000D634D">
      <w:pPr>
        <w:spacing w:line="259" w:lineRule="auto"/>
        <w:jc w:val="both"/>
        <w:rPr>
          <w:rFonts w:ascii="Times New Roman" w:eastAsia="Calibri" w:hAnsi="Times New Roman" w:cs="Times New Roman"/>
          <w:sz w:val="24"/>
          <w:szCs w:val="24"/>
        </w:rPr>
      </w:pPr>
      <w:r w:rsidRPr="003B5B5D">
        <w:rPr>
          <w:rFonts w:ascii="Times New Roman" w:eastAsia="Calibri" w:hAnsi="Times New Roman" w:cs="Times New Roman"/>
          <w:sz w:val="24"/>
          <w:szCs w:val="24"/>
        </w:rPr>
        <w:t>Nous espérons continuer nos travaux lors de la 53</w:t>
      </w:r>
      <w:r w:rsidRPr="003B5B5D">
        <w:rPr>
          <w:rFonts w:ascii="Times New Roman" w:eastAsia="Calibri" w:hAnsi="Times New Roman" w:cs="Times New Roman"/>
          <w:sz w:val="24"/>
          <w:szCs w:val="24"/>
          <w:vertAlign w:val="superscript"/>
        </w:rPr>
        <w:t>e</w:t>
      </w:r>
      <w:r w:rsidRPr="003B5B5D">
        <w:rPr>
          <w:rFonts w:ascii="Times New Roman" w:eastAsia="Calibri" w:hAnsi="Times New Roman" w:cs="Times New Roman"/>
          <w:sz w:val="24"/>
          <w:szCs w:val="24"/>
        </w:rPr>
        <w:t xml:space="preserve"> session, qui devrait se tenir à New York du 7 au 11 mai 2018, et en particulier participer à la finalisation du texte révisé du projet de loi type sur la reconnaissance et l’exécution des jugements liés à l’insolvabilité et faire progresser aussi rapidement que possible les travaux sur les insolvabilités internationales de groupes d’entreprises.</w:t>
      </w:r>
    </w:p>
    <w:p w:rsidR="003B5B5D" w:rsidRPr="003B5B5D" w:rsidRDefault="003B5B5D" w:rsidP="003B5B5D">
      <w:pPr>
        <w:spacing w:after="160" w:line="259" w:lineRule="auto"/>
        <w:jc w:val="both"/>
        <w:rPr>
          <w:rFonts w:ascii="Times New Roman" w:eastAsia="Calibri" w:hAnsi="Times New Roman" w:cs="Times New Roman"/>
          <w:i/>
          <w:sz w:val="24"/>
          <w:szCs w:val="24"/>
        </w:rPr>
      </w:pPr>
      <w:r w:rsidRPr="003B5B5D">
        <w:rPr>
          <w:rFonts w:ascii="Times New Roman" w:eastAsia="Calibri" w:hAnsi="Times New Roman" w:cs="Times New Roman"/>
          <w:i/>
          <w:sz w:val="24"/>
          <w:szCs w:val="24"/>
        </w:rPr>
        <w:t>Un rapport complet de Florian Bruder (DLA Piper, Munich) est disponible sur le site d’INSOL Europe, à l’adresse www.insol-europe.org/news/uncitral-working-group-v-52nd-session</w:t>
      </w:r>
    </w:p>
    <w:p w:rsidR="003B5B5D" w:rsidRPr="003B5B5D" w:rsidRDefault="003B5B5D" w:rsidP="003B5B5D">
      <w:pPr>
        <w:pBdr>
          <w:bottom w:val="single" w:sz="6" w:space="1" w:color="auto"/>
        </w:pBdr>
        <w:spacing w:after="160" w:line="259" w:lineRule="auto"/>
        <w:jc w:val="both"/>
        <w:rPr>
          <w:rFonts w:ascii="Times New Roman" w:eastAsia="Calibri" w:hAnsi="Times New Roman" w:cs="Times New Roman"/>
          <w:sz w:val="24"/>
          <w:szCs w:val="24"/>
        </w:rPr>
      </w:pPr>
    </w:p>
    <w:p w:rsidR="003B5B5D" w:rsidRPr="003B5B5D" w:rsidRDefault="003B5B5D" w:rsidP="003B5B5D">
      <w:pPr>
        <w:spacing w:after="160" w:line="259" w:lineRule="auto"/>
        <w:jc w:val="both"/>
        <w:rPr>
          <w:rFonts w:ascii="Times New Roman" w:eastAsia="Calibri" w:hAnsi="Times New Roman" w:cs="Times New Roman"/>
          <w:sz w:val="24"/>
          <w:szCs w:val="24"/>
        </w:rPr>
      </w:pPr>
    </w:p>
    <w:p w:rsidR="0052658C" w:rsidRDefault="003B5B5D" w:rsidP="0052658C">
      <w:pPr>
        <w:spacing w:after="0" w:line="240" w:lineRule="auto"/>
        <w:jc w:val="center"/>
        <w:rPr>
          <w:rFonts w:ascii="Times New Roman" w:eastAsia="Calibri" w:hAnsi="Times New Roman" w:cs="Times New Roman"/>
          <w:b/>
          <w:sz w:val="36"/>
          <w:szCs w:val="36"/>
        </w:rPr>
      </w:pPr>
      <w:r w:rsidRPr="003B5B5D">
        <w:rPr>
          <w:rFonts w:ascii="Times New Roman" w:eastAsia="Calibri" w:hAnsi="Times New Roman" w:cs="Times New Roman"/>
          <w:b/>
          <w:sz w:val="36"/>
          <w:szCs w:val="36"/>
        </w:rPr>
        <w:t xml:space="preserve">Conférence inaugurale du Réseau de Leyde de recherches sur la responsabilité et les entreprises, </w:t>
      </w:r>
    </w:p>
    <w:p w:rsidR="003B5B5D" w:rsidRPr="003B5B5D" w:rsidRDefault="003B5B5D" w:rsidP="0052658C">
      <w:pPr>
        <w:spacing w:after="0" w:line="240" w:lineRule="auto"/>
        <w:jc w:val="center"/>
        <w:rPr>
          <w:rFonts w:ascii="Times New Roman" w:eastAsia="Calibri" w:hAnsi="Times New Roman" w:cs="Times New Roman"/>
          <w:b/>
          <w:sz w:val="36"/>
          <w:szCs w:val="36"/>
        </w:rPr>
      </w:pPr>
      <w:r w:rsidRPr="003B5B5D">
        <w:rPr>
          <w:rFonts w:ascii="Times New Roman" w:eastAsia="Calibri" w:hAnsi="Times New Roman" w:cs="Times New Roman"/>
          <w:b/>
          <w:sz w:val="36"/>
          <w:szCs w:val="36"/>
        </w:rPr>
        <w:t>consacrée au thème « Résilience des entreprises »</w:t>
      </w:r>
    </w:p>
    <w:p w:rsidR="0052658C" w:rsidRDefault="0052658C" w:rsidP="003B5B5D">
      <w:pPr>
        <w:spacing w:after="160" w:line="259" w:lineRule="auto"/>
        <w:jc w:val="both"/>
        <w:rPr>
          <w:rFonts w:ascii="Times New Roman" w:eastAsia="Calibri" w:hAnsi="Times New Roman" w:cs="Times New Roman"/>
          <w:b/>
          <w:sz w:val="24"/>
          <w:szCs w:val="24"/>
        </w:rPr>
      </w:pPr>
    </w:p>
    <w:p w:rsidR="003B5B5D" w:rsidRPr="003B5B5D" w:rsidRDefault="003B5B5D" w:rsidP="003B5B5D">
      <w:pPr>
        <w:spacing w:after="160" w:line="259" w:lineRule="auto"/>
        <w:jc w:val="both"/>
        <w:rPr>
          <w:rFonts w:ascii="Times New Roman" w:eastAsia="Calibri" w:hAnsi="Times New Roman" w:cs="Times New Roman"/>
          <w:b/>
          <w:sz w:val="24"/>
          <w:szCs w:val="24"/>
        </w:rPr>
      </w:pPr>
      <w:r w:rsidRPr="003B5B5D">
        <w:rPr>
          <w:rFonts w:ascii="Times New Roman" w:eastAsia="Calibri" w:hAnsi="Times New Roman" w:cs="Times New Roman"/>
          <w:b/>
          <w:sz w:val="24"/>
          <w:szCs w:val="24"/>
        </w:rPr>
        <w:t>La conférence inaugurale et première conférence internationale du Réseau de recherche sur la responsabilité et les entreprises (Business &amp; Liability Research Network – BLRN) s’est déroulée à l’université de Leyde les 25 et 26 janvier 2018. Le professeur Reinout D. Vriesendorp nous rend compte de cette manifestation.</w:t>
      </w:r>
    </w:p>
    <w:p w:rsidR="003B5B5D" w:rsidRPr="003B5B5D" w:rsidRDefault="003B5B5D" w:rsidP="00C42590">
      <w:pPr>
        <w:spacing w:line="259" w:lineRule="auto"/>
        <w:jc w:val="both"/>
        <w:rPr>
          <w:rFonts w:ascii="Times New Roman" w:eastAsia="Calibri" w:hAnsi="Times New Roman" w:cs="Times New Roman"/>
          <w:sz w:val="24"/>
          <w:szCs w:val="24"/>
        </w:rPr>
      </w:pPr>
      <w:r w:rsidRPr="003B5B5D">
        <w:rPr>
          <w:rFonts w:ascii="Times New Roman" w:eastAsia="Calibri" w:hAnsi="Times New Roman" w:cs="Times New Roman"/>
          <w:sz w:val="24"/>
          <w:szCs w:val="24"/>
        </w:rPr>
        <w:t>Le BLRN est un réseau conjoint de chercheurs et d’experts des départements de droit des sociétés et d’administration des entreprises de l’université de Leyde. Il est dirigé par les professeurs Iris Wuisman, Reinout Vriesendorp, Jan Adriaanse et Jean-Pierre van der Rest. Plus d’une centaine d’universitaires et de praticiens, nationaux et internationaux, se sont réunis pendant ces deux journées pour débattre des aspects fondamentaux de la résilience des entreprises, notamment de la création de valeur à long terme, des répercussions de la technologie et de la responsabilité des dirigeants.</w:t>
      </w:r>
    </w:p>
    <w:p w:rsidR="003B5B5D" w:rsidRPr="003B5B5D" w:rsidRDefault="003B5B5D" w:rsidP="00C42590">
      <w:pPr>
        <w:spacing w:line="259" w:lineRule="auto"/>
        <w:jc w:val="both"/>
        <w:rPr>
          <w:rFonts w:ascii="Times New Roman" w:eastAsia="Calibri" w:hAnsi="Times New Roman" w:cs="Times New Roman"/>
          <w:sz w:val="24"/>
          <w:szCs w:val="24"/>
        </w:rPr>
      </w:pPr>
      <w:r w:rsidRPr="003B5B5D">
        <w:rPr>
          <w:rFonts w:ascii="Times New Roman" w:eastAsia="Calibri" w:hAnsi="Times New Roman" w:cs="Times New Roman"/>
          <w:sz w:val="24"/>
          <w:szCs w:val="24"/>
        </w:rPr>
        <w:lastRenderedPageBreak/>
        <w:t>Les questions abordées le deuxième jour, en particulier, présentaient un lien étroit avec l’insolvabilité. Notamment, le discours d’ouverture de Michał Barłowski (Wardyński &amp; Partners, Pologne) portait essentiellement sur la responsabilité dans la zone grise. Selon lui, il n’existe pas encore de définition claire et uniforme de cette zone grise, bien qu’il existe un consensus quant au moment où elle commence et quant au fait qu’il sera peut-être nécessaire de légiférer au niveau européen concernant les situations qui précèdent l’insolvabilité. Toutefois, les réformes ne sont pas encore urgentes. Sur le même thème, le professeur Reinout Vriesendorp (université de Leyde ; De Brauw Blackstone Westbroek, Amsterdam) a parlé de la difficulté de prendre des décisions en cas de difficultés financières. Préconisant la confiance comme ligne de conduite à suivre lors de l’examen du comportement des dirigeants, il était de l’avis que leur responsabilité ne devrait pas être engagée sauf s’il peut être prouvé qu’il y a eu fraude ou abus de biens sociaux. Ces présentations ont été suivies d’un débat et de deux ateliers parallèles sur les thèmes suivants « Implications comportementales des défaillances et responsabilité des dirigeants » et « Analyse des causes dans les situations d’insolvabilité ».</w:t>
      </w:r>
    </w:p>
    <w:p w:rsidR="003B5B5D" w:rsidRPr="003B5B5D" w:rsidRDefault="003B5B5D" w:rsidP="00C42590">
      <w:pPr>
        <w:spacing w:line="259" w:lineRule="auto"/>
        <w:jc w:val="both"/>
        <w:rPr>
          <w:rFonts w:ascii="Times New Roman" w:eastAsia="Calibri" w:hAnsi="Times New Roman" w:cs="Times New Roman"/>
          <w:sz w:val="24"/>
          <w:szCs w:val="24"/>
        </w:rPr>
      </w:pPr>
      <w:r w:rsidRPr="003B5B5D">
        <w:rPr>
          <w:rFonts w:ascii="Times New Roman" w:eastAsia="Calibri" w:hAnsi="Times New Roman" w:cs="Times New Roman"/>
          <w:sz w:val="24"/>
          <w:szCs w:val="24"/>
        </w:rPr>
        <w:t>La conférence du BLRN sur la « Résilience des entreprises » a apporté de nouvelles perspectives, notamment sur la façon dont les biais comportementaux doivent être pris en compte dans l’évaluation de la responsabilité des dirigeants, l’importance de la création de valeur à long terme en tant que norme juridique exécutoire permettant de soutenir les sociétés viables et les répercussions de la technologie sur les entreprises commerciales et les cabinets d’avocats. La multidisciplinarité des divers intervenants et les ateliers interactifs ouvriront sans conteste la voie à de futurs projets de recherche et conférences dans le domaine des entreprises et de la responsabilité.</w:t>
      </w:r>
    </w:p>
    <w:p w:rsidR="003B5B5D" w:rsidRPr="003B5B5D" w:rsidRDefault="003B5B5D" w:rsidP="003B5B5D">
      <w:pPr>
        <w:spacing w:after="160" w:line="259" w:lineRule="auto"/>
        <w:jc w:val="both"/>
        <w:rPr>
          <w:rFonts w:ascii="Times New Roman" w:eastAsia="Calibri" w:hAnsi="Times New Roman" w:cs="Times New Roman"/>
          <w:sz w:val="24"/>
          <w:szCs w:val="24"/>
        </w:rPr>
      </w:pPr>
      <w:r w:rsidRPr="003B5B5D">
        <w:rPr>
          <w:rFonts w:ascii="Times New Roman" w:eastAsia="Calibri" w:hAnsi="Times New Roman" w:cs="Times New Roman"/>
          <w:sz w:val="24"/>
          <w:szCs w:val="24"/>
        </w:rPr>
        <w:t xml:space="preserve">Pour en savoir plus sur les thèmes et résultats de la conférence, consultez le site de l’université de Leyde à l’adresse </w:t>
      </w:r>
      <w:r w:rsidRPr="003B5B5D">
        <w:rPr>
          <w:rFonts w:ascii="Times New Roman" w:eastAsia="Calibri" w:hAnsi="Times New Roman" w:cs="Times New Roman"/>
          <w:i/>
          <w:sz w:val="24"/>
          <w:szCs w:val="24"/>
        </w:rPr>
        <w:t>www.universiteitleiden.nl/blrn</w:t>
      </w:r>
      <w:r w:rsidRPr="003B5B5D">
        <w:rPr>
          <w:rFonts w:ascii="Times New Roman" w:eastAsia="Calibri" w:hAnsi="Times New Roman" w:cs="Times New Roman"/>
          <w:sz w:val="24"/>
          <w:szCs w:val="24"/>
        </w:rPr>
        <w:t>.</w:t>
      </w:r>
    </w:p>
    <w:p w:rsidR="003B5B5D" w:rsidRPr="003B5B5D" w:rsidRDefault="003B5B5D" w:rsidP="003B5B5D">
      <w:pPr>
        <w:pBdr>
          <w:bottom w:val="single" w:sz="6" w:space="1" w:color="auto"/>
        </w:pBdr>
        <w:spacing w:after="160" w:line="259" w:lineRule="auto"/>
        <w:jc w:val="both"/>
        <w:rPr>
          <w:rFonts w:ascii="Times New Roman" w:eastAsia="Calibri" w:hAnsi="Times New Roman" w:cs="Times New Roman"/>
          <w:sz w:val="24"/>
          <w:szCs w:val="24"/>
        </w:rPr>
      </w:pPr>
    </w:p>
    <w:p w:rsidR="003B5B5D" w:rsidRPr="003B5B5D" w:rsidRDefault="003B5B5D" w:rsidP="003B5B5D">
      <w:pPr>
        <w:spacing w:after="160" w:line="259" w:lineRule="auto"/>
        <w:jc w:val="both"/>
        <w:rPr>
          <w:rFonts w:ascii="Times New Roman" w:eastAsia="Calibri" w:hAnsi="Times New Roman" w:cs="Times New Roman"/>
          <w:sz w:val="24"/>
          <w:szCs w:val="24"/>
        </w:rPr>
      </w:pPr>
    </w:p>
    <w:p w:rsidR="003B5B5D" w:rsidRPr="003B5B5D" w:rsidRDefault="003B5B5D" w:rsidP="003B5B5D">
      <w:pPr>
        <w:spacing w:after="160" w:line="259" w:lineRule="auto"/>
        <w:jc w:val="center"/>
        <w:rPr>
          <w:rFonts w:ascii="Times New Roman" w:eastAsia="Calibri" w:hAnsi="Times New Roman" w:cs="Times New Roman"/>
          <w:b/>
          <w:sz w:val="36"/>
          <w:szCs w:val="36"/>
        </w:rPr>
      </w:pPr>
      <w:r w:rsidRPr="003B5B5D">
        <w:rPr>
          <w:rFonts w:ascii="Times New Roman" w:eastAsia="Calibri" w:hAnsi="Times New Roman" w:cs="Times New Roman"/>
          <w:b/>
          <w:sz w:val="36"/>
          <w:szCs w:val="36"/>
        </w:rPr>
        <w:t xml:space="preserve">Conférence internationale R3 / INSOL Europe 2018 </w:t>
      </w:r>
    </w:p>
    <w:p w:rsidR="003B5B5D" w:rsidRPr="003B5B5D" w:rsidRDefault="003B5B5D" w:rsidP="003B5B5D">
      <w:pPr>
        <w:spacing w:after="160" w:line="259" w:lineRule="auto"/>
        <w:jc w:val="center"/>
        <w:rPr>
          <w:rFonts w:ascii="Times New Roman" w:eastAsia="Calibri" w:hAnsi="Times New Roman" w:cs="Times New Roman"/>
          <w:b/>
          <w:sz w:val="36"/>
          <w:szCs w:val="36"/>
        </w:rPr>
      </w:pPr>
      <w:r w:rsidRPr="003B5B5D">
        <w:rPr>
          <w:rFonts w:ascii="Times New Roman" w:eastAsia="Calibri" w:hAnsi="Times New Roman" w:cs="Times New Roman"/>
          <w:b/>
          <w:sz w:val="36"/>
          <w:szCs w:val="36"/>
        </w:rPr>
        <w:t>sur la restructuration</w:t>
      </w:r>
    </w:p>
    <w:p w:rsidR="003B5B5D" w:rsidRPr="0052658C" w:rsidRDefault="003B5B5D" w:rsidP="0052658C">
      <w:pPr>
        <w:spacing w:after="160" w:line="259" w:lineRule="auto"/>
        <w:jc w:val="center"/>
        <w:rPr>
          <w:rFonts w:ascii="Arial Narrow" w:eastAsia="Calibri" w:hAnsi="Arial Narrow" w:cs="Times New Roman"/>
          <w:i/>
          <w:sz w:val="24"/>
          <w:szCs w:val="24"/>
        </w:rPr>
      </w:pPr>
      <w:r w:rsidRPr="0052658C">
        <w:rPr>
          <w:rFonts w:ascii="Arial Narrow" w:eastAsia="Calibri" w:hAnsi="Arial Narrow" w:cs="Times New Roman"/>
          <w:b/>
          <w:i/>
          <w:sz w:val="24"/>
          <w:szCs w:val="24"/>
        </w:rPr>
        <w:t>Londres, 7 juin 2018</w:t>
      </w:r>
      <w:r w:rsidR="0052658C">
        <w:rPr>
          <w:rFonts w:ascii="Arial Narrow" w:eastAsia="Calibri" w:hAnsi="Arial Narrow" w:cs="Times New Roman"/>
          <w:i/>
          <w:sz w:val="24"/>
          <w:szCs w:val="24"/>
        </w:rPr>
        <w:t> : l</w:t>
      </w:r>
      <w:r w:rsidRPr="003B5B5D">
        <w:rPr>
          <w:rFonts w:ascii="Arial Narrow" w:eastAsia="Calibri" w:hAnsi="Arial Narrow" w:cs="Times New Roman"/>
          <w:i/>
          <w:sz w:val="24"/>
          <w:szCs w:val="24"/>
        </w:rPr>
        <w:t>e programme complet et des informations détaillées seront publiés prochainement</w:t>
      </w:r>
    </w:p>
    <w:p w:rsidR="003B5B5D" w:rsidRPr="003B5B5D" w:rsidRDefault="003B5B5D" w:rsidP="003B5B5D">
      <w:pPr>
        <w:spacing w:after="160" w:line="259" w:lineRule="auto"/>
        <w:jc w:val="both"/>
        <w:rPr>
          <w:rFonts w:ascii="Times New Roman" w:eastAsia="Calibri" w:hAnsi="Times New Roman" w:cs="Times New Roman"/>
          <w:b/>
          <w:sz w:val="24"/>
          <w:szCs w:val="24"/>
        </w:rPr>
      </w:pPr>
      <w:r w:rsidRPr="003B5B5D">
        <w:rPr>
          <w:rFonts w:ascii="Times New Roman" w:eastAsia="Calibri" w:hAnsi="Times New Roman" w:cs="Times New Roman"/>
          <w:b/>
          <w:sz w:val="24"/>
          <w:szCs w:val="24"/>
        </w:rPr>
        <w:t>Alors que la directive de la Commission européenne sur la restructuration et la seconde chance se profile à l’horizon et que les négociations du Brexit concernant l’avenir du cadre de restructuration et d’insolvabilité transfrontalières RU-UE sont sur le point de se conclure, 2018 s’annonce comme une année charnière pour l’insolvabilité et la restructuration en Europe.</w:t>
      </w:r>
    </w:p>
    <w:p w:rsidR="003B5B5D" w:rsidRPr="003B5B5D" w:rsidRDefault="003B5B5D" w:rsidP="00C42590">
      <w:pPr>
        <w:spacing w:line="259" w:lineRule="auto"/>
        <w:jc w:val="both"/>
        <w:rPr>
          <w:rFonts w:ascii="Times New Roman" w:eastAsia="Calibri" w:hAnsi="Times New Roman" w:cs="Times New Roman"/>
          <w:sz w:val="24"/>
          <w:szCs w:val="24"/>
        </w:rPr>
      </w:pPr>
      <w:r w:rsidRPr="003B5B5D">
        <w:rPr>
          <w:rFonts w:ascii="Times New Roman" w:eastAsia="Calibri" w:hAnsi="Times New Roman" w:cs="Times New Roman"/>
          <w:sz w:val="24"/>
          <w:szCs w:val="24"/>
        </w:rPr>
        <w:t xml:space="preserve">Afin de discuter des derniers développements et des répercussions potentielles de l’évolution du paysage européen de l’insolvabilité et de la restructuration, R3 (association britannique des </w:t>
      </w:r>
      <w:r w:rsidRPr="003B5B5D">
        <w:rPr>
          <w:rFonts w:ascii="Times New Roman" w:eastAsia="Calibri" w:hAnsi="Times New Roman" w:cs="Times New Roman"/>
          <w:sz w:val="24"/>
          <w:szCs w:val="24"/>
        </w:rPr>
        <w:lastRenderedPageBreak/>
        <w:t>professionnels de la restructuration et de l’insolvabilité) et INSOL Europe tiendront leur 15</w:t>
      </w:r>
      <w:r w:rsidRPr="003B5B5D">
        <w:rPr>
          <w:rFonts w:ascii="Times New Roman" w:eastAsia="Calibri" w:hAnsi="Times New Roman" w:cs="Times New Roman"/>
          <w:sz w:val="24"/>
          <w:szCs w:val="24"/>
          <w:vertAlign w:val="superscript"/>
        </w:rPr>
        <w:t>e</w:t>
      </w:r>
      <w:r w:rsidRPr="003B5B5D">
        <w:rPr>
          <w:rFonts w:ascii="Times New Roman" w:eastAsia="Calibri" w:hAnsi="Times New Roman" w:cs="Times New Roman"/>
          <w:sz w:val="24"/>
          <w:szCs w:val="24"/>
        </w:rPr>
        <w:t xml:space="preserve"> conférence internationale annuelle sur la restructuration le 7 juin prochain à Londres.</w:t>
      </w:r>
    </w:p>
    <w:p w:rsidR="003B5B5D" w:rsidRPr="003B5B5D" w:rsidRDefault="003B5B5D" w:rsidP="00C42590">
      <w:pPr>
        <w:spacing w:line="259" w:lineRule="auto"/>
        <w:jc w:val="both"/>
        <w:rPr>
          <w:rFonts w:ascii="Times New Roman" w:eastAsia="Calibri" w:hAnsi="Times New Roman" w:cs="Times New Roman"/>
          <w:sz w:val="24"/>
          <w:szCs w:val="24"/>
        </w:rPr>
      </w:pPr>
      <w:r w:rsidRPr="003B5B5D">
        <w:rPr>
          <w:rFonts w:ascii="Times New Roman" w:eastAsia="Calibri" w:hAnsi="Times New Roman" w:cs="Times New Roman"/>
          <w:sz w:val="24"/>
          <w:szCs w:val="24"/>
        </w:rPr>
        <w:t>Visant à tenir les délégués informés de l’état de la situation et des changements à venir, la conférence proposera des séances pratiques, des débats et des discussions dirigés par des experts de l’insolvabilité et de la restructuration venus de toute l’Europe.</w:t>
      </w:r>
    </w:p>
    <w:p w:rsidR="003B5B5D" w:rsidRPr="003B5B5D" w:rsidRDefault="003B5B5D" w:rsidP="00C42590">
      <w:pPr>
        <w:spacing w:line="259" w:lineRule="auto"/>
        <w:jc w:val="both"/>
        <w:rPr>
          <w:rFonts w:ascii="Times New Roman" w:eastAsia="Calibri" w:hAnsi="Times New Roman" w:cs="Times New Roman"/>
          <w:sz w:val="24"/>
          <w:szCs w:val="24"/>
        </w:rPr>
      </w:pPr>
      <w:r w:rsidRPr="003B5B5D">
        <w:rPr>
          <w:rFonts w:ascii="Times New Roman" w:eastAsia="Calibri" w:hAnsi="Times New Roman" w:cs="Times New Roman"/>
          <w:sz w:val="24"/>
          <w:szCs w:val="24"/>
        </w:rPr>
        <w:t>La conférence sera également l’occasion d’entendre R3 évoquer les travaux entrepris pour veiller à ce que les questions d’insolvabilité et de restructuration ne soient pas négligées par le Gouvernement britannique lorsqu’il négociera les conditions de sa sortie de l’Union européenne. Le Gouvernement a déjà entendu les professionnels britanniques et a affirmé qu’il souhaitait « reproduire » les accords qui existent à l’échelle de l’UE en matière de reconnaissance réciproque de l’insolvabilité et de la restructuration dans le cadre de tout accord conclu dans le contexte du Brexit.</w:t>
      </w:r>
    </w:p>
    <w:p w:rsidR="003B5B5D" w:rsidRPr="003B5B5D" w:rsidRDefault="003B5B5D" w:rsidP="00C42590">
      <w:pPr>
        <w:spacing w:line="259" w:lineRule="auto"/>
        <w:jc w:val="both"/>
        <w:rPr>
          <w:rFonts w:ascii="Times New Roman" w:eastAsia="Calibri" w:hAnsi="Times New Roman" w:cs="Times New Roman"/>
          <w:sz w:val="24"/>
          <w:szCs w:val="24"/>
        </w:rPr>
      </w:pPr>
      <w:r w:rsidRPr="003B5B5D">
        <w:rPr>
          <w:rFonts w:ascii="Times New Roman" w:eastAsia="Calibri" w:hAnsi="Times New Roman" w:cs="Times New Roman"/>
          <w:sz w:val="24"/>
          <w:szCs w:val="24"/>
        </w:rPr>
        <w:t>Cette conférence arrive alors que le Gouvernement continue de délibérer de la façon dont il mettra en œuvre la directive européenne sur la restructuration et la seconde chance. Des projets visant à réformer l’insolvabilité des entreprises au Royaume-Uni et correspondant en grande partie aux propositions de l’UE avaient été mis en avant en mai 2016, mais sont depuis restés à l’arrêt.</w:t>
      </w:r>
    </w:p>
    <w:p w:rsidR="003B5B5D" w:rsidRPr="003B5B5D" w:rsidRDefault="003B5B5D" w:rsidP="00C42590">
      <w:pPr>
        <w:spacing w:line="259" w:lineRule="auto"/>
        <w:jc w:val="both"/>
        <w:rPr>
          <w:rFonts w:ascii="Times New Roman" w:eastAsia="Calibri" w:hAnsi="Times New Roman" w:cs="Times New Roman"/>
          <w:sz w:val="24"/>
          <w:szCs w:val="24"/>
        </w:rPr>
      </w:pPr>
      <w:r w:rsidRPr="003B5B5D">
        <w:rPr>
          <w:rFonts w:ascii="Times New Roman" w:eastAsia="Calibri" w:hAnsi="Times New Roman" w:cs="Times New Roman"/>
          <w:sz w:val="24"/>
          <w:szCs w:val="24"/>
        </w:rPr>
        <w:t>Radu Lotrean, Président d’INSOL Europe, nous tiendra informés des projets en cours et des plans à venir.</w:t>
      </w:r>
    </w:p>
    <w:p w:rsidR="003B5B5D" w:rsidRPr="003B5B5D" w:rsidRDefault="003B5B5D" w:rsidP="003B5B5D">
      <w:pPr>
        <w:spacing w:after="160" w:line="259" w:lineRule="auto"/>
        <w:jc w:val="both"/>
        <w:rPr>
          <w:rFonts w:ascii="Times New Roman" w:eastAsia="Calibri" w:hAnsi="Times New Roman" w:cs="Times New Roman"/>
          <w:b/>
          <w:i/>
          <w:sz w:val="24"/>
          <w:szCs w:val="24"/>
        </w:rPr>
      </w:pPr>
      <w:r w:rsidRPr="003B5B5D">
        <w:rPr>
          <w:rFonts w:ascii="Times New Roman" w:eastAsia="Calibri" w:hAnsi="Times New Roman" w:cs="Times New Roman"/>
          <w:b/>
          <w:i/>
          <w:sz w:val="24"/>
          <w:szCs w:val="24"/>
        </w:rPr>
        <w:t>Économisez 15 % en réservant à l’avance ! Prix à partir de 290 GBP HT pour toute réservation payée avant le 7 mai 2018. Pour en savoir plus, rendez-vous sur le site www.r3.org.uk ou envoyez un message à l’adresse courses@r3.org.uk.</w:t>
      </w:r>
    </w:p>
    <w:p w:rsidR="003B5B5D" w:rsidRPr="003B5B5D" w:rsidRDefault="003B5B5D" w:rsidP="003B5B5D">
      <w:pPr>
        <w:pBdr>
          <w:bottom w:val="single" w:sz="6" w:space="1" w:color="auto"/>
        </w:pBdr>
        <w:spacing w:after="160" w:line="259" w:lineRule="auto"/>
        <w:jc w:val="both"/>
        <w:rPr>
          <w:rFonts w:ascii="Times New Roman" w:eastAsia="Calibri" w:hAnsi="Times New Roman" w:cs="Times New Roman"/>
          <w:sz w:val="24"/>
          <w:szCs w:val="24"/>
        </w:rPr>
      </w:pPr>
    </w:p>
    <w:p w:rsidR="003B5B5D" w:rsidRPr="003B5B5D" w:rsidRDefault="003B5B5D" w:rsidP="003B5B5D">
      <w:pPr>
        <w:spacing w:after="160" w:line="259" w:lineRule="auto"/>
        <w:jc w:val="center"/>
        <w:rPr>
          <w:rFonts w:ascii="Times New Roman" w:eastAsia="Calibri" w:hAnsi="Times New Roman" w:cs="Times New Roman"/>
          <w:b/>
          <w:sz w:val="36"/>
          <w:szCs w:val="36"/>
        </w:rPr>
      </w:pPr>
      <w:r w:rsidRPr="003B5B5D">
        <w:rPr>
          <w:rFonts w:ascii="Times New Roman" w:eastAsia="Calibri" w:hAnsi="Times New Roman" w:cs="Times New Roman"/>
          <w:b/>
          <w:sz w:val="36"/>
          <w:szCs w:val="36"/>
        </w:rPr>
        <w:t>Séminaire d’une journée conjoint INSOL International / INSOL Europe / FILA à Helsinki (Finlande)</w:t>
      </w:r>
    </w:p>
    <w:p w:rsidR="003B5B5D" w:rsidRPr="003B5B5D" w:rsidRDefault="003B5B5D" w:rsidP="00C42590">
      <w:pPr>
        <w:spacing w:line="259" w:lineRule="auto"/>
        <w:jc w:val="both"/>
        <w:rPr>
          <w:rFonts w:ascii="Times New Roman" w:eastAsia="Calibri" w:hAnsi="Times New Roman" w:cs="Times New Roman"/>
          <w:sz w:val="24"/>
          <w:szCs w:val="24"/>
        </w:rPr>
      </w:pPr>
      <w:r w:rsidRPr="003B5B5D">
        <w:rPr>
          <w:rFonts w:ascii="Times New Roman" w:eastAsia="Calibri" w:hAnsi="Times New Roman" w:cs="Times New Roman"/>
          <w:sz w:val="24"/>
          <w:szCs w:val="24"/>
        </w:rPr>
        <w:t xml:space="preserve">Les inscriptions sont ouvertes pour le séminaire d’une journée qui se tiendra le 13 juin 2018 à Helsinki (Finlande), en association avec l’Association finlandaise de droit de l’insolvabilité (FILA) et INSOL Europe. Nous prévoyons que ce séminaire sera passionnant et bien fréquenté, grâce à son programme technique stimulant qui propose notamment des séances consacrées aux thèmes suivants : </w:t>
      </w:r>
    </w:p>
    <w:p w:rsidR="003B5B5D" w:rsidRPr="003B5B5D" w:rsidRDefault="003B5B5D" w:rsidP="00C42590">
      <w:pPr>
        <w:numPr>
          <w:ilvl w:val="0"/>
          <w:numId w:val="39"/>
        </w:numPr>
        <w:suppressAutoHyphens/>
        <w:spacing w:line="259" w:lineRule="auto"/>
        <w:contextualSpacing/>
        <w:jc w:val="both"/>
        <w:rPr>
          <w:rFonts w:ascii="Times New Roman" w:eastAsia="Calibri" w:hAnsi="Times New Roman" w:cs="Times New Roman"/>
          <w:sz w:val="24"/>
          <w:szCs w:val="24"/>
        </w:rPr>
      </w:pPr>
      <w:r w:rsidRPr="003B5B5D">
        <w:rPr>
          <w:rFonts w:ascii="Times New Roman" w:eastAsia="Calibri" w:hAnsi="Times New Roman" w:cs="Times New Roman"/>
          <w:sz w:val="24"/>
          <w:szCs w:val="24"/>
        </w:rPr>
        <w:t>Principes de base de l’harmonisation en vertu du projet de directive européenne et de la recommandation nordique-baltique ;</w:t>
      </w:r>
    </w:p>
    <w:p w:rsidR="003B5B5D" w:rsidRPr="003B5B5D" w:rsidRDefault="003B5B5D" w:rsidP="00C42590">
      <w:pPr>
        <w:numPr>
          <w:ilvl w:val="0"/>
          <w:numId w:val="39"/>
        </w:numPr>
        <w:suppressAutoHyphens/>
        <w:spacing w:line="259" w:lineRule="auto"/>
        <w:contextualSpacing/>
        <w:jc w:val="both"/>
        <w:rPr>
          <w:rFonts w:ascii="Times New Roman" w:eastAsia="Calibri" w:hAnsi="Times New Roman" w:cs="Times New Roman"/>
          <w:sz w:val="24"/>
          <w:szCs w:val="24"/>
        </w:rPr>
      </w:pPr>
      <w:r w:rsidRPr="003B5B5D">
        <w:rPr>
          <w:rFonts w:ascii="Times New Roman" w:eastAsia="Calibri" w:hAnsi="Times New Roman" w:cs="Times New Roman"/>
          <w:sz w:val="24"/>
          <w:szCs w:val="24"/>
        </w:rPr>
        <w:t xml:space="preserve">Étude de cas portant sur les instruments disponibles dans le cadre d’une restructuration ; </w:t>
      </w:r>
    </w:p>
    <w:p w:rsidR="003B5B5D" w:rsidRPr="003B5B5D" w:rsidRDefault="003B5B5D" w:rsidP="00C42590">
      <w:pPr>
        <w:numPr>
          <w:ilvl w:val="0"/>
          <w:numId w:val="39"/>
        </w:numPr>
        <w:suppressAutoHyphens/>
        <w:spacing w:line="259" w:lineRule="auto"/>
        <w:contextualSpacing/>
        <w:jc w:val="both"/>
        <w:rPr>
          <w:rFonts w:ascii="Times New Roman" w:eastAsia="Calibri" w:hAnsi="Times New Roman" w:cs="Times New Roman"/>
          <w:sz w:val="24"/>
          <w:szCs w:val="24"/>
        </w:rPr>
      </w:pPr>
      <w:r w:rsidRPr="003B5B5D">
        <w:rPr>
          <w:rFonts w:ascii="Times New Roman" w:eastAsia="Calibri" w:hAnsi="Times New Roman" w:cs="Times New Roman"/>
          <w:sz w:val="24"/>
          <w:szCs w:val="24"/>
        </w:rPr>
        <w:t>Groupes d’entreprises multinationales et questions de restructuration et d’insolvabilité transfrontalières ;</w:t>
      </w:r>
    </w:p>
    <w:p w:rsidR="003B5B5D" w:rsidRPr="003B5B5D" w:rsidRDefault="003B5B5D" w:rsidP="00C42590">
      <w:pPr>
        <w:numPr>
          <w:ilvl w:val="0"/>
          <w:numId w:val="39"/>
        </w:numPr>
        <w:suppressAutoHyphens/>
        <w:spacing w:line="259" w:lineRule="auto"/>
        <w:contextualSpacing/>
        <w:jc w:val="both"/>
        <w:rPr>
          <w:rFonts w:ascii="Times New Roman" w:eastAsia="Calibri" w:hAnsi="Times New Roman" w:cs="Times New Roman"/>
          <w:sz w:val="24"/>
          <w:szCs w:val="24"/>
        </w:rPr>
      </w:pPr>
      <w:r w:rsidRPr="003B5B5D">
        <w:rPr>
          <w:rFonts w:ascii="Times New Roman" w:eastAsia="Calibri" w:hAnsi="Times New Roman" w:cs="Times New Roman"/>
          <w:sz w:val="24"/>
          <w:szCs w:val="24"/>
        </w:rPr>
        <w:t xml:space="preserve">Sujets d’actualité en matière d’insolvabilité et de restructuration dans la région. </w:t>
      </w:r>
    </w:p>
    <w:p w:rsidR="003B5B5D" w:rsidRPr="003B5B5D" w:rsidRDefault="003B5B5D" w:rsidP="00C42590">
      <w:pPr>
        <w:spacing w:line="259" w:lineRule="auto"/>
        <w:jc w:val="both"/>
        <w:rPr>
          <w:rFonts w:ascii="Times New Roman" w:eastAsia="Calibri" w:hAnsi="Times New Roman" w:cs="Times New Roman"/>
          <w:sz w:val="24"/>
          <w:szCs w:val="24"/>
        </w:rPr>
      </w:pPr>
      <w:r w:rsidRPr="003B5B5D">
        <w:rPr>
          <w:rFonts w:ascii="Times New Roman" w:eastAsia="Calibri" w:hAnsi="Times New Roman" w:cs="Times New Roman"/>
          <w:sz w:val="24"/>
          <w:szCs w:val="24"/>
        </w:rPr>
        <w:lastRenderedPageBreak/>
        <w:t xml:space="preserve">Le séminaire culminera par un dîner, ce qui vous offrira d’amples possibilités pour revoir vos amis et vous en faire de nouveaux. Question hébergement, un tarif de groupe est disponible au Hilton Helsinki Strand. Pour en savoir plus, rendez-vous sur le site d’INSOL International à l’adresse : </w:t>
      </w:r>
      <w:r w:rsidRPr="003B5B5D">
        <w:rPr>
          <w:rFonts w:ascii="Times New Roman" w:eastAsia="Calibri" w:hAnsi="Times New Roman" w:cs="Times New Roman"/>
          <w:i/>
          <w:sz w:val="24"/>
          <w:szCs w:val="24"/>
        </w:rPr>
        <w:t>www.insol.org/page/846/insol-international--insol-europe--fila-helsinki-one-day-joint-seminar-</w:t>
      </w:r>
    </w:p>
    <w:p w:rsidR="00C42590" w:rsidRDefault="00C42590" w:rsidP="0052658C">
      <w:pPr>
        <w:suppressAutoHyphens/>
        <w:spacing w:after="0" w:line="240" w:lineRule="auto"/>
        <w:rPr>
          <w:rFonts w:ascii="Arial Narrow" w:eastAsia="Times New Roman" w:hAnsi="Arial Narrow" w:cs="Times New Roman"/>
          <w:b/>
          <w:sz w:val="32"/>
          <w:szCs w:val="32"/>
          <w:lang w:eastAsia="ar-SA"/>
        </w:rPr>
      </w:pPr>
    </w:p>
    <w:p w:rsidR="00C42590" w:rsidRPr="00C42590" w:rsidRDefault="00C42590" w:rsidP="00C4259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x</w:t>
      </w:r>
      <w:r w:rsidRPr="00C42590">
        <w:rPr>
          <w:rFonts w:ascii="Times New Roman" w:eastAsia="Times New Roman" w:hAnsi="Times New Roman" w:cs="Times New Roman"/>
          <w:sz w:val="24"/>
          <w:szCs w:val="24"/>
          <w:lang w:eastAsia="ar-SA"/>
        </w:rPr>
        <w:t xml:space="preserve">  x  x</w:t>
      </w:r>
    </w:p>
    <w:p w:rsidR="00C42590" w:rsidRDefault="00C42590" w:rsidP="00C42590">
      <w:pPr>
        <w:suppressAutoHyphens/>
        <w:spacing w:after="0" w:line="240" w:lineRule="auto"/>
        <w:jc w:val="center"/>
        <w:rPr>
          <w:rFonts w:ascii="Arial Narrow" w:eastAsia="Times New Roman" w:hAnsi="Arial Narrow" w:cs="Times New Roman"/>
          <w:b/>
          <w:sz w:val="32"/>
          <w:szCs w:val="32"/>
          <w:lang w:eastAsia="ar-SA"/>
        </w:rPr>
      </w:pPr>
      <w:r w:rsidRPr="00C42590">
        <w:rPr>
          <w:rFonts w:ascii="Times New Roman" w:eastAsia="Times New Roman" w:hAnsi="Times New Roman" w:cs="Times New Roman"/>
          <w:sz w:val="24"/>
          <w:szCs w:val="24"/>
          <w:lang w:eastAsia="ar-SA"/>
        </w:rPr>
        <w:t>x</w:t>
      </w:r>
    </w:p>
    <w:p w:rsidR="00C42590" w:rsidRDefault="00C42590" w:rsidP="0052658C">
      <w:pPr>
        <w:suppressAutoHyphens/>
        <w:spacing w:after="0" w:line="240" w:lineRule="auto"/>
        <w:rPr>
          <w:rFonts w:ascii="Arial Narrow" w:eastAsia="Times New Roman" w:hAnsi="Arial Narrow" w:cs="Times New Roman"/>
          <w:b/>
          <w:sz w:val="32"/>
          <w:szCs w:val="32"/>
          <w:lang w:eastAsia="ar-SA"/>
        </w:rPr>
      </w:pPr>
    </w:p>
    <w:p w:rsidR="003B5B5D" w:rsidRPr="001E5D43" w:rsidRDefault="003B5B5D" w:rsidP="0052658C">
      <w:pPr>
        <w:suppressAutoHyphens/>
        <w:spacing w:after="0" w:line="240" w:lineRule="auto"/>
        <w:rPr>
          <w:rFonts w:ascii="Times New Roman" w:eastAsia="Times New Roman" w:hAnsi="Times New Roman" w:cs="Times New Roman"/>
          <w:sz w:val="32"/>
          <w:szCs w:val="32"/>
          <w:lang w:eastAsia="ar-SA"/>
        </w:rPr>
      </w:pPr>
      <w:r w:rsidRPr="001E5D43">
        <w:rPr>
          <w:rFonts w:ascii="Arial Narrow" w:eastAsia="Times New Roman" w:hAnsi="Arial Narrow" w:cs="Times New Roman"/>
          <w:b/>
          <w:sz w:val="32"/>
          <w:szCs w:val="32"/>
          <w:lang w:eastAsia="ar-SA"/>
        </w:rPr>
        <w:t>Rubrique technique</w:t>
      </w:r>
    </w:p>
    <w:p w:rsidR="003B5B5D" w:rsidRPr="003B5B5D" w:rsidRDefault="003B5B5D" w:rsidP="003B5B5D">
      <w:pPr>
        <w:suppressAutoHyphens/>
        <w:spacing w:after="0" w:line="240" w:lineRule="auto"/>
        <w:jc w:val="center"/>
        <w:rPr>
          <w:rFonts w:ascii="Times New Roman" w:eastAsia="Times New Roman" w:hAnsi="Times New Roman" w:cs="Times New Roman"/>
          <w:b/>
          <w:sz w:val="24"/>
          <w:szCs w:val="24"/>
          <w:lang w:eastAsia="ar-SA"/>
        </w:rPr>
      </w:pPr>
    </w:p>
    <w:p w:rsidR="003B5B5D" w:rsidRPr="003B5B5D" w:rsidRDefault="003B5B5D" w:rsidP="001E5D43">
      <w:pPr>
        <w:spacing w:after="0" w:line="240" w:lineRule="auto"/>
        <w:jc w:val="center"/>
        <w:rPr>
          <w:rFonts w:ascii="Times New Roman" w:eastAsia="Calibri" w:hAnsi="Times New Roman" w:cs="Times New Roman"/>
          <w:b/>
          <w:sz w:val="48"/>
          <w:szCs w:val="48"/>
        </w:rPr>
      </w:pPr>
      <w:r w:rsidRPr="003B5B5D">
        <w:rPr>
          <w:rFonts w:ascii="Times New Roman" w:eastAsia="Calibri" w:hAnsi="Times New Roman" w:cs="Times New Roman"/>
          <w:b/>
          <w:sz w:val="48"/>
          <w:szCs w:val="48"/>
        </w:rPr>
        <w:t>Actifs numériques, insolvabilité et restructuration</w:t>
      </w:r>
    </w:p>
    <w:p w:rsidR="003B5B5D" w:rsidRPr="0052658C" w:rsidRDefault="003B5B5D" w:rsidP="001E5D43">
      <w:pPr>
        <w:spacing w:after="0" w:line="240" w:lineRule="auto"/>
        <w:jc w:val="center"/>
        <w:rPr>
          <w:rFonts w:ascii="Arial Narrow" w:eastAsia="Calibri" w:hAnsi="Arial Narrow" w:cs="Times New Roman"/>
          <w:i/>
          <w:sz w:val="24"/>
          <w:szCs w:val="24"/>
        </w:rPr>
      </w:pPr>
      <w:r w:rsidRPr="003B5B5D">
        <w:rPr>
          <w:rFonts w:ascii="Arial Narrow" w:eastAsia="Calibri" w:hAnsi="Arial Narrow" w:cs="Times New Roman"/>
          <w:i/>
          <w:sz w:val="24"/>
          <w:szCs w:val="24"/>
        </w:rPr>
        <w:t>Emmanuelle Inacio* étudie de plus près l’impact de la protection et du recouvrement d’actifs numériques sur la pratique en matière d’insolvabilité et de restructuration</w:t>
      </w:r>
    </w:p>
    <w:p w:rsidR="001E5D43" w:rsidRDefault="001E5D43" w:rsidP="003B5B5D">
      <w:pPr>
        <w:spacing w:after="160" w:line="259" w:lineRule="auto"/>
        <w:jc w:val="both"/>
        <w:rPr>
          <w:rFonts w:ascii="Times New Roman" w:eastAsia="Calibri" w:hAnsi="Times New Roman" w:cs="Times New Roman"/>
          <w:b/>
          <w:sz w:val="24"/>
          <w:szCs w:val="24"/>
        </w:rPr>
      </w:pPr>
    </w:p>
    <w:p w:rsidR="003B5B5D" w:rsidRPr="003B5B5D" w:rsidRDefault="003B5B5D" w:rsidP="003B5B5D">
      <w:pPr>
        <w:spacing w:after="160" w:line="259" w:lineRule="auto"/>
        <w:jc w:val="both"/>
        <w:rPr>
          <w:rFonts w:ascii="Times New Roman" w:eastAsia="Calibri" w:hAnsi="Times New Roman" w:cs="Times New Roman"/>
          <w:b/>
          <w:sz w:val="24"/>
          <w:szCs w:val="24"/>
        </w:rPr>
      </w:pPr>
      <w:r w:rsidRPr="003B5B5D">
        <w:rPr>
          <w:rFonts w:ascii="Times New Roman" w:eastAsia="Calibri" w:hAnsi="Times New Roman" w:cs="Times New Roman"/>
          <w:b/>
          <w:sz w:val="24"/>
          <w:szCs w:val="24"/>
        </w:rPr>
        <w:t>Cryptomonnaies, tokens et ICO</w:t>
      </w:r>
    </w:p>
    <w:p w:rsidR="003B5B5D" w:rsidRDefault="003B5B5D" w:rsidP="00C42590">
      <w:pPr>
        <w:spacing w:line="259" w:lineRule="auto"/>
        <w:jc w:val="both"/>
        <w:rPr>
          <w:rFonts w:ascii="Times New Roman" w:eastAsia="Calibri" w:hAnsi="Times New Roman" w:cs="Times New Roman"/>
          <w:sz w:val="24"/>
          <w:szCs w:val="24"/>
        </w:rPr>
      </w:pPr>
      <w:r w:rsidRPr="003B5B5D">
        <w:rPr>
          <w:rFonts w:ascii="Times New Roman" w:eastAsia="Calibri" w:hAnsi="Times New Roman" w:cs="Times New Roman"/>
          <w:sz w:val="24"/>
          <w:szCs w:val="24"/>
        </w:rPr>
        <w:t xml:space="preserve">Les cryptomonnaies telles que Bitcoin, Ethereum ou Ripple, utilisent la </w:t>
      </w:r>
      <w:r w:rsidRPr="003B5B5D">
        <w:rPr>
          <w:rFonts w:ascii="Times New Roman" w:eastAsia="Calibri" w:hAnsi="Times New Roman" w:cs="Times New Roman"/>
          <w:b/>
          <w:sz w:val="24"/>
          <w:szCs w:val="24"/>
        </w:rPr>
        <w:t>blockchain</w:t>
      </w:r>
      <w:r w:rsidRPr="003B5B5D">
        <w:rPr>
          <w:rFonts w:ascii="Times New Roman" w:eastAsia="Calibri" w:hAnsi="Times New Roman" w:cs="Times New Roman"/>
          <w:sz w:val="24"/>
          <w:szCs w:val="24"/>
        </w:rPr>
        <w:t xml:space="preserve"> </w:t>
      </w:r>
      <w:r w:rsidR="0052658C">
        <w:rPr>
          <w:rFonts w:ascii="Times New Roman" w:eastAsia="Calibri" w:hAnsi="Times New Roman" w:cs="Times New Roman"/>
          <w:sz w:val="24"/>
          <w:szCs w:val="24"/>
        </w:rPr>
        <w:t xml:space="preserve">(voir encadré ci-dessous) </w:t>
      </w:r>
      <w:r w:rsidRPr="003B5B5D">
        <w:rPr>
          <w:rFonts w:ascii="Times New Roman" w:eastAsia="Calibri" w:hAnsi="Times New Roman" w:cs="Times New Roman"/>
          <w:sz w:val="24"/>
          <w:szCs w:val="24"/>
        </w:rPr>
        <w:t>pour transformer la valeur économique. Bitcoin est une technologie qui a été proposée pour la première fois en 2008 dans un livre blanc rédigé par Satoshi Nakamoto. Le terme Bitcoin désigne à la fois une monnaie privée (dont le bitcoin est l’unité de compte) et le réseau d’ordinateurs qui la gère. Toutefois, ce ne sont pas les gouvernements qui émettent le bitcoin, mais un réseau décentralisé d’ordinateurs</w:t>
      </w:r>
      <w:r w:rsidRPr="003B5B5D">
        <w:rPr>
          <w:rFonts w:ascii="Times New Roman" w:eastAsia="Calibri" w:hAnsi="Times New Roman" w:cs="Times New Roman"/>
          <w:sz w:val="24"/>
          <w:szCs w:val="24"/>
          <w:vertAlign w:val="superscript"/>
        </w:rPr>
        <w:footnoteReference w:id="2"/>
      </w:r>
      <w:r w:rsidRPr="003B5B5D">
        <w:rPr>
          <w:rFonts w:ascii="Times New Roman" w:eastAsia="Calibri" w:hAnsi="Times New Roman" w:cs="Times New Roman"/>
          <w:sz w:val="24"/>
          <w:szCs w:val="24"/>
        </w:rPr>
        <w:t>. Actuellement, il existe plus de neuf cents cryptomonnaies et le marché des cryptomonnaies atteindra une valeur totale de 1 billion de dollars cette année</w:t>
      </w:r>
      <w:r w:rsidRPr="003B5B5D">
        <w:rPr>
          <w:rFonts w:ascii="Times New Roman" w:eastAsia="Calibri" w:hAnsi="Times New Roman" w:cs="Times New Roman"/>
          <w:sz w:val="24"/>
          <w:szCs w:val="24"/>
          <w:vertAlign w:val="superscript"/>
        </w:rPr>
        <w:footnoteReference w:id="3"/>
      </w:r>
      <w:r w:rsidRPr="003B5B5D">
        <w:rPr>
          <w:rFonts w:ascii="Times New Roman" w:eastAsia="Calibri" w:hAnsi="Times New Roman" w:cs="Times New Roman"/>
          <w:sz w:val="24"/>
          <w:szCs w:val="24"/>
        </w:rPr>
        <w:t>.</w:t>
      </w:r>
    </w:p>
    <w:p w:rsidR="00007A92" w:rsidRPr="001E5D43" w:rsidRDefault="00007A92" w:rsidP="00007A92">
      <w:pPr>
        <w:pBdr>
          <w:top w:val="single" w:sz="4" w:space="1" w:color="auto"/>
          <w:left w:val="single" w:sz="4" w:space="4" w:color="auto"/>
          <w:bottom w:val="single" w:sz="4" w:space="1" w:color="auto"/>
          <w:right w:val="single" w:sz="4" w:space="4" w:color="auto"/>
        </w:pBdr>
        <w:spacing w:after="160" w:line="259" w:lineRule="auto"/>
        <w:jc w:val="center"/>
        <w:rPr>
          <w:rFonts w:ascii="Times New Roman" w:eastAsia="Calibri" w:hAnsi="Times New Roman" w:cs="Times New Roman"/>
          <w:b/>
          <w:sz w:val="20"/>
          <w:szCs w:val="20"/>
        </w:rPr>
      </w:pPr>
      <w:r w:rsidRPr="001E5D43">
        <w:rPr>
          <w:rFonts w:ascii="Times New Roman" w:eastAsia="Calibri" w:hAnsi="Times New Roman" w:cs="Times New Roman"/>
          <w:b/>
          <w:sz w:val="20"/>
          <w:szCs w:val="20"/>
        </w:rPr>
        <w:t>La technologie « blockchain »</w:t>
      </w:r>
    </w:p>
    <w:p w:rsidR="00007A92" w:rsidRPr="001E5D43" w:rsidRDefault="00007A92" w:rsidP="00007A92">
      <w:pPr>
        <w:pBdr>
          <w:top w:val="single" w:sz="4" w:space="1" w:color="auto"/>
          <w:left w:val="single" w:sz="4" w:space="4" w:color="auto"/>
          <w:bottom w:val="single" w:sz="4" w:space="1" w:color="auto"/>
          <w:right w:val="single" w:sz="4" w:space="4" w:color="auto"/>
        </w:pBdr>
        <w:spacing w:after="160" w:line="259" w:lineRule="auto"/>
        <w:jc w:val="both"/>
        <w:rPr>
          <w:rFonts w:ascii="Times New Roman" w:eastAsia="Calibri" w:hAnsi="Times New Roman" w:cs="Times New Roman"/>
          <w:b/>
          <w:i/>
          <w:sz w:val="20"/>
          <w:szCs w:val="20"/>
        </w:rPr>
      </w:pPr>
      <w:r w:rsidRPr="001E5D43">
        <w:rPr>
          <w:rFonts w:ascii="Times New Roman" w:eastAsia="Calibri" w:hAnsi="Times New Roman" w:cs="Times New Roman"/>
          <w:b/>
          <w:i/>
          <w:sz w:val="20"/>
          <w:szCs w:val="20"/>
        </w:rPr>
        <w:t>Pour citer l’ancien responsable de la division IOT d’IBM, Paul Brody, la blockchain est « la colle qui va entraîner une révolution de la productivité dans le monde entier, comme Henry Ford l’a fait avec l’automobile. »</w:t>
      </w:r>
    </w:p>
    <w:p w:rsidR="001E5D43" w:rsidRDefault="00007A92" w:rsidP="00007A92">
      <w:pPr>
        <w:pBdr>
          <w:top w:val="single" w:sz="4" w:space="1" w:color="auto"/>
          <w:left w:val="single" w:sz="4" w:space="4" w:color="auto"/>
          <w:bottom w:val="single" w:sz="4" w:space="1" w:color="auto"/>
          <w:right w:val="single" w:sz="4" w:space="4" w:color="auto"/>
        </w:pBdr>
        <w:spacing w:after="160" w:line="259" w:lineRule="auto"/>
        <w:jc w:val="both"/>
        <w:rPr>
          <w:rFonts w:ascii="Times New Roman" w:eastAsia="Calibri" w:hAnsi="Times New Roman" w:cs="Times New Roman"/>
          <w:sz w:val="20"/>
          <w:szCs w:val="20"/>
        </w:rPr>
      </w:pPr>
      <w:r w:rsidRPr="001E5D43">
        <w:rPr>
          <w:rFonts w:ascii="Times New Roman" w:eastAsia="Calibri" w:hAnsi="Times New Roman" w:cs="Times New Roman"/>
          <w:sz w:val="20"/>
          <w:szCs w:val="20"/>
        </w:rPr>
        <w:t>La « </w:t>
      </w:r>
      <w:r w:rsidRPr="001E5D43">
        <w:rPr>
          <w:rFonts w:ascii="Times New Roman" w:eastAsia="Calibri" w:hAnsi="Times New Roman" w:cs="Times New Roman"/>
          <w:i/>
          <w:sz w:val="20"/>
          <w:szCs w:val="20"/>
        </w:rPr>
        <w:t>blockchain</w:t>
      </w:r>
      <w:r w:rsidRPr="001E5D43">
        <w:rPr>
          <w:rFonts w:ascii="Times New Roman" w:eastAsia="Calibri" w:hAnsi="Times New Roman" w:cs="Times New Roman"/>
          <w:sz w:val="20"/>
          <w:szCs w:val="20"/>
        </w:rPr>
        <w:t> » est une base de données distribuée, composé de données numériques cryptées, enregistrées sous forme de blocs, qui, une fois connectée via le réseau distribué d’ordinateurs stockant les blocs, co</w:t>
      </w:r>
      <w:r w:rsidR="001E5D43">
        <w:rPr>
          <w:rFonts w:ascii="Times New Roman" w:eastAsia="Calibri" w:hAnsi="Times New Roman" w:cs="Times New Roman"/>
          <w:sz w:val="20"/>
          <w:szCs w:val="20"/>
        </w:rPr>
        <w:t>nstitue la « chaîne de blocs ».</w:t>
      </w:r>
    </w:p>
    <w:p w:rsidR="00007A92" w:rsidRPr="001E5D43" w:rsidRDefault="00007A92" w:rsidP="00007A92">
      <w:pPr>
        <w:pBdr>
          <w:top w:val="single" w:sz="4" w:space="1" w:color="auto"/>
          <w:left w:val="single" w:sz="4" w:space="4" w:color="auto"/>
          <w:bottom w:val="single" w:sz="4" w:space="1" w:color="auto"/>
          <w:right w:val="single" w:sz="4" w:space="4" w:color="auto"/>
        </w:pBdr>
        <w:spacing w:after="160" w:line="259" w:lineRule="auto"/>
        <w:jc w:val="both"/>
        <w:rPr>
          <w:rFonts w:ascii="Times New Roman" w:eastAsia="Calibri" w:hAnsi="Times New Roman" w:cs="Times New Roman"/>
          <w:sz w:val="20"/>
          <w:szCs w:val="20"/>
        </w:rPr>
      </w:pPr>
      <w:r w:rsidRPr="001E5D43">
        <w:rPr>
          <w:rFonts w:ascii="Times New Roman" w:eastAsia="Calibri" w:hAnsi="Times New Roman" w:cs="Times New Roman"/>
          <w:sz w:val="20"/>
          <w:szCs w:val="20"/>
        </w:rPr>
        <w:t>Chaque ordinateur contient tout ou partie de la blockchain. Il applique son algorithme de calcul pour vérifier les blocs et permettre leur ajout à la chaîne. Étant donné que chaque occurrence de données est conservée en plusieurs endroits au même moment, et qu’un bloc peut être vérifié et ajouté à la chaîne par un nombre indéfini d’ordinateurs, la chaîne peut résister au piratage.</w:t>
      </w:r>
    </w:p>
    <w:p w:rsidR="00007A92" w:rsidRPr="001E5D43" w:rsidRDefault="00007A92" w:rsidP="00007A92">
      <w:pPr>
        <w:pBdr>
          <w:top w:val="single" w:sz="4" w:space="1" w:color="auto"/>
          <w:left w:val="single" w:sz="4" w:space="4" w:color="auto"/>
          <w:bottom w:val="single" w:sz="4" w:space="1" w:color="auto"/>
          <w:right w:val="single" w:sz="4" w:space="4" w:color="auto"/>
        </w:pBdr>
        <w:spacing w:after="160" w:line="259" w:lineRule="auto"/>
        <w:jc w:val="both"/>
        <w:rPr>
          <w:rFonts w:ascii="Times New Roman" w:eastAsia="Calibri" w:hAnsi="Times New Roman" w:cs="Times New Roman"/>
          <w:sz w:val="20"/>
          <w:szCs w:val="20"/>
        </w:rPr>
      </w:pPr>
      <w:r w:rsidRPr="001E5D43">
        <w:rPr>
          <w:rFonts w:ascii="Times New Roman" w:eastAsia="Calibri" w:hAnsi="Times New Roman" w:cs="Times New Roman"/>
          <w:sz w:val="20"/>
          <w:szCs w:val="20"/>
        </w:rPr>
        <w:t>Les données ajoutées à la chaîne sont « hachées » par un procédé cryptographique, ce qui signifie que seul un résumé des données est créé, et non un fichier complet. C’est ce hachage de données  qui est stocké simultanément dans un bloc sur plusieurs ordinateurs et qui est transféré sous forme cryptée via la blockchain, et non les données sous-</w:t>
      </w:r>
      <w:r w:rsidRPr="001E5D43">
        <w:rPr>
          <w:rFonts w:ascii="Times New Roman" w:eastAsia="Calibri" w:hAnsi="Times New Roman" w:cs="Times New Roman"/>
          <w:sz w:val="20"/>
          <w:szCs w:val="20"/>
        </w:rPr>
        <w:lastRenderedPageBreak/>
        <w:t>jacentes réelles elles-mêmes. Sous cette forme abrégée, les données hachées ne peuvent pas être décryptée pour reproduire en intégralité le document ou les données de la transaction correspondante. Toutefois, à l’intérieur de la chaîne, le hachage peut vérifier une copie du document ou de la transaction existant hors de la blockchain</w:t>
      </w:r>
      <w:r w:rsidRPr="001E5D43">
        <w:rPr>
          <w:rFonts w:ascii="Times New Roman" w:eastAsia="Calibri" w:hAnsi="Times New Roman" w:cs="Times New Roman"/>
          <w:sz w:val="20"/>
          <w:szCs w:val="20"/>
          <w:vertAlign w:val="superscript"/>
        </w:rPr>
        <w:footnoteReference w:id="4"/>
      </w:r>
      <w:r w:rsidRPr="001E5D43">
        <w:rPr>
          <w:rFonts w:ascii="Times New Roman" w:eastAsia="Calibri" w:hAnsi="Times New Roman" w:cs="Times New Roman"/>
          <w:sz w:val="20"/>
          <w:szCs w:val="20"/>
        </w:rPr>
        <w:t>. Par conséquent, la blockchain ne repose pas sur la confiance accordée à des intermédiaires puissants tels que des gouvernements et des banques, mais sur un système de preuve.</w:t>
      </w:r>
    </w:p>
    <w:p w:rsidR="00007A92" w:rsidRPr="001E5D43" w:rsidRDefault="00007A92" w:rsidP="00F12C62">
      <w:pPr>
        <w:pBdr>
          <w:top w:val="single" w:sz="4" w:space="1" w:color="auto"/>
          <w:left w:val="single" w:sz="4" w:space="4" w:color="auto"/>
          <w:bottom w:val="single" w:sz="4" w:space="1" w:color="auto"/>
          <w:right w:val="single" w:sz="4" w:space="4" w:color="auto"/>
        </w:pBdr>
        <w:spacing w:after="160" w:line="259" w:lineRule="auto"/>
        <w:jc w:val="both"/>
        <w:rPr>
          <w:rFonts w:ascii="Times New Roman" w:eastAsia="Calibri" w:hAnsi="Times New Roman" w:cs="Times New Roman"/>
          <w:sz w:val="20"/>
          <w:szCs w:val="20"/>
        </w:rPr>
      </w:pPr>
      <w:r w:rsidRPr="001E5D43">
        <w:rPr>
          <w:rFonts w:ascii="Times New Roman" w:eastAsia="Calibri" w:hAnsi="Times New Roman" w:cs="Times New Roman"/>
          <w:sz w:val="20"/>
          <w:szCs w:val="20"/>
        </w:rPr>
        <w:t>Pour résumer, la blockchain est un registre numérique incorruptible de transactions économiques qui peut être programmé pour enregistrer non seulement des opérations financières mais également quasiment tout élément de valeur. Melanie Swan, fondatrice de l’Institute for Blockchain Studies, nous explique : « Il faut voir la blockchain comme une autre catégorie de chose, comme l’Internet : c’est une technologie de l’information complète, comportant divers niveaux techniques et plusieurs catégories d’applications pour toute forme de registre, d’inventaire et d’échange d’actifs, notamment pour tout domaine de la finance, de l’économie et de l’argent, tant en rapport avec les biens durables que les biens incorporels</w:t>
      </w:r>
      <w:r w:rsidRPr="001E5D43">
        <w:rPr>
          <w:rFonts w:ascii="Times New Roman" w:eastAsia="Calibri" w:hAnsi="Times New Roman" w:cs="Times New Roman"/>
          <w:sz w:val="20"/>
          <w:szCs w:val="20"/>
          <w:vertAlign w:val="superscript"/>
        </w:rPr>
        <w:footnoteReference w:id="5"/>
      </w:r>
      <w:r w:rsidRPr="001E5D43">
        <w:rPr>
          <w:rFonts w:ascii="Times New Roman" w:eastAsia="Calibri" w:hAnsi="Times New Roman" w:cs="Times New Roman"/>
          <w:sz w:val="20"/>
          <w:szCs w:val="20"/>
        </w:rPr>
        <w:t>. »</w:t>
      </w:r>
    </w:p>
    <w:p w:rsidR="003B5B5D" w:rsidRPr="003B5B5D" w:rsidRDefault="003B5B5D" w:rsidP="00C42590">
      <w:pPr>
        <w:spacing w:line="259" w:lineRule="auto"/>
        <w:jc w:val="both"/>
        <w:rPr>
          <w:rFonts w:ascii="Times New Roman" w:eastAsia="Calibri" w:hAnsi="Times New Roman" w:cs="Times New Roman"/>
          <w:sz w:val="24"/>
          <w:szCs w:val="24"/>
        </w:rPr>
      </w:pPr>
      <w:r w:rsidRPr="003B5B5D">
        <w:rPr>
          <w:rFonts w:ascii="Times New Roman" w:eastAsia="Calibri" w:hAnsi="Times New Roman" w:cs="Times New Roman"/>
          <w:sz w:val="24"/>
          <w:szCs w:val="24"/>
        </w:rPr>
        <w:t>La blockchain</w:t>
      </w:r>
      <w:r w:rsidR="0052658C">
        <w:rPr>
          <w:rFonts w:ascii="Times New Roman" w:eastAsia="Calibri" w:hAnsi="Times New Roman" w:cs="Times New Roman"/>
          <w:sz w:val="24"/>
          <w:szCs w:val="24"/>
        </w:rPr>
        <w:t xml:space="preserve"> </w:t>
      </w:r>
      <w:r w:rsidRPr="003B5B5D">
        <w:rPr>
          <w:rFonts w:ascii="Times New Roman" w:eastAsia="Calibri" w:hAnsi="Times New Roman" w:cs="Times New Roman"/>
          <w:sz w:val="24"/>
          <w:szCs w:val="24"/>
        </w:rPr>
        <w:t>n’est pas réservée aux cryptomonnaies ; elle peut aussi stocker, transférer et enregistrer des « tokens » de valeurs. Le token (ou jeton) est un actif numérique personnalisé par son auteur, émis et échangeable via la blockchain, et qui possède toutes les caractéristiques d’une cryptomonnaie.</w:t>
      </w:r>
    </w:p>
    <w:p w:rsidR="003B5B5D" w:rsidRPr="003B5B5D" w:rsidRDefault="003B5B5D" w:rsidP="00C42590">
      <w:pPr>
        <w:spacing w:line="259" w:lineRule="auto"/>
        <w:jc w:val="both"/>
        <w:rPr>
          <w:rFonts w:ascii="Times New Roman" w:eastAsia="Calibri" w:hAnsi="Times New Roman" w:cs="Times New Roman"/>
          <w:sz w:val="24"/>
          <w:szCs w:val="24"/>
        </w:rPr>
      </w:pPr>
      <w:r w:rsidRPr="003B5B5D">
        <w:rPr>
          <w:rFonts w:ascii="Times New Roman" w:eastAsia="Calibri" w:hAnsi="Times New Roman" w:cs="Times New Roman"/>
          <w:sz w:val="24"/>
          <w:szCs w:val="24"/>
        </w:rPr>
        <w:t>Récemment, les promoteurs se sont mis à vendre des unités de compte virtuelles ou tokens sous la forme d’</w:t>
      </w:r>
      <w:r w:rsidRPr="003B5B5D">
        <w:rPr>
          <w:rFonts w:ascii="Times New Roman" w:eastAsia="Calibri" w:hAnsi="Times New Roman" w:cs="Times New Roman"/>
          <w:b/>
          <w:i/>
          <w:sz w:val="24"/>
          <w:szCs w:val="24"/>
        </w:rPr>
        <w:t>Initial Coin Offerings</w:t>
      </w:r>
      <w:r w:rsidRPr="003B5B5D">
        <w:rPr>
          <w:rFonts w:ascii="Times New Roman" w:eastAsia="Calibri" w:hAnsi="Times New Roman" w:cs="Times New Roman"/>
          <w:sz w:val="24"/>
          <w:szCs w:val="24"/>
        </w:rPr>
        <w:t xml:space="preserve"> (« ICO »), qui sont une nouvelle forme de levée de fonds qui s’apparente au financement participatif. Les acheteurs peuvent utiliser des monnaies fiduciaires (par ex. le dollar des États-Unis) ou des monnaies virtuelles pour acheter ces unités de compte virtuelles ou tokens. Les promoteurs peuvent annoncer aux acheteurs que le capital levé grâce aux ventes sera utilisé pour financer une plateforme numérique, un logiciel ou d’autres projets et que les tokens ou unités de compte virtuelles pourront servir à accéder à la plateforme, utiliser le logiciel ou participer à un autre titre au projet. Certains promoteurs et vendeurs initiaux peuvent amener les acheteurs à attendre un retour sur investissement ou à participer aux bénéfices du projet. Après leur émission, les tokens ou unités de compte virtuelles peuvent être revendus à d’autres sur un marché secondaire, des bourses de cryptomonnaies ou d’autres plateformes</w:t>
      </w:r>
      <w:r w:rsidRPr="003B5B5D">
        <w:rPr>
          <w:rFonts w:ascii="Times New Roman" w:eastAsia="Calibri" w:hAnsi="Times New Roman" w:cs="Times New Roman"/>
          <w:sz w:val="24"/>
          <w:szCs w:val="24"/>
          <w:vertAlign w:val="superscript"/>
        </w:rPr>
        <w:footnoteReference w:id="6"/>
      </w:r>
      <w:r w:rsidRPr="003B5B5D">
        <w:rPr>
          <w:rFonts w:ascii="Times New Roman" w:eastAsia="Calibri" w:hAnsi="Times New Roman" w:cs="Times New Roman"/>
          <w:sz w:val="24"/>
          <w:szCs w:val="24"/>
        </w:rPr>
        <w:t>.</w:t>
      </w:r>
    </w:p>
    <w:p w:rsidR="003B5B5D" w:rsidRPr="003B5B5D" w:rsidRDefault="003B5B5D" w:rsidP="003B5B5D">
      <w:pPr>
        <w:spacing w:after="160" w:line="259" w:lineRule="auto"/>
        <w:jc w:val="both"/>
        <w:rPr>
          <w:rFonts w:ascii="Times New Roman" w:eastAsia="Calibri" w:hAnsi="Times New Roman" w:cs="Times New Roman"/>
          <w:sz w:val="24"/>
          <w:szCs w:val="24"/>
        </w:rPr>
      </w:pPr>
      <w:r w:rsidRPr="003B5B5D">
        <w:rPr>
          <w:rFonts w:ascii="Times New Roman" w:eastAsia="Calibri" w:hAnsi="Times New Roman" w:cs="Times New Roman"/>
          <w:b/>
          <w:sz w:val="24"/>
          <w:szCs w:val="24"/>
        </w:rPr>
        <w:t>Statut juridique</w:t>
      </w:r>
      <w:r w:rsidRPr="003B5B5D">
        <w:rPr>
          <w:rFonts w:ascii="Times New Roman" w:eastAsia="Calibri" w:hAnsi="Times New Roman" w:cs="Times New Roman"/>
          <w:sz w:val="24"/>
          <w:szCs w:val="24"/>
        </w:rPr>
        <w:t xml:space="preserve"> </w:t>
      </w:r>
    </w:p>
    <w:p w:rsidR="003B5B5D" w:rsidRPr="003B5B5D" w:rsidRDefault="003B5B5D" w:rsidP="00C42590">
      <w:pPr>
        <w:spacing w:line="259" w:lineRule="auto"/>
        <w:jc w:val="both"/>
        <w:rPr>
          <w:rFonts w:ascii="Times New Roman" w:eastAsia="Calibri" w:hAnsi="Times New Roman" w:cs="Times New Roman"/>
          <w:sz w:val="24"/>
          <w:szCs w:val="24"/>
        </w:rPr>
      </w:pPr>
      <w:r w:rsidRPr="003B5B5D">
        <w:rPr>
          <w:rFonts w:ascii="Times New Roman" w:eastAsia="Calibri" w:hAnsi="Times New Roman" w:cs="Times New Roman"/>
          <w:sz w:val="24"/>
          <w:szCs w:val="24"/>
        </w:rPr>
        <w:t>La première question qui se pose est celle du statut juridique des crypt</w:t>
      </w:r>
      <w:r w:rsidR="001E5D43">
        <w:rPr>
          <w:rFonts w:ascii="Times New Roman" w:eastAsia="Calibri" w:hAnsi="Times New Roman" w:cs="Times New Roman"/>
          <w:sz w:val="24"/>
          <w:szCs w:val="24"/>
        </w:rPr>
        <w:t>omonnaies.</w:t>
      </w:r>
      <w:r w:rsidRPr="003B5B5D">
        <w:rPr>
          <w:rFonts w:ascii="Times New Roman" w:eastAsia="Calibri" w:hAnsi="Times New Roman" w:cs="Times New Roman"/>
          <w:sz w:val="24"/>
          <w:szCs w:val="24"/>
        </w:rPr>
        <w:t>En France, l’article L. 111-1 du Code monétaire et financier dispose que la monnaie de la France est l’euro. Par conséquent, les cryptomonnaies ne sont pas considérées comme des monnaies en France.</w:t>
      </w:r>
    </w:p>
    <w:p w:rsidR="003B5B5D" w:rsidRPr="003B5B5D" w:rsidRDefault="003B5B5D" w:rsidP="00C42590">
      <w:pPr>
        <w:spacing w:line="259" w:lineRule="auto"/>
        <w:jc w:val="both"/>
        <w:rPr>
          <w:rFonts w:ascii="Times New Roman" w:eastAsia="Calibri" w:hAnsi="Times New Roman" w:cs="Times New Roman"/>
          <w:sz w:val="24"/>
          <w:szCs w:val="24"/>
        </w:rPr>
      </w:pPr>
      <w:r w:rsidRPr="003B5B5D">
        <w:rPr>
          <w:rFonts w:ascii="Times New Roman" w:eastAsia="Calibri" w:hAnsi="Times New Roman" w:cs="Times New Roman"/>
          <w:sz w:val="24"/>
          <w:szCs w:val="24"/>
        </w:rPr>
        <w:t xml:space="preserve">De la même manière, aux États-Unis, le tribunal fédéral de la faillite du district nord de Californie, dans l’affaire </w:t>
      </w:r>
      <w:r w:rsidRPr="003B5B5D">
        <w:rPr>
          <w:rFonts w:ascii="Times New Roman" w:eastAsia="Calibri" w:hAnsi="Times New Roman" w:cs="Times New Roman"/>
          <w:i/>
          <w:sz w:val="24"/>
          <w:szCs w:val="24"/>
        </w:rPr>
        <w:t>Hashfast c/ Mark Lowe</w:t>
      </w:r>
      <w:r w:rsidRPr="003B5B5D">
        <w:rPr>
          <w:rFonts w:ascii="Times New Roman" w:eastAsia="Calibri" w:hAnsi="Times New Roman" w:cs="Times New Roman"/>
          <w:sz w:val="24"/>
          <w:szCs w:val="24"/>
        </w:rPr>
        <w:t>, a jugé le 22 janvier 2016 que « le bitcoin est un bien, et non une monnaie</w:t>
      </w:r>
      <w:r w:rsidRPr="003B5B5D">
        <w:rPr>
          <w:rFonts w:ascii="Times New Roman" w:eastAsia="Calibri" w:hAnsi="Times New Roman" w:cs="Times New Roman"/>
          <w:sz w:val="24"/>
          <w:szCs w:val="24"/>
          <w:vertAlign w:val="superscript"/>
        </w:rPr>
        <w:footnoteReference w:id="7"/>
      </w:r>
      <w:r w:rsidRPr="003B5B5D">
        <w:rPr>
          <w:rFonts w:ascii="Times New Roman" w:eastAsia="Calibri" w:hAnsi="Times New Roman" w:cs="Times New Roman"/>
          <w:sz w:val="24"/>
          <w:szCs w:val="24"/>
        </w:rPr>
        <w:t>. »</w:t>
      </w:r>
    </w:p>
    <w:p w:rsidR="003B5B5D" w:rsidRPr="003B5B5D" w:rsidRDefault="003B5B5D" w:rsidP="00C42590">
      <w:pPr>
        <w:spacing w:line="259" w:lineRule="auto"/>
        <w:jc w:val="both"/>
        <w:rPr>
          <w:rFonts w:ascii="Times New Roman" w:eastAsia="Calibri" w:hAnsi="Times New Roman" w:cs="Times New Roman"/>
          <w:sz w:val="24"/>
          <w:szCs w:val="24"/>
        </w:rPr>
      </w:pPr>
      <w:r w:rsidRPr="003B5B5D">
        <w:rPr>
          <w:rFonts w:ascii="Times New Roman" w:eastAsia="Calibri" w:hAnsi="Times New Roman" w:cs="Times New Roman"/>
          <w:sz w:val="24"/>
          <w:szCs w:val="24"/>
        </w:rPr>
        <w:t>Qu’en est-il du token et de sa valeur ? Est-ce une monnaie ? Un bien mobilier ?</w:t>
      </w:r>
    </w:p>
    <w:p w:rsidR="003B5B5D" w:rsidRPr="003B5B5D" w:rsidRDefault="003B5B5D" w:rsidP="00C42590">
      <w:pPr>
        <w:spacing w:line="259" w:lineRule="auto"/>
        <w:jc w:val="both"/>
        <w:rPr>
          <w:rFonts w:ascii="Times New Roman" w:eastAsia="Calibri" w:hAnsi="Times New Roman" w:cs="Times New Roman"/>
          <w:sz w:val="24"/>
          <w:szCs w:val="24"/>
        </w:rPr>
      </w:pPr>
      <w:r w:rsidRPr="003B5B5D">
        <w:rPr>
          <w:rFonts w:ascii="Times New Roman" w:eastAsia="Calibri" w:hAnsi="Times New Roman" w:cs="Times New Roman"/>
          <w:sz w:val="24"/>
          <w:szCs w:val="24"/>
        </w:rPr>
        <w:lastRenderedPageBreak/>
        <w:t>De nombreuses valeurs peuvent être transposées sur un token : un titre de propriété, des droits d’auteur, une méthode de paiement, des miles, des avoirs, etc., ce qui rend toute qualification juridique impossible. La nature hybride de nombreux tokens défie les catégories claires des structures habituelles du droit. En France, par défaut, le statut juridique d’un token pourrait être celui de bien mobilier.</w:t>
      </w:r>
    </w:p>
    <w:p w:rsidR="003B5B5D" w:rsidRPr="003B5B5D" w:rsidRDefault="003B5B5D" w:rsidP="00C42590">
      <w:pPr>
        <w:spacing w:line="259" w:lineRule="auto"/>
        <w:jc w:val="both"/>
        <w:rPr>
          <w:rFonts w:ascii="Times New Roman" w:eastAsia="Calibri" w:hAnsi="Times New Roman" w:cs="Times New Roman"/>
          <w:sz w:val="24"/>
          <w:szCs w:val="24"/>
        </w:rPr>
      </w:pPr>
      <w:r w:rsidRPr="003B5B5D">
        <w:rPr>
          <w:rFonts w:ascii="Times New Roman" w:eastAsia="Calibri" w:hAnsi="Times New Roman" w:cs="Times New Roman"/>
          <w:sz w:val="24"/>
          <w:szCs w:val="24"/>
        </w:rPr>
        <w:t>Une autre question qui se pose est celle du statut juridique des ICO. En France, aucun cadre législatif clair n’existe encore. L’Autorité des marchés financiers a lancé une consultation publique sur la question de la réglementation des ICO, qui s’est terminée le 22 décembre 2017</w:t>
      </w:r>
      <w:r w:rsidRPr="003B5B5D">
        <w:rPr>
          <w:rFonts w:ascii="Times New Roman" w:eastAsia="Calibri" w:hAnsi="Times New Roman" w:cs="Times New Roman"/>
          <w:sz w:val="24"/>
          <w:szCs w:val="24"/>
          <w:vertAlign w:val="superscript"/>
        </w:rPr>
        <w:footnoteReference w:id="8"/>
      </w:r>
      <w:r w:rsidRPr="003B5B5D">
        <w:rPr>
          <w:rFonts w:ascii="Times New Roman" w:eastAsia="Calibri" w:hAnsi="Times New Roman" w:cs="Times New Roman"/>
          <w:sz w:val="24"/>
          <w:szCs w:val="24"/>
        </w:rPr>
        <w:t>.</w:t>
      </w:r>
    </w:p>
    <w:p w:rsidR="003B5B5D" w:rsidRPr="003B5B5D" w:rsidRDefault="003B5B5D" w:rsidP="00C42590">
      <w:pPr>
        <w:spacing w:line="259" w:lineRule="auto"/>
        <w:jc w:val="both"/>
        <w:rPr>
          <w:rFonts w:ascii="Times New Roman" w:eastAsia="Calibri" w:hAnsi="Times New Roman" w:cs="Times New Roman"/>
          <w:sz w:val="24"/>
          <w:szCs w:val="24"/>
        </w:rPr>
      </w:pPr>
      <w:r w:rsidRPr="003B5B5D">
        <w:rPr>
          <w:rFonts w:ascii="Times New Roman" w:eastAsia="Calibri" w:hAnsi="Times New Roman" w:cs="Times New Roman"/>
          <w:sz w:val="24"/>
          <w:szCs w:val="24"/>
        </w:rPr>
        <w:t>Aux États-Unis, en fonction des circonstances factuelles de chaque ICO, les tokens ou unités de compte virtuelles proposés ou vendus peuvent être des titres. Dans ce cas, la proposition ou la vente de ces tokens ou unités de compte virtuelles dans le cadre d’une ICO sont soumises à la législation fédérale.</w:t>
      </w:r>
    </w:p>
    <w:p w:rsidR="003B5B5D" w:rsidRPr="003B5B5D" w:rsidRDefault="003B5B5D" w:rsidP="00C42590">
      <w:pPr>
        <w:spacing w:line="259" w:lineRule="auto"/>
        <w:jc w:val="both"/>
        <w:rPr>
          <w:rFonts w:ascii="Times New Roman" w:eastAsia="Calibri" w:hAnsi="Times New Roman" w:cs="Times New Roman"/>
          <w:sz w:val="24"/>
          <w:szCs w:val="24"/>
        </w:rPr>
      </w:pPr>
      <w:r w:rsidRPr="003B5B5D">
        <w:rPr>
          <w:rFonts w:ascii="Times New Roman" w:eastAsia="Calibri" w:hAnsi="Times New Roman" w:cs="Times New Roman"/>
          <w:sz w:val="24"/>
          <w:szCs w:val="24"/>
        </w:rPr>
        <w:t>En Chine et en Corée du Sud, il a été décidé d’interdire l’organisation d’ICO</w:t>
      </w:r>
      <w:r w:rsidRPr="003B5B5D">
        <w:rPr>
          <w:rFonts w:ascii="Times New Roman" w:eastAsia="Calibri" w:hAnsi="Times New Roman" w:cs="Times New Roman"/>
          <w:sz w:val="24"/>
          <w:szCs w:val="24"/>
          <w:vertAlign w:val="superscript"/>
        </w:rPr>
        <w:footnoteReference w:id="9"/>
      </w:r>
      <w:r w:rsidRPr="003B5B5D">
        <w:rPr>
          <w:rFonts w:ascii="Times New Roman" w:eastAsia="Calibri" w:hAnsi="Times New Roman" w:cs="Times New Roman"/>
          <w:sz w:val="24"/>
          <w:szCs w:val="24"/>
        </w:rPr>
        <w:t>.</w:t>
      </w:r>
    </w:p>
    <w:p w:rsidR="003B5B5D" w:rsidRPr="003B5B5D" w:rsidRDefault="003B5B5D" w:rsidP="00C42590">
      <w:pPr>
        <w:spacing w:line="259" w:lineRule="auto"/>
        <w:jc w:val="both"/>
        <w:rPr>
          <w:rFonts w:ascii="Times New Roman" w:eastAsia="Calibri" w:hAnsi="Times New Roman" w:cs="Times New Roman"/>
          <w:sz w:val="24"/>
          <w:szCs w:val="24"/>
        </w:rPr>
      </w:pPr>
      <w:r w:rsidRPr="003B5B5D">
        <w:rPr>
          <w:rFonts w:ascii="Times New Roman" w:eastAsia="Calibri" w:hAnsi="Times New Roman" w:cs="Times New Roman"/>
          <w:b/>
          <w:sz w:val="24"/>
          <w:szCs w:val="24"/>
        </w:rPr>
        <w:t xml:space="preserve">Actifs numériques et insolvabilité </w:t>
      </w:r>
    </w:p>
    <w:p w:rsidR="003B5B5D" w:rsidRPr="003B5B5D" w:rsidRDefault="003B5B5D" w:rsidP="00C42590">
      <w:pPr>
        <w:spacing w:line="259" w:lineRule="auto"/>
        <w:jc w:val="both"/>
        <w:rPr>
          <w:rFonts w:ascii="Times New Roman" w:eastAsia="Calibri" w:hAnsi="Times New Roman" w:cs="Times New Roman"/>
          <w:sz w:val="24"/>
          <w:szCs w:val="24"/>
        </w:rPr>
      </w:pPr>
      <w:r w:rsidRPr="003B5B5D">
        <w:rPr>
          <w:rFonts w:ascii="Times New Roman" w:eastAsia="Calibri" w:hAnsi="Times New Roman" w:cs="Times New Roman"/>
          <w:sz w:val="24"/>
          <w:szCs w:val="24"/>
        </w:rPr>
        <w:t>Ainsi, si une société est frappée d’insolvabilité, et qu’elle possède des actifs numériques, se pose la question de savoir si un créancier peut déclarer sa créance en bitcoins, par exemple.</w:t>
      </w:r>
    </w:p>
    <w:p w:rsidR="003B5B5D" w:rsidRPr="003B5B5D" w:rsidRDefault="003B5B5D" w:rsidP="00C42590">
      <w:pPr>
        <w:spacing w:line="259" w:lineRule="auto"/>
        <w:jc w:val="both"/>
        <w:rPr>
          <w:rFonts w:ascii="Times New Roman" w:eastAsia="Calibri" w:hAnsi="Times New Roman" w:cs="Times New Roman"/>
          <w:sz w:val="24"/>
          <w:szCs w:val="24"/>
        </w:rPr>
      </w:pPr>
      <w:r w:rsidRPr="003B5B5D">
        <w:rPr>
          <w:rFonts w:ascii="Times New Roman" w:eastAsia="Calibri" w:hAnsi="Times New Roman" w:cs="Times New Roman"/>
          <w:sz w:val="24"/>
          <w:szCs w:val="24"/>
        </w:rPr>
        <w:t>D’après l’article L. 622-25 du Code de commerce, « la déclaration porte le montant de la créance due au jour du jugement d’ouverture avec indication des sommes à échoir et de la date de leurs échéances. […] Lorsqu’il s’agit de créances en monnaie étrangère, la conversion en euros a lieu selon le cours du change à la date du jugement d’ouverture. »</w:t>
      </w:r>
    </w:p>
    <w:p w:rsidR="003B5B5D" w:rsidRPr="003B5B5D" w:rsidRDefault="003B5B5D" w:rsidP="00C42590">
      <w:pPr>
        <w:spacing w:line="259" w:lineRule="auto"/>
        <w:jc w:val="both"/>
        <w:rPr>
          <w:rFonts w:ascii="Times New Roman" w:eastAsia="Calibri" w:hAnsi="Times New Roman" w:cs="Times New Roman"/>
          <w:sz w:val="24"/>
          <w:szCs w:val="24"/>
        </w:rPr>
      </w:pPr>
      <w:r w:rsidRPr="003B5B5D">
        <w:rPr>
          <w:rFonts w:ascii="Times New Roman" w:eastAsia="Calibri" w:hAnsi="Times New Roman" w:cs="Times New Roman"/>
          <w:sz w:val="24"/>
          <w:szCs w:val="24"/>
        </w:rPr>
        <w:t>Comme nous l’avons vu ci-dessus, le bitcoin n’est pas une monnaie au sens de l’article L. 111-1 du Code monétaire et financier ; il ne peut pas être considéré comme une monnaie étrangère puisqu’il n’appartient à aucun pays. Par conséquent, le juge commissaire ne reconnaîtrait pas une créance déclarée en bitcoins.</w:t>
      </w:r>
    </w:p>
    <w:p w:rsidR="003B5B5D" w:rsidRPr="003B5B5D" w:rsidRDefault="003B5B5D" w:rsidP="00C42590">
      <w:pPr>
        <w:spacing w:line="259" w:lineRule="auto"/>
        <w:jc w:val="both"/>
        <w:rPr>
          <w:rFonts w:ascii="Times New Roman" w:eastAsia="Calibri" w:hAnsi="Times New Roman" w:cs="Times New Roman"/>
          <w:sz w:val="24"/>
          <w:szCs w:val="24"/>
        </w:rPr>
      </w:pPr>
      <w:r w:rsidRPr="003B5B5D">
        <w:rPr>
          <w:rFonts w:ascii="Times New Roman" w:eastAsia="Calibri" w:hAnsi="Times New Roman" w:cs="Times New Roman"/>
          <w:sz w:val="24"/>
          <w:szCs w:val="24"/>
        </w:rPr>
        <w:t xml:space="preserve">Aux États-Unis, dans l’affaire </w:t>
      </w:r>
      <w:r w:rsidRPr="003B5B5D">
        <w:rPr>
          <w:rFonts w:ascii="Times New Roman" w:eastAsia="Calibri" w:hAnsi="Times New Roman" w:cs="Times New Roman"/>
          <w:i/>
          <w:sz w:val="24"/>
          <w:szCs w:val="24"/>
        </w:rPr>
        <w:t xml:space="preserve">Hashfast c/ Mark Lowe </w:t>
      </w:r>
      <w:r w:rsidRPr="003B5B5D">
        <w:rPr>
          <w:rFonts w:ascii="Times New Roman" w:eastAsia="Calibri" w:hAnsi="Times New Roman" w:cs="Times New Roman"/>
          <w:sz w:val="24"/>
          <w:szCs w:val="24"/>
        </w:rPr>
        <w:t xml:space="preserve">susmentionnée, le tribunal fédéral de la faillite du district nord de Californie a jugé que le bitcoin devrait entrer dans la catégorie des « biens mobiliers incorporels ». Par conséquent, l’administrateur a été autorisé à recouvrer ces biens au profit de la masse, ou la valeur des biens, à hauteur de 1,3 million de dollars. De fait, le juge a finalement accepté la définition, citée par l’administrateur, donnée par la </w:t>
      </w:r>
      <w:r w:rsidRPr="003B5B5D">
        <w:rPr>
          <w:rFonts w:ascii="Times New Roman" w:eastAsia="Calibri" w:hAnsi="Times New Roman" w:cs="Times New Roman"/>
          <w:i/>
          <w:sz w:val="24"/>
          <w:szCs w:val="24"/>
        </w:rPr>
        <w:t xml:space="preserve">Commodity Futures Trading Commission </w:t>
      </w:r>
      <w:r w:rsidRPr="003B5B5D">
        <w:rPr>
          <w:rFonts w:ascii="Times New Roman" w:eastAsia="Calibri" w:hAnsi="Times New Roman" w:cs="Times New Roman"/>
          <w:sz w:val="24"/>
          <w:szCs w:val="24"/>
        </w:rPr>
        <w:t>(CFTC) et l’</w:t>
      </w:r>
      <w:r w:rsidRPr="003B5B5D">
        <w:rPr>
          <w:rFonts w:ascii="Times New Roman" w:eastAsia="Calibri" w:hAnsi="Times New Roman" w:cs="Times New Roman"/>
          <w:i/>
          <w:sz w:val="24"/>
          <w:szCs w:val="24"/>
        </w:rPr>
        <w:t xml:space="preserve">Internal Revenue Service </w:t>
      </w:r>
      <w:r w:rsidRPr="003B5B5D">
        <w:rPr>
          <w:rFonts w:ascii="Times New Roman" w:eastAsia="Calibri" w:hAnsi="Times New Roman" w:cs="Times New Roman"/>
          <w:sz w:val="24"/>
          <w:szCs w:val="24"/>
        </w:rPr>
        <w:t>(IRS), selon laquelle le bitcoin est considéré comme un bien ou un produit.</w:t>
      </w:r>
    </w:p>
    <w:p w:rsidR="003B5B5D" w:rsidRPr="003B5B5D" w:rsidRDefault="003B5B5D" w:rsidP="00C42590">
      <w:pPr>
        <w:spacing w:line="259" w:lineRule="auto"/>
        <w:jc w:val="both"/>
        <w:rPr>
          <w:rFonts w:ascii="Times New Roman" w:eastAsia="Calibri" w:hAnsi="Times New Roman" w:cs="Times New Roman"/>
          <w:sz w:val="24"/>
          <w:szCs w:val="24"/>
        </w:rPr>
      </w:pPr>
      <w:r w:rsidRPr="003B5B5D">
        <w:rPr>
          <w:rFonts w:ascii="Times New Roman" w:eastAsia="Calibri" w:hAnsi="Times New Roman" w:cs="Times New Roman"/>
          <w:sz w:val="24"/>
          <w:szCs w:val="24"/>
        </w:rPr>
        <w:t>Ainsi, si le bitcoin n’est pas une monnaie mais un bien, il peut faire l’objet d’une action en recouvrement d’actifs numériques</w:t>
      </w:r>
      <w:r w:rsidRPr="003B5B5D">
        <w:rPr>
          <w:rFonts w:ascii="Times New Roman" w:eastAsia="Calibri" w:hAnsi="Times New Roman" w:cs="Times New Roman"/>
          <w:sz w:val="24"/>
          <w:szCs w:val="24"/>
          <w:vertAlign w:val="superscript"/>
        </w:rPr>
        <w:footnoteReference w:id="10"/>
      </w:r>
      <w:r w:rsidRPr="003B5B5D">
        <w:rPr>
          <w:rFonts w:ascii="Times New Roman" w:eastAsia="Calibri" w:hAnsi="Times New Roman" w:cs="Times New Roman"/>
          <w:sz w:val="24"/>
          <w:szCs w:val="24"/>
        </w:rPr>
        <w:t xml:space="preserve">. Étant donné que le bitcoin est fongible, il n’a pas de valeur </w:t>
      </w:r>
      <w:r w:rsidRPr="003B5B5D">
        <w:rPr>
          <w:rFonts w:ascii="Times New Roman" w:eastAsia="Calibri" w:hAnsi="Times New Roman" w:cs="Times New Roman"/>
          <w:sz w:val="24"/>
          <w:szCs w:val="24"/>
        </w:rPr>
        <w:lastRenderedPageBreak/>
        <w:t>stable, ce qui entraînera des problèmes importants. Le bitcoin défie également les règles du droit international privé</w:t>
      </w:r>
      <w:r w:rsidRPr="003B5B5D">
        <w:rPr>
          <w:rFonts w:ascii="Times New Roman" w:eastAsia="Calibri" w:hAnsi="Times New Roman" w:cs="Times New Roman"/>
          <w:sz w:val="24"/>
          <w:szCs w:val="24"/>
          <w:vertAlign w:val="superscript"/>
        </w:rPr>
        <w:footnoteReference w:id="11"/>
      </w:r>
      <w:r w:rsidRPr="003B5B5D">
        <w:rPr>
          <w:rFonts w:ascii="Times New Roman" w:eastAsia="Calibri" w:hAnsi="Times New Roman" w:cs="Times New Roman"/>
          <w:sz w:val="24"/>
          <w:szCs w:val="24"/>
        </w:rPr>
        <w:t>.</w:t>
      </w:r>
    </w:p>
    <w:p w:rsidR="003B5B5D" w:rsidRPr="003B5B5D" w:rsidRDefault="003B5B5D" w:rsidP="00C42590">
      <w:pPr>
        <w:spacing w:line="259" w:lineRule="auto"/>
        <w:jc w:val="both"/>
        <w:rPr>
          <w:rFonts w:ascii="Times New Roman" w:eastAsia="Calibri" w:hAnsi="Times New Roman" w:cs="Times New Roman"/>
          <w:sz w:val="24"/>
          <w:szCs w:val="24"/>
        </w:rPr>
      </w:pPr>
      <w:r w:rsidRPr="003B5B5D">
        <w:rPr>
          <w:rFonts w:ascii="Times New Roman" w:eastAsia="Calibri" w:hAnsi="Times New Roman" w:cs="Times New Roman"/>
          <w:sz w:val="24"/>
          <w:szCs w:val="24"/>
        </w:rPr>
        <w:t>Toutefois, le tribunal de commerce de Moscou a jugé, en mars 2018, que les lois de la Fédération de Russie ne reconnaissaient pas la cryptomonnaie comme étant un bien</w:t>
      </w:r>
      <w:r w:rsidRPr="003B5B5D">
        <w:rPr>
          <w:rFonts w:ascii="Times New Roman" w:eastAsia="Calibri" w:hAnsi="Times New Roman" w:cs="Times New Roman"/>
          <w:sz w:val="24"/>
          <w:szCs w:val="24"/>
          <w:vertAlign w:val="superscript"/>
        </w:rPr>
        <w:footnoteReference w:id="12"/>
      </w:r>
      <w:r w:rsidRPr="003B5B5D">
        <w:rPr>
          <w:rFonts w:ascii="Times New Roman" w:eastAsia="Calibri" w:hAnsi="Times New Roman" w:cs="Times New Roman"/>
          <w:sz w:val="24"/>
          <w:szCs w:val="24"/>
        </w:rPr>
        <w:t>. De fait, la législation russe ne prévoit pas de définition des cryptomonnaies et n’impose aucune règle quant à leur circulation. Il n’y a aucune façon de dire si ce sont des biens, des informations ou des « succédanés », indique le tribunal, ajoutant qu’il est impossible de réglementer les relations impliquant des cryptomonnaies. Il a été aussi noté que l’utilisation d’une cryptomonnaie présentait un danger potentiel, notamment un risque de poursuites pour blanchiment d’argent ou financement du terrorisme. Par conséquent, le tribunal a refusé d’inclure les cryptomonnaies découvertes sur les comptes du débiteur insolvable dans la masse, bien que le praticien de l’insolvabilité ait avancé que si le tribunal refusait de les inclure, cela permettrait à certains débiteurs de dissimuler leurs biens sous forme de bitcoins</w:t>
      </w:r>
      <w:r w:rsidRPr="003B5B5D">
        <w:rPr>
          <w:rFonts w:ascii="Times New Roman" w:eastAsia="Calibri" w:hAnsi="Times New Roman" w:cs="Times New Roman"/>
          <w:sz w:val="24"/>
          <w:szCs w:val="24"/>
          <w:vertAlign w:val="superscript"/>
        </w:rPr>
        <w:footnoteReference w:id="13"/>
      </w:r>
      <w:r w:rsidRPr="003B5B5D">
        <w:rPr>
          <w:rFonts w:ascii="Times New Roman" w:eastAsia="Calibri" w:hAnsi="Times New Roman" w:cs="Times New Roman"/>
          <w:sz w:val="24"/>
          <w:szCs w:val="24"/>
        </w:rPr>
        <w:t>.</w:t>
      </w:r>
    </w:p>
    <w:p w:rsidR="003B5B5D" w:rsidRPr="003B5B5D" w:rsidRDefault="003B5B5D" w:rsidP="00C42590">
      <w:pPr>
        <w:spacing w:line="259" w:lineRule="auto"/>
        <w:jc w:val="both"/>
        <w:rPr>
          <w:rFonts w:ascii="Times New Roman" w:eastAsia="Calibri" w:hAnsi="Times New Roman" w:cs="Times New Roman"/>
          <w:sz w:val="24"/>
          <w:szCs w:val="24"/>
        </w:rPr>
      </w:pPr>
      <w:r w:rsidRPr="003B5B5D">
        <w:rPr>
          <w:rFonts w:ascii="Times New Roman" w:eastAsia="Calibri" w:hAnsi="Times New Roman" w:cs="Times New Roman"/>
          <w:sz w:val="24"/>
          <w:szCs w:val="24"/>
        </w:rPr>
        <w:t>Par conséquent, les actifs numériques créent des problèmes encore plus complexes pour les professionnels de l’insolvabilité, et il est difficile de prévoir l’issue des scénarios d’insolvabilité.</w:t>
      </w:r>
    </w:p>
    <w:p w:rsidR="003B5B5D" w:rsidRPr="003B5B5D" w:rsidRDefault="003B5B5D" w:rsidP="00C42590">
      <w:pPr>
        <w:spacing w:line="259" w:lineRule="auto"/>
        <w:jc w:val="both"/>
        <w:rPr>
          <w:rFonts w:ascii="Times New Roman" w:eastAsia="Calibri" w:hAnsi="Times New Roman" w:cs="Times New Roman"/>
          <w:sz w:val="24"/>
          <w:szCs w:val="24"/>
        </w:rPr>
      </w:pPr>
      <w:r w:rsidRPr="003B5B5D">
        <w:rPr>
          <w:rFonts w:ascii="Times New Roman" w:eastAsia="Calibri" w:hAnsi="Times New Roman" w:cs="Times New Roman"/>
          <w:sz w:val="24"/>
          <w:szCs w:val="24"/>
        </w:rPr>
        <w:t>En réponse à de récentes activités illégales facilitées par l’utilisation du bitcoin, les États commencent à proposer de réglementer les cryptomonnaies. En outre, ce n’est pas par hasard que les Gouverneurs des banques centrales et les ministres des Finances de France et d’Allemagne ont écrit au ministère des Finances d’Argentine pour demander d’inscrire la réglementation des cryptomonnaies à l’ordre du jour du G20</w:t>
      </w:r>
      <w:r w:rsidRPr="003B5B5D">
        <w:rPr>
          <w:rFonts w:ascii="Times New Roman" w:eastAsia="Calibri" w:hAnsi="Times New Roman" w:cs="Times New Roman"/>
          <w:sz w:val="24"/>
          <w:szCs w:val="24"/>
          <w:vertAlign w:val="superscript"/>
        </w:rPr>
        <w:footnoteReference w:id="14"/>
      </w:r>
      <w:r w:rsidRPr="003B5B5D">
        <w:rPr>
          <w:rFonts w:ascii="Times New Roman" w:eastAsia="Calibri" w:hAnsi="Times New Roman" w:cs="Times New Roman"/>
          <w:sz w:val="24"/>
          <w:szCs w:val="24"/>
        </w:rPr>
        <w:t>. Si 2017 était l’année des ICO, il semblerait que 2018 soit destinée à être l’année de la réglementation.</w:t>
      </w:r>
    </w:p>
    <w:p w:rsidR="003B5B5D" w:rsidRPr="003B5B5D" w:rsidRDefault="003B5B5D" w:rsidP="00C42590">
      <w:pPr>
        <w:spacing w:line="259" w:lineRule="auto"/>
        <w:jc w:val="both"/>
        <w:rPr>
          <w:rFonts w:ascii="Times New Roman" w:eastAsia="Calibri" w:hAnsi="Times New Roman" w:cs="Times New Roman"/>
          <w:sz w:val="24"/>
          <w:szCs w:val="24"/>
        </w:rPr>
      </w:pPr>
      <w:r w:rsidRPr="003B5B5D">
        <w:rPr>
          <w:rFonts w:ascii="Times New Roman" w:eastAsia="Calibri" w:hAnsi="Times New Roman" w:cs="Times New Roman"/>
          <w:sz w:val="24"/>
          <w:szCs w:val="24"/>
        </w:rPr>
        <w:t xml:space="preserve">Les questions difficiles de l’impact de la protection et du recouvrement d’actifs numériques sur la pratique en matière d’insolvabilité et de restructuration seront débattues lors du Congrès annuel d’INSOL Europe, qui se tiendra du 4 au 7 octobre 2018 à Athènes, et dont le thème principal est « Briser les chaînes ». Nous sommes impatients de vous y voir ! </w:t>
      </w:r>
    </w:p>
    <w:p w:rsidR="003B5B5D" w:rsidRPr="003B5B5D" w:rsidRDefault="003B5B5D" w:rsidP="003B5B5D">
      <w:pPr>
        <w:suppressAutoHyphens/>
        <w:spacing w:after="0" w:line="240" w:lineRule="auto"/>
        <w:jc w:val="both"/>
        <w:rPr>
          <w:rFonts w:ascii="Arial Narrow" w:eastAsia="Times New Roman" w:hAnsi="Arial Narrow" w:cs="Times New Roman"/>
          <w:sz w:val="20"/>
          <w:szCs w:val="20"/>
          <w:lang w:eastAsia="ar-SA"/>
        </w:rPr>
      </w:pPr>
      <w:r w:rsidRPr="003B5B5D">
        <w:rPr>
          <w:rFonts w:ascii="Arial Narrow" w:eastAsia="Times New Roman" w:hAnsi="Arial Narrow" w:cs="Times New Roman"/>
          <w:sz w:val="20"/>
          <w:szCs w:val="20"/>
          <w:lang w:eastAsia="ar-SA"/>
        </w:rPr>
        <w:t xml:space="preserve">                                                                                                      *Emmanuelle Inacio, responsable technique d’INSOL Europe</w:t>
      </w:r>
    </w:p>
    <w:p w:rsidR="003B5B5D" w:rsidRPr="003B5B5D" w:rsidRDefault="003B5B5D" w:rsidP="003B5B5D">
      <w:pPr>
        <w:suppressAutoHyphens/>
        <w:spacing w:after="0" w:line="240" w:lineRule="auto"/>
        <w:rPr>
          <w:rFonts w:ascii="Times New Roman" w:eastAsia="Times New Roman" w:hAnsi="Times New Roman" w:cs="Times New Roman"/>
          <w:sz w:val="24"/>
          <w:szCs w:val="24"/>
          <w:lang w:eastAsia="ar-SA"/>
        </w:rPr>
      </w:pPr>
    </w:p>
    <w:p w:rsidR="003B5B5D" w:rsidRPr="003B5B5D" w:rsidRDefault="003B5B5D" w:rsidP="003B5B5D">
      <w:pPr>
        <w:suppressAutoHyphens/>
        <w:spacing w:after="0" w:line="240" w:lineRule="auto"/>
        <w:jc w:val="center"/>
        <w:rPr>
          <w:rFonts w:ascii="Times New Roman" w:eastAsia="Times New Roman" w:hAnsi="Times New Roman" w:cs="Times New Roman"/>
          <w:sz w:val="24"/>
          <w:szCs w:val="24"/>
          <w:lang w:eastAsia="ar-SA"/>
        </w:rPr>
      </w:pPr>
      <w:r w:rsidRPr="003B5B5D">
        <w:rPr>
          <w:rFonts w:ascii="Times New Roman" w:eastAsia="Times New Roman" w:hAnsi="Times New Roman" w:cs="Times New Roman"/>
          <w:sz w:val="24"/>
          <w:szCs w:val="24"/>
          <w:lang w:eastAsia="ar-SA"/>
        </w:rPr>
        <w:t>x  x  x</w:t>
      </w:r>
    </w:p>
    <w:p w:rsidR="003B5B5D" w:rsidRPr="003B5B5D" w:rsidRDefault="003B5B5D" w:rsidP="003B5B5D">
      <w:pPr>
        <w:suppressAutoHyphens/>
        <w:spacing w:after="0" w:line="240" w:lineRule="auto"/>
        <w:jc w:val="center"/>
        <w:rPr>
          <w:rFonts w:ascii="Arial Narrow" w:eastAsia="Times New Roman" w:hAnsi="Arial Narrow" w:cs="Times New Roman"/>
          <w:b/>
          <w:sz w:val="28"/>
          <w:szCs w:val="28"/>
          <w:lang w:eastAsia="ar-SA"/>
        </w:rPr>
      </w:pPr>
      <w:r w:rsidRPr="003B5B5D">
        <w:rPr>
          <w:rFonts w:ascii="Times New Roman" w:eastAsia="Times New Roman" w:hAnsi="Times New Roman" w:cs="Times New Roman"/>
          <w:sz w:val="24"/>
          <w:szCs w:val="24"/>
          <w:lang w:eastAsia="ar-SA"/>
        </w:rPr>
        <w:t>x</w:t>
      </w:r>
    </w:p>
    <w:p w:rsidR="003B5B5D" w:rsidRPr="003B5B5D" w:rsidRDefault="003B5B5D" w:rsidP="003B5B5D">
      <w:pPr>
        <w:suppressAutoHyphens/>
        <w:spacing w:after="0" w:line="240" w:lineRule="auto"/>
        <w:jc w:val="center"/>
        <w:rPr>
          <w:rFonts w:ascii="Times New Roman" w:eastAsia="Times New Roman" w:hAnsi="Times New Roman" w:cs="Times New Roman"/>
          <w:sz w:val="24"/>
          <w:szCs w:val="24"/>
          <w:lang w:eastAsia="ar-SA"/>
        </w:rPr>
      </w:pPr>
    </w:p>
    <w:p w:rsidR="00C42590" w:rsidRDefault="00C42590" w:rsidP="006C79CB">
      <w:pPr>
        <w:jc w:val="both"/>
        <w:rPr>
          <w:rFonts w:ascii="Arial Narrow" w:hAnsi="Arial Narrow" w:cs="Times New Roman"/>
          <w:b/>
          <w:sz w:val="32"/>
          <w:szCs w:val="32"/>
        </w:rPr>
      </w:pPr>
    </w:p>
    <w:p w:rsidR="00C42590" w:rsidRDefault="00C42590" w:rsidP="006C79CB">
      <w:pPr>
        <w:jc w:val="both"/>
        <w:rPr>
          <w:rFonts w:ascii="Arial Narrow" w:hAnsi="Arial Narrow" w:cs="Times New Roman"/>
          <w:b/>
          <w:sz w:val="32"/>
          <w:szCs w:val="32"/>
        </w:rPr>
      </w:pPr>
    </w:p>
    <w:p w:rsidR="00C16376" w:rsidRPr="001E5D43" w:rsidRDefault="00C16376" w:rsidP="006C79CB">
      <w:pPr>
        <w:jc w:val="both"/>
        <w:rPr>
          <w:rFonts w:ascii="Arial Narrow" w:hAnsi="Arial Narrow" w:cs="Times New Roman"/>
          <w:b/>
          <w:sz w:val="32"/>
          <w:szCs w:val="32"/>
        </w:rPr>
      </w:pPr>
      <w:r w:rsidRPr="001E5D43">
        <w:rPr>
          <w:rFonts w:ascii="Arial Narrow" w:hAnsi="Arial Narrow" w:cs="Times New Roman"/>
          <w:b/>
          <w:sz w:val="32"/>
          <w:szCs w:val="32"/>
        </w:rPr>
        <w:lastRenderedPageBreak/>
        <w:t>France</w:t>
      </w:r>
    </w:p>
    <w:p w:rsidR="003E0617" w:rsidRPr="001E5D43" w:rsidRDefault="003E0617" w:rsidP="001E5D43">
      <w:pPr>
        <w:spacing w:after="0" w:line="240" w:lineRule="auto"/>
        <w:jc w:val="center"/>
        <w:rPr>
          <w:b/>
          <w:sz w:val="44"/>
          <w:szCs w:val="44"/>
        </w:rPr>
      </w:pPr>
      <w:bookmarkStart w:id="0" w:name="_Hlk506457256"/>
      <w:r w:rsidRPr="00BF1013">
        <w:rPr>
          <w:rFonts w:ascii="Times New Roman" w:hAnsi="Times New Roman" w:cs="Times New Roman"/>
          <w:b/>
          <w:sz w:val="44"/>
          <w:szCs w:val="44"/>
        </w:rPr>
        <w:t xml:space="preserve">Le statut de l’Administrateur Judiciaire </w:t>
      </w:r>
    </w:p>
    <w:p w:rsidR="003E0617" w:rsidRPr="00BF1013" w:rsidRDefault="003E0617" w:rsidP="003E0617">
      <w:pPr>
        <w:spacing w:after="0" w:line="240" w:lineRule="auto"/>
        <w:jc w:val="center"/>
        <w:rPr>
          <w:rFonts w:ascii="Arial Narrow" w:hAnsi="Arial Narrow"/>
          <w:i/>
        </w:rPr>
      </w:pPr>
      <w:r w:rsidRPr="00BF1013">
        <w:rPr>
          <w:rFonts w:ascii="Arial Narrow" w:hAnsi="Arial Narrow"/>
          <w:i/>
        </w:rPr>
        <w:t>Isabelle Didier explique les rôles et les responsabilités d’un administrateur judiciaire</w:t>
      </w:r>
    </w:p>
    <w:p w:rsidR="003E0617" w:rsidRDefault="003E0617" w:rsidP="003E0617">
      <w:pPr>
        <w:spacing w:after="0" w:line="240" w:lineRule="auto"/>
      </w:pPr>
    </w:p>
    <w:p w:rsidR="003E0617" w:rsidRPr="003E0617" w:rsidRDefault="003E0617" w:rsidP="00C42590">
      <w:pPr>
        <w:spacing w:line="240" w:lineRule="auto"/>
        <w:rPr>
          <w:rFonts w:ascii="Times New Roman" w:hAnsi="Times New Roman" w:cs="Times New Roman"/>
          <w:b/>
          <w:sz w:val="24"/>
          <w:szCs w:val="24"/>
        </w:rPr>
      </w:pPr>
      <w:r w:rsidRPr="003E0617">
        <w:rPr>
          <w:rFonts w:ascii="Times New Roman" w:hAnsi="Times New Roman" w:cs="Times New Roman"/>
          <w:b/>
          <w:sz w:val="24"/>
          <w:szCs w:val="24"/>
        </w:rPr>
        <w:t xml:space="preserve">Il n’est pas aisé </w:t>
      </w:r>
      <w:r w:rsidR="00E43386">
        <w:rPr>
          <w:rFonts w:ascii="Times New Roman" w:hAnsi="Times New Roman" w:cs="Times New Roman"/>
          <w:b/>
          <w:sz w:val="24"/>
          <w:szCs w:val="24"/>
        </w:rPr>
        <w:t xml:space="preserve">en France </w:t>
      </w:r>
      <w:r w:rsidRPr="003E0617">
        <w:rPr>
          <w:rFonts w:ascii="Times New Roman" w:hAnsi="Times New Roman" w:cs="Times New Roman"/>
          <w:b/>
          <w:sz w:val="24"/>
          <w:szCs w:val="24"/>
        </w:rPr>
        <w:t xml:space="preserve">pour l’usager de se repérer parmi les différents rôles et mandats qu’exerce l’administrateur judiciaire. On comprend qu’il en soit encore plus </w:t>
      </w:r>
      <w:r w:rsidR="00E43386">
        <w:rPr>
          <w:rFonts w:ascii="Times New Roman" w:hAnsi="Times New Roman" w:cs="Times New Roman"/>
          <w:b/>
          <w:sz w:val="24"/>
          <w:szCs w:val="24"/>
        </w:rPr>
        <w:t xml:space="preserve">complexe </w:t>
      </w:r>
      <w:r w:rsidRPr="003E0617">
        <w:rPr>
          <w:rFonts w:ascii="Times New Roman" w:hAnsi="Times New Roman" w:cs="Times New Roman"/>
          <w:b/>
          <w:sz w:val="24"/>
          <w:szCs w:val="24"/>
        </w:rPr>
        <w:t>pour un juriste étranger qui ne connaît pas le système français.</w:t>
      </w:r>
      <w:r w:rsidRPr="003E0617">
        <w:rPr>
          <w:rFonts w:ascii="Times New Roman" w:hAnsi="Times New Roman" w:cs="Times New Roman"/>
          <w:b/>
          <w:sz w:val="24"/>
          <w:szCs w:val="24"/>
        </w:rPr>
        <w:br/>
      </w:r>
    </w:p>
    <w:p w:rsidR="003E0617" w:rsidRPr="003E0617" w:rsidRDefault="003E0617" w:rsidP="00C42590">
      <w:pPr>
        <w:spacing w:line="240" w:lineRule="auto"/>
        <w:jc w:val="both"/>
        <w:rPr>
          <w:rFonts w:ascii="Times New Roman" w:hAnsi="Times New Roman" w:cs="Times New Roman"/>
          <w:sz w:val="24"/>
          <w:szCs w:val="24"/>
        </w:rPr>
      </w:pPr>
      <w:r w:rsidRPr="003E0617">
        <w:rPr>
          <w:rFonts w:ascii="Times New Roman" w:hAnsi="Times New Roman" w:cs="Times New Roman"/>
          <w:sz w:val="24"/>
          <w:szCs w:val="24"/>
        </w:rPr>
        <w:t>Tout d’abord, j’essayerai, profitant de cette occasion, d’expliquer une fois pour toutes et en termes ‘laïques’, les rôles que jouent</w:t>
      </w:r>
      <w:r w:rsidR="00E43386">
        <w:rPr>
          <w:rFonts w:ascii="Times New Roman" w:hAnsi="Times New Roman" w:cs="Times New Roman"/>
          <w:sz w:val="24"/>
          <w:szCs w:val="24"/>
        </w:rPr>
        <w:t>, en France,</w:t>
      </w:r>
      <w:r w:rsidRPr="003E0617">
        <w:rPr>
          <w:rFonts w:ascii="Times New Roman" w:hAnsi="Times New Roman" w:cs="Times New Roman"/>
          <w:sz w:val="24"/>
          <w:szCs w:val="24"/>
        </w:rPr>
        <w:t xml:space="preserve"> </w:t>
      </w:r>
      <w:r w:rsidR="00E43386">
        <w:rPr>
          <w:rFonts w:ascii="Times New Roman" w:hAnsi="Times New Roman" w:cs="Times New Roman"/>
          <w:sz w:val="24"/>
          <w:szCs w:val="24"/>
        </w:rPr>
        <w:t xml:space="preserve">les </w:t>
      </w:r>
      <w:r w:rsidRPr="003E0617">
        <w:rPr>
          <w:rFonts w:ascii="Times New Roman" w:hAnsi="Times New Roman" w:cs="Times New Roman"/>
          <w:sz w:val="24"/>
          <w:szCs w:val="24"/>
        </w:rPr>
        <w:t xml:space="preserve">deux professions distinctes qui opèrent </w:t>
      </w:r>
      <w:r w:rsidR="00E43386">
        <w:rPr>
          <w:rFonts w:ascii="Times New Roman" w:hAnsi="Times New Roman" w:cs="Times New Roman"/>
          <w:sz w:val="24"/>
          <w:szCs w:val="24"/>
        </w:rPr>
        <w:t xml:space="preserve">dans le domaine de l’insolvabilité </w:t>
      </w:r>
      <w:r w:rsidRPr="003E0617">
        <w:rPr>
          <w:rFonts w:ascii="Times New Roman" w:hAnsi="Times New Roman" w:cs="Times New Roman"/>
          <w:sz w:val="24"/>
          <w:szCs w:val="24"/>
        </w:rPr>
        <w:t>sous l’autorité judiciaire.</w:t>
      </w:r>
    </w:p>
    <w:p w:rsidR="001251E8" w:rsidRDefault="00E43386" w:rsidP="00C4259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Ces </w:t>
      </w:r>
      <w:r w:rsidR="003E0617" w:rsidRPr="003E0617">
        <w:rPr>
          <w:rFonts w:ascii="Times New Roman" w:hAnsi="Times New Roman" w:cs="Times New Roman"/>
          <w:sz w:val="24"/>
          <w:szCs w:val="24"/>
        </w:rPr>
        <w:t xml:space="preserve">praticiens d’insolvabilité </w:t>
      </w:r>
      <w:r>
        <w:rPr>
          <w:rFonts w:ascii="Times New Roman" w:hAnsi="Times New Roman" w:cs="Times New Roman"/>
          <w:sz w:val="24"/>
          <w:szCs w:val="24"/>
        </w:rPr>
        <w:t xml:space="preserve">que j’évoque </w:t>
      </w:r>
      <w:r w:rsidR="003E0617" w:rsidRPr="003E0617">
        <w:rPr>
          <w:rFonts w:ascii="Times New Roman" w:hAnsi="Times New Roman" w:cs="Times New Roman"/>
          <w:sz w:val="24"/>
          <w:szCs w:val="24"/>
        </w:rPr>
        <w:t xml:space="preserve">sont les administrateurs judiciaires et les mandataires judiciaires. Ces deux professions séparées ont été créés </w:t>
      </w:r>
      <w:r>
        <w:rPr>
          <w:rFonts w:ascii="Times New Roman" w:hAnsi="Times New Roman" w:cs="Times New Roman"/>
          <w:sz w:val="24"/>
          <w:szCs w:val="24"/>
        </w:rPr>
        <w:t>en 1985 afin d’éviter tout</w:t>
      </w:r>
      <w:r w:rsidR="003E0617" w:rsidRPr="003E0617">
        <w:rPr>
          <w:rFonts w:ascii="Times New Roman" w:hAnsi="Times New Roman" w:cs="Times New Roman"/>
          <w:sz w:val="24"/>
          <w:szCs w:val="24"/>
        </w:rPr>
        <w:t xml:space="preserve"> </w:t>
      </w:r>
      <w:r>
        <w:rPr>
          <w:rFonts w:ascii="Times New Roman" w:hAnsi="Times New Roman" w:cs="Times New Roman"/>
          <w:sz w:val="24"/>
          <w:szCs w:val="24"/>
        </w:rPr>
        <w:t xml:space="preserve">risque </w:t>
      </w:r>
      <w:r w:rsidR="003E0617" w:rsidRPr="003E0617">
        <w:rPr>
          <w:rFonts w:ascii="Times New Roman" w:hAnsi="Times New Roman" w:cs="Times New Roman"/>
          <w:sz w:val="24"/>
          <w:szCs w:val="24"/>
        </w:rPr>
        <w:t>de conflit d’intérêts dans le cadre de procédures collectives</w:t>
      </w:r>
      <w:r>
        <w:rPr>
          <w:rFonts w:ascii="Times New Roman" w:hAnsi="Times New Roman" w:cs="Times New Roman"/>
          <w:sz w:val="24"/>
          <w:szCs w:val="24"/>
        </w:rPr>
        <w:t>. En procédures de redressement ou de sauvegarde </w:t>
      </w:r>
      <w:r w:rsidR="003E0617" w:rsidRPr="003E0617">
        <w:rPr>
          <w:rFonts w:ascii="Times New Roman" w:hAnsi="Times New Roman" w:cs="Times New Roman"/>
          <w:sz w:val="24"/>
          <w:szCs w:val="24"/>
        </w:rPr>
        <w:t xml:space="preserve"> les administrateurs</w:t>
      </w:r>
      <w:r>
        <w:rPr>
          <w:rFonts w:ascii="Times New Roman" w:hAnsi="Times New Roman" w:cs="Times New Roman"/>
          <w:sz w:val="24"/>
          <w:szCs w:val="24"/>
        </w:rPr>
        <w:t xml:space="preserve"> assistent le</w:t>
      </w:r>
      <w:r w:rsidR="003E0617" w:rsidRPr="003E0617">
        <w:rPr>
          <w:rFonts w:ascii="Times New Roman" w:hAnsi="Times New Roman" w:cs="Times New Roman"/>
          <w:sz w:val="24"/>
          <w:szCs w:val="24"/>
        </w:rPr>
        <w:t xml:space="preserve"> débiteur</w:t>
      </w:r>
      <w:r>
        <w:rPr>
          <w:rFonts w:ascii="Times New Roman" w:hAnsi="Times New Roman" w:cs="Times New Roman"/>
          <w:sz w:val="24"/>
          <w:szCs w:val="24"/>
        </w:rPr>
        <w:t>, personne physique ou</w:t>
      </w:r>
      <w:r w:rsidR="003E0617" w:rsidRPr="003E0617">
        <w:rPr>
          <w:rFonts w:ascii="Times New Roman" w:hAnsi="Times New Roman" w:cs="Times New Roman"/>
          <w:sz w:val="24"/>
          <w:szCs w:val="24"/>
        </w:rPr>
        <w:t xml:space="preserve"> entreprise en difficulté, les mandataires judiciaires défendent les intér</w:t>
      </w:r>
      <w:r w:rsidR="00C42590">
        <w:rPr>
          <w:rFonts w:ascii="Times New Roman" w:hAnsi="Times New Roman" w:cs="Times New Roman"/>
          <w:sz w:val="24"/>
          <w:szCs w:val="24"/>
        </w:rPr>
        <w:t>êts des créanciers et employés.</w:t>
      </w:r>
    </w:p>
    <w:p w:rsidR="00640BDB" w:rsidRDefault="00640BDB" w:rsidP="00C42590">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Ces </w:t>
      </w:r>
      <w:r w:rsidR="003E0617" w:rsidRPr="003E0617">
        <w:rPr>
          <w:rFonts w:ascii="Times New Roman" w:hAnsi="Times New Roman" w:cs="Times New Roman"/>
          <w:sz w:val="24"/>
          <w:szCs w:val="24"/>
        </w:rPr>
        <w:t xml:space="preserve">professionnels sont </w:t>
      </w:r>
      <w:r>
        <w:rPr>
          <w:rFonts w:ascii="Times New Roman" w:hAnsi="Times New Roman" w:cs="Times New Roman"/>
          <w:sz w:val="24"/>
          <w:szCs w:val="24"/>
        </w:rPr>
        <w:t xml:space="preserve">tout deux </w:t>
      </w:r>
      <w:r w:rsidR="003E0617" w:rsidRPr="003E0617">
        <w:rPr>
          <w:rFonts w:ascii="Times New Roman" w:hAnsi="Times New Roman" w:cs="Times New Roman"/>
          <w:sz w:val="24"/>
          <w:szCs w:val="24"/>
        </w:rPr>
        <w:t>désignés par le</w:t>
      </w:r>
      <w:r>
        <w:rPr>
          <w:rFonts w:ascii="Times New Roman" w:hAnsi="Times New Roman" w:cs="Times New Roman"/>
          <w:sz w:val="24"/>
          <w:szCs w:val="24"/>
        </w:rPr>
        <w:t>s tribunaux civils ou</w:t>
      </w:r>
      <w:r w:rsidR="003E0617" w:rsidRPr="003E0617">
        <w:rPr>
          <w:rFonts w:ascii="Times New Roman" w:hAnsi="Times New Roman" w:cs="Times New Roman"/>
          <w:sz w:val="24"/>
          <w:szCs w:val="24"/>
        </w:rPr>
        <w:t xml:space="preserve"> </w:t>
      </w:r>
      <w:r>
        <w:rPr>
          <w:rFonts w:ascii="Times New Roman" w:hAnsi="Times New Roman" w:cs="Times New Roman"/>
          <w:sz w:val="24"/>
          <w:szCs w:val="24"/>
        </w:rPr>
        <w:t>de c</w:t>
      </w:r>
      <w:r w:rsidR="003E0617">
        <w:rPr>
          <w:rFonts w:ascii="Times New Roman" w:hAnsi="Times New Roman" w:cs="Times New Roman"/>
          <w:sz w:val="24"/>
          <w:szCs w:val="24"/>
        </w:rPr>
        <w:t xml:space="preserve">ommerce. </w:t>
      </w:r>
      <w:r>
        <w:rPr>
          <w:rFonts w:ascii="Times New Roman" w:hAnsi="Times New Roman" w:cs="Times New Roman"/>
          <w:sz w:val="24"/>
          <w:szCs w:val="24"/>
        </w:rPr>
        <w:t xml:space="preserve">Alors </w:t>
      </w:r>
      <w:r w:rsidR="003E0617" w:rsidRPr="003E0617">
        <w:rPr>
          <w:rFonts w:ascii="Times New Roman" w:hAnsi="Times New Roman" w:cs="Times New Roman"/>
          <w:sz w:val="24"/>
          <w:szCs w:val="24"/>
        </w:rPr>
        <w:t xml:space="preserve">que le mandataire judiciaire intervient exclusivement dans les procédures collectives, </w:t>
      </w:r>
      <w:r w:rsidR="003E0617" w:rsidRPr="003E0617">
        <w:rPr>
          <w:rFonts w:ascii="Times New Roman" w:hAnsi="Times New Roman" w:cs="Times New Roman"/>
          <w:b/>
          <w:sz w:val="24"/>
          <w:szCs w:val="24"/>
        </w:rPr>
        <w:t xml:space="preserve">les administrateurs judiciaires se sont vu confier des mandats plus larges que le rôle classique défini plus haut. </w:t>
      </w:r>
    </w:p>
    <w:p w:rsidR="00640BDB" w:rsidRDefault="00640BDB" w:rsidP="00C42590">
      <w:pPr>
        <w:spacing w:line="240" w:lineRule="auto"/>
        <w:jc w:val="both"/>
        <w:rPr>
          <w:rFonts w:ascii="Times New Roman" w:hAnsi="Times New Roman" w:cs="Times New Roman"/>
          <w:sz w:val="24"/>
          <w:szCs w:val="24"/>
        </w:rPr>
      </w:pPr>
      <w:r w:rsidRPr="00640BDB">
        <w:rPr>
          <w:rFonts w:ascii="Times New Roman" w:hAnsi="Times New Roman" w:cs="Times New Roman"/>
          <w:sz w:val="24"/>
          <w:szCs w:val="24"/>
        </w:rPr>
        <w:t>Ainsi, par</w:t>
      </w:r>
      <w:r w:rsidR="003E0617" w:rsidRPr="003E0617">
        <w:rPr>
          <w:rFonts w:ascii="Times New Roman" w:hAnsi="Times New Roman" w:cs="Times New Roman"/>
          <w:sz w:val="24"/>
          <w:szCs w:val="24"/>
        </w:rPr>
        <w:t>fois, l’administrateur judiciaire est appelé à remplacer des organes de gestion d’une entreprise (ou d’un patrimoine) confrontée à un conflit interne qui risque de conduire, si la société n’est pas administrée correctement, à un péril imminent qui peut mettre en danger la situation financière de l’entreprise.</w:t>
      </w:r>
      <w:r>
        <w:rPr>
          <w:rFonts w:ascii="Times New Roman" w:hAnsi="Times New Roman" w:cs="Times New Roman"/>
          <w:sz w:val="24"/>
          <w:szCs w:val="24"/>
        </w:rPr>
        <w:t xml:space="preserve"> L</w:t>
      </w:r>
      <w:r w:rsidR="003E0617" w:rsidRPr="003E0617">
        <w:rPr>
          <w:rFonts w:ascii="Times New Roman" w:hAnsi="Times New Roman" w:cs="Times New Roman"/>
          <w:sz w:val="24"/>
          <w:szCs w:val="24"/>
        </w:rPr>
        <w:t xml:space="preserve">’administrateur judiciaire </w:t>
      </w:r>
      <w:r>
        <w:rPr>
          <w:rFonts w:ascii="Times New Roman" w:hAnsi="Times New Roman" w:cs="Times New Roman"/>
          <w:sz w:val="24"/>
          <w:szCs w:val="24"/>
        </w:rPr>
        <w:t xml:space="preserve">intervient alors comme </w:t>
      </w:r>
      <w:r w:rsidR="003E0617" w:rsidRPr="003E0617">
        <w:rPr>
          <w:rFonts w:ascii="Times New Roman" w:hAnsi="Times New Roman" w:cs="Times New Roman"/>
          <w:b/>
          <w:sz w:val="24"/>
          <w:szCs w:val="24"/>
        </w:rPr>
        <w:t>administrateur provisoire</w:t>
      </w:r>
      <w:r>
        <w:rPr>
          <w:rFonts w:ascii="Times New Roman" w:hAnsi="Times New Roman" w:cs="Times New Roman"/>
          <w:b/>
          <w:sz w:val="24"/>
          <w:szCs w:val="24"/>
        </w:rPr>
        <w:t xml:space="preserve"> </w:t>
      </w:r>
      <w:r w:rsidRPr="00640BDB">
        <w:rPr>
          <w:rFonts w:ascii="Times New Roman" w:hAnsi="Times New Roman" w:cs="Times New Roman"/>
          <w:sz w:val="24"/>
          <w:szCs w:val="24"/>
        </w:rPr>
        <w:t>et</w:t>
      </w:r>
      <w:r w:rsidR="003E0617" w:rsidRPr="003E0617">
        <w:rPr>
          <w:rFonts w:ascii="Times New Roman" w:hAnsi="Times New Roman" w:cs="Times New Roman"/>
          <w:sz w:val="24"/>
          <w:szCs w:val="24"/>
        </w:rPr>
        <w:t xml:space="preserve"> prend en main une entreprise </w:t>
      </w:r>
      <w:r>
        <w:rPr>
          <w:rFonts w:ascii="Times New Roman" w:hAnsi="Times New Roman" w:cs="Times New Roman"/>
          <w:sz w:val="24"/>
          <w:szCs w:val="24"/>
        </w:rPr>
        <w:t>qui n’est pas nécessairement en difficultés financières.</w:t>
      </w:r>
    </w:p>
    <w:p w:rsidR="00C42590" w:rsidRDefault="00640BDB" w:rsidP="00C42590">
      <w:pPr>
        <w:spacing w:line="240" w:lineRule="auto"/>
        <w:jc w:val="both"/>
        <w:rPr>
          <w:rFonts w:ascii="Times New Roman" w:hAnsi="Times New Roman" w:cs="Times New Roman"/>
          <w:sz w:val="24"/>
          <w:szCs w:val="24"/>
        </w:rPr>
      </w:pPr>
      <w:r w:rsidRPr="003E0617">
        <w:rPr>
          <w:rFonts w:ascii="Times New Roman" w:hAnsi="Times New Roman" w:cs="Times New Roman"/>
          <w:sz w:val="24"/>
          <w:szCs w:val="24"/>
        </w:rPr>
        <w:t xml:space="preserve"> </w:t>
      </w:r>
      <w:r w:rsidR="003E0617" w:rsidRPr="003E0617">
        <w:rPr>
          <w:rFonts w:ascii="Times New Roman" w:hAnsi="Times New Roman" w:cs="Times New Roman"/>
          <w:sz w:val="24"/>
          <w:szCs w:val="24"/>
        </w:rPr>
        <w:t>Ces professionnels du droit et de l'économie, désignés par le Tribunal (de commerce ou civil</w:t>
      </w:r>
      <w:r>
        <w:rPr>
          <w:rFonts w:ascii="Times New Roman" w:hAnsi="Times New Roman" w:cs="Times New Roman"/>
          <w:sz w:val="24"/>
          <w:szCs w:val="24"/>
        </w:rPr>
        <w:t>s</w:t>
      </w:r>
      <w:r w:rsidR="003E0617" w:rsidRPr="003E0617">
        <w:rPr>
          <w:rFonts w:ascii="Times New Roman" w:hAnsi="Times New Roman" w:cs="Times New Roman"/>
          <w:sz w:val="24"/>
          <w:szCs w:val="24"/>
        </w:rPr>
        <w:t>) sont chargés du trai</w:t>
      </w:r>
      <w:r>
        <w:rPr>
          <w:rFonts w:ascii="Times New Roman" w:hAnsi="Times New Roman" w:cs="Times New Roman"/>
          <w:sz w:val="24"/>
          <w:szCs w:val="24"/>
        </w:rPr>
        <w:t>tement des difficultés de tout type de structures, qu’il s’agisse</w:t>
      </w:r>
      <w:r w:rsidR="003E0617" w:rsidRPr="003E0617">
        <w:rPr>
          <w:rFonts w:ascii="Times New Roman" w:hAnsi="Times New Roman" w:cs="Times New Roman"/>
          <w:sz w:val="24"/>
          <w:szCs w:val="24"/>
        </w:rPr>
        <w:t xml:space="preserve"> </w:t>
      </w:r>
      <w:r>
        <w:rPr>
          <w:rFonts w:ascii="Times New Roman" w:hAnsi="Times New Roman" w:cs="Times New Roman"/>
          <w:sz w:val="24"/>
          <w:szCs w:val="24"/>
        </w:rPr>
        <w:t>d’entreprises, de patrimoines ou de personnes physiques.</w:t>
      </w:r>
      <w:r w:rsidR="003E0617" w:rsidRPr="003E0617">
        <w:rPr>
          <w:rFonts w:ascii="Times New Roman" w:hAnsi="Times New Roman" w:cs="Times New Roman"/>
          <w:sz w:val="24"/>
          <w:szCs w:val="24"/>
        </w:rPr>
        <w:t xml:space="preserve"> </w:t>
      </w:r>
      <w:r w:rsidR="003E0617" w:rsidRPr="003E0617">
        <w:rPr>
          <w:rFonts w:ascii="Times New Roman" w:hAnsi="Times New Roman" w:cs="Times New Roman"/>
          <w:b/>
          <w:sz w:val="24"/>
          <w:szCs w:val="24"/>
        </w:rPr>
        <w:t>L’administrateur judiciaire</w:t>
      </w:r>
      <w:r w:rsidR="003E0617" w:rsidRPr="003E0617">
        <w:rPr>
          <w:rFonts w:ascii="Times New Roman" w:hAnsi="Times New Roman" w:cs="Times New Roman"/>
          <w:sz w:val="24"/>
          <w:szCs w:val="24"/>
        </w:rPr>
        <w:t xml:space="preserve"> est donc un professionnel qui appartient à une profession règlementée, dont le titre est protégé, alors que </w:t>
      </w:r>
      <w:r w:rsidR="003E0617" w:rsidRPr="003E0617">
        <w:rPr>
          <w:rFonts w:ascii="Times New Roman" w:hAnsi="Times New Roman" w:cs="Times New Roman"/>
          <w:b/>
          <w:sz w:val="24"/>
          <w:szCs w:val="24"/>
        </w:rPr>
        <w:t>l’administrateur provisoire est une des missions que peut accomplir l’administrateur judiciaire</w:t>
      </w:r>
      <w:r w:rsidR="003E0617" w:rsidRPr="003E0617">
        <w:rPr>
          <w:rFonts w:ascii="Times New Roman" w:hAnsi="Times New Roman" w:cs="Times New Roman"/>
          <w:sz w:val="24"/>
          <w:szCs w:val="24"/>
        </w:rPr>
        <w:t>. La présentation ci-dessous articule entre-elles les notions de : mandataires de justice, administrateur judiciair</w:t>
      </w:r>
      <w:r w:rsidR="00C42590">
        <w:rPr>
          <w:rFonts w:ascii="Times New Roman" w:hAnsi="Times New Roman" w:cs="Times New Roman"/>
          <w:sz w:val="24"/>
          <w:szCs w:val="24"/>
        </w:rPr>
        <w:t>e et administrateur provisoire.</w:t>
      </w:r>
    </w:p>
    <w:p w:rsidR="005D78E1" w:rsidRDefault="005D78E1" w:rsidP="00C42590">
      <w:pPr>
        <w:spacing w:line="240" w:lineRule="auto"/>
        <w:jc w:val="both"/>
        <w:rPr>
          <w:rFonts w:ascii="Times New Roman" w:hAnsi="Times New Roman" w:cs="Times New Roman"/>
          <w:sz w:val="24"/>
          <w:szCs w:val="24"/>
        </w:rPr>
      </w:pPr>
    </w:p>
    <w:p w:rsidR="005D78E1" w:rsidRDefault="005D78E1" w:rsidP="00C42590">
      <w:pPr>
        <w:spacing w:line="240" w:lineRule="auto"/>
        <w:jc w:val="both"/>
        <w:rPr>
          <w:rFonts w:ascii="Times New Roman" w:hAnsi="Times New Roman" w:cs="Times New Roman"/>
          <w:sz w:val="24"/>
          <w:szCs w:val="24"/>
        </w:rPr>
      </w:pPr>
      <w:bookmarkStart w:id="1" w:name="_GoBack"/>
      <w:bookmarkEnd w:id="1"/>
    </w:p>
    <w:p w:rsidR="005D78E1" w:rsidRDefault="005D78E1" w:rsidP="00C42590">
      <w:pPr>
        <w:spacing w:line="240" w:lineRule="auto"/>
        <w:jc w:val="both"/>
        <w:rPr>
          <w:rFonts w:ascii="Times New Roman" w:hAnsi="Times New Roman" w:cs="Times New Roman"/>
          <w:sz w:val="24"/>
          <w:szCs w:val="24"/>
        </w:rPr>
      </w:pPr>
    </w:p>
    <w:p w:rsidR="005D78E1" w:rsidRDefault="005D78E1" w:rsidP="00C42590">
      <w:pPr>
        <w:spacing w:line="240" w:lineRule="auto"/>
        <w:jc w:val="both"/>
        <w:rPr>
          <w:rFonts w:ascii="Times New Roman" w:hAnsi="Times New Roman" w:cs="Times New Roman"/>
          <w:sz w:val="24"/>
          <w:szCs w:val="24"/>
        </w:rPr>
      </w:pPr>
    </w:p>
    <w:p w:rsidR="005D78E1" w:rsidRPr="00C42590" w:rsidRDefault="005D78E1" w:rsidP="00C42590">
      <w:pPr>
        <w:spacing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927"/>
        <w:gridCol w:w="4578"/>
        <w:gridCol w:w="2258"/>
      </w:tblGrid>
      <w:tr w:rsidR="003E0617" w:rsidRPr="003E0617" w:rsidTr="0023188F">
        <w:trPr>
          <w:trHeight w:val="340"/>
        </w:trPr>
        <w:tc>
          <w:tcPr>
            <w:tcW w:w="0" w:type="auto"/>
            <w:gridSpan w:val="3"/>
          </w:tcPr>
          <w:p w:rsidR="003E0617" w:rsidRPr="003E0617" w:rsidRDefault="003E0617" w:rsidP="0023188F">
            <w:pPr>
              <w:jc w:val="center"/>
              <w:rPr>
                <w:rFonts w:ascii="Times New Roman" w:hAnsi="Times New Roman" w:cs="Times New Roman"/>
                <w:sz w:val="20"/>
                <w:szCs w:val="20"/>
              </w:rPr>
            </w:pPr>
            <w:r w:rsidRPr="003E0617">
              <w:rPr>
                <w:rFonts w:ascii="Times New Roman" w:hAnsi="Times New Roman" w:cs="Times New Roman"/>
                <w:b/>
                <w:sz w:val="20"/>
                <w:szCs w:val="20"/>
              </w:rPr>
              <w:lastRenderedPageBreak/>
              <w:t>Catégorie </w:t>
            </w:r>
            <w:r w:rsidRPr="003E0617">
              <w:rPr>
                <w:rFonts w:ascii="Times New Roman" w:hAnsi="Times New Roman" w:cs="Times New Roman"/>
                <w:sz w:val="20"/>
                <w:szCs w:val="20"/>
              </w:rPr>
              <w:t>: Mandataires de Justice</w:t>
            </w:r>
          </w:p>
        </w:tc>
      </w:tr>
      <w:tr w:rsidR="003E0617" w:rsidRPr="003E0617" w:rsidTr="0023188F">
        <w:trPr>
          <w:trHeight w:val="680"/>
        </w:trPr>
        <w:tc>
          <w:tcPr>
            <w:tcW w:w="0" w:type="auto"/>
            <w:gridSpan w:val="3"/>
            <w:hideMark/>
          </w:tcPr>
          <w:p w:rsidR="003E0617" w:rsidRPr="003E0617" w:rsidRDefault="003E0617" w:rsidP="0023188F">
            <w:pPr>
              <w:jc w:val="center"/>
              <w:rPr>
                <w:rFonts w:ascii="Times New Roman" w:hAnsi="Times New Roman" w:cs="Times New Roman"/>
                <w:sz w:val="20"/>
                <w:szCs w:val="20"/>
              </w:rPr>
            </w:pPr>
            <w:r w:rsidRPr="003E0617">
              <w:rPr>
                <w:rFonts w:ascii="Times New Roman" w:hAnsi="Times New Roman" w:cs="Times New Roman"/>
                <w:b/>
                <w:sz w:val="20"/>
                <w:szCs w:val="20"/>
              </w:rPr>
              <w:t>Profession</w:t>
            </w:r>
            <w:r w:rsidRPr="003E0617">
              <w:rPr>
                <w:rFonts w:ascii="Times New Roman" w:hAnsi="Times New Roman" w:cs="Times New Roman"/>
                <w:sz w:val="20"/>
                <w:szCs w:val="20"/>
              </w:rPr>
              <w:t xml:space="preserve"> : </w:t>
            </w:r>
            <w:r w:rsidRPr="003E0617">
              <w:rPr>
                <w:rFonts w:ascii="Times New Roman" w:hAnsi="Times New Roman" w:cs="Times New Roman"/>
                <w:sz w:val="20"/>
                <w:szCs w:val="20"/>
                <w:u w:val="single"/>
              </w:rPr>
              <w:t>Insolvency Practitioner</w:t>
            </w:r>
            <w:r w:rsidRPr="003E0617">
              <w:rPr>
                <w:rFonts w:ascii="Times New Roman" w:hAnsi="Times New Roman" w:cs="Times New Roman"/>
                <w:sz w:val="20"/>
                <w:szCs w:val="20"/>
              </w:rPr>
              <w:t> </w:t>
            </w:r>
          </w:p>
        </w:tc>
      </w:tr>
      <w:tr w:rsidR="003E0617" w:rsidRPr="003E0617" w:rsidTr="0023188F">
        <w:trPr>
          <w:trHeight w:val="680"/>
        </w:trPr>
        <w:tc>
          <w:tcPr>
            <w:tcW w:w="0" w:type="auto"/>
            <w:gridSpan w:val="2"/>
          </w:tcPr>
          <w:p w:rsidR="003E0617" w:rsidRPr="003E0617" w:rsidRDefault="003E0617" w:rsidP="0023188F">
            <w:pPr>
              <w:jc w:val="center"/>
              <w:rPr>
                <w:rFonts w:ascii="Times New Roman" w:hAnsi="Times New Roman" w:cs="Times New Roman"/>
                <w:sz w:val="20"/>
                <w:szCs w:val="20"/>
              </w:rPr>
            </w:pPr>
            <w:r w:rsidRPr="003E0617">
              <w:rPr>
                <w:rFonts w:ascii="Times New Roman" w:hAnsi="Times New Roman" w:cs="Times New Roman"/>
                <w:sz w:val="20"/>
                <w:szCs w:val="20"/>
                <w:u w:val="single"/>
              </w:rPr>
              <w:t>Administrateur Judiciaire</w:t>
            </w:r>
            <w:r w:rsidRPr="003E0617">
              <w:rPr>
                <w:rFonts w:ascii="Times New Roman" w:hAnsi="Times New Roman" w:cs="Times New Roman"/>
                <w:sz w:val="20"/>
                <w:szCs w:val="20"/>
              </w:rPr>
              <w:t xml:space="preserve"> (AJ)</w:t>
            </w:r>
          </w:p>
          <w:p w:rsidR="003E0617" w:rsidRPr="003E0617" w:rsidRDefault="003E0617" w:rsidP="00AD2382">
            <w:pPr>
              <w:rPr>
                <w:rFonts w:ascii="Times New Roman" w:hAnsi="Times New Roman" w:cs="Times New Roman"/>
                <w:sz w:val="20"/>
                <w:szCs w:val="20"/>
              </w:rPr>
            </w:pPr>
            <w:r w:rsidRPr="003E0617">
              <w:rPr>
                <w:rFonts w:ascii="Times New Roman" w:hAnsi="Times New Roman" w:cs="Times New Roman"/>
                <w:sz w:val="20"/>
                <w:szCs w:val="20"/>
              </w:rPr>
              <w:t xml:space="preserve">Profession chargée d’assister ou remplacer les organes de gestion d’une entreprise </w:t>
            </w:r>
            <w:r w:rsidR="00AD2382">
              <w:rPr>
                <w:rFonts w:ascii="Times New Roman" w:hAnsi="Times New Roman" w:cs="Times New Roman"/>
                <w:sz w:val="20"/>
                <w:szCs w:val="20"/>
              </w:rPr>
              <w:t>afin de préserver les intérêts sociaux et de favoriser le redressement de l’entreprise.</w:t>
            </w:r>
          </w:p>
        </w:tc>
        <w:tc>
          <w:tcPr>
            <w:tcW w:w="0" w:type="auto"/>
          </w:tcPr>
          <w:p w:rsidR="001251E8" w:rsidRDefault="003E0617" w:rsidP="001251E8">
            <w:pPr>
              <w:jc w:val="center"/>
              <w:rPr>
                <w:rFonts w:ascii="Times New Roman" w:hAnsi="Times New Roman" w:cs="Times New Roman"/>
                <w:sz w:val="20"/>
                <w:szCs w:val="20"/>
              </w:rPr>
            </w:pPr>
            <w:r w:rsidRPr="003E0617">
              <w:rPr>
                <w:rFonts w:ascii="Times New Roman" w:hAnsi="Times New Roman" w:cs="Times New Roman"/>
                <w:sz w:val="20"/>
                <w:szCs w:val="20"/>
                <w:u w:val="single"/>
              </w:rPr>
              <w:t>Mandataire judiciaire</w:t>
            </w:r>
            <w:r w:rsidRPr="003E0617">
              <w:rPr>
                <w:rFonts w:ascii="Times New Roman" w:hAnsi="Times New Roman" w:cs="Times New Roman"/>
                <w:sz w:val="20"/>
                <w:szCs w:val="20"/>
              </w:rPr>
              <w:t xml:space="preserve"> </w:t>
            </w:r>
          </w:p>
          <w:p w:rsidR="003E0617" w:rsidRPr="003E0617" w:rsidRDefault="003E0617" w:rsidP="001251E8">
            <w:pPr>
              <w:jc w:val="center"/>
              <w:rPr>
                <w:rFonts w:ascii="Times New Roman" w:hAnsi="Times New Roman" w:cs="Times New Roman"/>
                <w:sz w:val="20"/>
                <w:szCs w:val="20"/>
              </w:rPr>
            </w:pPr>
            <w:r w:rsidRPr="003E0617">
              <w:rPr>
                <w:rFonts w:ascii="Times New Roman" w:hAnsi="Times New Roman" w:cs="Times New Roman"/>
                <w:sz w:val="20"/>
                <w:szCs w:val="20"/>
              </w:rPr>
              <w:t xml:space="preserve">Représente les intérêts des créanciers et salariés et assure la fonction de liquidateur.  </w:t>
            </w:r>
          </w:p>
        </w:tc>
      </w:tr>
      <w:tr w:rsidR="003E0617" w:rsidRPr="003E0617" w:rsidTr="0023188F">
        <w:trPr>
          <w:trHeight w:val="680"/>
        </w:trPr>
        <w:tc>
          <w:tcPr>
            <w:tcW w:w="0" w:type="auto"/>
            <w:gridSpan w:val="2"/>
            <w:hideMark/>
          </w:tcPr>
          <w:p w:rsidR="003E0617" w:rsidRPr="003E0617" w:rsidRDefault="003E0617" w:rsidP="0023188F">
            <w:pPr>
              <w:jc w:val="center"/>
              <w:rPr>
                <w:rFonts w:ascii="Times New Roman" w:hAnsi="Times New Roman" w:cs="Times New Roman"/>
                <w:b/>
                <w:sz w:val="20"/>
                <w:szCs w:val="20"/>
              </w:rPr>
            </w:pPr>
            <w:r w:rsidRPr="003E0617">
              <w:rPr>
                <w:rFonts w:ascii="Times New Roman" w:hAnsi="Times New Roman" w:cs="Times New Roman"/>
                <w:b/>
                <w:sz w:val="20"/>
                <w:szCs w:val="20"/>
              </w:rPr>
              <w:t>Missions</w:t>
            </w:r>
          </w:p>
        </w:tc>
        <w:tc>
          <w:tcPr>
            <w:tcW w:w="0" w:type="auto"/>
            <w:hideMark/>
          </w:tcPr>
          <w:p w:rsidR="003E0617" w:rsidRPr="003E0617" w:rsidRDefault="003E0617" w:rsidP="0023188F">
            <w:pPr>
              <w:jc w:val="center"/>
              <w:rPr>
                <w:rFonts w:ascii="Times New Roman" w:hAnsi="Times New Roman" w:cs="Times New Roman"/>
                <w:b/>
                <w:sz w:val="20"/>
                <w:szCs w:val="20"/>
              </w:rPr>
            </w:pPr>
            <w:r w:rsidRPr="003E0617">
              <w:rPr>
                <w:rFonts w:ascii="Times New Roman" w:hAnsi="Times New Roman" w:cs="Times New Roman"/>
                <w:b/>
                <w:sz w:val="20"/>
                <w:szCs w:val="20"/>
              </w:rPr>
              <w:t xml:space="preserve"> Missions</w:t>
            </w:r>
          </w:p>
        </w:tc>
      </w:tr>
      <w:tr w:rsidR="003E0617" w:rsidRPr="003E0617" w:rsidTr="0023188F">
        <w:trPr>
          <w:trHeight w:val="1920"/>
        </w:trPr>
        <w:tc>
          <w:tcPr>
            <w:tcW w:w="0" w:type="auto"/>
          </w:tcPr>
          <w:p w:rsidR="003E0617" w:rsidRPr="003E0617" w:rsidRDefault="003E0617" w:rsidP="0023188F">
            <w:pPr>
              <w:rPr>
                <w:rFonts w:ascii="Times New Roman" w:hAnsi="Times New Roman" w:cs="Times New Roman"/>
                <w:sz w:val="20"/>
                <w:szCs w:val="20"/>
              </w:rPr>
            </w:pPr>
            <w:r w:rsidRPr="003E0617">
              <w:rPr>
                <w:rFonts w:ascii="Times New Roman" w:hAnsi="Times New Roman" w:cs="Times New Roman"/>
                <w:sz w:val="20"/>
                <w:szCs w:val="20"/>
                <w:u w:val="single"/>
              </w:rPr>
              <w:t>AJ en procédure collective :</w:t>
            </w:r>
            <w:r w:rsidRPr="003E0617">
              <w:rPr>
                <w:rFonts w:ascii="Times New Roman" w:hAnsi="Times New Roman" w:cs="Times New Roman"/>
                <w:sz w:val="20"/>
                <w:szCs w:val="20"/>
              </w:rPr>
              <w:t xml:space="preserve"> </w:t>
            </w:r>
          </w:p>
          <w:p w:rsidR="003E0617" w:rsidRPr="003E0617" w:rsidRDefault="003E0617" w:rsidP="0023188F">
            <w:pPr>
              <w:rPr>
                <w:rFonts w:ascii="Times New Roman" w:hAnsi="Times New Roman" w:cs="Times New Roman"/>
                <w:sz w:val="20"/>
                <w:szCs w:val="20"/>
              </w:rPr>
            </w:pPr>
            <w:r w:rsidRPr="003E0617">
              <w:rPr>
                <w:rFonts w:ascii="Times New Roman" w:hAnsi="Times New Roman" w:cs="Times New Roman"/>
                <w:sz w:val="20"/>
                <w:szCs w:val="20"/>
              </w:rPr>
              <w:t xml:space="preserve"> La loi française leur accorde un monopole sur traitement de ces mandats qui supposent de caractériser </w:t>
            </w:r>
            <w:r w:rsidR="00AD2382">
              <w:rPr>
                <w:rFonts w:ascii="Times New Roman" w:hAnsi="Times New Roman" w:cs="Times New Roman"/>
                <w:sz w:val="20"/>
                <w:szCs w:val="20"/>
              </w:rPr>
              <w:t xml:space="preserve">l’imminence ou l’existence d’un </w:t>
            </w:r>
            <w:r w:rsidRPr="003E0617">
              <w:rPr>
                <w:rFonts w:ascii="Times New Roman" w:hAnsi="Times New Roman" w:cs="Times New Roman"/>
                <w:sz w:val="20"/>
                <w:szCs w:val="20"/>
              </w:rPr>
              <w:t>état de c</w:t>
            </w:r>
            <w:r w:rsidRPr="003E0617">
              <w:rPr>
                <w:rFonts w:ascii="Times New Roman" w:hAnsi="Times New Roman" w:cs="Times New Roman"/>
                <w:b/>
                <w:sz w:val="20"/>
                <w:szCs w:val="20"/>
              </w:rPr>
              <w:t>essation des paiements.</w:t>
            </w:r>
            <w:r w:rsidRPr="003E0617">
              <w:rPr>
                <w:rFonts w:ascii="Times New Roman" w:hAnsi="Times New Roman" w:cs="Times New Roman"/>
                <w:sz w:val="20"/>
                <w:szCs w:val="20"/>
              </w:rPr>
              <w:t xml:space="preserve"> </w:t>
            </w:r>
            <w:r w:rsidR="00AD2382">
              <w:rPr>
                <w:rFonts w:ascii="Times New Roman" w:hAnsi="Times New Roman" w:cs="Times New Roman"/>
                <w:sz w:val="20"/>
                <w:szCs w:val="20"/>
              </w:rPr>
              <w:t>(sauvegarde ou redressement judiciaire).</w:t>
            </w:r>
          </w:p>
          <w:p w:rsidR="003E0617" w:rsidRPr="003E0617" w:rsidRDefault="003E0617" w:rsidP="0023188F">
            <w:pPr>
              <w:rPr>
                <w:rFonts w:ascii="Times New Roman" w:hAnsi="Times New Roman" w:cs="Times New Roman"/>
                <w:sz w:val="20"/>
                <w:szCs w:val="20"/>
              </w:rPr>
            </w:pPr>
            <w:r w:rsidRPr="003E0617">
              <w:rPr>
                <w:rFonts w:ascii="Times New Roman" w:hAnsi="Times New Roman" w:cs="Times New Roman"/>
                <w:sz w:val="20"/>
                <w:szCs w:val="20"/>
              </w:rPr>
              <w:t>Ils assurent l’assistance du dirigeant pendant la période de restructuration et présentent les propositions d’apurement du passif ou mettent en œuvre la cession de l’entreprise « as a going concern »</w:t>
            </w:r>
          </w:p>
        </w:tc>
        <w:tc>
          <w:tcPr>
            <w:tcW w:w="0" w:type="auto"/>
          </w:tcPr>
          <w:p w:rsidR="003E0617" w:rsidRPr="003E0617" w:rsidRDefault="003E0617" w:rsidP="0023188F">
            <w:pPr>
              <w:rPr>
                <w:rFonts w:ascii="Times New Roman" w:hAnsi="Times New Roman" w:cs="Times New Roman"/>
                <w:sz w:val="20"/>
                <w:szCs w:val="20"/>
              </w:rPr>
            </w:pPr>
            <w:r w:rsidRPr="003E0617">
              <w:rPr>
                <w:rFonts w:ascii="Times New Roman" w:hAnsi="Times New Roman" w:cs="Times New Roman"/>
                <w:sz w:val="20"/>
                <w:szCs w:val="20"/>
                <w:u w:val="single"/>
              </w:rPr>
              <w:t>L’Administration provisoire civile ou commerciale</w:t>
            </w:r>
            <w:r w:rsidRPr="003E0617">
              <w:rPr>
                <w:rFonts w:ascii="Times New Roman" w:hAnsi="Times New Roman" w:cs="Times New Roman"/>
                <w:sz w:val="20"/>
                <w:szCs w:val="20"/>
              </w:rPr>
              <w:t xml:space="preserve"> est un mode de gestion sécurisé d’une entreprise auquel recourt le tribunal </w:t>
            </w:r>
            <w:r w:rsidRPr="003E0617">
              <w:rPr>
                <w:rFonts w:ascii="Times New Roman" w:hAnsi="Times New Roman" w:cs="Times New Roman"/>
                <w:b/>
                <w:sz w:val="20"/>
                <w:szCs w:val="20"/>
              </w:rPr>
              <w:t>en cas d’atteinte à un fonctionnement normal et présence d’un péril imminent</w:t>
            </w:r>
            <w:r w:rsidRPr="003E0617">
              <w:rPr>
                <w:rFonts w:ascii="Times New Roman" w:hAnsi="Times New Roman" w:cs="Times New Roman"/>
                <w:sz w:val="20"/>
                <w:szCs w:val="20"/>
              </w:rPr>
              <w:t xml:space="preserve"> sur une société, un patrimoine</w:t>
            </w:r>
            <w:r w:rsidR="00AD2382">
              <w:rPr>
                <w:rFonts w:ascii="Times New Roman" w:hAnsi="Times New Roman" w:cs="Times New Roman"/>
                <w:sz w:val="20"/>
                <w:szCs w:val="20"/>
              </w:rPr>
              <w:t>.</w:t>
            </w:r>
            <w:r w:rsidRPr="003E0617">
              <w:rPr>
                <w:rFonts w:ascii="Times New Roman" w:hAnsi="Times New Roman" w:cs="Times New Roman"/>
                <w:sz w:val="20"/>
                <w:szCs w:val="20"/>
              </w:rPr>
              <w:t xml:space="preserve"> L’étendue du mandat confié est déterminée par le juge. Il s’agit de mesures strictement conservatoires que le juge peut, en fonction des circonstances, étendre à des mesures de disposition pour préserver un actif par exemple. Elle porte sur l'ensemble des fonctions d'administration courante et emporte dessaisissement des organes sociaux.</w:t>
            </w:r>
          </w:p>
          <w:p w:rsidR="003E0617" w:rsidRPr="003E0617" w:rsidRDefault="003E0617" w:rsidP="0023188F">
            <w:pPr>
              <w:rPr>
                <w:rFonts w:ascii="Times New Roman" w:hAnsi="Times New Roman" w:cs="Times New Roman"/>
                <w:sz w:val="20"/>
                <w:szCs w:val="20"/>
              </w:rPr>
            </w:pPr>
            <w:r w:rsidRPr="003E0617">
              <w:rPr>
                <w:rFonts w:ascii="Times New Roman" w:hAnsi="Times New Roman" w:cs="Times New Roman"/>
                <w:sz w:val="20"/>
                <w:szCs w:val="20"/>
              </w:rPr>
              <w:t>La société n’est pas en cessation des paiements mais la perte de ses organes décisionnels ou un litige persistant en leur sein fait craindre un péril imminent.</w:t>
            </w:r>
          </w:p>
        </w:tc>
        <w:tc>
          <w:tcPr>
            <w:tcW w:w="0" w:type="auto"/>
            <w:hideMark/>
          </w:tcPr>
          <w:p w:rsidR="003E0617" w:rsidRPr="003E0617" w:rsidRDefault="003E0617" w:rsidP="0023188F">
            <w:pPr>
              <w:rPr>
                <w:rFonts w:ascii="Times New Roman" w:hAnsi="Times New Roman" w:cs="Times New Roman"/>
                <w:sz w:val="20"/>
                <w:szCs w:val="20"/>
              </w:rPr>
            </w:pPr>
            <w:r w:rsidRPr="003E0617">
              <w:rPr>
                <w:rFonts w:ascii="Times New Roman" w:hAnsi="Times New Roman" w:cs="Times New Roman"/>
                <w:sz w:val="20"/>
                <w:szCs w:val="20"/>
              </w:rPr>
              <w:t>Le mandataire judiciaire intervient quasi exclusivement dans les procédures collectives en tant qu</w:t>
            </w:r>
            <w:r w:rsidR="00CC4377">
              <w:rPr>
                <w:rFonts w:ascii="Times New Roman" w:hAnsi="Times New Roman" w:cs="Times New Roman"/>
                <w:sz w:val="20"/>
                <w:szCs w:val="20"/>
              </w:rPr>
              <w:t>e représentant des créanciers.</w:t>
            </w:r>
            <w:r w:rsidR="00CC4377">
              <w:rPr>
                <w:rFonts w:ascii="Times New Roman" w:hAnsi="Times New Roman" w:cs="Times New Roman"/>
                <w:sz w:val="20"/>
                <w:szCs w:val="20"/>
              </w:rPr>
              <w:br/>
              <w:t>I</w:t>
            </w:r>
            <w:r w:rsidRPr="003E0617">
              <w:rPr>
                <w:rFonts w:ascii="Times New Roman" w:hAnsi="Times New Roman" w:cs="Times New Roman"/>
                <w:sz w:val="20"/>
                <w:szCs w:val="20"/>
              </w:rPr>
              <w:t>l fait inte</w:t>
            </w:r>
            <w:r w:rsidR="00CC4377">
              <w:rPr>
                <w:rFonts w:ascii="Times New Roman" w:hAnsi="Times New Roman" w:cs="Times New Roman"/>
                <w:sz w:val="20"/>
                <w:szCs w:val="20"/>
              </w:rPr>
              <w:t>rvenir la garantie des salaires et</w:t>
            </w:r>
            <w:r w:rsidRPr="003E0617">
              <w:rPr>
                <w:rFonts w:ascii="Times New Roman" w:hAnsi="Times New Roman" w:cs="Times New Roman"/>
                <w:sz w:val="20"/>
                <w:szCs w:val="20"/>
              </w:rPr>
              <w:t xml:space="preserve"> exerce les actions en sanctions contre les dirigeants</w:t>
            </w:r>
            <w:r w:rsidR="00CC4377">
              <w:rPr>
                <w:rFonts w:ascii="Times New Roman" w:hAnsi="Times New Roman" w:cs="Times New Roman"/>
                <w:sz w:val="20"/>
                <w:szCs w:val="20"/>
              </w:rPr>
              <w:t>.</w:t>
            </w:r>
          </w:p>
          <w:p w:rsidR="003E0617" w:rsidRPr="003E0617" w:rsidRDefault="00CC4377" w:rsidP="0023188F">
            <w:pPr>
              <w:rPr>
                <w:rFonts w:ascii="Times New Roman" w:hAnsi="Times New Roman" w:cs="Times New Roman"/>
                <w:sz w:val="20"/>
                <w:szCs w:val="20"/>
              </w:rPr>
            </w:pPr>
            <w:r>
              <w:rPr>
                <w:rFonts w:ascii="Times New Roman" w:hAnsi="Times New Roman" w:cs="Times New Roman"/>
                <w:sz w:val="20"/>
                <w:szCs w:val="20"/>
              </w:rPr>
              <w:t>E</w:t>
            </w:r>
            <w:r w:rsidR="003E0617" w:rsidRPr="003E0617">
              <w:rPr>
                <w:rFonts w:ascii="Times New Roman" w:hAnsi="Times New Roman" w:cs="Times New Roman"/>
                <w:sz w:val="20"/>
                <w:szCs w:val="20"/>
              </w:rPr>
              <w:t>n liquidation judiciaire, il procède à la réalisation des actifs</w:t>
            </w:r>
            <w:r>
              <w:rPr>
                <w:rFonts w:ascii="Times New Roman" w:hAnsi="Times New Roman" w:cs="Times New Roman"/>
                <w:sz w:val="20"/>
                <w:szCs w:val="20"/>
              </w:rPr>
              <w:t>.</w:t>
            </w:r>
          </w:p>
        </w:tc>
      </w:tr>
    </w:tbl>
    <w:p w:rsidR="003E0617" w:rsidRPr="003E0617" w:rsidRDefault="003E0617" w:rsidP="003E0617">
      <w:pPr>
        <w:rPr>
          <w:rFonts w:ascii="Times New Roman" w:hAnsi="Times New Roman" w:cs="Times New Roman"/>
          <w:sz w:val="24"/>
          <w:szCs w:val="24"/>
        </w:rPr>
      </w:pPr>
    </w:p>
    <w:p w:rsidR="001251E8" w:rsidRDefault="003E0617" w:rsidP="00C42590">
      <w:pPr>
        <w:spacing w:line="240" w:lineRule="auto"/>
        <w:jc w:val="both"/>
        <w:rPr>
          <w:rFonts w:ascii="Times New Roman" w:hAnsi="Times New Roman" w:cs="Times New Roman"/>
          <w:sz w:val="24"/>
          <w:szCs w:val="24"/>
        </w:rPr>
      </w:pPr>
      <w:r w:rsidRPr="003E0617">
        <w:rPr>
          <w:rFonts w:ascii="Times New Roman" w:hAnsi="Times New Roman" w:cs="Times New Roman"/>
          <w:sz w:val="24"/>
          <w:szCs w:val="24"/>
        </w:rPr>
        <w:t>L’administrateur judiciaire et l’administrateur provisoire sont donc la même personne physique ou morale. Le premier terme désigne la profession ainsi que la mission dédiée aux entreprises en difficultés, alors que le second terme désigne l’administrateur judiciaire lorsqu’il exerce une mission d’administration provisoire.</w:t>
      </w:r>
    </w:p>
    <w:p w:rsidR="001251E8" w:rsidRDefault="003E0617" w:rsidP="00C42590">
      <w:pPr>
        <w:spacing w:line="240" w:lineRule="auto"/>
        <w:jc w:val="both"/>
        <w:rPr>
          <w:rFonts w:ascii="Times New Roman" w:hAnsi="Times New Roman" w:cs="Times New Roman"/>
          <w:sz w:val="24"/>
          <w:szCs w:val="24"/>
        </w:rPr>
      </w:pPr>
      <w:r w:rsidRPr="003E0617">
        <w:rPr>
          <w:rFonts w:ascii="Times New Roman" w:hAnsi="Times New Roman" w:cs="Times New Roman"/>
          <w:sz w:val="24"/>
          <w:szCs w:val="24"/>
        </w:rPr>
        <w:t>Le principe retenu en droit français est que les administrateurs judiciaires en plus de leur monopole sur les procédures collectives exercent un monopole sur les missions d’administration provisoire en vertu de l’article L811-1 du code de commerce « </w:t>
      </w:r>
      <w:r w:rsidRPr="003E0617">
        <w:rPr>
          <w:rFonts w:ascii="Times New Roman" w:hAnsi="Times New Roman" w:cs="Times New Roman"/>
          <w:b/>
          <w:sz w:val="24"/>
          <w:szCs w:val="24"/>
        </w:rPr>
        <w:t>Les administrateurs judiciaires sont les mandataires, personnes physiques ou morales, chargés par décision de justice d'administrer les biens d'autrui</w:t>
      </w:r>
      <w:r w:rsidRPr="003E0617">
        <w:rPr>
          <w:rFonts w:ascii="Times New Roman" w:hAnsi="Times New Roman" w:cs="Times New Roman"/>
          <w:sz w:val="24"/>
          <w:szCs w:val="24"/>
        </w:rPr>
        <w:t xml:space="preserve"> </w:t>
      </w:r>
      <w:r w:rsidRPr="003E0617">
        <w:rPr>
          <w:rFonts w:ascii="Times New Roman" w:hAnsi="Times New Roman" w:cs="Times New Roman"/>
          <w:b/>
          <w:sz w:val="24"/>
          <w:szCs w:val="24"/>
        </w:rPr>
        <w:t>ou</w:t>
      </w:r>
      <w:r w:rsidRPr="003E0617">
        <w:rPr>
          <w:rFonts w:ascii="Times New Roman" w:hAnsi="Times New Roman" w:cs="Times New Roman"/>
          <w:sz w:val="24"/>
          <w:szCs w:val="24"/>
        </w:rPr>
        <w:t xml:space="preserve"> </w:t>
      </w:r>
      <w:r w:rsidRPr="003E0617">
        <w:rPr>
          <w:rFonts w:ascii="Times New Roman" w:hAnsi="Times New Roman" w:cs="Times New Roman"/>
          <w:b/>
          <w:sz w:val="24"/>
          <w:szCs w:val="24"/>
        </w:rPr>
        <w:t>d'exercer des fonctions d'assistance ou de surveillance dans la gestion</w:t>
      </w:r>
      <w:r w:rsidRPr="003E0617">
        <w:rPr>
          <w:rFonts w:ascii="Times New Roman" w:hAnsi="Times New Roman" w:cs="Times New Roman"/>
          <w:sz w:val="24"/>
          <w:szCs w:val="24"/>
        </w:rPr>
        <w:t xml:space="preserve"> </w:t>
      </w:r>
      <w:r w:rsidRPr="003E0617">
        <w:rPr>
          <w:rFonts w:ascii="Times New Roman" w:hAnsi="Times New Roman" w:cs="Times New Roman"/>
          <w:b/>
          <w:sz w:val="24"/>
          <w:szCs w:val="24"/>
        </w:rPr>
        <w:t>de ces biens</w:t>
      </w:r>
      <w:r w:rsidR="00C42590">
        <w:rPr>
          <w:rFonts w:ascii="Times New Roman" w:hAnsi="Times New Roman" w:cs="Times New Roman"/>
          <w:sz w:val="24"/>
          <w:szCs w:val="24"/>
        </w:rPr>
        <w:t xml:space="preserve"> »</w:t>
      </w:r>
    </w:p>
    <w:p w:rsidR="001251E8" w:rsidRPr="00C42590" w:rsidRDefault="003E0617" w:rsidP="00C42590">
      <w:pPr>
        <w:spacing w:line="240" w:lineRule="auto"/>
        <w:jc w:val="both"/>
        <w:rPr>
          <w:rFonts w:ascii="Times New Roman" w:hAnsi="Times New Roman" w:cs="Times New Roman"/>
          <w:sz w:val="24"/>
          <w:szCs w:val="24"/>
        </w:rPr>
      </w:pPr>
      <w:r w:rsidRPr="003E0617">
        <w:rPr>
          <w:rFonts w:ascii="Times New Roman" w:hAnsi="Times New Roman" w:cs="Times New Roman"/>
          <w:sz w:val="24"/>
          <w:szCs w:val="24"/>
        </w:rPr>
        <w:t>Administration judiciaire et administration provisoire, qu’elles</w:t>
      </w:r>
      <w:r w:rsidR="001251E8">
        <w:rPr>
          <w:rFonts w:ascii="Times New Roman" w:hAnsi="Times New Roman" w:cs="Times New Roman"/>
          <w:sz w:val="24"/>
          <w:szCs w:val="24"/>
        </w:rPr>
        <w:t xml:space="preserve"> soi</w:t>
      </w:r>
      <w:r w:rsidRPr="003E0617">
        <w:rPr>
          <w:rFonts w:ascii="Times New Roman" w:hAnsi="Times New Roman" w:cs="Times New Roman"/>
          <w:sz w:val="24"/>
          <w:szCs w:val="24"/>
        </w:rPr>
        <w:t>ent de nature civile ou commerciale, sont deux mesures de prévention et de traitement des difficultés qui se complètent et ne sont donc pas identiques.</w:t>
      </w:r>
      <w:r w:rsidR="00C42590">
        <w:rPr>
          <w:rFonts w:ascii="Times New Roman" w:hAnsi="Times New Roman" w:cs="Times New Roman"/>
          <w:sz w:val="24"/>
          <w:szCs w:val="24"/>
        </w:rPr>
        <w:t xml:space="preserve">  </w:t>
      </w:r>
    </w:p>
    <w:p w:rsidR="00C42590" w:rsidRDefault="00CC4377" w:rsidP="005D78E1">
      <w:pPr>
        <w:pStyle w:val="Sansinterligne"/>
        <w:spacing w:after="200"/>
        <w:jc w:val="both"/>
      </w:pPr>
      <w:r>
        <w:lastRenderedPageBreak/>
        <w:t xml:space="preserve">Un </w:t>
      </w:r>
      <w:r w:rsidR="003E0617" w:rsidRPr="003E0617">
        <w:t>critère de la distinction entre ces deux mesures</w:t>
      </w:r>
      <w:r>
        <w:t>,</w:t>
      </w:r>
      <w:r w:rsidR="003E0617" w:rsidRPr="003E0617">
        <w:t xml:space="preserve"> exercées</w:t>
      </w:r>
      <w:r>
        <w:t xml:space="preserve">toutes deux, par </w:t>
      </w:r>
      <w:r w:rsidR="003E0617" w:rsidRPr="003E0617">
        <w:t xml:space="preserve"> l’administrateur judiciaire est l’état la cessa</w:t>
      </w:r>
      <w:r>
        <w:t>tion des paiements. L</w:t>
      </w:r>
      <w:r w:rsidR="003E0617" w:rsidRPr="003E0617">
        <w:t>e droit français connaît l’administration judiciaire des entreprises en difficultés d’une part et l’administration provisoire</w:t>
      </w:r>
      <w:r>
        <w:t xml:space="preserve"> d’entités</w:t>
      </w:r>
      <w:r w:rsidR="003E0617" w:rsidRPr="003E0617">
        <w:t xml:space="preserve"> </w:t>
      </w:r>
      <w:r w:rsidR="003E0617" w:rsidRPr="003E0617">
        <w:rPr>
          <w:b/>
        </w:rPr>
        <w:t>in-bonis</w:t>
      </w:r>
      <w:r>
        <w:rPr>
          <w:b/>
        </w:rPr>
        <w:t> :</w:t>
      </w:r>
      <w:r w:rsidR="003E0617" w:rsidRPr="003E0617">
        <w:t xml:space="preserve"> </w:t>
      </w:r>
      <w:r>
        <w:t xml:space="preserve">sont concernés des </w:t>
      </w:r>
      <w:r w:rsidR="003E0617" w:rsidRPr="003E0617">
        <w:t xml:space="preserve">patrimoines, </w:t>
      </w:r>
      <w:r>
        <w:t xml:space="preserve">des </w:t>
      </w:r>
      <w:r w:rsidR="003E0617" w:rsidRPr="003E0617">
        <w:t xml:space="preserve">copropriétés, </w:t>
      </w:r>
      <w:r>
        <w:t xml:space="preserve">des </w:t>
      </w:r>
      <w:r w:rsidR="003E0617" w:rsidRPr="003E0617">
        <w:t>société</w:t>
      </w:r>
      <w:r>
        <w:t>s</w:t>
      </w:r>
      <w:r w:rsidR="003E0617" w:rsidRPr="003E0617">
        <w:t xml:space="preserve"> civiles et commerciales, associations … Ces deux </w:t>
      </w:r>
      <w:r>
        <w:t>missions se succèdent et se superposent</w:t>
      </w:r>
      <w:r w:rsidR="003E0617" w:rsidRPr="003E0617">
        <w:t xml:space="preserve">. </w:t>
      </w:r>
      <w:r w:rsidR="002901FA">
        <w:t>En effet, l’administrateur provisoire qui représente les organes de gestion de la société est amené à collaborer avec l’ad</w:t>
      </w:r>
      <w:r w:rsidR="003E0617" w:rsidRPr="003E0617">
        <w:t>ministrateur</w:t>
      </w:r>
      <w:r w:rsidR="002901FA">
        <w:t xml:space="preserve"> judiciaire.</w:t>
      </w:r>
    </w:p>
    <w:p w:rsidR="00C42590" w:rsidRPr="001251E8" w:rsidRDefault="00C42590" w:rsidP="001251E8">
      <w:pPr>
        <w:pStyle w:val="Sansinterligne"/>
        <w:jc w:val="both"/>
      </w:pPr>
    </w:p>
    <w:tbl>
      <w:tblPr>
        <w:tblStyle w:val="Grilledutableau"/>
        <w:tblW w:w="0" w:type="auto"/>
        <w:tblLook w:val="04A0" w:firstRow="1" w:lastRow="0" w:firstColumn="1" w:lastColumn="0" w:noHBand="0" w:noVBand="1"/>
      </w:tblPr>
      <w:tblGrid>
        <w:gridCol w:w="3823"/>
        <w:gridCol w:w="5239"/>
      </w:tblGrid>
      <w:tr w:rsidR="003E0617" w:rsidRPr="003E0617" w:rsidTr="0023188F">
        <w:tc>
          <w:tcPr>
            <w:tcW w:w="9062" w:type="dxa"/>
            <w:gridSpan w:val="2"/>
            <w:tcBorders>
              <w:top w:val="single" w:sz="4" w:space="0" w:color="auto"/>
              <w:left w:val="single" w:sz="4" w:space="0" w:color="auto"/>
              <w:bottom w:val="single" w:sz="4" w:space="0" w:color="auto"/>
              <w:right w:val="single" w:sz="4" w:space="0" w:color="auto"/>
            </w:tcBorders>
          </w:tcPr>
          <w:p w:rsidR="003E0617" w:rsidRPr="003E0617" w:rsidRDefault="003E0617" w:rsidP="0023188F">
            <w:pPr>
              <w:pStyle w:val="Sansinterligne"/>
              <w:rPr>
                <w:sz w:val="20"/>
                <w:szCs w:val="20"/>
              </w:rPr>
            </w:pPr>
          </w:p>
          <w:p w:rsidR="003E0617" w:rsidRPr="003E0617" w:rsidRDefault="003E0617" w:rsidP="0023188F">
            <w:pPr>
              <w:pStyle w:val="Sansinterligne"/>
              <w:jc w:val="center"/>
              <w:rPr>
                <w:sz w:val="20"/>
                <w:szCs w:val="20"/>
              </w:rPr>
            </w:pPr>
            <w:r w:rsidRPr="003E0617">
              <w:rPr>
                <w:sz w:val="20"/>
                <w:szCs w:val="20"/>
              </w:rPr>
              <w:t xml:space="preserve">Les cas de désignation d’un administrateur Judiciaire en procédures collectives </w:t>
            </w:r>
          </w:p>
          <w:p w:rsidR="003E0617" w:rsidRPr="003E0617" w:rsidRDefault="003E0617" w:rsidP="0023188F">
            <w:pPr>
              <w:pStyle w:val="Sansinterligne"/>
              <w:jc w:val="center"/>
              <w:rPr>
                <w:rFonts w:eastAsiaTheme="minorHAnsi"/>
                <w:b/>
                <w:sz w:val="20"/>
                <w:szCs w:val="20"/>
                <w:lang w:eastAsia="en-US"/>
              </w:rPr>
            </w:pPr>
            <w:r w:rsidRPr="003E0617">
              <w:rPr>
                <w:b/>
                <w:sz w:val="20"/>
                <w:szCs w:val="20"/>
              </w:rPr>
              <w:t xml:space="preserve">Procédures Collectives : Missions </w:t>
            </w:r>
            <w:r w:rsidR="002901FA">
              <w:rPr>
                <w:b/>
                <w:sz w:val="20"/>
                <w:szCs w:val="20"/>
              </w:rPr>
              <w:t xml:space="preserve">exclusivement </w:t>
            </w:r>
            <w:r w:rsidRPr="003E0617">
              <w:rPr>
                <w:b/>
                <w:sz w:val="20"/>
                <w:szCs w:val="20"/>
              </w:rPr>
              <w:t>confiées aux administrateurs judiciaires</w:t>
            </w:r>
          </w:p>
          <w:p w:rsidR="003E0617" w:rsidRPr="003E0617" w:rsidRDefault="003E0617" w:rsidP="0023188F">
            <w:pPr>
              <w:pStyle w:val="Sansinterligne"/>
              <w:jc w:val="center"/>
              <w:rPr>
                <w:b/>
                <w:sz w:val="20"/>
                <w:szCs w:val="20"/>
              </w:rPr>
            </w:pPr>
          </w:p>
        </w:tc>
      </w:tr>
      <w:tr w:rsidR="003E0617" w:rsidRPr="003E0617" w:rsidTr="0023188F">
        <w:tc>
          <w:tcPr>
            <w:tcW w:w="3823" w:type="dxa"/>
            <w:tcBorders>
              <w:top w:val="single" w:sz="4" w:space="0" w:color="auto"/>
              <w:left w:val="single" w:sz="4" w:space="0" w:color="auto"/>
              <w:bottom w:val="single" w:sz="4" w:space="0" w:color="auto"/>
              <w:right w:val="single" w:sz="4" w:space="0" w:color="auto"/>
            </w:tcBorders>
            <w:hideMark/>
          </w:tcPr>
          <w:p w:rsidR="003E0617" w:rsidRPr="003E0617" w:rsidRDefault="003E0617" w:rsidP="0023188F">
            <w:pPr>
              <w:pStyle w:val="Sansinterligne"/>
              <w:jc w:val="center"/>
              <w:rPr>
                <w:sz w:val="20"/>
                <w:szCs w:val="20"/>
              </w:rPr>
            </w:pPr>
            <w:r w:rsidRPr="003E0617">
              <w:rPr>
                <w:sz w:val="20"/>
                <w:szCs w:val="20"/>
              </w:rPr>
              <w:t>Nature du mandat</w:t>
            </w:r>
          </w:p>
        </w:tc>
        <w:tc>
          <w:tcPr>
            <w:tcW w:w="5239" w:type="dxa"/>
            <w:tcBorders>
              <w:top w:val="single" w:sz="4" w:space="0" w:color="auto"/>
              <w:left w:val="single" w:sz="4" w:space="0" w:color="auto"/>
              <w:bottom w:val="single" w:sz="4" w:space="0" w:color="auto"/>
              <w:right w:val="single" w:sz="4" w:space="0" w:color="auto"/>
            </w:tcBorders>
            <w:hideMark/>
          </w:tcPr>
          <w:p w:rsidR="003E0617" w:rsidRPr="003E0617" w:rsidRDefault="003E0617" w:rsidP="0023188F">
            <w:pPr>
              <w:pStyle w:val="Sansinterligne"/>
              <w:jc w:val="center"/>
              <w:rPr>
                <w:sz w:val="20"/>
                <w:szCs w:val="20"/>
              </w:rPr>
            </w:pPr>
            <w:r w:rsidRPr="003E0617">
              <w:rPr>
                <w:sz w:val="20"/>
                <w:szCs w:val="20"/>
              </w:rPr>
              <w:t>Cause habituelle de désignation</w:t>
            </w:r>
          </w:p>
          <w:p w:rsidR="003E0617" w:rsidRPr="003E0617" w:rsidRDefault="003E0617" w:rsidP="0023188F">
            <w:pPr>
              <w:pStyle w:val="Sansinterligne"/>
              <w:jc w:val="center"/>
              <w:rPr>
                <w:sz w:val="20"/>
                <w:szCs w:val="20"/>
              </w:rPr>
            </w:pPr>
          </w:p>
        </w:tc>
      </w:tr>
      <w:tr w:rsidR="003E0617" w:rsidRPr="003E0617" w:rsidTr="0023188F">
        <w:tc>
          <w:tcPr>
            <w:tcW w:w="3823" w:type="dxa"/>
            <w:tcBorders>
              <w:top w:val="single" w:sz="4" w:space="0" w:color="auto"/>
              <w:left w:val="single" w:sz="4" w:space="0" w:color="auto"/>
              <w:bottom w:val="single" w:sz="4" w:space="0" w:color="auto"/>
              <w:right w:val="single" w:sz="4" w:space="0" w:color="auto"/>
            </w:tcBorders>
          </w:tcPr>
          <w:p w:rsidR="003E0617" w:rsidRPr="003E0617" w:rsidRDefault="003E0617" w:rsidP="0023188F">
            <w:pPr>
              <w:pStyle w:val="Sansinterligne"/>
              <w:rPr>
                <w:b/>
                <w:color w:val="auto"/>
                <w:sz w:val="20"/>
                <w:szCs w:val="20"/>
              </w:rPr>
            </w:pPr>
            <w:r w:rsidRPr="003E0617">
              <w:rPr>
                <w:b/>
                <w:color w:val="auto"/>
                <w:sz w:val="20"/>
                <w:szCs w:val="20"/>
              </w:rPr>
              <w:t>Sauvegarde</w:t>
            </w:r>
          </w:p>
          <w:p w:rsidR="003E0617" w:rsidRPr="003E0617" w:rsidRDefault="003E0617" w:rsidP="0023188F">
            <w:pPr>
              <w:pStyle w:val="Sansinterligne"/>
              <w:jc w:val="center"/>
              <w:rPr>
                <w:b/>
                <w:color w:val="auto"/>
                <w:sz w:val="20"/>
                <w:szCs w:val="20"/>
              </w:rPr>
            </w:pPr>
          </w:p>
          <w:p w:rsidR="003E0617" w:rsidRPr="003E0617" w:rsidRDefault="003E0617" w:rsidP="0023188F">
            <w:pPr>
              <w:pStyle w:val="Sansinterligne"/>
              <w:jc w:val="center"/>
              <w:rPr>
                <w:b/>
                <w:sz w:val="20"/>
                <w:szCs w:val="20"/>
              </w:rPr>
            </w:pPr>
          </w:p>
          <w:p w:rsidR="003E0617" w:rsidRPr="003E0617" w:rsidRDefault="003E0617" w:rsidP="0023188F">
            <w:pPr>
              <w:pStyle w:val="Sansinterligne"/>
              <w:jc w:val="center"/>
              <w:rPr>
                <w:b/>
                <w:sz w:val="20"/>
                <w:szCs w:val="20"/>
              </w:rPr>
            </w:pPr>
          </w:p>
          <w:p w:rsidR="003E0617" w:rsidRPr="003E0617" w:rsidRDefault="003E0617" w:rsidP="0023188F">
            <w:pPr>
              <w:pStyle w:val="Sansinterligne"/>
              <w:rPr>
                <w:b/>
                <w:color w:val="auto"/>
                <w:sz w:val="20"/>
                <w:szCs w:val="20"/>
              </w:rPr>
            </w:pPr>
            <w:r w:rsidRPr="003E0617">
              <w:rPr>
                <w:b/>
                <w:color w:val="auto"/>
                <w:sz w:val="20"/>
                <w:szCs w:val="20"/>
              </w:rPr>
              <w:t>Sauvegarde accélérée</w:t>
            </w:r>
          </w:p>
          <w:p w:rsidR="003E0617" w:rsidRPr="003E0617" w:rsidRDefault="003E0617" w:rsidP="0023188F">
            <w:pPr>
              <w:pStyle w:val="Sansinterligne"/>
              <w:rPr>
                <w:b/>
                <w:color w:val="auto"/>
                <w:sz w:val="20"/>
                <w:szCs w:val="20"/>
              </w:rPr>
            </w:pPr>
          </w:p>
          <w:p w:rsidR="003E0617" w:rsidRPr="003E0617" w:rsidRDefault="003E0617" w:rsidP="0023188F">
            <w:pPr>
              <w:pStyle w:val="Sansinterligne"/>
              <w:rPr>
                <w:b/>
                <w:color w:val="auto"/>
                <w:sz w:val="20"/>
                <w:szCs w:val="20"/>
              </w:rPr>
            </w:pPr>
          </w:p>
          <w:p w:rsidR="003E0617" w:rsidRPr="003E0617" w:rsidRDefault="003E0617" w:rsidP="0023188F">
            <w:pPr>
              <w:pStyle w:val="Sansinterligne"/>
              <w:rPr>
                <w:b/>
                <w:color w:val="auto"/>
                <w:sz w:val="20"/>
                <w:szCs w:val="20"/>
              </w:rPr>
            </w:pPr>
          </w:p>
        </w:tc>
        <w:tc>
          <w:tcPr>
            <w:tcW w:w="5239" w:type="dxa"/>
            <w:tcBorders>
              <w:top w:val="single" w:sz="4" w:space="0" w:color="auto"/>
              <w:left w:val="single" w:sz="4" w:space="0" w:color="auto"/>
              <w:bottom w:val="single" w:sz="4" w:space="0" w:color="auto"/>
              <w:right w:val="single" w:sz="4" w:space="0" w:color="auto"/>
            </w:tcBorders>
          </w:tcPr>
          <w:p w:rsidR="003E0617" w:rsidRPr="003E0617" w:rsidRDefault="003E0617" w:rsidP="0023188F">
            <w:pPr>
              <w:pStyle w:val="Sansinterligne"/>
              <w:rPr>
                <w:sz w:val="20"/>
                <w:szCs w:val="20"/>
              </w:rPr>
            </w:pPr>
            <w:r w:rsidRPr="003E0617">
              <w:rPr>
                <w:sz w:val="20"/>
                <w:szCs w:val="20"/>
              </w:rPr>
              <w:t>Impose l’absence de cessation des paiements et existence de difficultés qu'il n'est pas en mesure de surmonter</w:t>
            </w:r>
          </w:p>
          <w:p w:rsidR="003E0617" w:rsidRPr="003E0617" w:rsidRDefault="003E0617" w:rsidP="0023188F">
            <w:pPr>
              <w:pStyle w:val="Sansinterligne"/>
              <w:rPr>
                <w:sz w:val="20"/>
                <w:szCs w:val="20"/>
              </w:rPr>
            </w:pPr>
          </w:p>
          <w:p w:rsidR="003E0617" w:rsidRPr="003E0617" w:rsidRDefault="003E0617" w:rsidP="0023188F">
            <w:pPr>
              <w:pStyle w:val="Sansinterligne"/>
              <w:rPr>
                <w:sz w:val="20"/>
                <w:szCs w:val="20"/>
              </w:rPr>
            </w:pPr>
          </w:p>
          <w:p w:rsidR="003E0617" w:rsidRPr="003E0617" w:rsidRDefault="003E0617" w:rsidP="0023188F">
            <w:pPr>
              <w:pStyle w:val="Sansinterligne"/>
              <w:rPr>
                <w:sz w:val="20"/>
                <w:szCs w:val="20"/>
              </w:rPr>
            </w:pPr>
            <w:r w:rsidRPr="003E0617">
              <w:rPr>
                <w:sz w:val="20"/>
                <w:szCs w:val="20"/>
              </w:rPr>
              <w:t xml:space="preserve">Lors de </w:t>
            </w:r>
            <w:r w:rsidR="002901FA">
              <w:rPr>
                <w:sz w:val="20"/>
                <w:szCs w:val="20"/>
              </w:rPr>
              <w:t xml:space="preserve">la phase préalable de conciliation, </w:t>
            </w:r>
            <w:r w:rsidRPr="003E0617">
              <w:rPr>
                <w:sz w:val="20"/>
                <w:szCs w:val="20"/>
              </w:rPr>
              <w:t>justifier avoir élaboré un projet de plan tendant à assurer la pérennité de l'entreprise.</w:t>
            </w:r>
          </w:p>
          <w:p w:rsidR="003E0617" w:rsidRPr="003E0617" w:rsidRDefault="003E0617" w:rsidP="0023188F">
            <w:pPr>
              <w:pStyle w:val="Sansinterligne"/>
              <w:rPr>
                <w:sz w:val="20"/>
                <w:szCs w:val="20"/>
              </w:rPr>
            </w:pPr>
          </w:p>
          <w:p w:rsidR="003E0617" w:rsidRPr="003E0617" w:rsidRDefault="003E0617" w:rsidP="0023188F">
            <w:pPr>
              <w:pStyle w:val="Sansinterligne"/>
              <w:rPr>
                <w:sz w:val="20"/>
                <w:szCs w:val="20"/>
              </w:rPr>
            </w:pPr>
            <w:r w:rsidRPr="003E0617">
              <w:rPr>
                <w:sz w:val="20"/>
                <w:szCs w:val="20"/>
              </w:rPr>
              <w:t xml:space="preserve">  </w:t>
            </w:r>
          </w:p>
        </w:tc>
      </w:tr>
      <w:tr w:rsidR="003E0617" w:rsidRPr="003E0617" w:rsidTr="0023188F">
        <w:tc>
          <w:tcPr>
            <w:tcW w:w="3823" w:type="dxa"/>
            <w:tcBorders>
              <w:top w:val="single" w:sz="4" w:space="0" w:color="auto"/>
              <w:left w:val="single" w:sz="4" w:space="0" w:color="auto"/>
              <w:bottom w:val="single" w:sz="4" w:space="0" w:color="auto"/>
              <w:right w:val="single" w:sz="4" w:space="0" w:color="auto"/>
            </w:tcBorders>
          </w:tcPr>
          <w:p w:rsidR="003E0617" w:rsidRPr="003E0617" w:rsidRDefault="003E0617" w:rsidP="0023188F">
            <w:pPr>
              <w:pStyle w:val="Sansinterligne"/>
              <w:rPr>
                <w:b/>
                <w:color w:val="auto"/>
                <w:sz w:val="20"/>
                <w:szCs w:val="20"/>
              </w:rPr>
            </w:pPr>
            <w:r w:rsidRPr="003E0617">
              <w:rPr>
                <w:b/>
                <w:color w:val="auto"/>
                <w:sz w:val="20"/>
                <w:szCs w:val="20"/>
              </w:rPr>
              <w:t>Redressement Judiciaire</w:t>
            </w:r>
          </w:p>
          <w:p w:rsidR="003E0617" w:rsidRPr="003E0617" w:rsidRDefault="003E0617" w:rsidP="0023188F">
            <w:pPr>
              <w:pStyle w:val="Sansinterligne"/>
              <w:jc w:val="center"/>
              <w:rPr>
                <w:b/>
                <w:color w:val="auto"/>
                <w:sz w:val="20"/>
                <w:szCs w:val="20"/>
              </w:rPr>
            </w:pPr>
          </w:p>
          <w:p w:rsidR="003E0617" w:rsidRPr="003E0617" w:rsidRDefault="003E0617" w:rsidP="0023188F">
            <w:pPr>
              <w:pStyle w:val="Sansinterligne"/>
              <w:rPr>
                <w:color w:val="auto"/>
                <w:sz w:val="20"/>
                <w:szCs w:val="20"/>
              </w:rPr>
            </w:pPr>
            <w:r w:rsidRPr="003E0617">
              <w:rPr>
                <w:color w:val="auto"/>
                <w:sz w:val="20"/>
                <w:szCs w:val="20"/>
              </w:rPr>
              <w:t>Solutions :</w:t>
            </w:r>
          </w:p>
          <w:p w:rsidR="003E0617" w:rsidRPr="003E0617" w:rsidRDefault="003E0617" w:rsidP="003E0617">
            <w:pPr>
              <w:pStyle w:val="Sansinterligne"/>
              <w:numPr>
                <w:ilvl w:val="0"/>
                <w:numId w:val="47"/>
              </w:numPr>
              <w:pBdr>
                <w:top w:val="none" w:sz="0" w:space="0" w:color="auto"/>
                <w:left w:val="none" w:sz="0" w:space="0" w:color="auto"/>
                <w:bottom w:val="none" w:sz="0" w:space="0" w:color="auto"/>
                <w:right w:val="none" w:sz="0" w:space="0" w:color="auto"/>
                <w:between w:val="none" w:sz="0" w:space="0" w:color="auto"/>
              </w:pBdr>
              <w:rPr>
                <w:color w:val="auto"/>
                <w:sz w:val="20"/>
                <w:szCs w:val="20"/>
              </w:rPr>
            </w:pPr>
            <w:r w:rsidRPr="003E0617">
              <w:rPr>
                <w:color w:val="auto"/>
                <w:sz w:val="20"/>
                <w:szCs w:val="20"/>
              </w:rPr>
              <w:t xml:space="preserve">Plan de redressement par voie de continuation </w:t>
            </w:r>
          </w:p>
          <w:p w:rsidR="003E0617" w:rsidRPr="002901FA" w:rsidRDefault="003E0617" w:rsidP="0023188F">
            <w:pPr>
              <w:pStyle w:val="Sansinterligne"/>
              <w:numPr>
                <w:ilvl w:val="0"/>
                <w:numId w:val="47"/>
              </w:numPr>
              <w:pBdr>
                <w:top w:val="none" w:sz="0" w:space="0" w:color="auto"/>
                <w:left w:val="none" w:sz="0" w:space="0" w:color="auto"/>
                <w:bottom w:val="none" w:sz="0" w:space="0" w:color="auto"/>
                <w:right w:val="none" w:sz="0" w:space="0" w:color="auto"/>
                <w:between w:val="none" w:sz="0" w:space="0" w:color="auto"/>
              </w:pBdr>
              <w:rPr>
                <w:color w:val="auto"/>
                <w:sz w:val="20"/>
                <w:szCs w:val="20"/>
              </w:rPr>
            </w:pPr>
            <w:r w:rsidRPr="003E0617">
              <w:rPr>
                <w:color w:val="auto"/>
                <w:sz w:val="20"/>
                <w:szCs w:val="20"/>
              </w:rPr>
              <w:t>Plan de redressement par voie de cession de fonds ou de parts sociales</w:t>
            </w:r>
            <w:r w:rsidR="002901FA">
              <w:rPr>
                <w:color w:val="auto"/>
                <w:sz w:val="20"/>
                <w:szCs w:val="20"/>
              </w:rPr>
              <w:t>,</w:t>
            </w:r>
            <w:r w:rsidRPr="003E0617">
              <w:rPr>
                <w:color w:val="auto"/>
                <w:sz w:val="20"/>
                <w:szCs w:val="20"/>
              </w:rPr>
              <w:t xml:space="preserve"> </w:t>
            </w:r>
            <w:r w:rsidR="002901FA">
              <w:rPr>
                <w:color w:val="auto"/>
                <w:sz w:val="20"/>
                <w:szCs w:val="20"/>
              </w:rPr>
              <w:t xml:space="preserve"> </w:t>
            </w:r>
            <w:r w:rsidR="002901FA" w:rsidRPr="002901FA">
              <w:rPr>
                <w:b/>
                <w:sz w:val="20"/>
                <w:szCs w:val="20"/>
              </w:rPr>
              <w:t>possible v</w:t>
            </w:r>
            <w:r w:rsidRPr="002901FA">
              <w:rPr>
                <w:b/>
                <w:sz w:val="20"/>
                <w:szCs w:val="20"/>
              </w:rPr>
              <w:t>ia le Prepack cession</w:t>
            </w:r>
          </w:p>
          <w:p w:rsidR="003E0617" w:rsidRPr="003E0617" w:rsidRDefault="003E0617" w:rsidP="0023188F">
            <w:pPr>
              <w:pStyle w:val="Sansinterligne"/>
              <w:rPr>
                <w:b/>
                <w:color w:val="auto"/>
                <w:sz w:val="20"/>
                <w:szCs w:val="20"/>
              </w:rPr>
            </w:pPr>
          </w:p>
        </w:tc>
        <w:tc>
          <w:tcPr>
            <w:tcW w:w="5239" w:type="dxa"/>
            <w:tcBorders>
              <w:top w:val="single" w:sz="4" w:space="0" w:color="auto"/>
              <w:left w:val="single" w:sz="4" w:space="0" w:color="auto"/>
              <w:bottom w:val="single" w:sz="4" w:space="0" w:color="auto"/>
              <w:right w:val="single" w:sz="4" w:space="0" w:color="auto"/>
            </w:tcBorders>
          </w:tcPr>
          <w:p w:rsidR="003E0617" w:rsidRPr="003E0617" w:rsidRDefault="003E0617" w:rsidP="0023188F">
            <w:pPr>
              <w:pStyle w:val="Sansinterligne"/>
              <w:rPr>
                <w:sz w:val="20"/>
                <w:szCs w:val="20"/>
              </w:rPr>
            </w:pPr>
          </w:p>
          <w:p w:rsidR="003E0617" w:rsidRPr="003E0617" w:rsidRDefault="003E0617" w:rsidP="0023188F">
            <w:pPr>
              <w:pStyle w:val="Sansinterligne"/>
              <w:rPr>
                <w:sz w:val="20"/>
                <w:szCs w:val="20"/>
              </w:rPr>
            </w:pPr>
          </w:p>
          <w:p w:rsidR="003E0617" w:rsidRPr="003E0617" w:rsidRDefault="003E0617" w:rsidP="0023188F">
            <w:pPr>
              <w:pStyle w:val="Sansinterligne"/>
              <w:rPr>
                <w:sz w:val="20"/>
                <w:szCs w:val="20"/>
              </w:rPr>
            </w:pPr>
            <w:r w:rsidRPr="003E0617">
              <w:rPr>
                <w:sz w:val="20"/>
                <w:szCs w:val="20"/>
              </w:rPr>
              <w:t>Impossibilité de faire face au passif exigible avec son actif disponible, suppose cessation des paiements</w:t>
            </w:r>
          </w:p>
          <w:p w:rsidR="003E0617" w:rsidRPr="003E0617" w:rsidRDefault="003E0617" w:rsidP="0023188F">
            <w:pPr>
              <w:pStyle w:val="Sansinterligne"/>
              <w:rPr>
                <w:sz w:val="20"/>
                <w:szCs w:val="20"/>
              </w:rPr>
            </w:pPr>
          </w:p>
          <w:p w:rsidR="003E0617" w:rsidRPr="003E0617" w:rsidRDefault="003E0617" w:rsidP="0023188F">
            <w:pPr>
              <w:pStyle w:val="Sansinterligne"/>
              <w:rPr>
                <w:sz w:val="20"/>
                <w:szCs w:val="20"/>
              </w:rPr>
            </w:pPr>
          </w:p>
          <w:p w:rsidR="003E0617" w:rsidRPr="003E0617" w:rsidRDefault="003E0617" w:rsidP="0023188F">
            <w:pPr>
              <w:pStyle w:val="Sansinterligne"/>
              <w:rPr>
                <w:sz w:val="20"/>
                <w:szCs w:val="20"/>
              </w:rPr>
            </w:pPr>
          </w:p>
          <w:p w:rsidR="003E0617" w:rsidRPr="003E0617" w:rsidRDefault="003E0617" w:rsidP="0023188F">
            <w:pPr>
              <w:pStyle w:val="Sansinterligne"/>
              <w:rPr>
                <w:sz w:val="20"/>
                <w:szCs w:val="20"/>
              </w:rPr>
            </w:pPr>
          </w:p>
          <w:p w:rsidR="003E0617" w:rsidRPr="003E0617" w:rsidRDefault="003E0617" w:rsidP="0023188F">
            <w:pPr>
              <w:pStyle w:val="Sansinterligne"/>
              <w:rPr>
                <w:sz w:val="20"/>
                <w:szCs w:val="20"/>
              </w:rPr>
            </w:pPr>
          </w:p>
        </w:tc>
      </w:tr>
    </w:tbl>
    <w:p w:rsidR="003E0617" w:rsidRPr="003E0617" w:rsidRDefault="003E0617" w:rsidP="003E0617">
      <w:pPr>
        <w:rPr>
          <w:rFonts w:ascii="Times New Roman" w:eastAsiaTheme="majorEastAsia" w:hAnsi="Times New Roman" w:cs="Times New Roman"/>
          <w:color w:val="272727" w:themeColor="text1" w:themeTint="D8"/>
          <w:sz w:val="24"/>
          <w:szCs w:val="24"/>
        </w:rPr>
      </w:pPr>
    </w:p>
    <w:p w:rsidR="001251E8" w:rsidRPr="0077507B" w:rsidRDefault="003E0617" w:rsidP="0077507B">
      <w:pPr>
        <w:spacing w:line="240" w:lineRule="auto"/>
        <w:rPr>
          <w:rFonts w:ascii="Times New Roman" w:eastAsiaTheme="majorEastAsia" w:hAnsi="Times New Roman" w:cs="Times New Roman"/>
          <w:color w:val="272727" w:themeColor="text1" w:themeTint="D8"/>
          <w:sz w:val="24"/>
          <w:szCs w:val="24"/>
        </w:rPr>
      </w:pPr>
      <w:r w:rsidRPr="003E0617">
        <w:rPr>
          <w:rFonts w:ascii="Times New Roman" w:eastAsiaTheme="majorEastAsia" w:hAnsi="Times New Roman" w:cs="Times New Roman"/>
          <w:color w:val="272727" w:themeColor="text1" w:themeTint="D8"/>
          <w:sz w:val="24"/>
          <w:szCs w:val="24"/>
        </w:rPr>
        <w:t>Le tableau ci-dessus montre les situations dans lesquelles l’administrateur judiciaire prend un rôle dans les procédures collectives, pendant que le suivant montre sa désignation en tant que administrateur provisoire dans certaines circonstances.</w:t>
      </w:r>
    </w:p>
    <w:p w:rsidR="005D78E1" w:rsidRDefault="003E0617" w:rsidP="005D78E1">
      <w:pPr>
        <w:spacing w:line="240" w:lineRule="auto"/>
        <w:jc w:val="both"/>
        <w:rPr>
          <w:rFonts w:ascii="Times New Roman" w:hAnsi="Times New Roman" w:cs="Times New Roman"/>
          <w:sz w:val="24"/>
          <w:szCs w:val="24"/>
        </w:rPr>
      </w:pPr>
      <w:r w:rsidRPr="003E0617">
        <w:rPr>
          <w:rFonts w:ascii="Times New Roman" w:hAnsi="Times New Roman" w:cs="Times New Roman"/>
          <w:sz w:val="24"/>
          <w:szCs w:val="24"/>
        </w:rPr>
        <w:t xml:space="preserve">Lorsqu’un juge est sollicité pour prononcer une mesure d’administration provisoire, les demandeurs doivent démontrer, la plupart du temps lors d’une procédure d’urgence, un fonctionnement anormal susceptible de mettre en péril le bien. Cette circonstance justifie l’intrusion de la justice dans les affaires d’un groupement ou d’un patrimoine </w:t>
      </w:r>
      <w:r w:rsidRPr="00EE3652">
        <w:rPr>
          <w:rFonts w:ascii="Times New Roman" w:hAnsi="Times New Roman" w:cs="Times New Roman"/>
          <w:i/>
          <w:sz w:val="24"/>
          <w:szCs w:val="24"/>
        </w:rPr>
        <w:t>in-bonis</w:t>
      </w:r>
      <w:r w:rsidRPr="003E0617">
        <w:rPr>
          <w:rFonts w:ascii="Times New Roman" w:hAnsi="Times New Roman" w:cs="Times New Roman"/>
          <w:sz w:val="24"/>
          <w:szCs w:val="24"/>
        </w:rPr>
        <w:t>. Cette exigence est d’autant plus prégnant</w:t>
      </w:r>
      <w:r w:rsidR="00EE3652">
        <w:rPr>
          <w:rFonts w:ascii="Times New Roman" w:hAnsi="Times New Roman" w:cs="Times New Roman"/>
          <w:sz w:val="24"/>
          <w:szCs w:val="24"/>
        </w:rPr>
        <w:t>e, s’agissant d’une association ou d’une société.</w:t>
      </w:r>
      <w:r w:rsidRPr="003E0617">
        <w:rPr>
          <w:rFonts w:ascii="Times New Roman" w:hAnsi="Times New Roman" w:cs="Times New Roman"/>
          <w:sz w:val="24"/>
          <w:szCs w:val="24"/>
        </w:rPr>
        <w:t xml:space="preserve"> En effet</w:t>
      </w:r>
      <w:r w:rsidR="00EE3652">
        <w:rPr>
          <w:rFonts w:ascii="Times New Roman" w:hAnsi="Times New Roman" w:cs="Times New Roman"/>
          <w:sz w:val="24"/>
          <w:szCs w:val="24"/>
        </w:rPr>
        <w:t>,</w:t>
      </w:r>
      <w:r w:rsidRPr="003E0617">
        <w:rPr>
          <w:rFonts w:ascii="Times New Roman" w:hAnsi="Times New Roman" w:cs="Times New Roman"/>
          <w:sz w:val="24"/>
          <w:szCs w:val="24"/>
        </w:rPr>
        <w:t xml:space="preserve"> l’immixtion portant directement atteinte à l’exer</w:t>
      </w:r>
      <w:r w:rsidR="00EE3652">
        <w:rPr>
          <w:rFonts w:ascii="Times New Roman" w:hAnsi="Times New Roman" w:cs="Times New Roman"/>
          <w:sz w:val="24"/>
          <w:szCs w:val="24"/>
        </w:rPr>
        <w:t>cice d’un droit garanti par la C</w:t>
      </w:r>
      <w:r w:rsidRPr="003E0617">
        <w:rPr>
          <w:rFonts w:ascii="Times New Roman" w:hAnsi="Times New Roman" w:cs="Times New Roman"/>
          <w:sz w:val="24"/>
          <w:szCs w:val="24"/>
        </w:rPr>
        <w:t>onstitution, la preuve du péril ou du trouble doit être rapportée. C’est en raison de cette immixtion de la justice que la juridiction suprême exige que l’administration provisoire soit marquée du t</w:t>
      </w:r>
      <w:r w:rsidR="00EE3652">
        <w:rPr>
          <w:rFonts w:ascii="Times New Roman" w:hAnsi="Times New Roman" w:cs="Times New Roman"/>
          <w:sz w:val="24"/>
          <w:szCs w:val="24"/>
        </w:rPr>
        <w:t>riple caractère : exceptionnel, provisoire et conservatoire.</w:t>
      </w:r>
      <w:r w:rsidRPr="003E0617">
        <w:rPr>
          <w:rFonts w:ascii="Times New Roman" w:hAnsi="Times New Roman" w:cs="Times New Roman"/>
          <w:sz w:val="24"/>
          <w:szCs w:val="24"/>
        </w:rPr>
        <w:t xml:space="preserve">  </w:t>
      </w:r>
      <w:r w:rsidR="00EE3652">
        <w:rPr>
          <w:rFonts w:ascii="Times New Roman" w:hAnsi="Times New Roman" w:cs="Times New Roman"/>
          <w:sz w:val="24"/>
          <w:szCs w:val="24"/>
        </w:rPr>
        <w:t xml:space="preserve">Le </w:t>
      </w:r>
      <w:r w:rsidRPr="003E0617">
        <w:rPr>
          <w:rFonts w:ascii="Times New Roman" w:hAnsi="Times New Roman" w:cs="Times New Roman"/>
          <w:sz w:val="24"/>
          <w:szCs w:val="24"/>
        </w:rPr>
        <w:t>dessaisissement des organes de gestion</w:t>
      </w:r>
      <w:r w:rsidR="00EE3652">
        <w:rPr>
          <w:rFonts w:ascii="Times New Roman" w:hAnsi="Times New Roman" w:cs="Times New Roman"/>
          <w:sz w:val="24"/>
          <w:szCs w:val="24"/>
        </w:rPr>
        <w:t xml:space="preserve"> est la première conséquence</w:t>
      </w:r>
      <w:r w:rsidRPr="003E0617">
        <w:rPr>
          <w:rFonts w:ascii="Times New Roman" w:hAnsi="Times New Roman" w:cs="Times New Roman"/>
          <w:sz w:val="24"/>
          <w:szCs w:val="24"/>
        </w:rPr>
        <w:t xml:space="preserve"> de la mise</w:t>
      </w:r>
      <w:r w:rsidR="00EE3652">
        <w:rPr>
          <w:rFonts w:ascii="Times New Roman" w:hAnsi="Times New Roman" w:cs="Times New Roman"/>
          <w:sz w:val="24"/>
          <w:szCs w:val="24"/>
        </w:rPr>
        <w:t xml:space="preserve"> sous Administration Provisoire d’une sociéte alors que l’administration judiciaire abou</w:t>
      </w:r>
      <w:r w:rsidR="005D78E1">
        <w:rPr>
          <w:rFonts w:ascii="Times New Roman" w:hAnsi="Times New Roman" w:cs="Times New Roman"/>
          <w:sz w:val="24"/>
          <w:szCs w:val="24"/>
        </w:rPr>
        <w:t>tit rarement à une telle mesure.</w:t>
      </w:r>
    </w:p>
    <w:p w:rsidR="005D78E1" w:rsidRPr="003E0617" w:rsidRDefault="005D78E1" w:rsidP="003E0617">
      <w:pPr>
        <w:spacing w:after="0" w:line="240" w:lineRule="auto"/>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3647"/>
        <w:gridCol w:w="6072"/>
      </w:tblGrid>
      <w:tr w:rsidR="003E0617" w:rsidRPr="00C03DD6" w:rsidTr="0023188F">
        <w:tc>
          <w:tcPr>
            <w:tcW w:w="9062" w:type="dxa"/>
            <w:gridSpan w:val="2"/>
            <w:tcBorders>
              <w:top w:val="single" w:sz="4" w:space="0" w:color="auto"/>
              <w:left w:val="single" w:sz="4" w:space="0" w:color="auto"/>
              <w:bottom w:val="single" w:sz="4" w:space="0" w:color="auto"/>
              <w:right w:val="single" w:sz="4" w:space="0" w:color="auto"/>
            </w:tcBorders>
          </w:tcPr>
          <w:p w:rsidR="003E0617" w:rsidRDefault="003E0617" w:rsidP="0023188F">
            <w:pPr>
              <w:jc w:val="center"/>
            </w:pPr>
            <w:r w:rsidRPr="00C03DD6">
              <w:t>Les cas emblématiques de désignation de l’administrateur judiciaire provisoire en administration provisoire </w:t>
            </w:r>
          </w:p>
          <w:p w:rsidR="00EE3652" w:rsidRPr="00C03DD6" w:rsidRDefault="00EE3652" w:rsidP="00EE3652"/>
        </w:tc>
      </w:tr>
      <w:tr w:rsidR="003E0617" w:rsidRPr="00C03DD6" w:rsidTr="0023188F">
        <w:tc>
          <w:tcPr>
            <w:tcW w:w="3020" w:type="dxa"/>
            <w:tcBorders>
              <w:top w:val="single" w:sz="4" w:space="0" w:color="auto"/>
              <w:left w:val="single" w:sz="4" w:space="0" w:color="auto"/>
              <w:bottom w:val="single" w:sz="4" w:space="0" w:color="auto"/>
              <w:right w:val="single" w:sz="4" w:space="0" w:color="auto"/>
            </w:tcBorders>
          </w:tcPr>
          <w:p w:rsidR="003E0617" w:rsidRPr="00C03DD6" w:rsidRDefault="003E0617" w:rsidP="00EE3652">
            <w:pPr>
              <w:jc w:val="center"/>
            </w:pPr>
            <w:r w:rsidRPr="00C03DD6">
              <w:t>Circonstan</w:t>
            </w:r>
            <w:r w:rsidR="00EE3652">
              <w:t>ces déclenchant le recours à l’a</w:t>
            </w:r>
            <w:r w:rsidRPr="00C03DD6">
              <w:t>dm</w:t>
            </w:r>
            <w:r w:rsidR="00EE3652">
              <w:t>inistrateur p</w:t>
            </w:r>
            <w:r w:rsidRPr="00C03DD6">
              <w:t xml:space="preserve">rovisoire </w:t>
            </w:r>
          </w:p>
        </w:tc>
        <w:tc>
          <w:tcPr>
            <w:tcW w:w="6042" w:type="dxa"/>
            <w:tcBorders>
              <w:top w:val="single" w:sz="4" w:space="0" w:color="auto"/>
              <w:left w:val="single" w:sz="4" w:space="0" w:color="auto"/>
              <w:bottom w:val="single" w:sz="4" w:space="0" w:color="auto"/>
              <w:right w:val="single" w:sz="4" w:space="0" w:color="auto"/>
            </w:tcBorders>
            <w:hideMark/>
          </w:tcPr>
          <w:p w:rsidR="003E0617" w:rsidRPr="00C03DD6" w:rsidRDefault="003E0617" w:rsidP="0023188F">
            <w:pPr>
              <w:jc w:val="center"/>
            </w:pPr>
            <w:r w:rsidRPr="00C03DD6">
              <w:t xml:space="preserve">Les différentes figures du fonctionnement anormal susceptible de provoquer un péril imminent </w:t>
            </w:r>
          </w:p>
          <w:p w:rsidR="003E0617" w:rsidRPr="00C03DD6" w:rsidRDefault="003E0617" w:rsidP="0023188F">
            <w:pPr>
              <w:jc w:val="center"/>
            </w:pPr>
          </w:p>
        </w:tc>
      </w:tr>
      <w:tr w:rsidR="006E05A9" w:rsidRPr="00C03DD6" w:rsidTr="0023188F">
        <w:tc>
          <w:tcPr>
            <w:tcW w:w="9062" w:type="dxa"/>
            <w:gridSpan w:val="2"/>
            <w:tcBorders>
              <w:top w:val="single" w:sz="4" w:space="0" w:color="auto"/>
              <w:left w:val="single" w:sz="4" w:space="0" w:color="auto"/>
              <w:bottom w:val="single" w:sz="4" w:space="0" w:color="auto"/>
              <w:right w:val="single" w:sz="4" w:space="0" w:color="auto"/>
            </w:tcBorders>
          </w:tcPr>
          <w:tbl>
            <w:tblPr>
              <w:tblStyle w:val="Grilledutableau"/>
              <w:tblW w:w="9493" w:type="dxa"/>
              <w:tblLook w:val="04A0" w:firstRow="1" w:lastRow="0" w:firstColumn="1" w:lastColumn="0" w:noHBand="0" w:noVBand="1"/>
            </w:tblPr>
            <w:tblGrid>
              <w:gridCol w:w="3255"/>
              <w:gridCol w:w="6238"/>
            </w:tblGrid>
            <w:tr w:rsidR="006E05A9" w:rsidRPr="00C03DD6" w:rsidTr="00955A29">
              <w:trPr>
                <w:trHeight w:val="562"/>
              </w:trPr>
              <w:tc>
                <w:tcPr>
                  <w:tcW w:w="9493" w:type="dxa"/>
                  <w:gridSpan w:val="2"/>
                  <w:tcBorders>
                    <w:top w:val="single" w:sz="4" w:space="0" w:color="auto"/>
                    <w:left w:val="single" w:sz="4" w:space="0" w:color="auto"/>
                    <w:bottom w:val="single" w:sz="4" w:space="0" w:color="auto"/>
                    <w:right w:val="single" w:sz="4" w:space="0" w:color="auto"/>
                  </w:tcBorders>
                </w:tcPr>
                <w:p w:rsidR="006E05A9" w:rsidRPr="00C03DD6" w:rsidRDefault="006E05A9" w:rsidP="00935EE0">
                  <w:pPr>
                    <w:jc w:val="center"/>
                    <w:rPr>
                      <w:b/>
                    </w:rPr>
                  </w:pPr>
                  <w:r w:rsidRPr="00C03DD6">
                    <w:rPr>
                      <w:b/>
                    </w:rPr>
                    <w:t>Administration provisoire des sociétés civiles et commerciales</w:t>
                  </w:r>
                </w:p>
              </w:tc>
            </w:tr>
            <w:tr w:rsidR="006E05A9" w:rsidRPr="00C03DD6" w:rsidTr="00955A29">
              <w:tc>
                <w:tcPr>
                  <w:tcW w:w="3255" w:type="dxa"/>
                  <w:tcBorders>
                    <w:top w:val="single" w:sz="4" w:space="0" w:color="auto"/>
                    <w:left w:val="single" w:sz="4" w:space="0" w:color="auto"/>
                    <w:bottom w:val="single" w:sz="4" w:space="0" w:color="auto"/>
                    <w:right w:val="single" w:sz="4" w:space="0" w:color="auto"/>
                  </w:tcBorders>
                </w:tcPr>
                <w:p w:rsidR="006E05A9" w:rsidRPr="00C03DD6" w:rsidRDefault="006E05A9" w:rsidP="00935EE0">
                  <w:r w:rsidRPr="00C03DD6">
                    <w:t>AP dispose du pouvoir de Gestion de l’entreprise avec les pouvoirs du dirigeant</w:t>
                  </w:r>
                </w:p>
                <w:p w:rsidR="006E05A9" w:rsidRPr="00C03DD6" w:rsidRDefault="006E05A9" w:rsidP="00935EE0"/>
                <w:p w:rsidR="006E05A9" w:rsidRPr="00C03DD6" w:rsidRDefault="006E05A9" w:rsidP="00935EE0">
                  <w:r w:rsidRPr="00C03DD6">
                    <w:sym w:font="Times New Roman" w:char="F0FC"/>
                  </w:r>
                  <w:r w:rsidRPr="00C03DD6">
                    <w:t xml:space="preserve">Avec autorisation spéciale possibilité de cession d’actif non indispensable ou en risque </w:t>
                  </w:r>
                </w:p>
                <w:p w:rsidR="006E05A9" w:rsidRPr="00C03DD6" w:rsidRDefault="006E05A9" w:rsidP="00935EE0">
                  <w:r w:rsidRPr="00C03DD6">
                    <w:sym w:font="Times New Roman" w:char="F0FC"/>
                  </w:r>
                  <w:r w:rsidRPr="00C03DD6">
                    <w:t>Négociation en vue de résolution des litiges</w:t>
                  </w:r>
                </w:p>
                <w:p w:rsidR="006E05A9" w:rsidRPr="00C03DD6" w:rsidRDefault="006E05A9" w:rsidP="00935EE0">
                  <w:r w:rsidRPr="00C03DD6">
                    <w:sym w:font="Times New Roman" w:char="F0FC"/>
                  </w:r>
                  <w:r w:rsidRPr="00C03DD6">
                    <w:t>Convocation et tenue AG pour désignation nouveau dirigeant.</w:t>
                  </w:r>
                </w:p>
              </w:tc>
              <w:tc>
                <w:tcPr>
                  <w:tcW w:w="6238" w:type="dxa"/>
                  <w:tcBorders>
                    <w:top w:val="single" w:sz="4" w:space="0" w:color="auto"/>
                    <w:left w:val="single" w:sz="4" w:space="0" w:color="auto"/>
                    <w:bottom w:val="single" w:sz="4" w:space="0" w:color="auto"/>
                    <w:right w:val="single" w:sz="4" w:space="0" w:color="auto"/>
                  </w:tcBorders>
                  <w:hideMark/>
                </w:tcPr>
                <w:p w:rsidR="006E05A9" w:rsidRPr="00C03DD6" w:rsidRDefault="006E05A9" w:rsidP="00935EE0">
                  <w:r w:rsidRPr="00C03DD6">
                    <w:t>Circonstances exceptionnelles :</w:t>
                  </w:r>
                </w:p>
                <w:p w:rsidR="006E05A9" w:rsidRPr="00C03DD6" w:rsidRDefault="006E05A9" w:rsidP="00935EE0">
                  <w:r w:rsidRPr="00C03DD6">
                    <w:t>Carence de l’organe de gestion avec impossibilité de désigner régulièrement les nouveaux : révocation, démission, décès, disparition, poursuites pénales, empêchement dû à force majeure, déchéance du droit de gérer</w:t>
                  </w:r>
                </w:p>
                <w:p w:rsidR="006E05A9" w:rsidRPr="00C03DD6" w:rsidRDefault="006E05A9" w:rsidP="00935EE0">
                  <w:r w:rsidRPr="00C03DD6">
                    <w:t>Nombre des administrateurs devenu inférieur au minimum légal</w:t>
                  </w:r>
                </w:p>
                <w:p w:rsidR="006E05A9" w:rsidRPr="00C03DD6" w:rsidRDefault="006E05A9" w:rsidP="00935EE0">
                  <w:r w:rsidRPr="00C03DD6">
                    <w:t>Composition du conseil non-conforme</w:t>
                  </w:r>
                </w:p>
                <w:p w:rsidR="006E05A9" w:rsidRPr="00C03DD6" w:rsidRDefault="006E05A9" w:rsidP="00935EE0">
                  <w:r w:rsidRPr="00C03DD6">
                    <w:t>Conflit entre les organes de la société rendant impossible leur fonctionnement régulier : mésentente, conflit associé /organe de gestion, péril imminent pour la personne morale</w:t>
                  </w:r>
                </w:p>
              </w:tc>
            </w:tr>
          </w:tbl>
          <w:p w:rsidR="006E05A9" w:rsidRPr="00C03DD6" w:rsidRDefault="006E05A9" w:rsidP="0023188F">
            <w:pPr>
              <w:jc w:val="center"/>
              <w:rPr>
                <w:b/>
              </w:rPr>
            </w:pPr>
          </w:p>
        </w:tc>
      </w:tr>
      <w:tr w:rsidR="003E0617" w:rsidRPr="00C03DD6" w:rsidTr="0023188F">
        <w:tc>
          <w:tcPr>
            <w:tcW w:w="9062" w:type="dxa"/>
            <w:gridSpan w:val="2"/>
            <w:tcBorders>
              <w:top w:val="single" w:sz="4" w:space="0" w:color="auto"/>
              <w:left w:val="single" w:sz="4" w:space="0" w:color="auto"/>
              <w:bottom w:val="single" w:sz="4" w:space="0" w:color="auto"/>
              <w:right w:val="single" w:sz="4" w:space="0" w:color="auto"/>
            </w:tcBorders>
          </w:tcPr>
          <w:p w:rsidR="003E0617" w:rsidRPr="00C03DD6" w:rsidRDefault="003E0617" w:rsidP="0023188F">
            <w:pPr>
              <w:jc w:val="center"/>
              <w:rPr>
                <w:b/>
              </w:rPr>
            </w:pPr>
            <w:r w:rsidRPr="00C03DD6">
              <w:rPr>
                <w:b/>
              </w:rPr>
              <w:t xml:space="preserve">Administration provisoire d’une succession </w:t>
            </w:r>
          </w:p>
          <w:p w:rsidR="003E0617" w:rsidRPr="00C03DD6" w:rsidRDefault="003E0617" w:rsidP="0023188F">
            <w:pPr>
              <w:jc w:val="center"/>
              <w:rPr>
                <w:b/>
              </w:rPr>
            </w:pPr>
          </w:p>
        </w:tc>
      </w:tr>
      <w:tr w:rsidR="003E0617" w:rsidRPr="00C03DD6" w:rsidTr="0023188F">
        <w:tc>
          <w:tcPr>
            <w:tcW w:w="3020" w:type="dxa"/>
            <w:tcBorders>
              <w:top w:val="single" w:sz="4" w:space="0" w:color="auto"/>
              <w:left w:val="single" w:sz="4" w:space="0" w:color="auto"/>
              <w:bottom w:val="single" w:sz="4" w:space="0" w:color="auto"/>
              <w:right w:val="single" w:sz="4" w:space="0" w:color="auto"/>
            </w:tcBorders>
          </w:tcPr>
          <w:p w:rsidR="003E0617" w:rsidRPr="00C03DD6" w:rsidRDefault="003E0617" w:rsidP="0023188F"/>
          <w:p w:rsidR="003E0617" w:rsidRPr="00C03DD6" w:rsidRDefault="003E0617" w:rsidP="0023188F">
            <w:r w:rsidRPr="00C03DD6">
              <w:t>En qu</w:t>
            </w:r>
            <w:r w:rsidR="006E05A9">
              <w:t>alité de mandataire successoral</w:t>
            </w:r>
            <w:r w:rsidRPr="00C03DD6">
              <w:t xml:space="preserve"> désigné en justice à l’effet d’administrer provisoirement la succession  </w:t>
            </w:r>
          </w:p>
          <w:p w:rsidR="003E0617" w:rsidRPr="00C03DD6" w:rsidRDefault="003E0617" w:rsidP="0023188F"/>
          <w:p w:rsidR="003E0617" w:rsidRPr="00C03DD6" w:rsidRDefault="003E0617" w:rsidP="0023188F"/>
        </w:tc>
        <w:tc>
          <w:tcPr>
            <w:tcW w:w="6042" w:type="dxa"/>
            <w:tcBorders>
              <w:top w:val="single" w:sz="4" w:space="0" w:color="auto"/>
              <w:left w:val="single" w:sz="4" w:space="0" w:color="auto"/>
              <w:bottom w:val="single" w:sz="4" w:space="0" w:color="auto"/>
              <w:right w:val="single" w:sz="4" w:space="0" w:color="auto"/>
            </w:tcBorders>
          </w:tcPr>
          <w:p w:rsidR="003E0617" w:rsidRPr="00C03DD6" w:rsidRDefault="003E0617" w:rsidP="0023188F"/>
          <w:p w:rsidR="003E0617" w:rsidRPr="00C03DD6" w:rsidRDefault="003E0617" w:rsidP="0023188F">
            <w:r w:rsidRPr="00C03DD6">
              <w:t xml:space="preserve">En raison de l’inertie, de la carence ou de la faute d’un ou de plusieurs héritiers dans cette administration, de leur mésentente, d’une opposition d’intérêts entre eux ou de la complexité de la situation successorale. </w:t>
            </w:r>
          </w:p>
          <w:p w:rsidR="003E0617" w:rsidRPr="00C03DD6" w:rsidRDefault="003E0617" w:rsidP="0023188F">
            <w:r w:rsidRPr="00C03DD6">
              <w:t>Dans le cadre particulier de l’indivision, lorsqu’un indivisaire est hors d’état de manifester sa volonté ou en cas de blocage du processus de décision</w:t>
            </w:r>
          </w:p>
          <w:p w:rsidR="003E0617" w:rsidRPr="00C03DD6" w:rsidRDefault="003E0617" w:rsidP="0023188F"/>
          <w:p w:rsidR="003E0617" w:rsidRPr="00C03DD6" w:rsidRDefault="003E0617" w:rsidP="0023188F"/>
        </w:tc>
      </w:tr>
      <w:tr w:rsidR="003E0617" w:rsidRPr="00C03DD6" w:rsidTr="0023188F">
        <w:tc>
          <w:tcPr>
            <w:tcW w:w="9062" w:type="dxa"/>
            <w:gridSpan w:val="2"/>
            <w:tcBorders>
              <w:top w:val="single" w:sz="4" w:space="0" w:color="auto"/>
              <w:left w:val="single" w:sz="4" w:space="0" w:color="auto"/>
              <w:bottom w:val="single" w:sz="4" w:space="0" w:color="auto"/>
              <w:right w:val="single" w:sz="4" w:space="0" w:color="auto"/>
            </w:tcBorders>
          </w:tcPr>
          <w:p w:rsidR="003E0617" w:rsidRPr="00C03DD6" w:rsidRDefault="003E0617" w:rsidP="0023188F">
            <w:pPr>
              <w:jc w:val="center"/>
              <w:rPr>
                <w:b/>
              </w:rPr>
            </w:pPr>
          </w:p>
          <w:p w:rsidR="003E0617" w:rsidRPr="00C03DD6" w:rsidRDefault="003E0617" w:rsidP="0023188F">
            <w:pPr>
              <w:jc w:val="center"/>
              <w:rPr>
                <w:b/>
              </w:rPr>
            </w:pPr>
            <w:r w:rsidRPr="00C03DD6">
              <w:rPr>
                <w:b/>
              </w:rPr>
              <w:t xml:space="preserve">Administration provisoire d’un groupement </w:t>
            </w:r>
            <w:r w:rsidRPr="00C03DD6">
              <w:rPr>
                <w:b/>
                <w:i/>
              </w:rPr>
              <w:t>in-bonis</w:t>
            </w:r>
            <w:r w:rsidRPr="00C03DD6">
              <w:rPr>
                <w:b/>
              </w:rPr>
              <w:t xml:space="preserve"> (Copropriété) </w:t>
            </w:r>
          </w:p>
        </w:tc>
      </w:tr>
      <w:tr w:rsidR="003E0617" w:rsidRPr="00C03DD6" w:rsidTr="0023188F">
        <w:tc>
          <w:tcPr>
            <w:tcW w:w="3020" w:type="dxa"/>
            <w:tcBorders>
              <w:top w:val="single" w:sz="4" w:space="0" w:color="auto"/>
              <w:left w:val="single" w:sz="4" w:space="0" w:color="auto"/>
              <w:bottom w:val="single" w:sz="4" w:space="0" w:color="auto"/>
              <w:right w:val="single" w:sz="4" w:space="0" w:color="auto"/>
            </w:tcBorders>
          </w:tcPr>
          <w:p w:rsidR="003E0617" w:rsidRPr="00C03DD6" w:rsidRDefault="003E0617" w:rsidP="0023188F">
            <w:pPr>
              <w:jc w:val="center"/>
            </w:pPr>
          </w:p>
          <w:p w:rsidR="003E0617" w:rsidRPr="00C03DD6" w:rsidRDefault="003E0617" w:rsidP="0023188F">
            <w:pPr>
              <w:jc w:val="center"/>
            </w:pPr>
            <w:r w:rsidRPr="00C03DD6">
              <w:t>AP de copropriété en difficulté</w:t>
            </w:r>
          </w:p>
        </w:tc>
        <w:tc>
          <w:tcPr>
            <w:tcW w:w="6042" w:type="dxa"/>
            <w:tcBorders>
              <w:top w:val="single" w:sz="4" w:space="0" w:color="auto"/>
              <w:left w:val="single" w:sz="4" w:space="0" w:color="auto"/>
              <w:bottom w:val="single" w:sz="4" w:space="0" w:color="auto"/>
              <w:right w:val="single" w:sz="4" w:space="0" w:color="auto"/>
            </w:tcBorders>
          </w:tcPr>
          <w:p w:rsidR="003E0617" w:rsidRPr="00C03DD6" w:rsidRDefault="003E0617" w:rsidP="0023188F"/>
          <w:p w:rsidR="003E0617" w:rsidRPr="00C03DD6" w:rsidRDefault="00456860" w:rsidP="0023188F">
            <w:r>
              <w:t>Suppose un é</w:t>
            </w:r>
            <w:r w:rsidR="003E0617" w:rsidRPr="00C03DD6">
              <w:t xml:space="preserve">quilibre financier compromis ou </w:t>
            </w:r>
            <w:r>
              <w:t xml:space="preserve">un risque sur la </w:t>
            </w:r>
            <w:r w:rsidR="003E0617" w:rsidRPr="00C03DD6">
              <w:t xml:space="preserve">conservation de l’immeuble </w:t>
            </w:r>
          </w:p>
          <w:p w:rsidR="003E0617" w:rsidRPr="00C03DD6" w:rsidRDefault="003E0617" w:rsidP="0023188F"/>
        </w:tc>
      </w:tr>
      <w:tr w:rsidR="003E0617" w:rsidRPr="00C03DD6" w:rsidTr="0023188F">
        <w:tc>
          <w:tcPr>
            <w:tcW w:w="3020" w:type="dxa"/>
            <w:tcBorders>
              <w:top w:val="single" w:sz="4" w:space="0" w:color="auto"/>
              <w:left w:val="single" w:sz="4" w:space="0" w:color="auto"/>
              <w:bottom w:val="single" w:sz="4" w:space="0" w:color="auto"/>
              <w:right w:val="single" w:sz="4" w:space="0" w:color="auto"/>
            </w:tcBorders>
          </w:tcPr>
          <w:p w:rsidR="003E0617" w:rsidRPr="00C03DD6" w:rsidRDefault="00456860" w:rsidP="00456860">
            <w:r>
              <w:t xml:space="preserve">Mission </w:t>
            </w:r>
            <w:r w:rsidR="003E0617" w:rsidRPr="00C03DD6">
              <w:t>de convoquer l'assemblé</w:t>
            </w:r>
            <w:r>
              <w:t xml:space="preserve">e des copropriétaires </w:t>
            </w:r>
          </w:p>
        </w:tc>
        <w:tc>
          <w:tcPr>
            <w:tcW w:w="6042" w:type="dxa"/>
            <w:tcBorders>
              <w:top w:val="single" w:sz="4" w:space="0" w:color="auto"/>
              <w:left w:val="single" w:sz="4" w:space="0" w:color="auto"/>
              <w:bottom w:val="single" w:sz="4" w:space="0" w:color="auto"/>
              <w:right w:val="single" w:sz="4" w:space="0" w:color="auto"/>
            </w:tcBorders>
            <w:hideMark/>
          </w:tcPr>
          <w:p w:rsidR="003E0617" w:rsidRPr="00C03DD6" w:rsidRDefault="003E0617" w:rsidP="0023188F">
            <w:r w:rsidRPr="00C03DD6">
              <w:t xml:space="preserve">En cas </w:t>
            </w:r>
            <w:r w:rsidR="00456860">
              <w:t xml:space="preserve">de syndicat </w:t>
            </w:r>
            <w:r w:rsidRPr="00C03DD6">
              <w:t xml:space="preserve">dépourvu de syndic </w:t>
            </w:r>
          </w:p>
          <w:p w:rsidR="003E0617" w:rsidRPr="00C03DD6" w:rsidRDefault="003E0617" w:rsidP="0023188F">
            <w:r w:rsidRPr="00C03DD6">
              <w:t xml:space="preserve">Ou </w:t>
            </w:r>
          </w:p>
          <w:p w:rsidR="003E0617" w:rsidRPr="00C03DD6" w:rsidRDefault="003E0617" w:rsidP="0023188F">
            <w:r w:rsidRPr="00C03DD6">
              <w:t>de carence du syndic et à défaut de stipulation du règlement de copropriété</w:t>
            </w:r>
          </w:p>
        </w:tc>
      </w:tr>
      <w:tr w:rsidR="003E0617" w:rsidRPr="00C03DD6" w:rsidTr="0023188F">
        <w:tc>
          <w:tcPr>
            <w:tcW w:w="3020" w:type="dxa"/>
            <w:tcBorders>
              <w:top w:val="single" w:sz="4" w:space="0" w:color="auto"/>
              <w:left w:val="single" w:sz="4" w:space="0" w:color="auto"/>
              <w:bottom w:val="single" w:sz="4" w:space="0" w:color="auto"/>
              <w:right w:val="single" w:sz="4" w:space="0" w:color="auto"/>
            </w:tcBorders>
            <w:hideMark/>
          </w:tcPr>
          <w:p w:rsidR="003E0617" w:rsidRPr="00C03DD6" w:rsidRDefault="003E0617" w:rsidP="0023188F">
            <w:r w:rsidRPr="00C03DD6">
              <w:t xml:space="preserve">Chargé de prendre toutes les mesures utiles au rétablissement du fonctionnement normal de copropriétés d’un ensemble immobilier.  </w:t>
            </w:r>
          </w:p>
          <w:p w:rsidR="003E0617" w:rsidRPr="00C03DD6" w:rsidRDefault="003E0617" w:rsidP="0023188F"/>
        </w:tc>
        <w:tc>
          <w:tcPr>
            <w:tcW w:w="6042" w:type="dxa"/>
            <w:tcBorders>
              <w:top w:val="single" w:sz="4" w:space="0" w:color="auto"/>
              <w:left w:val="single" w:sz="4" w:space="0" w:color="auto"/>
              <w:bottom w:val="single" w:sz="4" w:space="0" w:color="auto"/>
              <w:right w:val="single" w:sz="4" w:space="0" w:color="auto"/>
            </w:tcBorders>
          </w:tcPr>
          <w:p w:rsidR="003E0617" w:rsidRPr="00C03DD6" w:rsidRDefault="003E0617" w:rsidP="0023188F">
            <w:r w:rsidRPr="00C03DD6">
              <w:t>Si l'équilibre financier du syndicat des copropriétaires est gravement compromis ou si le syndicat est dans l'impossibilité de pourvoir à la conservation de l'immeuble</w:t>
            </w:r>
          </w:p>
          <w:p w:rsidR="003E0617" w:rsidRPr="00C03DD6" w:rsidRDefault="003E0617" w:rsidP="0023188F"/>
        </w:tc>
      </w:tr>
      <w:tr w:rsidR="003E0617" w:rsidRPr="00C03DD6" w:rsidTr="0023188F">
        <w:tc>
          <w:tcPr>
            <w:tcW w:w="3020" w:type="dxa"/>
            <w:tcBorders>
              <w:top w:val="single" w:sz="4" w:space="0" w:color="auto"/>
              <w:left w:val="single" w:sz="4" w:space="0" w:color="auto"/>
              <w:bottom w:val="single" w:sz="4" w:space="0" w:color="auto"/>
              <w:right w:val="single" w:sz="4" w:space="0" w:color="auto"/>
            </w:tcBorders>
          </w:tcPr>
          <w:p w:rsidR="003E0617" w:rsidRPr="00C03DD6" w:rsidRDefault="003E0617" w:rsidP="0023188F"/>
          <w:p w:rsidR="003E0617" w:rsidRPr="00C03DD6" w:rsidRDefault="003E0617" w:rsidP="0023188F"/>
          <w:p w:rsidR="003E0617" w:rsidRPr="00C03DD6" w:rsidRDefault="003E0617" w:rsidP="0023188F"/>
        </w:tc>
        <w:tc>
          <w:tcPr>
            <w:tcW w:w="6042" w:type="dxa"/>
            <w:tcBorders>
              <w:top w:val="single" w:sz="4" w:space="0" w:color="auto"/>
              <w:left w:val="single" w:sz="4" w:space="0" w:color="auto"/>
              <w:bottom w:val="single" w:sz="4" w:space="0" w:color="auto"/>
              <w:right w:val="single" w:sz="4" w:space="0" w:color="auto"/>
            </w:tcBorders>
            <w:hideMark/>
          </w:tcPr>
          <w:p w:rsidR="003E0617" w:rsidRPr="00C03DD6" w:rsidRDefault="003E0617" w:rsidP="0023188F">
            <w:r w:rsidRPr="00C03DD6">
              <w:t>Faute de réunion de l'assemblée générale ou en cas de rejet des mesures du plan de sauvegarde et si les difficultés du groupe d'immeubles bâtis ou de l'ensemble immobilier compromettent la conservation de l'immeuble</w:t>
            </w:r>
          </w:p>
        </w:tc>
      </w:tr>
    </w:tbl>
    <w:p w:rsidR="0077507B" w:rsidRDefault="0077507B" w:rsidP="003E0617">
      <w:pPr>
        <w:rPr>
          <w:rFonts w:ascii="Times New Roman" w:hAnsi="Times New Roman" w:cs="Times New Roman"/>
          <w:b/>
          <w:sz w:val="24"/>
          <w:szCs w:val="24"/>
        </w:rPr>
      </w:pPr>
    </w:p>
    <w:p w:rsidR="005D78E1" w:rsidRDefault="005D78E1" w:rsidP="0077507B">
      <w:pPr>
        <w:spacing w:line="240" w:lineRule="auto"/>
        <w:rPr>
          <w:rFonts w:ascii="Times New Roman" w:hAnsi="Times New Roman" w:cs="Times New Roman"/>
          <w:b/>
          <w:sz w:val="24"/>
          <w:szCs w:val="24"/>
        </w:rPr>
      </w:pPr>
    </w:p>
    <w:p w:rsidR="005D78E1" w:rsidRDefault="005D78E1" w:rsidP="0077507B">
      <w:pPr>
        <w:spacing w:line="240" w:lineRule="auto"/>
        <w:rPr>
          <w:rFonts w:ascii="Times New Roman" w:hAnsi="Times New Roman" w:cs="Times New Roman"/>
          <w:b/>
          <w:sz w:val="24"/>
          <w:szCs w:val="24"/>
        </w:rPr>
      </w:pPr>
    </w:p>
    <w:p w:rsidR="003E0617" w:rsidRPr="003E0617" w:rsidRDefault="003E0617" w:rsidP="0077507B">
      <w:pPr>
        <w:spacing w:line="240" w:lineRule="auto"/>
        <w:rPr>
          <w:rFonts w:ascii="Times New Roman" w:hAnsi="Times New Roman" w:cs="Times New Roman"/>
          <w:sz w:val="24"/>
          <w:szCs w:val="24"/>
        </w:rPr>
      </w:pPr>
      <w:r w:rsidRPr="003E0617">
        <w:rPr>
          <w:rFonts w:ascii="Times New Roman" w:hAnsi="Times New Roman" w:cs="Times New Roman"/>
          <w:b/>
          <w:sz w:val="24"/>
          <w:szCs w:val="24"/>
        </w:rPr>
        <w:lastRenderedPageBreak/>
        <w:t xml:space="preserve">La succession de l’administration provisoire et judiciaire avec maintien du même administrateur dans les deux missions  </w:t>
      </w:r>
    </w:p>
    <w:p w:rsidR="003E0617" w:rsidRPr="003E0617" w:rsidRDefault="003E0617" w:rsidP="0077507B">
      <w:pPr>
        <w:spacing w:line="240" w:lineRule="auto"/>
        <w:jc w:val="both"/>
        <w:rPr>
          <w:rFonts w:ascii="Times New Roman" w:hAnsi="Times New Roman" w:cs="Times New Roman"/>
          <w:color w:val="000000"/>
          <w:sz w:val="24"/>
          <w:szCs w:val="24"/>
        </w:rPr>
      </w:pPr>
      <w:r w:rsidRPr="003E0617">
        <w:rPr>
          <w:rFonts w:ascii="Times New Roman" w:hAnsi="Times New Roman" w:cs="Times New Roman"/>
          <w:sz w:val="24"/>
          <w:szCs w:val="24"/>
        </w:rPr>
        <w:t xml:space="preserve">Un administrateur provisoire ne saurait être confondu avec l'administrateur judiciaire désigné par le tribunal. D’ailleurs en cas d'ouverture d'une procédure collective, il est difficile de savoir si un administrateur judicaire provisoire pour un patrimoine peut être désigné administrateur judiciaire pour ce même patrimoine.  </w:t>
      </w:r>
    </w:p>
    <w:p w:rsidR="00D71EAC" w:rsidRDefault="003E0617" w:rsidP="0077507B">
      <w:pPr>
        <w:spacing w:line="240" w:lineRule="auto"/>
        <w:jc w:val="both"/>
        <w:rPr>
          <w:rFonts w:ascii="Times New Roman" w:hAnsi="Times New Roman" w:cs="Times New Roman"/>
          <w:sz w:val="24"/>
          <w:szCs w:val="24"/>
        </w:rPr>
      </w:pPr>
      <w:r w:rsidRPr="003E0617">
        <w:rPr>
          <w:rFonts w:ascii="Times New Roman" w:hAnsi="Times New Roman" w:cs="Times New Roman"/>
          <w:sz w:val="24"/>
          <w:szCs w:val="24"/>
        </w:rPr>
        <w:t>Dans le silence des textes, les juridictions françaises ne se sont jamais vraiment prononcées, réglant cela au cas par cas avec</w:t>
      </w:r>
      <w:r w:rsidR="00D71EAC">
        <w:rPr>
          <w:rFonts w:ascii="Times New Roman" w:hAnsi="Times New Roman" w:cs="Times New Roman"/>
          <w:sz w:val="24"/>
          <w:szCs w:val="24"/>
        </w:rPr>
        <w:t xml:space="preserve">, selon les juridictions, </w:t>
      </w:r>
      <w:r w:rsidRPr="003E0617">
        <w:rPr>
          <w:rFonts w:ascii="Times New Roman" w:hAnsi="Times New Roman" w:cs="Times New Roman"/>
          <w:sz w:val="24"/>
          <w:szCs w:val="24"/>
        </w:rPr>
        <w:t xml:space="preserve"> des décisions </w:t>
      </w:r>
      <w:r w:rsidR="00D71EAC">
        <w:rPr>
          <w:rFonts w:ascii="Times New Roman" w:hAnsi="Times New Roman" w:cs="Times New Roman"/>
          <w:sz w:val="24"/>
          <w:szCs w:val="24"/>
        </w:rPr>
        <w:t>diamétralement opposées.</w:t>
      </w:r>
    </w:p>
    <w:p w:rsidR="003E0617" w:rsidRPr="003E0617" w:rsidRDefault="00D71EAC" w:rsidP="0077507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Néanmoins le </w:t>
      </w:r>
      <w:r w:rsidR="003E0617" w:rsidRPr="003E0617">
        <w:rPr>
          <w:rFonts w:ascii="Times New Roman" w:hAnsi="Times New Roman" w:cs="Times New Roman"/>
          <w:sz w:val="24"/>
          <w:szCs w:val="24"/>
        </w:rPr>
        <w:t xml:space="preserve">refus </w:t>
      </w:r>
      <w:r>
        <w:rPr>
          <w:rFonts w:ascii="Times New Roman" w:hAnsi="Times New Roman" w:cs="Times New Roman"/>
          <w:sz w:val="24"/>
          <w:szCs w:val="24"/>
        </w:rPr>
        <w:t>de désigner l’administrateur provisoire comme administrateur judiciaire est généralement motivé par le besoin de représentation de la personne morale qu’assume l’administrateur provisoire. L’administrateur judiciaire n’est que très rarement désigné pour substituer le représentant légal de la personne morale.</w:t>
      </w:r>
    </w:p>
    <w:p w:rsidR="003E0617" w:rsidRPr="003E0617" w:rsidRDefault="003E0617" w:rsidP="0077507B">
      <w:pPr>
        <w:spacing w:line="240" w:lineRule="auto"/>
        <w:jc w:val="both"/>
        <w:rPr>
          <w:rFonts w:ascii="Times New Roman" w:hAnsi="Times New Roman" w:cs="Times New Roman"/>
          <w:b/>
          <w:sz w:val="24"/>
          <w:szCs w:val="24"/>
        </w:rPr>
      </w:pPr>
      <w:r w:rsidRPr="003E0617">
        <w:rPr>
          <w:rFonts w:ascii="Times New Roman" w:hAnsi="Times New Roman" w:cs="Times New Roman"/>
          <w:b/>
          <w:sz w:val="24"/>
          <w:szCs w:val="24"/>
        </w:rPr>
        <w:t>Conclusion</w:t>
      </w:r>
    </w:p>
    <w:p w:rsidR="003E0617" w:rsidRPr="003E0617" w:rsidRDefault="00D71EAC" w:rsidP="0077507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Il semble que </w:t>
      </w:r>
      <w:r w:rsidR="003E0617" w:rsidRPr="003E0617">
        <w:rPr>
          <w:rFonts w:ascii="Times New Roman" w:hAnsi="Times New Roman" w:cs="Times New Roman"/>
          <w:sz w:val="24"/>
          <w:szCs w:val="24"/>
        </w:rPr>
        <w:t xml:space="preserve">le champ d’application de l’administration provisoire </w:t>
      </w:r>
      <w:r>
        <w:rPr>
          <w:rFonts w:ascii="Times New Roman" w:hAnsi="Times New Roman" w:cs="Times New Roman"/>
          <w:sz w:val="24"/>
          <w:szCs w:val="24"/>
        </w:rPr>
        <w:t xml:space="preserve">soit </w:t>
      </w:r>
      <w:r w:rsidR="003E0617" w:rsidRPr="003E0617">
        <w:rPr>
          <w:rFonts w:ascii="Times New Roman" w:hAnsi="Times New Roman" w:cs="Times New Roman"/>
          <w:sz w:val="24"/>
          <w:szCs w:val="24"/>
        </w:rPr>
        <w:t>encore</w:t>
      </w:r>
      <w:r>
        <w:rPr>
          <w:rFonts w:ascii="Times New Roman" w:hAnsi="Times New Roman" w:cs="Times New Roman"/>
          <w:sz w:val="24"/>
          <w:szCs w:val="24"/>
        </w:rPr>
        <w:t xml:space="preserve"> à définir.</w:t>
      </w:r>
      <w:r w:rsidR="00B240FB">
        <w:rPr>
          <w:rFonts w:ascii="Times New Roman" w:hAnsi="Times New Roman" w:cs="Times New Roman"/>
          <w:sz w:val="24"/>
          <w:szCs w:val="24"/>
        </w:rPr>
        <w:t xml:space="preserve"> Il peut </w:t>
      </w:r>
      <w:r w:rsidR="003E0617" w:rsidRPr="003E0617">
        <w:rPr>
          <w:rFonts w:ascii="Times New Roman" w:hAnsi="Times New Roman" w:cs="Times New Roman"/>
          <w:sz w:val="24"/>
          <w:szCs w:val="24"/>
        </w:rPr>
        <w:t xml:space="preserve"> </w:t>
      </w:r>
      <w:r w:rsidR="00B240FB">
        <w:rPr>
          <w:rFonts w:ascii="Times New Roman" w:hAnsi="Times New Roman" w:cs="Times New Roman"/>
          <w:sz w:val="24"/>
          <w:szCs w:val="24"/>
        </w:rPr>
        <w:t>s’étendre à de multiples</w:t>
      </w:r>
      <w:r w:rsidR="003E0617" w:rsidRPr="003E0617">
        <w:rPr>
          <w:rFonts w:ascii="Times New Roman" w:hAnsi="Times New Roman" w:cs="Times New Roman"/>
          <w:sz w:val="24"/>
          <w:szCs w:val="24"/>
        </w:rPr>
        <w:t xml:space="preserve"> hypothèses,</w:t>
      </w:r>
      <w:r w:rsidR="00B240FB">
        <w:rPr>
          <w:rFonts w:ascii="Times New Roman" w:hAnsi="Times New Roman" w:cs="Times New Roman"/>
          <w:sz w:val="24"/>
          <w:szCs w:val="24"/>
        </w:rPr>
        <w:t xml:space="preserve"> dont toutes</w:t>
      </w:r>
      <w:r w:rsidR="003E0617" w:rsidRPr="003E0617">
        <w:rPr>
          <w:rFonts w:ascii="Times New Roman" w:hAnsi="Times New Roman" w:cs="Times New Roman"/>
          <w:sz w:val="24"/>
          <w:szCs w:val="24"/>
        </w:rPr>
        <w:t xml:space="preserve"> n</w:t>
      </w:r>
      <w:r w:rsidR="00B240FB">
        <w:rPr>
          <w:rFonts w:ascii="Times New Roman" w:hAnsi="Times New Roman" w:cs="Times New Roman"/>
          <w:sz w:val="24"/>
          <w:szCs w:val="24"/>
        </w:rPr>
        <w:t>’</w:t>
      </w:r>
      <w:r w:rsidR="003E0617" w:rsidRPr="003E0617">
        <w:rPr>
          <w:rFonts w:ascii="Times New Roman" w:hAnsi="Times New Roman" w:cs="Times New Roman"/>
          <w:sz w:val="24"/>
          <w:szCs w:val="24"/>
        </w:rPr>
        <w:t>on</w:t>
      </w:r>
      <w:r w:rsidR="00B240FB">
        <w:rPr>
          <w:rFonts w:ascii="Times New Roman" w:hAnsi="Times New Roman" w:cs="Times New Roman"/>
          <w:sz w:val="24"/>
          <w:szCs w:val="24"/>
        </w:rPr>
        <w:t>t pas été identifiées par les parties susceptibles d’en bénéfier et par leurs conseils.</w:t>
      </w:r>
      <w:r w:rsidR="003E0617" w:rsidRPr="003E0617">
        <w:rPr>
          <w:rFonts w:ascii="Times New Roman" w:hAnsi="Times New Roman" w:cs="Times New Roman"/>
          <w:sz w:val="24"/>
          <w:szCs w:val="24"/>
        </w:rPr>
        <w:t xml:space="preserve"> </w:t>
      </w:r>
    </w:p>
    <w:p w:rsidR="007F24D0" w:rsidRDefault="003E0617" w:rsidP="0077507B">
      <w:pPr>
        <w:spacing w:line="240" w:lineRule="auto"/>
        <w:jc w:val="both"/>
        <w:rPr>
          <w:rFonts w:ascii="Times New Roman" w:hAnsi="Times New Roman" w:cs="Times New Roman"/>
          <w:sz w:val="24"/>
          <w:szCs w:val="24"/>
        </w:rPr>
      </w:pPr>
      <w:r w:rsidRPr="003E0617">
        <w:rPr>
          <w:rFonts w:ascii="Times New Roman" w:hAnsi="Times New Roman" w:cs="Times New Roman"/>
          <w:sz w:val="24"/>
          <w:szCs w:val="24"/>
        </w:rPr>
        <w:t xml:space="preserve">Ainsi le dirigeant </w:t>
      </w:r>
      <w:r w:rsidR="00B240FB">
        <w:rPr>
          <w:rFonts w:ascii="Times New Roman" w:hAnsi="Times New Roman" w:cs="Times New Roman"/>
          <w:sz w:val="24"/>
          <w:szCs w:val="24"/>
        </w:rPr>
        <w:t xml:space="preserve">d’un groupe italien détenant </w:t>
      </w:r>
      <w:r w:rsidRPr="003E0617">
        <w:rPr>
          <w:rFonts w:ascii="Times New Roman" w:hAnsi="Times New Roman" w:cs="Times New Roman"/>
          <w:sz w:val="24"/>
          <w:szCs w:val="24"/>
        </w:rPr>
        <w:t>une filiale française d’une société</w:t>
      </w:r>
      <w:r w:rsidR="00B240FB">
        <w:rPr>
          <w:rFonts w:ascii="Times New Roman" w:hAnsi="Times New Roman" w:cs="Times New Roman"/>
          <w:sz w:val="24"/>
          <w:szCs w:val="24"/>
        </w:rPr>
        <w:t>, les</w:t>
      </w:r>
      <w:r w:rsidRPr="003E0617">
        <w:rPr>
          <w:rFonts w:ascii="Times New Roman" w:hAnsi="Times New Roman" w:cs="Times New Roman"/>
          <w:sz w:val="24"/>
          <w:szCs w:val="24"/>
        </w:rPr>
        <w:t xml:space="preserve"> deux</w:t>
      </w:r>
      <w:r w:rsidR="00B240FB">
        <w:rPr>
          <w:rFonts w:ascii="Times New Roman" w:hAnsi="Times New Roman" w:cs="Times New Roman"/>
          <w:sz w:val="24"/>
          <w:szCs w:val="24"/>
        </w:rPr>
        <w:t xml:space="preserve"> sociétés faisant l’objet d’une procédure</w:t>
      </w:r>
      <w:r w:rsidRPr="003E0617">
        <w:rPr>
          <w:rFonts w:ascii="Times New Roman" w:hAnsi="Times New Roman" w:cs="Times New Roman"/>
          <w:sz w:val="24"/>
          <w:szCs w:val="24"/>
        </w:rPr>
        <w:t xml:space="preserve"> collectives, s’est </w:t>
      </w:r>
      <w:r w:rsidR="00B240FB">
        <w:rPr>
          <w:rFonts w:ascii="Times New Roman" w:hAnsi="Times New Roman" w:cs="Times New Roman"/>
          <w:sz w:val="24"/>
          <w:szCs w:val="24"/>
        </w:rPr>
        <w:t>vu reprocher les décisions prises, notamment des remontées de dividendes, car ces actes de gestion ont été suposés d’être faits pour privilégier</w:t>
      </w:r>
      <w:r w:rsidR="007F24D0">
        <w:rPr>
          <w:rFonts w:ascii="Times New Roman" w:hAnsi="Times New Roman" w:cs="Times New Roman"/>
          <w:sz w:val="24"/>
          <w:szCs w:val="24"/>
        </w:rPr>
        <w:t xml:space="preserve"> la restructuration de la société italiennes au détriment de la filiale française.</w:t>
      </w:r>
    </w:p>
    <w:p w:rsidR="007F24D0" w:rsidRDefault="007F24D0" w:rsidP="0077507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On peut en déduire que la situation aurait été différente </w:t>
      </w:r>
      <w:r w:rsidR="003E0617" w:rsidRPr="003E0617">
        <w:rPr>
          <w:rFonts w:ascii="Times New Roman" w:hAnsi="Times New Roman" w:cs="Times New Roman"/>
          <w:sz w:val="24"/>
          <w:szCs w:val="24"/>
        </w:rPr>
        <w:t xml:space="preserve">si un administrateur provisoire avait </w:t>
      </w:r>
      <w:r>
        <w:rPr>
          <w:rFonts w:ascii="Times New Roman" w:hAnsi="Times New Roman" w:cs="Times New Roman"/>
          <w:sz w:val="24"/>
          <w:szCs w:val="24"/>
        </w:rPr>
        <w:t>été désigné. L</w:t>
      </w:r>
      <w:r w:rsidR="003E0617" w:rsidRPr="003E0617">
        <w:rPr>
          <w:rFonts w:ascii="Times New Roman" w:hAnsi="Times New Roman" w:cs="Times New Roman"/>
          <w:sz w:val="24"/>
          <w:szCs w:val="24"/>
        </w:rPr>
        <w:t>e dirigeant</w:t>
      </w:r>
      <w:r>
        <w:rPr>
          <w:rFonts w:ascii="Times New Roman" w:hAnsi="Times New Roman" w:cs="Times New Roman"/>
          <w:sz w:val="24"/>
          <w:szCs w:val="24"/>
        </w:rPr>
        <w:t xml:space="preserve"> aurait été dessaisi et l’administrateur</w:t>
      </w:r>
      <w:r w:rsidR="003E0617" w:rsidRPr="003E0617">
        <w:rPr>
          <w:rFonts w:ascii="Times New Roman" w:hAnsi="Times New Roman" w:cs="Times New Roman"/>
          <w:sz w:val="24"/>
          <w:szCs w:val="24"/>
        </w:rPr>
        <w:t xml:space="preserve"> provisoire</w:t>
      </w:r>
      <w:r>
        <w:rPr>
          <w:rFonts w:ascii="Times New Roman" w:hAnsi="Times New Roman" w:cs="Times New Roman"/>
          <w:sz w:val="24"/>
          <w:szCs w:val="24"/>
        </w:rPr>
        <w:t xml:space="preserve"> aurait été amené à prendre ces décisions et à les assumer ultérieurement.</w:t>
      </w:r>
    </w:p>
    <w:p w:rsidR="003E0617" w:rsidRPr="003E0617" w:rsidRDefault="007F24D0" w:rsidP="0077507B">
      <w:pPr>
        <w:spacing w:line="240" w:lineRule="auto"/>
        <w:jc w:val="both"/>
        <w:rPr>
          <w:rFonts w:ascii="Times New Roman" w:hAnsi="Times New Roman" w:cs="Times New Roman"/>
          <w:sz w:val="24"/>
          <w:szCs w:val="24"/>
        </w:rPr>
      </w:pPr>
      <w:r>
        <w:rPr>
          <w:rFonts w:ascii="Times New Roman" w:hAnsi="Times New Roman" w:cs="Times New Roman"/>
          <w:sz w:val="24"/>
          <w:szCs w:val="24"/>
        </w:rPr>
        <w:t>Notons que l’administrateur provisoire doit obtenir l’autorisation</w:t>
      </w:r>
      <w:r w:rsidR="003E0617" w:rsidRPr="003E0617">
        <w:rPr>
          <w:rFonts w:ascii="Times New Roman" w:hAnsi="Times New Roman" w:cs="Times New Roman"/>
          <w:sz w:val="24"/>
          <w:szCs w:val="24"/>
        </w:rPr>
        <w:t xml:space="preserve"> préalable du </w:t>
      </w:r>
      <w:r>
        <w:rPr>
          <w:rFonts w:ascii="Times New Roman" w:hAnsi="Times New Roman" w:cs="Times New Roman"/>
          <w:sz w:val="24"/>
          <w:szCs w:val="24"/>
        </w:rPr>
        <w:t>président du tribunal qui l’a désigné pour tous les acted de disposition, contrairement à d’autres systèmes européens où l’administrateur agit sous sa propre responsabilité.</w:t>
      </w:r>
      <w:r w:rsidR="003E0617" w:rsidRPr="003E0617">
        <w:rPr>
          <w:rFonts w:ascii="Times New Roman" w:hAnsi="Times New Roman" w:cs="Times New Roman"/>
          <w:sz w:val="24"/>
          <w:szCs w:val="24"/>
        </w:rPr>
        <w:t xml:space="preserve"> </w:t>
      </w:r>
    </w:p>
    <w:p w:rsidR="003E0617" w:rsidRDefault="00EB197C" w:rsidP="00EB19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  x  x</w:t>
      </w:r>
    </w:p>
    <w:p w:rsidR="00EB197C" w:rsidRPr="003E0617" w:rsidRDefault="00EB197C" w:rsidP="00EB19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bookmarkEnd w:id="0"/>
    <w:p w:rsidR="00EB197C" w:rsidRDefault="00EB197C" w:rsidP="006C79CB">
      <w:pPr>
        <w:jc w:val="both"/>
        <w:rPr>
          <w:rFonts w:ascii="Arial Narrow" w:hAnsi="Arial Narrow" w:cs="Times New Roman"/>
          <w:b/>
          <w:sz w:val="28"/>
          <w:szCs w:val="28"/>
        </w:rPr>
      </w:pPr>
    </w:p>
    <w:p w:rsidR="0077507B" w:rsidRDefault="0077507B" w:rsidP="006C79CB">
      <w:pPr>
        <w:jc w:val="both"/>
        <w:rPr>
          <w:rFonts w:ascii="Arial Narrow" w:hAnsi="Arial Narrow" w:cs="Times New Roman"/>
          <w:b/>
          <w:sz w:val="28"/>
          <w:szCs w:val="28"/>
        </w:rPr>
      </w:pPr>
    </w:p>
    <w:p w:rsidR="0077507B" w:rsidRDefault="0077507B" w:rsidP="006C79CB">
      <w:pPr>
        <w:jc w:val="both"/>
        <w:rPr>
          <w:rFonts w:ascii="Arial Narrow" w:hAnsi="Arial Narrow" w:cs="Times New Roman"/>
          <w:b/>
          <w:sz w:val="28"/>
          <w:szCs w:val="28"/>
        </w:rPr>
      </w:pPr>
    </w:p>
    <w:p w:rsidR="0077507B" w:rsidRDefault="0077507B" w:rsidP="006C79CB">
      <w:pPr>
        <w:jc w:val="both"/>
        <w:rPr>
          <w:rFonts w:ascii="Arial Narrow" w:hAnsi="Arial Narrow" w:cs="Times New Roman"/>
          <w:b/>
          <w:sz w:val="28"/>
          <w:szCs w:val="28"/>
        </w:rPr>
      </w:pPr>
    </w:p>
    <w:p w:rsidR="0077507B" w:rsidRDefault="0077507B" w:rsidP="006C79CB">
      <w:pPr>
        <w:jc w:val="both"/>
        <w:rPr>
          <w:rFonts w:ascii="Arial Narrow" w:hAnsi="Arial Narrow" w:cs="Times New Roman"/>
          <w:b/>
          <w:sz w:val="28"/>
          <w:szCs w:val="28"/>
        </w:rPr>
      </w:pPr>
    </w:p>
    <w:p w:rsidR="005D78E1" w:rsidRDefault="005D78E1" w:rsidP="006C79CB">
      <w:pPr>
        <w:jc w:val="both"/>
        <w:rPr>
          <w:rFonts w:ascii="Arial Narrow" w:hAnsi="Arial Narrow" w:cs="Times New Roman"/>
          <w:b/>
          <w:sz w:val="28"/>
          <w:szCs w:val="28"/>
        </w:rPr>
      </w:pPr>
    </w:p>
    <w:p w:rsidR="006C79CB" w:rsidRPr="00C7111E" w:rsidRDefault="006C79CB" w:rsidP="006C79CB">
      <w:pPr>
        <w:jc w:val="both"/>
        <w:rPr>
          <w:rFonts w:ascii="Arial Narrow" w:hAnsi="Arial Narrow" w:cs="Times New Roman"/>
          <w:b/>
          <w:sz w:val="28"/>
          <w:szCs w:val="28"/>
        </w:rPr>
      </w:pPr>
      <w:r w:rsidRPr="00C7111E">
        <w:rPr>
          <w:rFonts w:ascii="Arial Narrow" w:hAnsi="Arial Narrow" w:cs="Times New Roman"/>
          <w:b/>
          <w:sz w:val="28"/>
          <w:szCs w:val="28"/>
        </w:rPr>
        <w:lastRenderedPageBreak/>
        <w:t>Designation des PI</w:t>
      </w:r>
    </w:p>
    <w:p w:rsidR="006C79CB" w:rsidRPr="00C7111E" w:rsidRDefault="006C79CB" w:rsidP="006C79CB">
      <w:pPr>
        <w:jc w:val="center"/>
        <w:rPr>
          <w:rFonts w:ascii="Times New Roman" w:hAnsi="Times New Roman" w:cs="Times New Roman"/>
          <w:b/>
          <w:sz w:val="48"/>
          <w:szCs w:val="48"/>
        </w:rPr>
      </w:pPr>
      <w:r w:rsidRPr="00C7111E">
        <w:rPr>
          <w:rFonts w:ascii="Times New Roman" w:hAnsi="Times New Roman" w:cs="Times New Roman"/>
          <w:b/>
          <w:sz w:val="48"/>
          <w:szCs w:val="48"/>
        </w:rPr>
        <w:t xml:space="preserve">Désignation des PI par tirage au sort : </w:t>
      </w:r>
    </w:p>
    <w:p w:rsidR="006C79CB" w:rsidRPr="00C7111E" w:rsidRDefault="006C79CB" w:rsidP="006C79CB">
      <w:pPr>
        <w:jc w:val="center"/>
        <w:rPr>
          <w:rFonts w:ascii="Times New Roman" w:hAnsi="Times New Roman" w:cs="Times New Roman"/>
          <w:b/>
          <w:sz w:val="28"/>
          <w:szCs w:val="28"/>
        </w:rPr>
      </w:pPr>
      <w:r w:rsidRPr="006616DA">
        <w:rPr>
          <w:rFonts w:ascii="Times New Roman" w:hAnsi="Times New Roman" w:cs="Times New Roman"/>
          <w:b/>
          <w:sz w:val="28"/>
          <w:szCs w:val="28"/>
        </w:rPr>
        <w:t>Expériences acquises en Lituanie, en Slovaquie et en Hongrie dans le domaine des systèmes de sélection aléatoire des PI.</w:t>
      </w:r>
    </w:p>
    <w:p w:rsidR="006C79CB" w:rsidRPr="00C7111E" w:rsidRDefault="006C79CB" w:rsidP="006C79CB">
      <w:pPr>
        <w:jc w:val="center"/>
        <w:rPr>
          <w:rFonts w:ascii="Arial Narrow" w:hAnsi="Arial Narrow" w:cs="Times New Roman"/>
          <w:i/>
          <w:sz w:val="24"/>
          <w:szCs w:val="24"/>
        </w:rPr>
      </w:pPr>
      <w:r w:rsidRPr="006616DA">
        <w:rPr>
          <w:rFonts w:ascii="Arial Narrow" w:hAnsi="Arial Narrow" w:cs="Times New Roman"/>
          <w:i/>
          <w:sz w:val="24"/>
          <w:szCs w:val="24"/>
        </w:rPr>
        <w:t>Comparaison du nouveau système lituanien aux systèmes slovaque et hongrois</w:t>
      </w:r>
    </w:p>
    <w:p w:rsidR="006C79CB" w:rsidRPr="00C7111E" w:rsidRDefault="006C79CB" w:rsidP="006C79CB">
      <w:pPr>
        <w:jc w:val="both"/>
        <w:rPr>
          <w:rFonts w:ascii="Times New Roman" w:hAnsi="Times New Roman" w:cs="Times New Roman"/>
          <w:b/>
          <w:sz w:val="24"/>
          <w:szCs w:val="24"/>
        </w:rPr>
      </w:pPr>
      <w:r w:rsidRPr="006616DA">
        <w:rPr>
          <w:rFonts w:ascii="Times New Roman" w:hAnsi="Times New Roman" w:cs="Times New Roman"/>
          <w:b/>
          <w:sz w:val="24"/>
          <w:szCs w:val="24"/>
        </w:rPr>
        <w:t xml:space="preserve">Il y a trois ans, la Lituanie a mis en place un nouveau système de désignation des praticiens de l’insolvabilité (« PI ») </w:t>
      </w:r>
      <w:r>
        <w:rPr>
          <w:rFonts w:ascii="Times New Roman" w:hAnsi="Times New Roman" w:cs="Times New Roman"/>
          <w:b/>
          <w:sz w:val="24"/>
          <w:szCs w:val="24"/>
        </w:rPr>
        <w:t>pour</w:t>
      </w:r>
      <w:r w:rsidRPr="006616DA">
        <w:rPr>
          <w:rFonts w:ascii="Times New Roman" w:hAnsi="Times New Roman" w:cs="Times New Roman"/>
          <w:b/>
          <w:sz w:val="24"/>
          <w:szCs w:val="24"/>
        </w:rPr>
        <w:t xml:space="preserve"> certaines procédures d’insolvabilité.</w:t>
      </w:r>
      <w:r w:rsidRPr="00C7111E">
        <w:rPr>
          <w:rFonts w:ascii="Times New Roman" w:hAnsi="Times New Roman" w:cs="Times New Roman"/>
          <w:b/>
          <w:sz w:val="24"/>
          <w:szCs w:val="24"/>
        </w:rPr>
        <w:t xml:space="preserve"> </w:t>
      </w:r>
      <w:r>
        <w:rPr>
          <w:rFonts w:ascii="Times New Roman" w:hAnsi="Times New Roman" w:cs="Times New Roman"/>
          <w:b/>
          <w:sz w:val="24"/>
          <w:szCs w:val="24"/>
        </w:rPr>
        <w:t>S</w:t>
      </w:r>
      <w:r w:rsidRPr="006616DA">
        <w:rPr>
          <w:rFonts w:ascii="Times New Roman" w:hAnsi="Times New Roman" w:cs="Times New Roman"/>
          <w:b/>
          <w:sz w:val="24"/>
          <w:szCs w:val="24"/>
        </w:rPr>
        <w:t>es principaux éléments avaient déjà été décrits dans un article précédent</w:t>
      </w:r>
      <w:r>
        <w:rPr>
          <w:rFonts w:ascii="Times New Roman" w:hAnsi="Times New Roman" w:cs="Times New Roman"/>
          <w:b/>
          <w:sz w:val="24"/>
          <w:szCs w:val="24"/>
        </w:rPr>
        <w:t xml:space="preserve"> d’</w:t>
      </w:r>
      <w:r>
        <w:rPr>
          <w:rFonts w:ascii="Times New Roman" w:hAnsi="Times New Roman" w:cs="Times New Roman"/>
          <w:b/>
          <w:i/>
          <w:sz w:val="24"/>
          <w:szCs w:val="24"/>
        </w:rPr>
        <w:t>eurofenix</w:t>
      </w:r>
      <w:r w:rsidRPr="006616DA">
        <w:rPr>
          <w:rStyle w:val="Appelnotedebasdep"/>
        </w:rPr>
        <w:footnoteReference w:id="15"/>
      </w:r>
      <w:r w:rsidRPr="006616DA">
        <w:rPr>
          <w:rFonts w:ascii="Times New Roman" w:hAnsi="Times New Roman" w:cs="Times New Roman"/>
          <w:b/>
          <w:sz w:val="24"/>
          <w:szCs w:val="24"/>
        </w:rPr>
        <w:t>.</w:t>
      </w:r>
    </w:p>
    <w:p w:rsidR="006C79CB" w:rsidRPr="00C7111E" w:rsidRDefault="006C79CB" w:rsidP="006C79CB">
      <w:pPr>
        <w:jc w:val="both"/>
        <w:rPr>
          <w:rFonts w:ascii="Times New Roman" w:hAnsi="Times New Roman" w:cs="Times New Roman"/>
          <w:sz w:val="24"/>
          <w:szCs w:val="24"/>
        </w:rPr>
      </w:pPr>
      <w:r w:rsidRPr="006616DA">
        <w:rPr>
          <w:rFonts w:ascii="Times New Roman" w:hAnsi="Times New Roman" w:cs="Times New Roman"/>
          <w:sz w:val="24"/>
          <w:szCs w:val="24"/>
        </w:rPr>
        <w:t>Cet article</w:t>
      </w:r>
      <w:r>
        <w:rPr>
          <w:rFonts w:ascii="Times New Roman" w:hAnsi="Times New Roman" w:cs="Times New Roman"/>
          <w:sz w:val="24"/>
          <w:szCs w:val="24"/>
        </w:rPr>
        <w:t>-ci</w:t>
      </w:r>
      <w:r w:rsidRPr="006616DA">
        <w:rPr>
          <w:rFonts w:ascii="Times New Roman" w:hAnsi="Times New Roman" w:cs="Times New Roman"/>
          <w:sz w:val="24"/>
          <w:szCs w:val="24"/>
        </w:rPr>
        <w:t xml:space="preserve"> a pour but de dresser un premier bilan et de comparer ce système aux systèmes de sélection aléatoire similaires qui qui existent en Slovaquie et en Hongrie.</w:t>
      </w:r>
    </w:p>
    <w:p w:rsidR="006C79CB" w:rsidRPr="00C7111E" w:rsidRDefault="006C79CB" w:rsidP="006C79CB">
      <w:pPr>
        <w:jc w:val="both"/>
        <w:rPr>
          <w:rFonts w:ascii="Times New Roman" w:hAnsi="Times New Roman" w:cs="Times New Roman"/>
          <w:sz w:val="24"/>
          <w:szCs w:val="24"/>
        </w:rPr>
      </w:pPr>
      <w:r w:rsidRPr="006616DA">
        <w:rPr>
          <w:rFonts w:ascii="Times New Roman" w:hAnsi="Times New Roman" w:cs="Times New Roman"/>
          <w:b/>
          <w:sz w:val="24"/>
          <w:szCs w:val="24"/>
        </w:rPr>
        <w:t>Cadres juridiques</w:t>
      </w:r>
      <w:r w:rsidRPr="00C7111E">
        <w:rPr>
          <w:rFonts w:ascii="Times New Roman" w:hAnsi="Times New Roman" w:cs="Times New Roman"/>
          <w:sz w:val="24"/>
          <w:szCs w:val="24"/>
        </w:rPr>
        <w:t xml:space="preserve"> </w:t>
      </w:r>
    </w:p>
    <w:p w:rsidR="0077507B" w:rsidRDefault="006C79CB" w:rsidP="0077507B">
      <w:pPr>
        <w:spacing w:after="0"/>
        <w:jc w:val="both"/>
        <w:rPr>
          <w:rFonts w:ascii="Times New Roman" w:hAnsi="Times New Roman" w:cs="Times New Roman"/>
          <w:sz w:val="24"/>
          <w:szCs w:val="24"/>
        </w:rPr>
      </w:pPr>
      <w:r w:rsidRPr="006616DA">
        <w:rPr>
          <w:rFonts w:ascii="Times New Roman" w:hAnsi="Times New Roman" w:cs="Times New Roman"/>
          <w:b/>
          <w:i/>
          <w:sz w:val="24"/>
          <w:szCs w:val="24"/>
        </w:rPr>
        <w:t>Types de procédures d’insolvabilité existantes</w:t>
      </w:r>
      <w:r w:rsidR="0077507B">
        <w:rPr>
          <w:rFonts w:ascii="Times New Roman" w:hAnsi="Times New Roman" w:cs="Times New Roman"/>
          <w:sz w:val="24"/>
          <w:szCs w:val="24"/>
        </w:rPr>
        <w:t xml:space="preserve"> </w:t>
      </w:r>
    </w:p>
    <w:p w:rsidR="00357DC4" w:rsidRDefault="006C79CB" w:rsidP="0077507B">
      <w:pPr>
        <w:jc w:val="both"/>
        <w:rPr>
          <w:rFonts w:ascii="Times New Roman" w:hAnsi="Times New Roman" w:cs="Times New Roman"/>
          <w:sz w:val="24"/>
          <w:szCs w:val="24"/>
        </w:rPr>
      </w:pPr>
      <w:r w:rsidRPr="00574496">
        <w:rPr>
          <w:rFonts w:ascii="Times New Roman" w:hAnsi="Times New Roman" w:cs="Times New Roman"/>
          <w:sz w:val="24"/>
          <w:szCs w:val="24"/>
        </w:rPr>
        <w:t xml:space="preserve">Dans les trois pays, il existe trois grandes catégories de procédures d’insolvabilité : </w:t>
      </w:r>
      <w:r>
        <w:rPr>
          <w:rFonts w:ascii="Times New Roman" w:hAnsi="Times New Roman" w:cs="Times New Roman"/>
          <w:sz w:val="24"/>
          <w:szCs w:val="24"/>
        </w:rPr>
        <w:t>insolvabilité</w:t>
      </w:r>
      <w:r w:rsidRPr="00574496">
        <w:rPr>
          <w:rFonts w:ascii="Times New Roman" w:hAnsi="Times New Roman" w:cs="Times New Roman"/>
          <w:sz w:val="24"/>
          <w:szCs w:val="24"/>
        </w:rPr>
        <w:t xml:space="preserve"> et restructuration pour les personnes morales, insolvabilité pour les personnes physiques</w:t>
      </w:r>
      <w:r>
        <w:rPr>
          <w:rFonts w:ascii="Times New Roman" w:hAnsi="Times New Roman" w:cs="Times New Roman"/>
          <w:sz w:val="24"/>
          <w:szCs w:val="24"/>
        </w:rPr>
        <w:t>,</w:t>
      </w:r>
      <w:r w:rsidRPr="00C7111E">
        <w:rPr>
          <w:rFonts w:ascii="Times New Roman" w:hAnsi="Times New Roman" w:cs="Times New Roman"/>
          <w:sz w:val="24"/>
          <w:szCs w:val="24"/>
        </w:rPr>
        <w:t xml:space="preserve"> </w:t>
      </w:r>
      <w:r w:rsidRPr="00574496">
        <w:rPr>
          <w:rFonts w:ascii="Times New Roman" w:hAnsi="Times New Roman" w:cs="Times New Roman"/>
          <w:sz w:val="24"/>
          <w:szCs w:val="24"/>
        </w:rPr>
        <w:t>avec des variations.</w:t>
      </w:r>
      <w:r w:rsidRPr="00C7111E">
        <w:rPr>
          <w:rFonts w:ascii="Times New Roman" w:hAnsi="Times New Roman" w:cs="Times New Roman"/>
          <w:sz w:val="24"/>
          <w:szCs w:val="24"/>
        </w:rPr>
        <w:t xml:space="preserve"> </w:t>
      </w:r>
      <w:r w:rsidRPr="00574496">
        <w:rPr>
          <w:rFonts w:ascii="Times New Roman" w:hAnsi="Times New Roman" w:cs="Times New Roman"/>
          <w:sz w:val="24"/>
          <w:szCs w:val="24"/>
        </w:rPr>
        <w:t>Fait notable, le droit lituanien prévoit une procédure d’insolvabilité extrajudiciaire</w:t>
      </w:r>
      <w:r w:rsidRPr="00574496">
        <w:rPr>
          <w:rStyle w:val="Appelnotedebasdep"/>
        </w:rPr>
        <w:footnoteReference w:id="16"/>
      </w:r>
      <w:r w:rsidRPr="00574496">
        <w:rPr>
          <w:rFonts w:ascii="Times New Roman" w:hAnsi="Times New Roman" w:cs="Times New Roman"/>
          <w:sz w:val="24"/>
          <w:szCs w:val="24"/>
        </w:rPr>
        <w:t>.</w:t>
      </w:r>
    </w:p>
    <w:p w:rsidR="00357DC4" w:rsidRDefault="00357DC4" w:rsidP="00357DC4">
      <w:pPr>
        <w:spacing w:after="0" w:line="240" w:lineRule="auto"/>
        <w:jc w:val="both"/>
        <w:rPr>
          <w:rFonts w:ascii="Times New Roman" w:hAnsi="Times New Roman" w:cs="Times New Roman"/>
          <w:sz w:val="24"/>
          <w:szCs w:val="24"/>
        </w:rPr>
      </w:pPr>
    </w:p>
    <w:p w:rsidR="006C79CB" w:rsidRPr="00357DC4" w:rsidRDefault="006C79CB" w:rsidP="00357DC4">
      <w:pPr>
        <w:spacing w:after="0" w:line="240" w:lineRule="auto"/>
        <w:jc w:val="both"/>
        <w:rPr>
          <w:rFonts w:ascii="Times New Roman" w:hAnsi="Times New Roman" w:cs="Times New Roman"/>
          <w:sz w:val="24"/>
          <w:szCs w:val="24"/>
        </w:rPr>
      </w:pPr>
      <w:r w:rsidRPr="00574496">
        <w:rPr>
          <w:rFonts w:ascii="Times New Roman" w:hAnsi="Times New Roman" w:cs="Times New Roman"/>
          <w:b/>
          <w:i/>
          <w:sz w:val="24"/>
          <w:szCs w:val="24"/>
        </w:rPr>
        <w:t>Quand ces systèmes de sélection aléatoire ont-ils été mis en place ?</w:t>
      </w:r>
    </w:p>
    <w:p w:rsidR="006C79CB" w:rsidRPr="00C7111E" w:rsidRDefault="006C79CB" w:rsidP="006C79CB">
      <w:pPr>
        <w:jc w:val="both"/>
        <w:rPr>
          <w:rFonts w:ascii="Times New Roman" w:hAnsi="Times New Roman" w:cs="Times New Roman"/>
          <w:sz w:val="24"/>
          <w:szCs w:val="24"/>
        </w:rPr>
      </w:pPr>
      <w:r w:rsidRPr="00574496">
        <w:rPr>
          <w:rFonts w:ascii="Times New Roman" w:hAnsi="Times New Roman" w:cs="Times New Roman"/>
          <w:sz w:val="24"/>
          <w:szCs w:val="24"/>
        </w:rPr>
        <w:t>La Slovaquie a commencé à mettre en place des systèmes de sélection aléatoire des PI dès 2005</w:t>
      </w:r>
      <w:r w:rsidRPr="00574496">
        <w:rPr>
          <w:rStyle w:val="Appelnotedebasdep"/>
        </w:rPr>
        <w:footnoteReference w:id="17"/>
      </w:r>
      <w:r w:rsidRPr="00574496">
        <w:rPr>
          <w:rFonts w:ascii="Times New Roman" w:hAnsi="Times New Roman" w:cs="Times New Roman"/>
          <w:sz w:val="24"/>
          <w:szCs w:val="24"/>
        </w:rPr>
        <w:t>,</w:t>
      </w:r>
      <w:r w:rsidRPr="00C7111E">
        <w:rPr>
          <w:rFonts w:ascii="Times New Roman" w:hAnsi="Times New Roman" w:cs="Times New Roman"/>
          <w:sz w:val="24"/>
          <w:szCs w:val="24"/>
        </w:rPr>
        <w:t xml:space="preserve"> </w:t>
      </w:r>
      <w:r w:rsidRPr="00574496">
        <w:rPr>
          <w:rFonts w:ascii="Times New Roman" w:hAnsi="Times New Roman" w:cs="Times New Roman"/>
          <w:sz w:val="24"/>
          <w:szCs w:val="24"/>
        </w:rPr>
        <w:t>suivie par la Hongrie en 2009, puis par la Lituanie en 2015.</w:t>
      </w:r>
      <w:r w:rsidRPr="00C7111E">
        <w:rPr>
          <w:rFonts w:ascii="Times New Roman" w:hAnsi="Times New Roman" w:cs="Times New Roman"/>
          <w:sz w:val="24"/>
          <w:szCs w:val="24"/>
        </w:rPr>
        <w:t xml:space="preserve"> </w:t>
      </w:r>
    </w:p>
    <w:p w:rsidR="006C79CB" w:rsidRPr="00C7111E" w:rsidRDefault="006C79CB" w:rsidP="0077507B">
      <w:pPr>
        <w:spacing w:after="0"/>
        <w:jc w:val="both"/>
        <w:rPr>
          <w:rFonts w:ascii="Times New Roman" w:hAnsi="Times New Roman" w:cs="Times New Roman"/>
          <w:sz w:val="24"/>
          <w:szCs w:val="24"/>
        </w:rPr>
      </w:pPr>
      <w:r w:rsidRPr="00574496">
        <w:rPr>
          <w:rFonts w:ascii="Times New Roman" w:hAnsi="Times New Roman" w:cs="Times New Roman"/>
          <w:b/>
          <w:i/>
          <w:sz w:val="24"/>
          <w:szCs w:val="24"/>
        </w:rPr>
        <w:t>Quels</w:t>
      </w:r>
      <w:r>
        <w:rPr>
          <w:rFonts w:ascii="Times New Roman" w:hAnsi="Times New Roman" w:cs="Times New Roman"/>
          <w:b/>
          <w:i/>
          <w:sz w:val="24"/>
          <w:szCs w:val="24"/>
        </w:rPr>
        <w:t xml:space="preserve"> en</w:t>
      </w:r>
      <w:r w:rsidRPr="00574496">
        <w:rPr>
          <w:rFonts w:ascii="Times New Roman" w:hAnsi="Times New Roman" w:cs="Times New Roman"/>
          <w:b/>
          <w:i/>
          <w:sz w:val="24"/>
          <w:szCs w:val="24"/>
        </w:rPr>
        <w:t xml:space="preserve"> étaient les objectifs ?</w:t>
      </w:r>
    </w:p>
    <w:p w:rsidR="006C79CB" w:rsidRPr="00C7111E" w:rsidRDefault="006C79CB" w:rsidP="006C79CB">
      <w:pPr>
        <w:jc w:val="both"/>
        <w:rPr>
          <w:rFonts w:ascii="Times New Roman" w:hAnsi="Times New Roman" w:cs="Times New Roman"/>
          <w:sz w:val="24"/>
          <w:szCs w:val="24"/>
        </w:rPr>
      </w:pPr>
      <w:r w:rsidRPr="00574496">
        <w:rPr>
          <w:rFonts w:ascii="Times New Roman" w:hAnsi="Times New Roman" w:cs="Times New Roman"/>
          <w:sz w:val="24"/>
          <w:szCs w:val="24"/>
        </w:rPr>
        <w:t>Le principal objectif des législateurs était de lutter contre le manque de transparence (perçu ou réel) associé aux anciennes règles de sélection et de désignation des PI.</w:t>
      </w:r>
      <w:r w:rsidRPr="00C7111E">
        <w:rPr>
          <w:rFonts w:ascii="Times New Roman" w:hAnsi="Times New Roman" w:cs="Times New Roman"/>
          <w:sz w:val="24"/>
          <w:szCs w:val="24"/>
        </w:rPr>
        <w:t xml:space="preserve"> </w:t>
      </w:r>
      <w:r w:rsidRPr="00574496">
        <w:rPr>
          <w:rFonts w:ascii="Times New Roman" w:hAnsi="Times New Roman" w:cs="Times New Roman"/>
          <w:sz w:val="24"/>
          <w:szCs w:val="24"/>
        </w:rPr>
        <w:t>En effet, ces règles permettaient aux intéressés de proposer « leurs » PI et/ou aux juges de désigner des PI de façon opaque et sans réel contrôle</w:t>
      </w:r>
      <w:r w:rsidRPr="00574496">
        <w:rPr>
          <w:rStyle w:val="Appelnotedebasdep"/>
        </w:rPr>
        <w:footnoteReference w:id="18"/>
      </w:r>
      <w:r w:rsidRPr="00574496">
        <w:rPr>
          <w:rFonts w:ascii="Times New Roman" w:hAnsi="Times New Roman" w:cs="Times New Roman"/>
          <w:sz w:val="24"/>
          <w:szCs w:val="24"/>
        </w:rPr>
        <w:t>.</w:t>
      </w:r>
    </w:p>
    <w:p w:rsidR="006C79CB" w:rsidRPr="00C7111E" w:rsidRDefault="006C79CB" w:rsidP="006C79CB">
      <w:pPr>
        <w:jc w:val="both"/>
        <w:rPr>
          <w:rFonts w:ascii="Times New Roman" w:hAnsi="Times New Roman" w:cs="Times New Roman"/>
          <w:sz w:val="24"/>
          <w:szCs w:val="24"/>
        </w:rPr>
      </w:pPr>
      <w:r>
        <w:rPr>
          <w:rFonts w:ascii="Times New Roman" w:hAnsi="Times New Roman" w:cs="Times New Roman"/>
          <w:sz w:val="24"/>
          <w:szCs w:val="24"/>
        </w:rPr>
        <w:t>L</w:t>
      </w:r>
      <w:r w:rsidRPr="00574496">
        <w:rPr>
          <w:rFonts w:ascii="Times New Roman" w:hAnsi="Times New Roman" w:cs="Times New Roman"/>
          <w:sz w:val="24"/>
          <w:szCs w:val="24"/>
        </w:rPr>
        <w:t xml:space="preserve">es anciens systèmes de désignation ne favorisaient </w:t>
      </w:r>
      <w:r>
        <w:rPr>
          <w:rFonts w:ascii="Times New Roman" w:hAnsi="Times New Roman" w:cs="Times New Roman"/>
          <w:sz w:val="24"/>
          <w:szCs w:val="24"/>
        </w:rPr>
        <w:t xml:space="preserve">donc </w:t>
      </w:r>
      <w:r w:rsidRPr="00574496">
        <w:rPr>
          <w:rFonts w:ascii="Times New Roman" w:hAnsi="Times New Roman" w:cs="Times New Roman"/>
          <w:sz w:val="24"/>
          <w:szCs w:val="24"/>
        </w:rPr>
        <w:t xml:space="preserve">pas la confiance </w:t>
      </w:r>
      <w:r>
        <w:rPr>
          <w:rFonts w:ascii="Times New Roman" w:hAnsi="Times New Roman" w:cs="Times New Roman"/>
          <w:sz w:val="24"/>
          <w:szCs w:val="24"/>
        </w:rPr>
        <w:t xml:space="preserve">accordée </w:t>
      </w:r>
      <w:r w:rsidRPr="00574496">
        <w:rPr>
          <w:rFonts w:ascii="Times New Roman" w:hAnsi="Times New Roman" w:cs="Times New Roman"/>
          <w:sz w:val="24"/>
          <w:szCs w:val="24"/>
        </w:rPr>
        <w:t xml:space="preserve">à l’impartialité et au fonctionnement des régimes d’insolvabilité, et les PI étaient </w:t>
      </w:r>
      <w:r>
        <w:rPr>
          <w:rFonts w:ascii="Times New Roman" w:hAnsi="Times New Roman" w:cs="Times New Roman"/>
          <w:sz w:val="24"/>
          <w:szCs w:val="24"/>
        </w:rPr>
        <w:t>généralement</w:t>
      </w:r>
      <w:r w:rsidRPr="00574496">
        <w:rPr>
          <w:rFonts w:ascii="Times New Roman" w:hAnsi="Times New Roman" w:cs="Times New Roman"/>
          <w:sz w:val="24"/>
          <w:szCs w:val="24"/>
        </w:rPr>
        <w:t xml:space="preserve"> considérés comme </w:t>
      </w:r>
      <w:r>
        <w:rPr>
          <w:rFonts w:ascii="Times New Roman" w:hAnsi="Times New Roman" w:cs="Times New Roman"/>
          <w:sz w:val="24"/>
          <w:szCs w:val="24"/>
        </w:rPr>
        <w:t xml:space="preserve">des personnes </w:t>
      </w:r>
      <w:r w:rsidRPr="00574496">
        <w:rPr>
          <w:rFonts w:ascii="Times New Roman" w:hAnsi="Times New Roman" w:cs="Times New Roman"/>
          <w:sz w:val="24"/>
          <w:szCs w:val="24"/>
        </w:rPr>
        <w:t>exerçant des activités louches mais souvent lucratives.</w:t>
      </w:r>
    </w:p>
    <w:p w:rsidR="0077507B" w:rsidRDefault="0077507B" w:rsidP="006C79CB">
      <w:pPr>
        <w:jc w:val="both"/>
        <w:rPr>
          <w:rFonts w:ascii="Times New Roman" w:hAnsi="Times New Roman" w:cs="Times New Roman"/>
          <w:b/>
          <w:i/>
          <w:sz w:val="24"/>
          <w:szCs w:val="24"/>
        </w:rPr>
      </w:pPr>
    </w:p>
    <w:p w:rsidR="006C79CB" w:rsidRPr="00C7111E" w:rsidRDefault="006C79CB" w:rsidP="0077507B">
      <w:pPr>
        <w:spacing w:after="0"/>
        <w:jc w:val="both"/>
        <w:rPr>
          <w:rFonts w:ascii="Times New Roman" w:hAnsi="Times New Roman" w:cs="Times New Roman"/>
          <w:b/>
          <w:i/>
          <w:sz w:val="24"/>
          <w:szCs w:val="24"/>
        </w:rPr>
      </w:pPr>
      <w:r w:rsidRPr="00DE37CC">
        <w:rPr>
          <w:rFonts w:ascii="Times New Roman" w:hAnsi="Times New Roman" w:cs="Times New Roman"/>
          <w:b/>
          <w:i/>
          <w:sz w:val="24"/>
          <w:szCs w:val="24"/>
        </w:rPr>
        <w:lastRenderedPageBreak/>
        <w:t>Comment fonctionne la sélection aléatoire des PI et à quelles procédures s’applique-t-elle ?</w:t>
      </w:r>
    </w:p>
    <w:p w:rsidR="006C79CB" w:rsidRPr="00C7111E" w:rsidRDefault="006C79CB" w:rsidP="006C79CB">
      <w:pPr>
        <w:jc w:val="both"/>
        <w:rPr>
          <w:rFonts w:ascii="Times New Roman" w:hAnsi="Times New Roman" w:cs="Times New Roman"/>
          <w:sz w:val="24"/>
          <w:szCs w:val="24"/>
        </w:rPr>
      </w:pPr>
      <w:r w:rsidRPr="00DE37CC">
        <w:rPr>
          <w:rFonts w:ascii="Times New Roman" w:hAnsi="Times New Roman" w:cs="Times New Roman"/>
          <w:sz w:val="24"/>
          <w:szCs w:val="24"/>
        </w:rPr>
        <w:t xml:space="preserve">En </w:t>
      </w:r>
      <w:r w:rsidRPr="00DE37CC">
        <w:rPr>
          <w:rFonts w:ascii="Times New Roman" w:hAnsi="Times New Roman" w:cs="Times New Roman"/>
          <w:b/>
          <w:sz w:val="24"/>
          <w:szCs w:val="24"/>
        </w:rPr>
        <w:t>Lituanie</w:t>
      </w:r>
      <w:r w:rsidRPr="00DE37CC">
        <w:rPr>
          <w:rFonts w:ascii="Times New Roman" w:hAnsi="Times New Roman" w:cs="Times New Roman"/>
          <w:sz w:val="24"/>
          <w:szCs w:val="24"/>
        </w:rPr>
        <w:t>, la sélection aléatoire des PI est réservée aux procédures judiciaires d’insolvabilité des entreprises, conformément à la loi n° IX-216 du 20 mars 2001 sur l’insolvabilité des entreprises (« LIE ») et aux règles de sélection des administrateurs de l’insolvabilité, telles qu’approuvées au titre de l’ordonnance n° 647 du 9 juillet 2014.</w:t>
      </w:r>
    </w:p>
    <w:p w:rsidR="006C79CB" w:rsidRPr="00C7111E" w:rsidRDefault="006C79CB" w:rsidP="006C79CB">
      <w:pPr>
        <w:jc w:val="both"/>
        <w:rPr>
          <w:rFonts w:ascii="Times New Roman" w:hAnsi="Times New Roman" w:cs="Times New Roman"/>
          <w:sz w:val="24"/>
          <w:szCs w:val="24"/>
        </w:rPr>
      </w:pPr>
      <w:r w:rsidRPr="00DE37CC">
        <w:rPr>
          <w:rFonts w:ascii="Times New Roman" w:hAnsi="Times New Roman" w:cs="Times New Roman"/>
          <w:sz w:val="24"/>
          <w:szCs w:val="24"/>
        </w:rPr>
        <w:t xml:space="preserve">Par conséquent, elle ne s’applique pas aux insolvabilités de personnes physiques, tout du moins pas si la personne physique </w:t>
      </w:r>
      <w:r>
        <w:rPr>
          <w:rFonts w:ascii="Times New Roman" w:hAnsi="Times New Roman" w:cs="Times New Roman"/>
          <w:sz w:val="24"/>
          <w:szCs w:val="24"/>
        </w:rPr>
        <w:t>introduisant l’instance</w:t>
      </w:r>
      <w:r w:rsidRPr="00DE37CC">
        <w:rPr>
          <w:rFonts w:ascii="Times New Roman" w:hAnsi="Times New Roman" w:cs="Times New Roman"/>
          <w:sz w:val="24"/>
          <w:szCs w:val="24"/>
        </w:rPr>
        <w:t xml:space="preserve"> exerce le droit de proposer un administrateur, conformément à la loi sur l’insolvabilité des personnes physiques (cf. art. 4 para. 5- 7).</w:t>
      </w:r>
      <w:r w:rsidRPr="00C7111E">
        <w:rPr>
          <w:rFonts w:ascii="Times New Roman" w:hAnsi="Times New Roman" w:cs="Times New Roman"/>
          <w:sz w:val="24"/>
          <w:szCs w:val="24"/>
        </w:rPr>
        <w:t xml:space="preserve"> </w:t>
      </w:r>
      <w:r w:rsidRPr="00DE37CC">
        <w:rPr>
          <w:rFonts w:ascii="Times New Roman" w:hAnsi="Times New Roman" w:cs="Times New Roman"/>
          <w:sz w:val="24"/>
          <w:szCs w:val="24"/>
        </w:rPr>
        <w:t>Elle ne s’applique pas non plus aux restructurations d’entreprises (cf. art. 6 de la loi n° IX-218 du 20</w:t>
      </w:r>
      <w:r>
        <w:rPr>
          <w:rFonts w:ascii="Times New Roman" w:hAnsi="Times New Roman" w:cs="Times New Roman"/>
          <w:sz w:val="24"/>
          <w:szCs w:val="24"/>
        </w:rPr>
        <w:t> </w:t>
      </w:r>
      <w:r w:rsidRPr="00DE37CC">
        <w:rPr>
          <w:rFonts w:ascii="Times New Roman" w:hAnsi="Times New Roman" w:cs="Times New Roman"/>
          <w:sz w:val="24"/>
          <w:szCs w:val="24"/>
        </w:rPr>
        <w:t>mars 2001 sur la restructuration des entreprises) ni aux procédures d’insolvabilité extrajudiciaires (cf. art. 13 para. 2 de la LIE), dans le cadre desquelles l</w:t>
      </w:r>
      <w:r>
        <w:rPr>
          <w:rFonts w:ascii="Times New Roman" w:hAnsi="Times New Roman" w:cs="Times New Roman"/>
          <w:sz w:val="24"/>
          <w:szCs w:val="24"/>
        </w:rPr>
        <w:t>e déposant</w:t>
      </w:r>
      <w:r w:rsidRPr="00DE37CC">
        <w:rPr>
          <w:rFonts w:ascii="Times New Roman" w:hAnsi="Times New Roman" w:cs="Times New Roman"/>
          <w:sz w:val="24"/>
          <w:szCs w:val="24"/>
        </w:rPr>
        <w:t xml:space="preserve"> propose le PI qui sera désigné officiellement par le tribunal (</w:t>
      </w:r>
      <w:r w:rsidR="009A1930">
        <w:rPr>
          <w:rFonts w:ascii="Times New Roman" w:hAnsi="Times New Roman" w:cs="Times New Roman"/>
          <w:sz w:val="24"/>
          <w:szCs w:val="24"/>
        </w:rPr>
        <w:t xml:space="preserve">pour une </w:t>
      </w:r>
      <w:r w:rsidRPr="00DE37CC">
        <w:rPr>
          <w:rFonts w:ascii="Times New Roman" w:hAnsi="Times New Roman" w:cs="Times New Roman"/>
          <w:sz w:val="24"/>
          <w:szCs w:val="24"/>
        </w:rPr>
        <w:t>restructuration) ou par l’assemblée des créanciers (</w:t>
      </w:r>
      <w:r w:rsidR="009A1930">
        <w:rPr>
          <w:rFonts w:ascii="Times New Roman" w:hAnsi="Times New Roman" w:cs="Times New Roman"/>
          <w:sz w:val="24"/>
          <w:szCs w:val="24"/>
        </w:rPr>
        <w:t xml:space="preserve">pour une </w:t>
      </w:r>
      <w:r w:rsidRPr="00DE37CC">
        <w:rPr>
          <w:rFonts w:ascii="Times New Roman" w:hAnsi="Times New Roman" w:cs="Times New Roman"/>
          <w:sz w:val="24"/>
          <w:szCs w:val="24"/>
        </w:rPr>
        <w:t>procédure extrajudiciaire).</w:t>
      </w:r>
      <w:r w:rsidRPr="00C7111E">
        <w:rPr>
          <w:rFonts w:ascii="Times New Roman" w:hAnsi="Times New Roman" w:cs="Times New Roman"/>
          <w:sz w:val="24"/>
          <w:szCs w:val="24"/>
        </w:rPr>
        <w:t xml:space="preserve"> </w:t>
      </w:r>
      <w:r w:rsidRPr="00DE37CC">
        <w:rPr>
          <w:rFonts w:ascii="Times New Roman" w:hAnsi="Times New Roman" w:cs="Times New Roman"/>
          <w:sz w:val="24"/>
          <w:szCs w:val="24"/>
        </w:rPr>
        <w:t>Le système de « </w:t>
      </w:r>
      <w:r>
        <w:rPr>
          <w:rFonts w:ascii="Times New Roman" w:hAnsi="Times New Roman" w:cs="Times New Roman"/>
          <w:sz w:val="24"/>
          <w:szCs w:val="24"/>
        </w:rPr>
        <w:t>tirage au sort</w:t>
      </w:r>
      <w:r w:rsidRPr="00DE37CC">
        <w:rPr>
          <w:rFonts w:ascii="Times New Roman" w:hAnsi="Times New Roman" w:cs="Times New Roman"/>
          <w:sz w:val="24"/>
          <w:szCs w:val="24"/>
        </w:rPr>
        <w:t xml:space="preserve"> » repose sur une </w:t>
      </w:r>
      <w:r>
        <w:rPr>
          <w:rFonts w:ascii="Times New Roman" w:hAnsi="Times New Roman" w:cs="Times New Roman"/>
          <w:sz w:val="24"/>
          <w:szCs w:val="24"/>
        </w:rPr>
        <w:t>répartition</w:t>
      </w:r>
      <w:r w:rsidRPr="00DE37CC">
        <w:rPr>
          <w:rFonts w:ascii="Times New Roman" w:hAnsi="Times New Roman" w:cs="Times New Roman"/>
          <w:sz w:val="24"/>
          <w:szCs w:val="24"/>
        </w:rPr>
        <w:t xml:space="preserve"> des entreprises insolvables</w:t>
      </w:r>
      <w:r>
        <w:rPr>
          <w:rFonts w:ascii="Times New Roman" w:hAnsi="Times New Roman" w:cs="Times New Roman"/>
          <w:sz w:val="24"/>
          <w:szCs w:val="24"/>
        </w:rPr>
        <w:t xml:space="preserve"> en </w:t>
      </w:r>
      <w:r w:rsidRPr="00DE37CC">
        <w:rPr>
          <w:rFonts w:ascii="Times New Roman" w:hAnsi="Times New Roman" w:cs="Times New Roman"/>
          <w:sz w:val="24"/>
          <w:szCs w:val="24"/>
        </w:rPr>
        <w:t>trois catégories, en fonction de leur taille : petites, moyennes ou grandes entreprises</w:t>
      </w:r>
      <w:r>
        <w:rPr>
          <w:rFonts w:ascii="Times New Roman" w:hAnsi="Times New Roman" w:cs="Times New Roman"/>
          <w:sz w:val="24"/>
          <w:szCs w:val="24"/>
        </w:rPr>
        <w:t>,</w:t>
      </w:r>
      <w:r w:rsidRPr="00DE37CC">
        <w:rPr>
          <w:rFonts w:ascii="Times New Roman" w:hAnsi="Times New Roman" w:cs="Times New Roman"/>
          <w:sz w:val="24"/>
          <w:szCs w:val="24"/>
        </w:rPr>
        <w:t xml:space="preserve"> et des PI</w:t>
      </w:r>
      <w:r>
        <w:rPr>
          <w:rFonts w:ascii="Times New Roman" w:hAnsi="Times New Roman" w:cs="Times New Roman"/>
          <w:sz w:val="24"/>
          <w:szCs w:val="24"/>
        </w:rPr>
        <w:t xml:space="preserve">, eux aussi en </w:t>
      </w:r>
      <w:r w:rsidRPr="00DE37CC">
        <w:rPr>
          <w:rFonts w:ascii="Times New Roman" w:hAnsi="Times New Roman" w:cs="Times New Roman"/>
          <w:sz w:val="24"/>
          <w:szCs w:val="24"/>
        </w:rPr>
        <w:t>trois catégories, en fonction de critères</w:t>
      </w:r>
      <w:r>
        <w:rPr>
          <w:rFonts w:ascii="Times New Roman" w:hAnsi="Times New Roman" w:cs="Times New Roman"/>
          <w:sz w:val="24"/>
          <w:szCs w:val="24"/>
        </w:rPr>
        <w:t xml:space="preserve"> censément </w:t>
      </w:r>
      <w:r w:rsidRPr="00DE37CC">
        <w:rPr>
          <w:rFonts w:ascii="Times New Roman" w:hAnsi="Times New Roman" w:cs="Times New Roman"/>
          <w:sz w:val="24"/>
          <w:szCs w:val="24"/>
        </w:rPr>
        <w:t>liés à leur expérience.</w:t>
      </w:r>
    </w:p>
    <w:p w:rsidR="006C79CB" w:rsidRPr="00C7111E" w:rsidRDefault="006C79CB" w:rsidP="006C79CB">
      <w:pPr>
        <w:jc w:val="both"/>
        <w:rPr>
          <w:rFonts w:ascii="Times New Roman" w:hAnsi="Times New Roman" w:cs="Times New Roman"/>
          <w:sz w:val="24"/>
          <w:szCs w:val="24"/>
        </w:rPr>
      </w:pPr>
      <w:r w:rsidRPr="00DE37CC">
        <w:rPr>
          <w:rFonts w:ascii="Times New Roman" w:hAnsi="Times New Roman" w:cs="Times New Roman"/>
          <w:sz w:val="24"/>
          <w:szCs w:val="24"/>
        </w:rPr>
        <w:t>Le système informatique utilisé par le juge sélectionne de façon aléatoire le PI qui sera chargé de l’affaire à partir d’une liste pré-triée de PI agréés.</w:t>
      </w:r>
      <w:r w:rsidRPr="00C7111E">
        <w:rPr>
          <w:rFonts w:ascii="Times New Roman" w:hAnsi="Times New Roman" w:cs="Times New Roman"/>
          <w:sz w:val="24"/>
          <w:szCs w:val="24"/>
        </w:rPr>
        <w:t xml:space="preserve"> </w:t>
      </w:r>
      <w:r w:rsidRPr="00DE37CC">
        <w:rPr>
          <w:rFonts w:ascii="Times New Roman" w:hAnsi="Times New Roman" w:cs="Times New Roman"/>
          <w:sz w:val="24"/>
          <w:szCs w:val="24"/>
        </w:rPr>
        <w:t>L’idée générale est d’attribuer les grandes affaires aux PI les plus expérimentés, les affaires moyennes aux PI un peu moins expérimentés, et les petites affaires aux PI débutants (tout en tenant compte de leur charge de travail)</w:t>
      </w:r>
      <w:r w:rsidRPr="00DE37CC">
        <w:rPr>
          <w:rStyle w:val="Appelnotedebasdep"/>
        </w:rPr>
        <w:footnoteReference w:id="19"/>
      </w:r>
      <w:r w:rsidRPr="00DE37CC">
        <w:rPr>
          <w:rFonts w:ascii="Times New Roman" w:hAnsi="Times New Roman" w:cs="Times New Roman"/>
          <w:sz w:val="24"/>
          <w:szCs w:val="24"/>
        </w:rPr>
        <w:t>.</w:t>
      </w:r>
    </w:p>
    <w:p w:rsidR="006C79CB" w:rsidRPr="00C7111E" w:rsidRDefault="006C79CB" w:rsidP="006C79CB">
      <w:pPr>
        <w:jc w:val="both"/>
        <w:rPr>
          <w:rFonts w:ascii="Times New Roman" w:hAnsi="Times New Roman" w:cs="Times New Roman"/>
          <w:sz w:val="24"/>
          <w:szCs w:val="24"/>
        </w:rPr>
      </w:pPr>
      <w:r w:rsidRPr="00DE37CC">
        <w:rPr>
          <w:rFonts w:ascii="Times New Roman" w:hAnsi="Times New Roman" w:cs="Times New Roman"/>
          <w:sz w:val="24"/>
          <w:szCs w:val="24"/>
        </w:rPr>
        <w:t xml:space="preserve">Le système de sélection </w:t>
      </w:r>
      <w:r w:rsidRPr="00DE37CC">
        <w:rPr>
          <w:rFonts w:ascii="Times New Roman" w:hAnsi="Times New Roman" w:cs="Times New Roman"/>
          <w:b/>
          <w:sz w:val="24"/>
          <w:szCs w:val="24"/>
        </w:rPr>
        <w:t>hongrois</w:t>
      </w:r>
      <w:r w:rsidRPr="00DE37CC">
        <w:rPr>
          <w:rFonts w:ascii="Times New Roman" w:hAnsi="Times New Roman" w:cs="Times New Roman"/>
          <w:sz w:val="24"/>
          <w:szCs w:val="24"/>
        </w:rPr>
        <w:t xml:space="preserve"> s’applique aux procédures d’insolvabilité et de restructuration des entreprises, et non aux personnes physiques</w:t>
      </w:r>
      <w:r w:rsidRPr="00DE37CC">
        <w:rPr>
          <w:rStyle w:val="Appelnotedebasdep"/>
        </w:rPr>
        <w:footnoteReference w:id="20"/>
      </w:r>
      <w:r>
        <w:rPr>
          <w:rFonts w:ascii="Times New Roman" w:hAnsi="Times New Roman" w:cs="Times New Roman"/>
          <w:sz w:val="24"/>
          <w:szCs w:val="24"/>
        </w:rPr>
        <w:t>,</w:t>
      </w:r>
      <w:r w:rsidRPr="00C7111E">
        <w:rPr>
          <w:rFonts w:ascii="Times New Roman" w:hAnsi="Times New Roman" w:cs="Times New Roman"/>
          <w:sz w:val="24"/>
          <w:szCs w:val="24"/>
        </w:rPr>
        <w:t xml:space="preserve"> </w:t>
      </w:r>
      <w:r w:rsidRPr="00DE37CC">
        <w:rPr>
          <w:rFonts w:ascii="Times New Roman" w:hAnsi="Times New Roman" w:cs="Times New Roman"/>
          <w:sz w:val="24"/>
          <w:szCs w:val="24"/>
        </w:rPr>
        <w:t>à quelques exceptions près.</w:t>
      </w:r>
      <w:r w:rsidRPr="00C7111E">
        <w:rPr>
          <w:rFonts w:ascii="Times New Roman" w:hAnsi="Times New Roman" w:cs="Times New Roman"/>
          <w:sz w:val="24"/>
          <w:szCs w:val="24"/>
        </w:rPr>
        <w:t xml:space="preserve"> </w:t>
      </w:r>
      <w:r w:rsidRPr="00DE37CC">
        <w:rPr>
          <w:rFonts w:ascii="Times New Roman" w:hAnsi="Times New Roman" w:cs="Times New Roman"/>
          <w:sz w:val="24"/>
          <w:szCs w:val="24"/>
        </w:rPr>
        <w:t>Un régime juridique particulier s’applique aux insolvabilités d’établissements financiers ou de compagnies d’assurance, ainsi qu’aux opérateurs économiques majeurs dotés d’un statut préférentiel</w:t>
      </w:r>
      <w:r>
        <w:rPr>
          <w:rFonts w:ascii="Times New Roman" w:hAnsi="Times New Roman" w:cs="Times New Roman"/>
          <w:sz w:val="24"/>
          <w:szCs w:val="24"/>
        </w:rPr>
        <w:t xml:space="preserve"> au vu de leurs objectifs</w:t>
      </w:r>
      <w:r w:rsidRPr="00DE37CC">
        <w:rPr>
          <w:rFonts w:ascii="Times New Roman" w:hAnsi="Times New Roman" w:cs="Times New Roman"/>
          <w:sz w:val="24"/>
          <w:szCs w:val="24"/>
        </w:rPr>
        <w:t xml:space="preserve"> stratégiques.</w:t>
      </w:r>
      <w:r w:rsidRPr="00C7111E">
        <w:rPr>
          <w:rFonts w:ascii="Times New Roman" w:hAnsi="Times New Roman" w:cs="Times New Roman"/>
          <w:sz w:val="24"/>
          <w:szCs w:val="24"/>
        </w:rPr>
        <w:t xml:space="preserve"> </w:t>
      </w:r>
      <w:r w:rsidRPr="00DE37CC">
        <w:rPr>
          <w:rFonts w:ascii="Times New Roman" w:hAnsi="Times New Roman" w:cs="Times New Roman"/>
          <w:sz w:val="24"/>
          <w:szCs w:val="24"/>
        </w:rPr>
        <w:t>S’agissant des anciens groupes d’entreprises, le type d’activité du débiteur déclenche l’application de dispositions particulières en matière de désignation du PI.</w:t>
      </w:r>
      <w:r w:rsidRPr="00C7111E">
        <w:rPr>
          <w:rFonts w:ascii="Times New Roman" w:hAnsi="Times New Roman" w:cs="Times New Roman"/>
          <w:sz w:val="24"/>
          <w:szCs w:val="24"/>
        </w:rPr>
        <w:t xml:space="preserve"> </w:t>
      </w:r>
      <w:r w:rsidRPr="00DE37CC">
        <w:rPr>
          <w:rFonts w:ascii="Times New Roman" w:hAnsi="Times New Roman" w:cs="Times New Roman"/>
          <w:sz w:val="24"/>
          <w:szCs w:val="24"/>
        </w:rPr>
        <w:t>À cet effet, le statut des entreprises peut être déterminé sur décision des pouvoirs publics.</w:t>
      </w:r>
    </w:p>
    <w:p w:rsidR="006C79CB" w:rsidRPr="00C7111E" w:rsidRDefault="006C79CB" w:rsidP="006C79CB">
      <w:pPr>
        <w:jc w:val="both"/>
        <w:rPr>
          <w:rFonts w:ascii="Times New Roman" w:hAnsi="Times New Roman" w:cs="Times New Roman"/>
          <w:sz w:val="24"/>
          <w:szCs w:val="24"/>
        </w:rPr>
      </w:pPr>
      <w:r w:rsidRPr="00DE37CC">
        <w:rPr>
          <w:rFonts w:ascii="Times New Roman" w:hAnsi="Times New Roman" w:cs="Times New Roman"/>
          <w:sz w:val="24"/>
          <w:szCs w:val="24"/>
        </w:rPr>
        <w:t>Dans les deux cas, le système de sélection aléatoire ne s’applique pas et une entreprises publique est désignée PI.</w:t>
      </w:r>
      <w:r w:rsidRPr="00C7111E">
        <w:rPr>
          <w:rFonts w:ascii="Times New Roman" w:hAnsi="Times New Roman" w:cs="Times New Roman"/>
          <w:sz w:val="24"/>
          <w:szCs w:val="24"/>
        </w:rPr>
        <w:t xml:space="preserve"> </w:t>
      </w:r>
      <w:r w:rsidRPr="00DE37CC">
        <w:rPr>
          <w:rFonts w:ascii="Times New Roman" w:hAnsi="Times New Roman" w:cs="Times New Roman"/>
          <w:sz w:val="24"/>
          <w:szCs w:val="24"/>
        </w:rPr>
        <w:t xml:space="preserve">Dans les cas ordinaires, dans lesquels la sélection aléatoire s’applique, le PI est sélectionné grâce à un logiciel exprès qui accède au registre des PI et à certaines données, telles que l’adresse du siège ou de la succursale du PI et le nombre d’affaires qu’il a gérées ou gère </w:t>
      </w:r>
      <w:r>
        <w:rPr>
          <w:rFonts w:ascii="Times New Roman" w:hAnsi="Times New Roman" w:cs="Times New Roman"/>
          <w:sz w:val="24"/>
          <w:szCs w:val="24"/>
        </w:rPr>
        <w:t>à la date concernée</w:t>
      </w:r>
      <w:r w:rsidRPr="00DE37CC">
        <w:rPr>
          <w:rFonts w:ascii="Times New Roman" w:hAnsi="Times New Roman" w:cs="Times New Roman"/>
          <w:sz w:val="24"/>
          <w:szCs w:val="24"/>
        </w:rPr>
        <w:t>.</w:t>
      </w:r>
      <w:r w:rsidRPr="00C7111E">
        <w:rPr>
          <w:rFonts w:ascii="Times New Roman" w:hAnsi="Times New Roman" w:cs="Times New Roman"/>
          <w:sz w:val="24"/>
          <w:szCs w:val="24"/>
        </w:rPr>
        <w:t xml:space="preserve"> </w:t>
      </w:r>
      <w:r w:rsidRPr="00DE37CC">
        <w:rPr>
          <w:rFonts w:ascii="Times New Roman" w:hAnsi="Times New Roman" w:cs="Times New Roman"/>
          <w:sz w:val="24"/>
          <w:szCs w:val="24"/>
        </w:rPr>
        <w:t>Le logiciel compare les PI sur la base de ces informations et propose un PI pour désignation dans l’affaire en question</w:t>
      </w:r>
      <w:r w:rsidRPr="00DE37CC">
        <w:rPr>
          <w:rStyle w:val="Appelnotedebasdep"/>
        </w:rPr>
        <w:footnoteReference w:id="21"/>
      </w:r>
      <w:r w:rsidRPr="00DE37CC">
        <w:rPr>
          <w:rFonts w:ascii="Times New Roman" w:hAnsi="Times New Roman" w:cs="Times New Roman"/>
          <w:sz w:val="24"/>
          <w:szCs w:val="24"/>
        </w:rPr>
        <w:t>.</w:t>
      </w:r>
    </w:p>
    <w:p w:rsidR="006C79CB" w:rsidRPr="00C7111E" w:rsidRDefault="006C79CB" w:rsidP="006C79CB">
      <w:pPr>
        <w:jc w:val="both"/>
        <w:rPr>
          <w:rFonts w:ascii="Times New Roman" w:hAnsi="Times New Roman" w:cs="Times New Roman"/>
          <w:sz w:val="24"/>
          <w:szCs w:val="24"/>
        </w:rPr>
      </w:pPr>
      <w:r w:rsidRPr="00DE37CC">
        <w:rPr>
          <w:rFonts w:ascii="Times New Roman" w:hAnsi="Times New Roman" w:cs="Times New Roman"/>
          <w:sz w:val="24"/>
          <w:szCs w:val="24"/>
        </w:rPr>
        <w:lastRenderedPageBreak/>
        <w:t xml:space="preserve">Contrairement à ce qui se passe en Lituanie et en Hongrie, en </w:t>
      </w:r>
      <w:r w:rsidRPr="00DE37CC">
        <w:rPr>
          <w:rFonts w:ascii="Times New Roman" w:hAnsi="Times New Roman" w:cs="Times New Roman"/>
          <w:b/>
          <w:sz w:val="24"/>
          <w:szCs w:val="24"/>
        </w:rPr>
        <w:t>Slovaquie</w:t>
      </w:r>
      <w:r w:rsidRPr="00DE37CC">
        <w:rPr>
          <w:rFonts w:ascii="Times New Roman" w:hAnsi="Times New Roman" w:cs="Times New Roman"/>
          <w:sz w:val="24"/>
          <w:szCs w:val="24"/>
        </w:rPr>
        <w:t>, le système de sélection aléatoire s’applique à toutes les catégories de procédures d’insolvabilité</w:t>
      </w:r>
      <w:r w:rsidRPr="00DE37CC">
        <w:rPr>
          <w:rStyle w:val="Appelnotedebasdep"/>
        </w:rPr>
        <w:footnoteReference w:id="22"/>
      </w:r>
      <w:r w:rsidRPr="00DE37CC">
        <w:rPr>
          <w:rFonts w:ascii="Times New Roman" w:hAnsi="Times New Roman" w:cs="Times New Roman"/>
          <w:sz w:val="24"/>
          <w:szCs w:val="24"/>
        </w:rPr>
        <w:t>.</w:t>
      </w:r>
      <w:r w:rsidRPr="00C7111E">
        <w:rPr>
          <w:rFonts w:ascii="Times New Roman" w:hAnsi="Times New Roman" w:cs="Times New Roman"/>
          <w:sz w:val="24"/>
          <w:szCs w:val="24"/>
        </w:rPr>
        <w:t xml:space="preserve"> </w:t>
      </w:r>
      <w:r w:rsidRPr="00DE37CC">
        <w:rPr>
          <w:rFonts w:ascii="Times New Roman" w:hAnsi="Times New Roman" w:cs="Times New Roman"/>
          <w:sz w:val="24"/>
          <w:szCs w:val="24"/>
        </w:rPr>
        <w:t>Le tribunal désigne le PI sélectionné de manière aléatoire à partir de la liste de PI agréés.</w:t>
      </w:r>
      <w:r w:rsidRPr="00C7111E">
        <w:rPr>
          <w:rFonts w:ascii="Times New Roman" w:hAnsi="Times New Roman" w:cs="Times New Roman"/>
          <w:sz w:val="24"/>
          <w:szCs w:val="24"/>
        </w:rPr>
        <w:t xml:space="preserve"> </w:t>
      </w:r>
      <w:r w:rsidRPr="00DE37CC">
        <w:rPr>
          <w:rFonts w:ascii="Times New Roman" w:hAnsi="Times New Roman" w:cs="Times New Roman"/>
          <w:sz w:val="24"/>
          <w:szCs w:val="24"/>
        </w:rPr>
        <w:t>Le registre des PI comporte trois sections :</w:t>
      </w:r>
      <w:r w:rsidRPr="00C7111E">
        <w:rPr>
          <w:rFonts w:ascii="Times New Roman" w:hAnsi="Times New Roman" w:cs="Times New Roman"/>
          <w:sz w:val="24"/>
          <w:szCs w:val="24"/>
        </w:rPr>
        <w:t xml:space="preserve"> </w:t>
      </w:r>
      <w:r w:rsidRPr="00DE37CC">
        <w:rPr>
          <w:rFonts w:ascii="Times New Roman" w:hAnsi="Times New Roman" w:cs="Times New Roman"/>
          <w:sz w:val="24"/>
          <w:szCs w:val="24"/>
        </w:rPr>
        <w:t>PI spécialistes de la restructuration, des insolvabilités de personnes morales et des insolvabilités de personnes physiques.</w:t>
      </w:r>
      <w:r w:rsidRPr="00C7111E">
        <w:rPr>
          <w:rFonts w:ascii="Times New Roman" w:hAnsi="Times New Roman" w:cs="Times New Roman"/>
          <w:sz w:val="24"/>
          <w:szCs w:val="24"/>
        </w:rPr>
        <w:t xml:space="preserve"> </w:t>
      </w:r>
      <w:r w:rsidRPr="00DE37CC">
        <w:rPr>
          <w:rFonts w:ascii="Times New Roman" w:hAnsi="Times New Roman" w:cs="Times New Roman"/>
          <w:sz w:val="24"/>
          <w:szCs w:val="24"/>
        </w:rPr>
        <w:t>Les PI peuvent s’enregistrer dans les trois sections à la fois.</w:t>
      </w:r>
      <w:r w:rsidRPr="00C7111E">
        <w:rPr>
          <w:rFonts w:ascii="Times New Roman" w:hAnsi="Times New Roman" w:cs="Times New Roman"/>
          <w:sz w:val="24"/>
          <w:szCs w:val="24"/>
        </w:rPr>
        <w:t xml:space="preserve"> </w:t>
      </w:r>
      <w:r w:rsidRPr="00DE37CC">
        <w:rPr>
          <w:rFonts w:ascii="Times New Roman" w:hAnsi="Times New Roman" w:cs="Times New Roman"/>
          <w:sz w:val="24"/>
          <w:szCs w:val="24"/>
        </w:rPr>
        <w:t>Le principal critère utilisé par le programme de sélection aléatoire est l’adresse du PI, c’est-à-dire que son siège social doit se trouver dans le ressort du tribunal compétent.</w:t>
      </w:r>
      <w:r w:rsidRPr="00C7111E">
        <w:rPr>
          <w:rFonts w:ascii="Times New Roman" w:hAnsi="Times New Roman" w:cs="Times New Roman"/>
          <w:sz w:val="24"/>
          <w:szCs w:val="24"/>
        </w:rPr>
        <w:t xml:space="preserve"> </w:t>
      </w:r>
      <w:r w:rsidRPr="00DE37CC">
        <w:rPr>
          <w:rFonts w:ascii="Times New Roman" w:hAnsi="Times New Roman" w:cs="Times New Roman"/>
          <w:sz w:val="24"/>
          <w:szCs w:val="24"/>
        </w:rPr>
        <w:t xml:space="preserve">Par contre, le système de sélection aléatoire slovaque ne tient pas compte d’autres critères, tels que le nombre de salariés du cabinet du PI </w:t>
      </w:r>
      <w:r>
        <w:rPr>
          <w:rFonts w:ascii="Times New Roman" w:hAnsi="Times New Roman" w:cs="Times New Roman"/>
          <w:sz w:val="24"/>
          <w:szCs w:val="24"/>
        </w:rPr>
        <w:t>ou</w:t>
      </w:r>
      <w:r w:rsidRPr="00DE37CC">
        <w:rPr>
          <w:rFonts w:ascii="Times New Roman" w:hAnsi="Times New Roman" w:cs="Times New Roman"/>
          <w:sz w:val="24"/>
          <w:szCs w:val="24"/>
        </w:rPr>
        <w:t xml:space="preserve"> les dossiers </w:t>
      </w:r>
      <w:r>
        <w:rPr>
          <w:rFonts w:ascii="Times New Roman" w:hAnsi="Times New Roman" w:cs="Times New Roman"/>
          <w:sz w:val="24"/>
          <w:szCs w:val="24"/>
        </w:rPr>
        <w:t xml:space="preserve">d’insolvabilité précédemment </w:t>
      </w:r>
      <w:r w:rsidRPr="00DE37CC">
        <w:rPr>
          <w:rFonts w:ascii="Times New Roman" w:hAnsi="Times New Roman" w:cs="Times New Roman"/>
          <w:sz w:val="24"/>
          <w:szCs w:val="24"/>
        </w:rPr>
        <w:t>traités.</w:t>
      </w:r>
    </w:p>
    <w:p w:rsidR="006C79CB" w:rsidRPr="00C7111E" w:rsidRDefault="006C79CB" w:rsidP="006C79CB">
      <w:pPr>
        <w:jc w:val="both"/>
        <w:rPr>
          <w:rFonts w:ascii="Times New Roman" w:hAnsi="Times New Roman" w:cs="Times New Roman"/>
          <w:sz w:val="24"/>
          <w:szCs w:val="24"/>
        </w:rPr>
      </w:pPr>
      <w:r w:rsidRPr="00DE37CC">
        <w:rPr>
          <w:rFonts w:ascii="Times New Roman" w:hAnsi="Times New Roman" w:cs="Times New Roman"/>
          <w:b/>
          <w:sz w:val="24"/>
          <w:szCs w:val="24"/>
        </w:rPr>
        <w:t>Expériences</w:t>
      </w:r>
      <w:r w:rsidRPr="00C7111E">
        <w:rPr>
          <w:rFonts w:ascii="Times New Roman" w:hAnsi="Times New Roman" w:cs="Times New Roman"/>
          <w:sz w:val="24"/>
          <w:szCs w:val="24"/>
        </w:rPr>
        <w:t xml:space="preserve"> </w:t>
      </w:r>
    </w:p>
    <w:p w:rsidR="0077507B" w:rsidRDefault="006C79CB" w:rsidP="0077507B">
      <w:pPr>
        <w:spacing w:after="0"/>
        <w:jc w:val="both"/>
        <w:rPr>
          <w:rFonts w:ascii="Times New Roman" w:hAnsi="Times New Roman" w:cs="Times New Roman"/>
          <w:sz w:val="24"/>
          <w:szCs w:val="24"/>
        </w:rPr>
      </w:pPr>
      <w:r w:rsidRPr="00DE37CC">
        <w:rPr>
          <w:rFonts w:ascii="Times New Roman" w:hAnsi="Times New Roman" w:cs="Times New Roman"/>
          <w:b/>
          <w:i/>
          <w:sz w:val="24"/>
          <w:szCs w:val="24"/>
        </w:rPr>
        <w:t>Lituanie</w:t>
      </w:r>
      <w:r w:rsidR="0077507B">
        <w:rPr>
          <w:rFonts w:ascii="Times New Roman" w:hAnsi="Times New Roman" w:cs="Times New Roman"/>
          <w:sz w:val="24"/>
          <w:szCs w:val="24"/>
        </w:rPr>
        <w:t xml:space="preserve"> </w:t>
      </w:r>
    </w:p>
    <w:p w:rsidR="006C79CB" w:rsidRPr="00C7111E" w:rsidRDefault="006C79CB" w:rsidP="006C79CB">
      <w:pPr>
        <w:jc w:val="both"/>
        <w:rPr>
          <w:rFonts w:ascii="Times New Roman" w:hAnsi="Times New Roman" w:cs="Times New Roman"/>
          <w:sz w:val="24"/>
          <w:szCs w:val="24"/>
        </w:rPr>
      </w:pPr>
      <w:r w:rsidRPr="00F76859">
        <w:rPr>
          <w:rFonts w:ascii="Times New Roman" w:hAnsi="Times New Roman" w:cs="Times New Roman"/>
          <w:sz w:val="24"/>
          <w:szCs w:val="24"/>
        </w:rPr>
        <w:t>Au cours de ses trois premières années d’existence, le système de sélection aléatoire lituanien a rencontré divers problèmes, dont certains ont été résolus avec succès, mais d’autres non, car ils semblent inhérents au système.</w:t>
      </w:r>
    </w:p>
    <w:p w:rsidR="006C79CB" w:rsidRPr="00C7111E" w:rsidRDefault="006C79CB" w:rsidP="006C79CB">
      <w:pPr>
        <w:jc w:val="both"/>
        <w:rPr>
          <w:rFonts w:ascii="Times New Roman" w:hAnsi="Times New Roman" w:cs="Times New Roman"/>
          <w:sz w:val="24"/>
          <w:szCs w:val="24"/>
        </w:rPr>
      </w:pPr>
      <w:r w:rsidRPr="00F76859">
        <w:rPr>
          <w:rFonts w:ascii="Times New Roman" w:hAnsi="Times New Roman" w:cs="Times New Roman"/>
          <w:sz w:val="24"/>
          <w:szCs w:val="24"/>
        </w:rPr>
        <w:t>Au départ, certains problèmes ont été causés par des possibilités d’abus qui n’avaient pas été anticipées.</w:t>
      </w:r>
      <w:r w:rsidRPr="00C7111E">
        <w:rPr>
          <w:rFonts w:ascii="Times New Roman" w:hAnsi="Times New Roman" w:cs="Times New Roman"/>
          <w:sz w:val="24"/>
          <w:szCs w:val="24"/>
        </w:rPr>
        <w:t xml:space="preserve"> </w:t>
      </w:r>
      <w:r w:rsidRPr="00F76859">
        <w:rPr>
          <w:rFonts w:ascii="Times New Roman" w:hAnsi="Times New Roman" w:cs="Times New Roman"/>
          <w:sz w:val="24"/>
          <w:szCs w:val="24"/>
        </w:rPr>
        <w:t>Comme indiqué plus haut, le nombre total de procédures d’insolvabilité gérées joue sur l’ordre de priorité des PI dans le système de désignation.</w:t>
      </w:r>
      <w:r w:rsidRPr="00C7111E">
        <w:rPr>
          <w:rFonts w:ascii="Times New Roman" w:hAnsi="Times New Roman" w:cs="Times New Roman"/>
          <w:sz w:val="24"/>
          <w:szCs w:val="24"/>
        </w:rPr>
        <w:t xml:space="preserve"> </w:t>
      </w:r>
      <w:r w:rsidRPr="00F76859">
        <w:rPr>
          <w:rFonts w:ascii="Times New Roman" w:hAnsi="Times New Roman" w:cs="Times New Roman"/>
          <w:sz w:val="24"/>
          <w:szCs w:val="24"/>
        </w:rPr>
        <w:t xml:space="preserve">Au départ, ce nombre était calculé séparément pour les PI </w:t>
      </w:r>
      <w:r>
        <w:rPr>
          <w:rFonts w:ascii="Times New Roman" w:hAnsi="Times New Roman" w:cs="Times New Roman"/>
          <w:sz w:val="24"/>
          <w:szCs w:val="24"/>
        </w:rPr>
        <w:t xml:space="preserve">exerçant à titre </w:t>
      </w:r>
      <w:r w:rsidRPr="00F76859">
        <w:rPr>
          <w:rFonts w:ascii="Times New Roman" w:hAnsi="Times New Roman" w:cs="Times New Roman"/>
          <w:sz w:val="24"/>
          <w:szCs w:val="24"/>
        </w:rPr>
        <w:t>individuel et pour les cabinets (supplémentaires) établis par ceux-ci</w:t>
      </w:r>
      <w:r w:rsidRPr="00F76859">
        <w:rPr>
          <w:rStyle w:val="Appelnotedebasdep"/>
        </w:rPr>
        <w:footnoteReference w:id="23"/>
      </w:r>
      <w:r w:rsidRPr="00F76859">
        <w:rPr>
          <w:rFonts w:ascii="Times New Roman" w:hAnsi="Times New Roman" w:cs="Times New Roman"/>
          <w:sz w:val="24"/>
          <w:szCs w:val="24"/>
        </w:rPr>
        <w:t>.</w:t>
      </w:r>
      <w:r w:rsidRPr="00C7111E">
        <w:rPr>
          <w:rFonts w:ascii="Times New Roman" w:hAnsi="Times New Roman" w:cs="Times New Roman"/>
          <w:sz w:val="24"/>
          <w:szCs w:val="24"/>
        </w:rPr>
        <w:t xml:space="preserve"> </w:t>
      </w:r>
      <w:r w:rsidRPr="00F76859">
        <w:rPr>
          <w:rFonts w:ascii="Times New Roman" w:hAnsi="Times New Roman" w:cs="Times New Roman"/>
          <w:sz w:val="24"/>
          <w:szCs w:val="24"/>
        </w:rPr>
        <w:t>Certaines personnes ont fait jouer ce critère en établissant de nombreux cabinets à l’aide de leur certificat de PI individuel, afin d’augmenter leurs chances d’être désignées</w:t>
      </w:r>
      <w:r w:rsidRPr="00F76859">
        <w:rPr>
          <w:rStyle w:val="Appelnotedebasdep"/>
        </w:rPr>
        <w:footnoteReference w:id="24"/>
      </w:r>
      <w:r w:rsidRPr="00F76859">
        <w:rPr>
          <w:rFonts w:ascii="Times New Roman" w:hAnsi="Times New Roman" w:cs="Times New Roman"/>
          <w:sz w:val="24"/>
          <w:szCs w:val="24"/>
        </w:rPr>
        <w:t>.</w:t>
      </w:r>
    </w:p>
    <w:p w:rsidR="006C79CB" w:rsidRPr="00C7111E" w:rsidRDefault="006C79CB" w:rsidP="006C79CB">
      <w:pPr>
        <w:jc w:val="both"/>
        <w:rPr>
          <w:rFonts w:ascii="Times New Roman" w:hAnsi="Times New Roman" w:cs="Times New Roman"/>
          <w:sz w:val="24"/>
          <w:szCs w:val="24"/>
        </w:rPr>
      </w:pPr>
      <w:r w:rsidRPr="00F76859">
        <w:rPr>
          <w:rFonts w:ascii="Times New Roman" w:hAnsi="Times New Roman" w:cs="Times New Roman"/>
          <w:sz w:val="24"/>
          <w:szCs w:val="24"/>
        </w:rPr>
        <w:t>Une planification insuffisante a également créé d’autres problèmes.</w:t>
      </w:r>
      <w:r w:rsidRPr="00C7111E">
        <w:rPr>
          <w:rFonts w:ascii="Times New Roman" w:hAnsi="Times New Roman" w:cs="Times New Roman"/>
          <w:sz w:val="24"/>
          <w:szCs w:val="24"/>
        </w:rPr>
        <w:t xml:space="preserve"> </w:t>
      </w:r>
      <w:r w:rsidRPr="00F76859">
        <w:rPr>
          <w:rFonts w:ascii="Times New Roman" w:hAnsi="Times New Roman" w:cs="Times New Roman"/>
          <w:sz w:val="24"/>
          <w:szCs w:val="24"/>
        </w:rPr>
        <w:t>En Lituanie, de nombreux débiteurs sont des petites entreprises</w:t>
      </w:r>
      <w:r>
        <w:rPr>
          <w:rFonts w:ascii="Times New Roman" w:hAnsi="Times New Roman" w:cs="Times New Roman"/>
          <w:sz w:val="24"/>
          <w:szCs w:val="24"/>
        </w:rPr>
        <w:t>,</w:t>
      </w:r>
      <w:r w:rsidRPr="00C7111E">
        <w:rPr>
          <w:rFonts w:ascii="Times New Roman" w:hAnsi="Times New Roman" w:cs="Times New Roman"/>
          <w:sz w:val="24"/>
          <w:szCs w:val="24"/>
        </w:rPr>
        <w:t xml:space="preserve"> </w:t>
      </w:r>
      <w:r w:rsidRPr="00F76859">
        <w:rPr>
          <w:rFonts w:ascii="Times New Roman" w:hAnsi="Times New Roman" w:cs="Times New Roman"/>
          <w:sz w:val="24"/>
          <w:szCs w:val="24"/>
        </w:rPr>
        <w:t>pour lesquelles les règles de sélection aléatoire désignent en priorité des PI moins expérimentés.</w:t>
      </w:r>
      <w:r w:rsidRPr="00C7111E">
        <w:rPr>
          <w:rFonts w:ascii="Times New Roman" w:hAnsi="Times New Roman" w:cs="Times New Roman"/>
          <w:sz w:val="24"/>
          <w:szCs w:val="24"/>
        </w:rPr>
        <w:t xml:space="preserve"> </w:t>
      </w:r>
      <w:r w:rsidRPr="00F76859">
        <w:rPr>
          <w:rFonts w:ascii="Times New Roman" w:hAnsi="Times New Roman" w:cs="Times New Roman"/>
          <w:sz w:val="24"/>
          <w:szCs w:val="24"/>
        </w:rPr>
        <w:t>De ce fait, les praticiens les plus expérimentés se retrouvaient sans travail pendant plusieurs mois, jusqu’à ce qu’une grande entreprise fasse faillite, tandis que les « débutants » étaient débordés.</w:t>
      </w:r>
      <w:r w:rsidRPr="00C7111E">
        <w:rPr>
          <w:rFonts w:ascii="Times New Roman" w:hAnsi="Times New Roman" w:cs="Times New Roman"/>
          <w:sz w:val="24"/>
          <w:szCs w:val="24"/>
        </w:rPr>
        <w:t xml:space="preserve"> </w:t>
      </w:r>
      <w:r w:rsidRPr="00F76859">
        <w:rPr>
          <w:rFonts w:ascii="Times New Roman" w:hAnsi="Times New Roman" w:cs="Times New Roman"/>
          <w:sz w:val="24"/>
          <w:szCs w:val="24"/>
        </w:rPr>
        <w:t>Bien que ces problèmes aient été rapidement résolus, il en reste d’autres.</w:t>
      </w:r>
      <w:r w:rsidRPr="00C7111E">
        <w:rPr>
          <w:rFonts w:ascii="Times New Roman" w:hAnsi="Times New Roman" w:cs="Times New Roman"/>
          <w:sz w:val="24"/>
          <w:szCs w:val="24"/>
        </w:rPr>
        <w:t xml:space="preserve"> </w:t>
      </w:r>
      <w:r w:rsidRPr="00F76859">
        <w:rPr>
          <w:rFonts w:ascii="Times New Roman" w:hAnsi="Times New Roman" w:cs="Times New Roman"/>
          <w:sz w:val="24"/>
          <w:szCs w:val="24"/>
        </w:rPr>
        <w:t>Comme expliqué plus haut, le système n’est pas entièrement automatisé.</w:t>
      </w:r>
      <w:r w:rsidRPr="00C7111E">
        <w:rPr>
          <w:rFonts w:ascii="Times New Roman" w:hAnsi="Times New Roman" w:cs="Times New Roman"/>
          <w:sz w:val="24"/>
          <w:szCs w:val="24"/>
        </w:rPr>
        <w:t xml:space="preserve"> </w:t>
      </w:r>
      <w:r w:rsidRPr="00F76859">
        <w:rPr>
          <w:rFonts w:ascii="Times New Roman" w:hAnsi="Times New Roman" w:cs="Times New Roman"/>
          <w:sz w:val="24"/>
          <w:szCs w:val="24"/>
        </w:rPr>
        <w:t>Ainsi, le tribunal dispose d’une marge de manœuvre pour décider dans quelle catégorie le débiteur doit être placé : petite, moyenne ou grande entreprise.</w:t>
      </w:r>
      <w:r w:rsidRPr="00C7111E">
        <w:rPr>
          <w:rFonts w:ascii="Times New Roman" w:hAnsi="Times New Roman" w:cs="Times New Roman"/>
          <w:sz w:val="24"/>
          <w:szCs w:val="24"/>
        </w:rPr>
        <w:t xml:space="preserve"> </w:t>
      </w:r>
      <w:r w:rsidRPr="00F76859">
        <w:rPr>
          <w:rFonts w:ascii="Times New Roman" w:hAnsi="Times New Roman" w:cs="Times New Roman"/>
          <w:sz w:val="24"/>
          <w:szCs w:val="24"/>
        </w:rPr>
        <w:t>Ce pouvoir d’appréciation accordé à des juges qui disposent généralement de peu, voire d’aucune expérience de l’insolvabilité et des questions économiques entraîne des résultats inattendus et parfois préjudiciables</w:t>
      </w:r>
      <w:r w:rsidRPr="00F76859">
        <w:rPr>
          <w:rStyle w:val="Appelnotedebasdep"/>
        </w:rPr>
        <w:footnoteReference w:id="25"/>
      </w:r>
      <w:r w:rsidRPr="00F76859">
        <w:rPr>
          <w:rFonts w:ascii="Times New Roman" w:hAnsi="Times New Roman" w:cs="Times New Roman"/>
          <w:sz w:val="24"/>
          <w:szCs w:val="24"/>
        </w:rPr>
        <w:t>.</w:t>
      </w:r>
      <w:r w:rsidRPr="00C7111E">
        <w:rPr>
          <w:rFonts w:ascii="Times New Roman" w:hAnsi="Times New Roman" w:cs="Times New Roman"/>
          <w:sz w:val="24"/>
          <w:szCs w:val="24"/>
        </w:rPr>
        <w:t xml:space="preserve"> </w:t>
      </w:r>
      <w:r w:rsidRPr="00F76859">
        <w:rPr>
          <w:rFonts w:ascii="Times New Roman" w:hAnsi="Times New Roman" w:cs="Times New Roman"/>
          <w:sz w:val="24"/>
          <w:szCs w:val="24"/>
        </w:rPr>
        <w:t>En outre, l’évaluation de l’expérience d’un PI à des fins de catégorisation repose sur des critères plutôt formels, notamment sur le type et le nombre d’affaires traitée</w:t>
      </w:r>
      <w:r>
        <w:rPr>
          <w:rFonts w:ascii="Times New Roman" w:hAnsi="Times New Roman" w:cs="Times New Roman"/>
          <w:sz w:val="24"/>
          <w:szCs w:val="24"/>
        </w:rPr>
        <w:t>s,</w:t>
      </w:r>
      <w:r w:rsidRPr="00C7111E">
        <w:rPr>
          <w:rFonts w:ascii="Times New Roman" w:hAnsi="Times New Roman" w:cs="Times New Roman"/>
          <w:sz w:val="24"/>
          <w:szCs w:val="24"/>
        </w:rPr>
        <w:t xml:space="preserve"> </w:t>
      </w:r>
      <w:r w:rsidRPr="003A5FDB">
        <w:rPr>
          <w:rFonts w:ascii="Times New Roman" w:hAnsi="Times New Roman" w:cs="Times New Roman"/>
          <w:sz w:val="24"/>
          <w:szCs w:val="24"/>
        </w:rPr>
        <w:t>ce qui ne traduit pas nécessairement les compétences requises.</w:t>
      </w:r>
    </w:p>
    <w:p w:rsidR="006C79CB" w:rsidRPr="00C7111E" w:rsidRDefault="006C79CB" w:rsidP="006C79CB">
      <w:pPr>
        <w:jc w:val="both"/>
        <w:rPr>
          <w:rFonts w:ascii="Times New Roman" w:hAnsi="Times New Roman" w:cs="Times New Roman"/>
          <w:sz w:val="24"/>
          <w:szCs w:val="24"/>
        </w:rPr>
      </w:pPr>
      <w:r w:rsidRPr="003A5FDB">
        <w:rPr>
          <w:rFonts w:ascii="Times New Roman" w:hAnsi="Times New Roman" w:cs="Times New Roman"/>
          <w:sz w:val="24"/>
          <w:szCs w:val="24"/>
        </w:rPr>
        <w:lastRenderedPageBreak/>
        <w:t>L’existence d’un système de sélection aléatoire n’a pas totalement éliminé la possibilité de désigner un PI « souhaité ».</w:t>
      </w:r>
      <w:r w:rsidRPr="00C7111E">
        <w:rPr>
          <w:rFonts w:ascii="Times New Roman" w:hAnsi="Times New Roman" w:cs="Times New Roman"/>
          <w:sz w:val="24"/>
          <w:szCs w:val="24"/>
        </w:rPr>
        <w:t xml:space="preserve"> </w:t>
      </w:r>
      <w:r w:rsidRPr="003A5FDB">
        <w:rPr>
          <w:rFonts w:ascii="Times New Roman" w:hAnsi="Times New Roman" w:cs="Times New Roman"/>
          <w:sz w:val="24"/>
          <w:szCs w:val="24"/>
        </w:rPr>
        <w:t>Comme indiqué plus haut, le système de « </w:t>
      </w:r>
      <w:r>
        <w:rPr>
          <w:rFonts w:ascii="Times New Roman" w:hAnsi="Times New Roman" w:cs="Times New Roman"/>
          <w:sz w:val="24"/>
          <w:szCs w:val="24"/>
        </w:rPr>
        <w:t>tirage au sort</w:t>
      </w:r>
      <w:r w:rsidRPr="003A5FDB">
        <w:rPr>
          <w:rFonts w:ascii="Times New Roman" w:hAnsi="Times New Roman" w:cs="Times New Roman"/>
          <w:sz w:val="24"/>
          <w:szCs w:val="24"/>
        </w:rPr>
        <w:t> » n’est utilisé que dans les procédures d’insolvabilité judiciaires.</w:t>
      </w:r>
      <w:r w:rsidRPr="00C7111E">
        <w:rPr>
          <w:rFonts w:ascii="Times New Roman" w:hAnsi="Times New Roman" w:cs="Times New Roman"/>
          <w:sz w:val="24"/>
          <w:szCs w:val="24"/>
        </w:rPr>
        <w:t xml:space="preserve"> </w:t>
      </w:r>
      <w:r w:rsidRPr="003A5FDB">
        <w:rPr>
          <w:rFonts w:ascii="Times New Roman" w:hAnsi="Times New Roman" w:cs="Times New Roman"/>
          <w:sz w:val="24"/>
          <w:szCs w:val="24"/>
        </w:rPr>
        <w:t xml:space="preserve">Par conséquent, </w:t>
      </w:r>
      <w:r>
        <w:rPr>
          <w:rFonts w:ascii="Times New Roman" w:hAnsi="Times New Roman" w:cs="Times New Roman"/>
          <w:sz w:val="24"/>
          <w:szCs w:val="24"/>
        </w:rPr>
        <w:t>il</w:t>
      </w:r>
      <w:r w:rsidRPr="003A5FDB">
        <w:rPr>
          <w:rFonts w:ascii="Times New Roman" w:hAnsi="Times New Roman" w:cs="Times New Roman"/>
          <w:sz w:val="24"/>
          <w:szCs w:val="24"/>
        </w:rPr>
        <w:t xml:space="preserve"> n’est pas obligatoire pour les procédures d’insolvabilité extrajudiciaires, dans le cadre desquelles le PI est encore proposé par l</w:t>
      </w:r>
      <w:r>
        <w:rPr>
          <w:rFonts w:ascii="Times New Roman" w:hAnsi="Times New Roman" w:cs="Times New Roman"/>
          <w:sz w:val="24"/>
          <w:szCs w:val="24"/>
        </w:rPr>
        <w:t>e déposant</w:t>
      </w:r>
      <w:r w:rsidRPr="003A5FDB">
        <w:rPr>
          <w:rFonts w:ascii="Times New Roman" w:hAnsi="Times New Roman" w:cs="Times New Roman"/>
          <w:sz w:val="24"/>
          <w:szCs w:val="24"/>
        </w:rPr>
        <w:t>.</w:t>
      </w:r>
      <w:r w:rsidRPr="00C7111E">
        <w:rPr>
          <w:rFonts w:ascii="Times New Roman" w:hAnsi="Times New Roman" w:cs="Times New Roman"/>
          <w:sz w:val="24"/>
          <w:szCs w:val="24"/>
        </w:rPr>
        <w:t xml:space="preserve"> </w:t>
      </w:r>
      <w:r w:rsidRPr="003A5FDB">
        <w:rPr>
          <w:rFonts w:ascii="Times New Roman" w:hAnsi="Times New Roman" w:cs="Times New Roman"/>
          <w:sz w:val="24"/>
          <w:szCs w:val="24"/>
        </w:rPr>
        <w:t>Les statistiques</w:t>
      </w:r>
      <w:r w:rsidRPr="003A5FDB">
        <w:rPr>
          <w:rStyle w:val="Appelnotedebasdep"/>
        </w:rPr>
        <w:footnoteReference w:id="26"/>
      </w:r>
      <w:r w:rsidRPr="003A5FDB">
        <w:rPr>
          <w:rFonts w:ascii="Times New Roman" w:hAnsi="Times New Roman" w:cs="Times New Roman"/>
          <w:sz w:val="24"/>
          <w:szCs w:val="24"/>
        </w:rPr>
        <w:t xml:space="preserve"> indiquent que le nombre de procédures extrajudiciaires a explosé après l’introduction du système de sélection aléatoire : en 2015, leur nombre a plus que doublé, pour atteindre 103 procédures (contre 48 en 2014) et a continu</w:t>
      </w:r>
      <w:r>
        <w:rPr>
          <w:rFonts w:ascii="Times New Roman" w:hAnsi="Times New Roman" w:cs="Times New Roman"/>
          <w:sz w:val="24"/>
          <w:szCs w:val="24"/>
        </w:rPr>
        <w:t>é</w:t>
      </w:r>
      <w:r w:rsidRPr="003A5FDB">
        <w:rPr>
          <w:rFonts w:ascii="Times New Roman" w:hAnsi="Times New Roman" w:cs="Times New Roman"/>
          <w:sz w:val="24"/>
          <w:szCs w:val="24"/>
        </w:rPr>
        <w:t xml:space="preserve"> d’augmenter pour arriver à 175 (en 2016) puis à 235 (en 2017).</w:t>
      </w:r>
    </w:p>
    <w:p w:rsidR="006C79CB" w:rsidRPr="00C7111E" w:rsidRDefault="006C79CB" w:rsidP="006C79CB">
      <w:pPr>
        <w:jc w:val="both"/>
        <w:rPr>
          <w:rFonts w:ascii="Times New Roman" w:hAnsi="Times New Roman" w:cs="Times New Roman"/>
          <w:sz w:val="24"/>
          <w:szCs w:val="24"/>
        </w:rPr>
      </w:pPr>
      <w:r w:rsidRPr="009A356F">
        <w:rPr>
          <w:rFonts w:ascii="Times New Roman" w:hAnsi="Times New Roman" w:cs="Times New Roman"/>
          <w:sz w:val="24"/>
          <w:szCs w:val="24"/>
        </w:rPr>
        <w:t>Même si le nombre absolu de procédures d’insolvabilité extrajudiciaires reste plutôt faible (environ 8 % du nombre total de procédures en 2017), la tendance est claire.</w:t>
      </w:r>
      <w:r w:rsidRPr="00C7111E">
        <w:rPr>
          <w:rFonts w:ascii="Times New Roman" w:hAnsi="Times New Roman" w:cs="Times New Roman"/>
          <w:sz w:val="24"/>
          <w:szCs w:val="24"/>
        </w:rPr>
        <w:t xml:space="preserve"> </w:t>
      </w:r>
      <w:r w:rsidRPr="009A356F">
        <w:rPr>
          <w:rFonts w:ascii="Times New Roman" w:hAnsi="Times New Roman" w:cs="Times New Roman"/>
          <w:sz w:val="24"/>
          <w:szCs w:val="24"/>
        </w:rPr>
        <w:t>Les créanciers et autres intéressés peuvent ressentir le besoin de confier l’administration des procédures plus complexes à un PI de leur choix, disposant des ressources et de l’expertise nécessaires.</w:t>
      </w:r>
      <w:r w:rsidRPr="00C7111E">
        <w:rPr>
          <w:rFonts w:ascii="Times New Roman" w:hAnsi="Times New Roman" w:cs="Times New Roman"/>
          <w:sz w:val="24"/>
          <w:szCs w:val="24"/>
        </w:rPr>
        <w:t xml:space="preserve"> </w:t>
      </w:r>
      <w:r w:rsidRPr="009A356F">
        <w:rPr>
          <w:rFonts w:ascii="Times New Roman" w:hAnsi="Times New Roman" w:cs="Times New Roman"/>
          <w:sz w:val="24"/>
          <w:szCs w:val="24"/>
        </w:rPr>
        <w:t>Toutefois, on ne peut exclure le fait que les procédures extrajudiciaires sont utilisées dans certains cas pour éviter la sélection aléatoire et faire intervenir un PI qui accorderait la priorité aux intérêts d</w:t>
      </w:r>
      <w:r>
        <w:rPr>
          <w:rFonts w:ascii="Times New Roman" w:hAnsi="Times New Roman" w:cs="Times New Roman"/>
          <w:sz w:val="24"/>
          <w:szCs w:val="24"/>
        </w:rPr>
        <w:t>u déposant</w:t>
      </w:r>
      <w:r w:rsidRPr="009A356F">
        <w:rPr>
          <w:rFonts w:ascii="Times New Roman" w:hAnsi="Times New Roman" w:cs="Times New Roman"/>
          <w:sz w:val="24"/>
          <w:szCs w:val="24"/>
        </w:rPr>
        <w:t>, au détriment des autres intéressés.</w:t>
      </w:r>
    </w:p>
    <w:p w:rsidR="006C79CB" w:rsidRPr="00C7111E" w:rsidRDefault="006C79CB" w:rsidP="0077507B">
      <w:pPr>
        <w:spacing w:after="0"/>
        <w:jc w:val="both"/>
        <w:rPr>
          <w:rFonts w:ascii="Times New Roman" w:hAnsi="Times New Roman" w:cs="Times New Roman"/>
          <w:sz w:val="24"/>
          <w:szCs w:val="24"/>
        </w:rPr>
      </w:pPr>
      <w:r w:rsidRPr="009A356F">
        <w:rPr>
          <w:rFonts w:ascii="Times New Roman" w:hAnsi="Times New Roman" w:cs="Times New Roman"/>
          <w:b/>
          <w:i/>
          <w:sz w:val="24"/>
          <w:szCs w:val="24"/>
        </w:rPr>
        <w:t>Hongrie</w:t>
      </w:r>
      <w:r w:rsidRPr="00C7111E">
        <w:rPr>
          <w:rFonts w:ascii="Times New Roman" w:hAnsi="Times New Roman" w:cs="Times New Roman"/>
          <w:sz w:val="24"/>
          <w:szCs w:val="24"/>
        </w:rPr>
        <w:t xml:space="preserve"> </w:t>
      </w:r>
    </w:p>
    <w:p w:rsidR="006C79CB" w:rsidRPr="00C7111E" w:rsidRDefault="006C79CB" w:rsidP="006C79CB">
      <w:pPr>
        <w:jc w:val="both"/>
        <w:rPr>
          <w:rFonts w:ascii="Times New Roman" w:hAnsi="Times New Roman" w:cs="Times New Roman"/>
          <w:sz w:val="24"/>
          <w:szCs w:val="24"/>
        </w:rPr>
      </w:pPr>
      <w:r w:rsidRPr="009A356F">
        <w:rPr>
          <w:rFonts w:ascii="Times New Roman" w:hAnsi="Times New Roman" w:cs="Times New Roman"/>
          <w:sz w:val="24"/>
          <w:szCs w:val="24"/>
        </w:rPr>
        <w:t xml:space="preserve">En Hongrie, l’introduction du système de </w:t>
      </w:r>
      <w:r>
        <w:rPr>
          <w:rFonts w:ascii="Times New Roman" w:hAnsi="Times New Roman" w:cs="Times New Roman"/>
          <w:sz w:val="24"/>
          <w:szCs w:val="24"/>
        </w:rPr>
        <w:t>tirage au sort</w:t>
      </w:r>
      <w:r w:rsidRPr="009A356F">
        <w:rPr>
          <w:rFonts w:ascii="Times New Roman" w:hAnsi="Times New Roman" w:cs="Times New Roman"/>
          <w:sz w:val="24"/>
          <w:szCs w:val="24"/>
        </w:rPr>
        <w:t xml:space="preserve"> était principalement motivée par le besoin de remédier à un manque de transparence.</w:t>
      </w:r>
      <w:r w:rsidRPr="00C7111E">
        <w:rPr>
          <w:rFonts w:ascii="Times New Roman" w:hAnsi="Times New Roman" w:cs="Times New Roman"/>
          <w:sz w:val="24"/>
          <w:szCs w:val="24"/>
        </w:rPr>
        <w:t xml:space="preserve"> </w:t>
      </w:r>
      <w:r w:rsidRPr="009A356F">
        <w:rPr>
          <w:rFonts w:ascii="Times New Roman" w:hAnsi="Times New Roman" w:cs="Times New Roman"/>
          <w:sz w:val="24"/>
          <w:szCs w:val="24"/>
        </w:rPr>
        <w:t>Toutefois, au départ, la sélection aléatoire pouvait facilement être évitée au moyen d’une décision motivée du juge.</w:t>
      </w:r>
      <w:r w:rsidRPr="00C7111E">
        <w:rPr>
          <w:rFonts w:ascii="Times New Roman" w:hAnsi="Times New Roman" w:cs="Times New Roman"/>
          <w:sz w:val="24"/>
          <w:szCs w:val="24"/>
        </w:rPr>
        <w:t xml:space="preserve"> </w:t>
      </w:r>
      <w:r w:rsidRPr="009A356F">
        <w:rPr>
          <w:rFonts w:ascii="Times New Roman" w:hAnsi="Times New Roman" w:cs="Times New Roman"/>
          <w:sz w:val="24"/>
          <w:szCs w:val="24"/>
        </w:rPr>
        <w:t>Cette dérogation à la désignation électronique intervenait le plus souvent dans le cas de débiteurs actifs dans certains domaines d’activité précis, tels que l’agriculture ou la construction.</w:t>
      </w:r>
      <w:r w:rsidRPr="00C7111E">
        <w:rPr>
          <w:rFonts w:ascii="Times New Roman" w:hAnsi="Times New Roman" w:cs="Times New Roman"/>
          <w:sz w:val="24"/>
          <w:szCs w:val="24"/>
        </w:rPr>
        <w:t xml:space="preserve"> </w:t>
      </w:r>
      <w:r w:rsidRPr="009A356F">
        <w:rPr>
          <w:rFonts w:ascii="Times New Roman" w:hAnsi="Times New Roman" w:cs="Times New Roman"/>
          <w:sz w:val="24"/>
          <w:szCs w:val="24"/>
        </w:rPr>
        <w:t>Toute possibilité de dérogation sur décision judiciaire a été abolie en 2014.</w:t>
      </w:r>
    </w:p>
    <w:p w:rsidR="006C79CB" w:rsidRPr="00C7111E" w:rsidRDefault="006C79CB" w:rsidP="006C79CB">
      <w:pPr>
        <w:jc w:val="both"/>
        <w:rPr>
          <w:rFonts w:ascii="Times New Roman" w:hAnsi="Times New Roman" w:cs="Times New Roman"/>
          <w:sz w:val="24"/>
          <w:szCs w:val="24"/>
        </w:rPr>
      </w:pPr>
      <w:r w:rsidRPr="009A356F">
        <w:rPr>
          <w:rFonts w:ascii="Times New Roman" w:hAnsi="Times New Roman" w:cs="Times New Roman"/>
          <w:sz w:val="24"/>
          <w:szCs w:val="24"/>
        </w:rPr>
        <w:t xml:space="preserve">Cependant, il existe toujours un moyen d’éviter les dispositions générales en matière de désignation, en demandant aux pouvoirs publics d’accorder un statut privilégié au débiteur </w:t>
      </w:r>
      <w:r>
        <w:rPr>
          <w:rFonts w:ascii="Times New Roman" w:hAnsi="Times New Roman" w:cs="Times New Roman"/>
          <w:sz w:val="24"/>
          <w:szCs w:val="24"/>
        </w:rPr>
        <w:t xml:space="preserve">au vu de ses objectifs </w:t>
      </w:r>
      <w:r w:rsidRPr="009A356F">
        <w:rPr>
          <w:rFonts w:ascii="Times New Roman" w:hAnsi="Times New Roman" w:cs="Times New Roman"/>
          <w:sz w:val="24"/>
          <w:szCs w:val="24"/>
        </w:rPr>
        <w:t>stratégiques.</w:t>
      </w:r>
      <w:r w:rsidRPr="00C7111E">
        <w:rPr>
          <w:rFonts w:ascii="Times New Roman" w:hAnsi="Times New Roman" w:cs="Times New Roman"/>
          <w:sz w:val="24"/>
          <w:szCs w:val="24"/>
        </w:rPr>
        <w:t xml:space="preserve"> </w:t>
      </w:r>
      <w:r w:rsidRPr="009A356F">
        <w:rPr>
          <w:rFonts w:ascii="Times New Roman" w:hAnsi="Times New Roman" w:cs="Times New Roman"/>
          <w:sz w:val="24"/>
          <w:szCs w:val="24"/>
        </w:rPr>
        <w:t>Dans certains cas, ce statut peut être justifié par le rôle particulier du débiteur dans l’économie hongroise (par ex. compagnies aériennes nationales, prestataires de services d’utilité publique).</w:t>
      </w:r>
      <w:r w:rsidRPr="00C7111E">
        <w:rPr>
          <w:rFonts w:ascii="Times New Roman" w:hAnsi="Times New Roman" w:cs="Times New Roman"/>
          <w:sz w:val="24"/>
          <w:szCs w:val="24"/>
        </w:rPr>
        <w:t xml:space="preserve"> </w:t>
      </w:r>
      <w:r w:rsidRPr="009A356F">
        <w:rPr>
          <w:rFonts w:ascii="Times New Roman" w:hAnsi="Times New Roman" w:cs="Times New Roman"/>
          <w:sz w:val="24"/>
          <w:szCs w:val="24"/>
        </w:rPr>
        <w:t>Toutefois, dans certains cas, l’attribution de ce statut peut s’apparenter à un outil politique.</w:t>
      </w:r>
      <w:r w:rsidRPr="00C7111E">
        <w:rPr>
          <w:rFonts w:ascii="Times New Roman" w:hAnsi="Times New Roman" w:cs="Times New Roman"/>
          <w:sz w:val="24"/>
          <w:szCs w:val="24"/>
        </w:rPr>
        <w:t xml:space="preserve"> </w:t>
      </w:r>
      <w:r w:rsidRPr="009A356F">
        <w:rPr>
          <w:rFonts w:ascii="Times New Roman" w:hAnsi="Times New Roman" w:cs="Times New Roman"/>
          <w:sz w:val="24"/>
          <w:szCs w:val="24"/>
        </w:rPr>
        <w:t>Depuis son introduction en 2012, plus d’une centaine d’entreprises ont pu bénéficier de ce statut.</w:t>
      </w:r>
    </w:p>
    <w:p w:rsidR="006C79CB" w:rsidRPr="00C7111E" w:rsidRDefault="006C79CB" w:rsidP="006C79CB">
      <w:pPr>
        <w:jc w:val="both"/>
        <w:rPr>
          <w:rFonts w:ascii="Times New Roman" w:hAnsi="Times New Roman" w:cs="Times New Roman"/>
          <w:sz w:val="24"/>
          <w:szCs w:val="24"/>
        </w:rPr>
      </w:pPr>
      <w:r w:rsidRPr="009A356F">
        <w:rPr>
          <w:rFonts w:ascii="Times New Roman" w:hAnsi="Times New Roman" w:cs="Times New Roman"/>
          <w:sz w:val="24"/>
          <w:szCs w:val="24"/>
        </w:rPr>
        <w:t xml:space="preserve">Le consensus entre PI est que l’introduction du système de </w:t>
      </w:r>
      <w:r>
        <w:rPr>
          <w:rFonts w:ascii="Times New Roman" w:hAnsi="Times New Roman" w:cs="Times New Roman"/>
          <w:sz w:val="24"/>
          <w:szCs w:val="24"/>
        </w:rPr>
        <w:t>tirage au sort</w:t>
      </w:r>
      <w:r w:rsidRPr="009A356F">
        <w:rPr>
          <w:rFonts w:ascii="Times New Roman" w:hAnsi="Times New Roman" w:cs="Times New Roman"/>
          <w:sz w:val="24"/>
          <w:szCs w:val="24"/>
        </w:rPr>
        <w:t xml:space="preserve"> a manifestement entraîné une répartition plus équitable des dossiers d’insolvabilité.</w:t>
      </w:r>
      <w:r w:rsidRPr="00C7111E">
        <w:rPr>
          <w:rFonts w:ascii="Times New Roman" w:hAnsi="Times New Roman" w:cs="Times New Roman"/>
          <w:sz w:val="24"/>
          <w:szCs w:val="24"/>
        </w:rPr>
        <w:t xml:space="preserve"> </w:t>
      </w:r>
      <w:r w:rsidRPr="009A356F">
        <w:rPr>
          <w:rFonts w:ascii="Times New Roman" w:hAnsi="Times New Roman" w:cs="Times New Roman"/>
          <w:sz w:val="24"/>
          <w:szCs w:val="24"/>
        </w:rPr>
        <w:t>La réglementation actuelle permet moins de dérogations à la méthode de sélection aléatoire.</w:t>
      </w:r>
      <w:r w:rsidRPr="00C7111E">
        <w:rPr>
          <w:rFonts w:ascii="Times New Roman" w:hAnsi="Times New Roman" w:cs="Times New Roman"/>
          <w:sz w:val="24"/>
          <w:szCs w:val="24"/>
        </w:rPr>
        <w:t xml:space="preserve"> </w:t>
      </w:r>
      <w:r w:rsidRPr="009A356F">
        <w:rPr>
          <w:rFonts w:ascii="Times New Roman" w:hAnsi="Times New Roman" w:cs="Times New Roman"/>
          <w:sz w:val="24"/>
          <w:szCs w:val="24"/>
        </w:rPr>
        <w:t>Toutefois, le système est critiqué parce que le tribunal ne peut pas déroger à la désignation aléatoire dans les procédures nécessitant une expérience ou des connaissances particulières.</w:t>
      </w:r>
    </w:p>
    <w:p w:rsidR="006C79CB" w:rsidRPr="00C7111E" w:rsidRDefault="006C79CB" w:rsidP="0077507B">
      <w:pPr>
        <w:spacing w:after="0"/>
        <w:jc w:val="both"/>
        <w:rPr>
          <w:rFonts w:ascii="Times New Roman" w:hAnsi="Times New Roman" w:cs="Times New Roman"/>
          <w:sz w:val="24"/>
          <w:szCs w:val="24"/>
        </w:rPr>
      </w:pPr>
      <w:r w:rsidRPr="009A356F">
        <w:rPr>
          <w:rFonts w:ascii="Times New Roman" w:hAnsi="Times New Roman" w:cs="Times New Roman"/>
          <w:b/>
          <w:i/>
          <w:sz w:val="24"/>
          <w:szCs w:val="24"/>
        </w:rPr>
        <w:lastRenderedPageBreak/>
        <w:t>Slovaquie</w:t>
      </w:r>
      <w:r w:rsidRPr="00C7111E">
        <w:rPr>
          <w:rFonts w:ascii="Times New Roman" w:hAnsi="Times New Roman" w:cs="Times New Roman"/>
          <w:sz w:val="24"/>
          <w:szCs w:val="24"/>
        </w:rPr>
        <w:t xml:space="preserve"> </w:t>
      </w:r>
    </w:p>
    <w:p w:rsidR="006C79CB" w:rsidRPr="00C7111E" w:rsidRDefault="006C79CB" w:rsidP="006C79CB">
      <w:pPr>
        <w:jc w:val="both"/>
        <w:rPr>
          <w:rFonts w:ascii="Times New Roman" w:hAnsi="Times New Roman" w:cs="Times New Roman"/>
          <w:sz w:val="24"/>
          <w:szCs w:val="24"/>
        </w:rPr>
      </w:pPr>
      <w:r w:rsidRPr="009A356F">
        <w:rPr>
          <w:rFonts w:ascii="Times New Roman" w:hAnsi="Times New Roman" w:cs="Times New Roman"/>
          <w:sz w:val="24"/>
          <w:szCs w:val="24"/>
        </w:rPr>
        <w:t>Étant donné que le système de sélection aléatoire, en Slovaquie, s’applique à tous les types de procédures d’insolvabilité, il peut sembler être un outil puissant contre la corruption, ainsi que le moyen de renforcer la confiance en l’impartialité des tribunaux s’agissant de la désignation des PI.</w:t>
      </w:r>
      <w:r w:rsidRPr="00C7111E">
        <w:rPr>
          <w:rFonts w:ascii="Times New Roman" w:hAnsi="Times New Roman" w:cs="Times New Roman"/>
          <w:sz w:val="24"/>
          <w:szCs w:val="24"/>
        </w:rPr>
        <w:t xml:space="preserve"> </w:t>
      </w:r>
      <w:r w:rsidRPr="009A356F">
        <w:rPr>
          <w:rFonts w:ascii="Times New Roman" w:hAnsi="Times New Roman" w:cs="Times New Roman"/>
          <w:sz w:val="24"/>
          <w:szCs w:val="24"/>
        </w:rPr>
        <w:t>Toutefois, l’attribution aléatoire des dossiers entraîne des problèmes de gestion professionnelle des insolvabilités, car de nombreux PI sont enregistrés dans toutes les sections du registre sans que le système ne tienne compte de facteurs importants tels que leurs ressources et leur expérience.</w:t>
      </w:r>
      <w:r w:rsidRPr="00C7111E">
        <w:rPr>
          <w:rFonts w:ascii="Times New Roman" w:hAnsi="Times New Roman" w:cs="Times New Roman"/>
          <w:sz w:val="24"/>
          <w:szCs w:val="24"/>
        </w:rPr>
        <w:t xml:space="preserve"> </w:t>
      </w:r>
      <w:r w:rsidRPr="009A356F">
        <w:rPr>
          <w:rFonts w:ascii="Times New Roman" w:hAnsi="Times New Roman" w:cs="Times New Roman"/>
          <w:sz w:val="24"/>
          <w:szCs w:val="24"/>
        </w:rPr>
        <w:t>Ainsi, une affaire importante et complexe risque d’être confiée à un PI sélectionné aléatoirement qui ne dispose pas des compétences ou ressources nécessaires pour la gérer</w:t>
      </w:r>
      <w:r>
        <w:rPr>
          <w:rFonts w:ascii="Times New Roman" w:hAnsi="Times New Roman" w:cs="Times New Roman"/>
          <w:sz w:val="24"/>
          <w:szCs w:val="24"/>
        </w:rPr>
        <w:t xml:space="preserve"> efficacement</w:t>
      </w:r>
      <w:r w:rsidRPr="009A356F">
        <w:rPr>
          <w:rFonts w:ascii="Times New Roman" w:hAnsi="Times New Roman" w:cs="Times New Roman"/>
          <w:sz w:val="24"/>
          <w:szCs w:val="24"/>
        </w:rPr>
        <w:t>.</w:t>
      </w:r>
    </w:p>
    <w:p w:rsidR="006C79CB" w:rsidRPr="00C7111E" w:rsidRDefault="006C79CB" w:rsidP="006C79CB">
      <w:pPr>
        <w:jc w:val="both"/>
        <w:rPr>
          <w:rFonts w:ascii="Times New Roman" w:hAnsi="Times New Roman" w:cs="Times New Roman"/>
          <w:sz w:val="24"/>
          <w:szCs w:val="24"/>
        </w:rPr>
      </w:pPr>
      <w:r w:rsidRPr="009A356F">
        <w:rPr>
          <w:rFonts w:ascii="Times New Roman" w:hAnsi="Times New Roman" w:cs="Times New Roman"/>
          <w:b/>
          <w:sz w:val="24"/>
          <w:szCs w:val="24"/>
        </w:rPr>
        <w:t>Conclusion</w:t>
      </w:r>
      <w:r w:rsidRPr="00C7111E">
        <w:rPr>
          <w:rFonts w:ascii="Times New Roman" w:hAnsi="Times New Roman" w:cs="Times New Roman"/>
          <w:sz w:val="24"/>
          <w:szCs w:val="24"/>
        </w:rPr>
        <w:t xml:space="preserve"> </w:t>
      </w:r>
    </w:p>
    <w:p w:rsidR="006C79CB" w:rsidRPr="00C7111E" w:rsidRDefault="006C79CB" w:rsidP="006C79CB">
      <w:pPr>
        <w:jc w:val="both"/>
        <w:rPr>
          <w:rFonts w:ascii="Times New Roman" w:hAnsi="Times New Roman" w:cs="Times New Roman"/>
          <w:sz w:val="24"/>
          <w:szCs w:val="24"/>
        </w:rPr>
      </w:pPr>
      <w:r w:rsidRPr="009A356F">
        <w:rPr>
          <w:rFonts w:ascii="Times New Roman" w:hAnsi="Times New Roman" w:cs="Times New Roman"/>
          <w:sz w:val="24"/>
          <w:szCs w:val="24"/>
        </w:rPr>
        <w:t>Les expériences de la Lituanie, de la Slovaquie et de la Hongrie montrent que la sélection aléatoire des PI peut favoriser la transparence et l’impartialité du processus de sélection des PI et ainsi renforcer la confiance générale dont bénéficie la profession, et le fonctionnement du régime d’insolvabilité dans son ensemble.</w:t>
      </w:r>
    </w:p>
    <w:p w:rsidR="006C79CB" w:rsidRPr="00C7111E" w:rsidRDefault="006C79CB" w:rsidP="006C79CB">
      <w:pPr>
        <w:jc w:val="both"/>
        <w:rPr>
          <w:rFonts w:ascii="Times New Roman" w:hAnsi="Times New Roman" w:cs="Times New Roman"/>
          <w:sz w:val="24"/>
          <w:szCs w:val="24"/>
        </w:rPr>
      </w:pPr>
      <w:r w:rsidRPr="009A356F">
        <w:rPr>
          <w:rFonts w:ascii="Times New Roman" w:hAnsi="Times New Roman" w:cs="Times New Roman"/>
          <w:sz w:val="24"/>
          <w:szCs w:val="24"/>
        </w:rPr>
        <w:t>Cette avancée doit être accueillie favorablement, en particulier en Europe centrale et orientale, région qui, dans une certaine mesure, est encore confrontée à des accusations de corruption.</w:t>
      </w:r>
      <w:r w:rsidRPr="00C7111E">
        <w:rPr>
          <w:rFonts w:ascii="Times New Roman" w:hAnsi="Times New Roman" w:cs="Times New Roman"/>
          <w:sz w:val="24"/>
          <w:szCs w:val="24"/>
        </w:rPr>
        <w:t xml:space="preserve"> </w:t>
      </w:r>
      <w:r w:rsidRPr="009A356F">
        <w:rPr>
          <w:rFonts w:ascii="Times New Roman" w:hAnsi="Times New Roman" w:cs="Times New Roman"/>
          <w:sz w:val="24"/>
          <w:szCs w:val="24"/>
        </w:rPr>
        <w:t xml:space="preserve">Toutefois, l’impartialité et la transparence de ces systèmes de </w:t>
      </w:r>
      <w:r>
        <w:rPr>
          <w:rFonts w:ascii="Times New Roman" w:hAnsi="Times New Roman" w:cs="Times New Roman"/>
          <w:sz w:val="24"/>
          <w:szCs w:val="24"/>
        </w:rPr>
        <w:t>tirage au sort</w:t>
      </w:r>
      <w:r w:rsidRPr="009A356F">
        <w:rPr>
          <w:rFonts w:ascii="Times New Roman" w:hAnsi="Times New Roman" w:cs="Times New Roman"/>
          <w:sz w:val="24"/>
          <w:szCs w:val="24"/>
        </w:rPr>
        <w:t xml:space="preserve"> a un coût : même le système de sélection et de catégorisation complexe de la Lituanie présente au bout du compte des inconvénients similaires aux systèmes hongrois et slovaque</w:t>
      </w:r>
      <w:r>
        <w:rPr>
          <w:rFonts w:ascii="Times New Roman" w:hAnsi="Times New Roman" w:cs="Times New Roman"/>
          <w:sz w:val="24"/>
          <w:szCs w:val="24"/>
        </w:rPr>
        <w:t>.</w:t>
      </w:r>
      <w:r w:rsidRPr="009A356F">
        <w:rPr>
          <w:rFonts w:ascii="Times New Roman" w:hAnsi="Times New Roman" w:cs="Times New Roman"/>
          <w:sz w:val="24"/>
          <w:szCs w:val="24"/>
        </w:rPr>
        <w:t xml:space="preserve"> </w:t>
      </w:r>
      <w:r>
        <w:rPr>
          <w:rFonts w:ascii="Times New Roman" w:hAnsi="Times New Roman" w:cs="Times New Roman"/>
          <w:sz w:val="24"/>
          <w:szCs w:val="24"/>
        </w:rPr>
        <w:t>E</w:t>
      </w:r>
      <w:r w:rsidRPr="009A356F">
        <w:rPr>
          <w:rFonts w:ascii="Times New Roman" w:hAnsi="Times New Roman" w:cs="Times New Roman"/>
          <w:sz w:val="24"/>
          <w:szCs w:val="24"/>
        </w:rPr>
        <w:t>n effet, l’élimination de l’erreur humaine va de pair avec l’élimination ou la restriction des possibilités de trouver une solution individuelle adaptée (PI) au cas particulier (débiteur).</w:t>
      </w:r>
    </w:p>
    <w:p w:rsidR="006C79CB" w:rsidRPr="00C7111E" w:rsidRDefault="006C79CB" w:rsidP="006C79CB">
      <w:pPr>
        <w:jc w:val="both"/>
        <w:rPr>
          <w:rFonts w:ascii="Times New Roman" w:hAnsi="Times New Roman" w:cs="Times New Roman"/>
          <w:sz w:val="24"/>
          <w:szCs w:val="24"/>
        </w:rPr>
      </w:pPr>
      <w:r w:rsidRPr="009A356F">
        <w:rPr>
          <w:rFonts w:ascii="Times New Roman" w:hAnsi="Times New Roman" w:cs="Times New Roman"/>
          <w:sz w:val="24"/>
          <w:szCs w:val="24"/>
        </w:rPr>
        <w:t>En outre, si l’on tient compte de la tendance favorable à la restructuration, le besoin de solutions individualisées (PI compris) adaptées au cas par cas augmente.</w:t>
      </w:r>
      <w:r w:rsidRPr="00C7111E">
        <w:rPr>
          <w:rFonts w:ascii="Times New Roman" w:hAnsi="Times New Roman" w:cs="Times New Roman"/>
          <w:sz w:val="24"/>
          <w:szCs w:val="24"/>
        </w:rPr>
        <w:t xml:space="preserve"> </w:t>
      </w:r>
      <w:r w:rsidRPr="009A356F">
        <w:rPr>
          <w:rFonts w:ascii="Times New Roman" w:hAnsi="Times New Roman" w:cs="Times New Roman"/>
          <w:sz w:val="24"/>
          <w:szCs w:val="24"/>
        </w:rPr>
        <w:t>Ceci pose la question de savoir dans quelle mesure les systèmes de sélection aléatoire standardisés seront jamais capables de répondre à ce besoin.</w:t>
      </w:r>
    </w:p>
    <w:p w:rsidR="00A2033A" w:rsidRPr="00A2033A" w:rsidRDefault="006C79CB" w:rsidP="006C79CB">
      <w:pPr>
        <w:jc w:val="both"/>
        <w:rPr>
          <w:rFonts w:ascii="Times New Roman" w:hAnsi="Times New Roman" w:cs="Times New Roman"/>
          <w:sz w:val="24"/>
          <w:szCs w:val="24"/>
        </w:rPr>
      </w:pPr>
      <w:r w:rsidRPr="009A356F">
        <w:rPr>
          <w:rFonts w:ascii="Times New Roman" w:hAnsi="Times New Roman" w:cs="Times New Roman"/>
          <w:sz w:val="24"/>
          <w:szCs w:val="24"/>
        </w:rPr>
        <w:t>Au bout du compte, la confiance gagnée grâce à un système de sélection transparent et impartial faisant appel à un « </w:t>
      </w:r>
      <w:r>
        <w:rPr>
          <w:rFonts w:ascii="Times New Roman" w:hAnsi="Times New Roman" w:cs="Times New Roman"/>
          <w:sz w:val="24"/>
          <w:szCs w:val="24"/>
        </w:rPr>
        <w:t>tirage au sort</w:t>
      </w:r>
      <w:r w:rsidRPr="009A356F">
        <w:rPr>
          <w:rFonts w:ascii="Times New Roman" w:hAnsi="Times New Roman" w:cs="Times New Roman"/>
          <w:sz w:val="24"/>
          <w:szCs w:val="24"/>
        </w:rPr>
        <w:t> » pourrait bien être contrebalancée si la société et les intéressés n’accordent aucune confiance au résultat de la procédure d’insolvabilité, c’est-à-dire le meilleur désintéressement possible des créanciers et/ou la sauvegarde des entreprises viables.</w:t>
      </w:r>
      <w:r w:rsidR="00A2033A">
        <w:rPr>
          <w:rFonts w:ascii="Times New Roman" w:hAnsi="Times New Roman" w:cs="Times New Roman"/>
          <w:sz w:val="24"/>
          <w:szCs w:val="24"/>
        </w:rPr>
        <w:t xml:space="preserve"> </w:t>
      </w:r>
    </w:p>
    <w:p w:rsidR="003B5B5D" w:rsidRDefault="006C79CB" w:rsidP="00035770">
      <w:pPr>
        <w:jc w:val="both"/>
        <w:rPr>
          <w:rFonts w:ascii="Arial Narrow" w:hAnsi="Arial Narrow" w:cs="Times New Roman"/>
          <w:i/>
          <w:sz w:val="20"/>
          <w:szCs w:val="24"/>
          <w:lang w:val="en-GB"/>
        </w:rPr>
      </w:pPr>
      <w:r w:rsidRPr="00C7111E">
        <w:rPr>
          <w:rFonts w:ascii="Arial Narrow" w:hAnsi="Arial Narrow" w:cs="Times New Roman"/>
          <w:i/>
          <w:sz w:val="20"/>
          <w:szCs w:val="24"/>
          <w:lang w:val="en-US"/>
        </w:rPr>
        <w:t>Par Frank Heemann, associé, bnt attorneys in CEE (Vilnius), Arnas Stonys, collaborateur senior, bnt attorneys in CEE (Vilnius), Herman Pikaly, collaborateur junior, bnt attorneys in CEE (Bratislava), Richárd Bódis, collaborateur senior, bnt attorneys in CEE (Budapest)</w:t>
      </w:r>
    </w:p>
    <w:p w:rsidR="0079702A" w:rsidRPr="0079702A" w:rsidRDefault="0079702A" w:rsidP="007970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r w:rsidRPr="0079702A">
        <w:rPr>
          <w:rFonts w:ascii="Times New Roman" w:hAnsi="Times New Roman" w:cs="Times New Roman"/>
          <w:sz w:val="24"/>
          <w:szCs w:val="24"/>
        </w:rPr>
        <w:t xml:space="preserve">  x  x</w:t>
      </w:r>
    </w:p>
    <w:p w:rsidR="0079702A" w:rsidRPr="0079702A" w:rsidRDefault="0079702A" w:rsidP="0079702A">
      <w:pPr>
        <w:spacing w:after="100" w:afterAutospacing="1" w:line="240" w:lineRule="auto"/>
        <w:jc w:val="center"/>
        <w:rPr>
          <w:rFonts w:ascii="Times New Roman" w:hAnsi="Times New Roman" w:cs="Times New Roman"/>
          <w:sz w:val="24"/>
          <w:szCs w:val="24"/>
        </w:rPr>
      </w:pPr>
      <w:r w:rsidRPr="0079702A">
        <w:rPr>
          <w:rFonts w:ascii="Times New Roman" w:hAnsi="Times New Roman" w:cs="Times New Roman"/>
          <w:sz w:val="24"/>
          <w:szCs w:val="24"/>
        </w:rPr>
        <w:t>x</w:t>
      </w:r>
    </w:p>
    <w:p w:rsidR="0077507B" w:rsidRDefault="0077507B" w:rsidP="00CB0492">
      <w:pPr>
        <w:rPr>
          <w:rFonts w:ascii="Arial Narrow" w:hAnsi="Arial Narrow" w:cs="Times New Roman"/>
          <w:b/>
          <w:sz w:val="28"/>
          <w:szCs w:val="28"/>
        </w:rPr>
      </w:pPr>
    </w:p>
    <w:p w:rsidR="00CB0492" w:rsidRPr="00CB0492" w:rsidRDefault="00CB0492" w:rsidP="00CB0492">
      <w:pPr>
        <w:rPr>
          <w:rFonts w:ascii="Arial Narrow" w:hAnsi="Arial Narrow" w:cs="Times New Roman"/>
          <w:b/>
          <w:sz w:val="28"/>
          <w:szCs w:val="28"/>
        </w:rPr>
      </w:pPr>
      <w:r w:rsidRPr="00CB0492">
        <w:rPr>
          <w:rFonts w:ascii="Arial Narrow" w:hAnsi="Arial Narrow" w:cs="Times New Roman"/>
          <w:b/>
          <w:sz w:val="28"/>
          <w:szCs w:val="28"/>
        </w:rPr>
        <w:lastRenderedPageBreak/>
        <w:t>Cybersécurité</w:t>
      </w:r>
    </w:p>
    <w:p w:rsidR="00CB0492" w:rsidRDefault="00CB0492" w:rsidP="00CB0492">
      <w:pPr>
        <w:spacing w:after="0" w:line="240" w:lineRule="auto"/>
        <w:jc w:val="center"/>
        <w:rPr>
          <w:rFonts w:ascii="Times New Roman" w:hAnsi="Times New Roman" w:cs="Times New Roman"/>
          <w:b/>
          <w:sz w:val="48"/>
          <w:szCs w:val="48"/>
        </w:rPr>
      </w:pPr>
      <w:r w:rsidRPr="00A867E1">
        <w:rPr>
          <w:rFonts w:ascii="Times New Roman" w:hAnsi="Times New Roman" w:cs="Times New Roman"/>
          <w:b/>
          <w:sz w:val="48"/>
          <w:szCs w:val="48"/>
        </w:rPr>
        <w:t xml:space="preserve">Cybersécurité : </w:t>
      </w:r>
    </w:p>
    <w:p w:rsidR="00CB0492" w:rsidRPr="00A867E1" w:rsidRDefault="00CB0492" w:rsidP="00CB0492">
      <w:pPr>
        <w:spacing w:after="0" w:line="240" w:lineRule="auto"/>
        <w:jc w:val="center"/>
        <w:rPr>
          <w:rFonts w:ascii="Times New Roman" w:hAnsi="Times New Roman" w:cs="Times New Roman"/>
          <w:b/>
          <w:sz w:val="48"/>
          <w:szCs w:val="48"/>
        </w:rPr>
      </w:pPr>
      <w:r w:rsidRPr="00A867E1">
        <w:rPr>
          <w:rFonts w:ascii="Times New Roman" w:hAnsi="Times New Roman" w:cs="Times New Roman"/>
          <w:b/>
          <w:sz w:val="48"/>
          <w:szCs w:val="48"/>
        </w:rPr>
        <w:t>toutes les entreprises sont concernées</w:t>
      </w:r>
    </w:p>
    <w:p w:rsidR="00CB0492" w:rsidRPr="00A867E1" w:rsidRDefault="00CB0492" w:rsidP="00CB0492">
      <w:pPr>
        <w:jc w:val="center"/>
        <w:rPr>
          <w:rFonts w:ascii="Arial Narrow" w:hAnsi="Arial Narrow" w:cs="Times New Roman"/>
          <w:i/>
          <w:sz w:val="24"/>
          <w:szCs w:val="24"/>
        </w:rPr>
      </w:pPr>
      <w:r w:rsidRPr="007A0676">
        <w:rPr>
          <w:rFonts w:ascii="Arial Narrow" w:hAnsi="Arial Narrow" w:cs="Times New Roman"/>
          <w:i/>
          <w:sz w:val="24"/>
          <w:szCs w:val="24"/>
        </w:rPr>
        <w:t>Christophe Szwedo et Laurent Le Pajolec étudient les ramifications des conséquences que produira le nouveau règlement général sur la protection des données (RGPD) sur toutes les entreprises</w:t>
      </w:r>
    </w:p>
    <w:p w:rsidR="00CB0492" w:rsidRPr="00A867E1" w:rsidRDefault="00CB0492" w:rsidP="00CB0492">
      <w:pPr>
        <w:jc w:val="both"/>
        <w:rPr>
          <w:rFonts w:ascii="Times New Roman" w:hAnsi="Times New Roman" w:cs="Times New Roman"/>
          <w:b/>
          <w:sz w:val="24"/>
          <w:szCs w:val="24"/>
        </w:rPr>
      </w:pPr>
      <w:r w:rsidRPr="007A0676">
        <w:rPr>
          <w:rFonts w:ascii="Times New Roman" w:hAnsi="Times New Roman" w:cs="Times New Roman"/>
          <w:b/>
          <w:sz w:val="24"/>
          <w:szCs w:val="24"/>
        </w:rPr>
        <w:t>De nos jours, une entreprise, quel que soit son secteur d’activité, dépend d’un système informatique qui doit être protégé par des moyens spécifiques.</w:t>
      </w:r>
    </w:p>
    <w:p w:rsidR="00CB0492" w:rsidRPr="00A867E1" w:rsidRDefault="00CB0492" w:rsidP="00CB0492">
      <w:pPr>
        <w:jc w:val="both"/>
        <w:rPr>
          <w:rFonts w:ascii="Times New Roman" w:hAnsi="Times New Roman" w:cs="Times New Roman"/>
          <w:sz w:val="24"/>
          <w:szCs w:val="24"/>
        </w:rPr>
      </w:pPr>
      <w:r w:rsidRPr="007A0676">
        <w:rPr>
          <w:rFonts w:ascii="Times New Roman" w:hAnsi="Times New Roman" w:cs="Times New Roman"/>
          <w:sz w:val="24"/>
          <w:szCs w:val="24"/>
        </w:rPr>
        <w:t>Au vu de la fréquence accrue des cyberattaques, la cybersécurité devient un sujet brûlant et les entreprises s’efforcent de sécuriser leurs systèmes informatiques.</w:t>
      </w:r>
      <w:r w:rsidRPr="00A867E1">
        <w:rPr>
          <w:rFonts w:ascii="Times New Roman" w:hAnsi="Times New Roman" w:cs="Times New Roman"/>
          <w:sz w:val="24"/>
          <w:szCs w:val="24"/>
        </w:rPr>
        <w:t xml:space="preserve"> </w:t>
      </w:r>
      <w:r w:rsidRPr="007A0676">
        <w:rPr>
          <w:rFonts w:ascii="Times New Roman" w:hAnsi="Times New Roman" w:cs="Times New Roman"/>
          <w:sz w:val="24"/>
          <w:szCs w:val="24"/>
        </w:rPr>
        <w:t>Pourtant, à lui seul, le fait de mettre en place un pare-feu ou d’utiliser une connexion VPN pour accéder à un système informatique ne suffit pas, outre qu’ils doivent être installés et configurés correctement par des experts de la cybersécurité.</w:t>
      </w:r>
      <w:r w:rsidRPr="00A867E1">
        <w:rPr>
          <w:rFonts w:ascii="Times New Roman" w:hAnsi="Times New Roman" w:cs="Times New Roman"/>
          <w:sz w:val="24"/>
          <w:szCs w:val="24"/>
        </w:rPr>
        <w:t xml:space="preserve"> </w:t>
      </w:r>
      <w:r w:rsidRPr="007A0676">
        <w:rPr>
          <w:rFonts w:ascii="Times New Roman" w:hAnsi="Times New Roman" w:cs="Times New Roman"/>
          <w:sz w:val="24"/>
          <w:szCs w:val="24"/>
        </w:rPr>
        <w:t>Les moyens mis en œuvre pour lutter contre les cyberattaques et les cybercriminels ne devraient jamais être négligés ni sous-estimés.</w:t>
      </w:r>
    </w:p>
    <w:p w:rsidR="00CB0492" w:rsidRPr="00A867E1" w:rsidRDefault="00CB0492" w:rsidP="00CB0492">
      <w:pPr>
        <w:jc w:val="both"/>
        <w:rPr>
          <w:rFonts w:ascii="Times New Roman" w:hAnsi="Times New Roman" w:cs="Times New Roman"/>
          <w:sz w:val="24"/>
          <w:szCs w:val="24"/>
        </w:rPr>
      </w:pPr>
      <w:r w:rsidRPr="007A0676">
        <w:rPr>
          <w:rFonts w:ascii="Times New Roman" w:hAnsi="Times New Roman" w:cs="Times New Roman"/>
          <w:sz w:val="24"/>
          <w:szCs w:val="24"/>
        </w:rPr>
        <w:t>On entend souvent ce genre de choses :</w:t>
      </w:r>
      <w:r w:rsidRPr="00A867E1">
        <w:rPr>
          <w:rFonts w:ascii="Times New Roman" w:hAnsi="Times New Roman" w:cs="Times New Roman"/>
          <w:sz w:val="24"/>
          <w:szCs w:val="24"/>
        </w:rPr>
        <w:t xml:space="preserve"> </w:t>
      </w:r>
      <w:r w:rsidRPr="007A0676">
        <w:rPr>
          <w:rFonts w:ascii="Times New Roman" w:hAnsi="Times New Roman" w:cs="Times New Roman"/>
          <w:sz w:val="24"/>
          <w:szCs w:val="24"/>
        </w:rPr>
        <w:t>« Je n’ai pas besoin d’auditer ni de renforcer mon système informatique ! Qui pourrait bien vouloir attaquer mon entreprise ?</w:t>
      </w:r>
      <w:r w:rsidRPr="00A867E1">
        <w:rPr>
          <w:rFonts w:ascii="Times New Roman" w:hAnsi="Times New Roman" w:cs="Times New Roman"/>
          <w:sz w:val="24"/>
          <w:szCs w:val="24"/>
        </w:rPr>
        <w:t xml:space="preserve"> </w:t>
      </w:r>
      <w:r w:rsidRPr="007A0676">
        <w:rPr>
          <w:rFonts w:ascii="Times New Roman" w:hAnsi="Times New Roman" w:cs="Times New Roman"/>
          <w:sz w:val="24"/>
          <w:szCs w:val="24"/>
        </w:rPr>
        <w:t>Je n’ai pas d’ennemis ; je ne traite pas de données sensibles. »</w:t>
      </w:r>
    </w:p>
    <w:p w:rsidR="00CB0492" w:rsidRPr="00A867E1" w:rsidRDefault="00CB0492" w:rsidP="00CB0492">
      <w:pPr>
        <w:jc w:val="both"/>
        <w:rPr>
          <w:rFonts w:ascii="Times New Roman" w:hAnsi="Times New Roman" w:cs="Times New Roman"/>
          <w:sz w:val="24"/>
          <w:szCs w:val="24"/>
        </w:rPr>
      </w:pPr>
      <w:r w:rsidRPr="007A0676">
        <w:rPr>
          <w:rFonts w:ascii="Times New Roman" w:hAnsi="Times New Roman" w:cs="Times New Roman"/>
          <w:sz w:val="24"/>
          <w:szCs w:val="24"/>
        </w:rPr>
        <w:t>Même s’il est peut-être vrai que vous n’avez pas d’ennemis et que vous ne traitez pas de données sensibles, votre entreprise peut être un intermédiaire pour atteindre la cible réelle et les pirates essayeront de toucher toute personne qui en est suffisamment proche.</w:t>
      </w:r>
      <w:r w:rsidRPr="00A867E1">
        <w:rPr>
          <w:rFonts w:ascii="Times New Roman" w:hAnsi="Times New Roman" w:cs="Times New Roman"/>
          <w:sz w:val="24"/>
          <w:szCs w:val="24"/>
        </w:rPr>
        <w:t xml:space="preserve"> </w:t>
      </w:r>
      <w:r w:rsidRPr="007A0676">
        <w:rPr>
          <w:rFonts w:ascii="Times New Roman" w:hAnsi="Times New Roman" w:cs="Times New Roman"/>
          <w:sz w:val="24"/>
          <w:szCs w:val="24"/>
        </w:rPr>
        <w:t>Si vous êtes un cabinet d’avocats, il se pourrait bien que vous soyez la cible idéale de pirates : en effet, par le biais de votre système informatique, ils peuvent avoir accès à des données sensibles concernant vos clients.</w:t>
      </w:r>
      <w:r w:rsidRPr="00A867E1">
        <w:rPr>
          <w:rFonts w:ascii="Times New Roman" w:hAnsi="Times New Roman" w:cs="Times New Roman"/>
          <w:sz w:val="24"/>
          <w:szCs w:val="24"/>
        </w:rPr>
        <w:t xml:space="preserve"> </w:t>
      </w:r>
      <w:r w:rsidRPr="007A0676">
        <w:rPr>
          <w:rFonts w:ascii="Times New Roman" w:hAnsi="Times New Roman" w:cs="Times New Roman"/>
          <w:sz w:val="24"/>
          <w:szCs w:val="24"/>
        </w:rPr>
        <w:t>En outre, même si vous n’êtes pas la cible réelle, les pirates sont cupides. Si leur tentative d’intrusion réussit, il se peut qu’ils installent un logiciel d’extorsion (un « rançongiciel ») sur votre réseau et vous demandent de payer une rançon si vous voulez récupérer vos données.</w:t>
      </w:r>
      <w:r w:rsidRPr="00A867E1">
        <w:rPr>
          <w:rFonts w:ascii="Times New Roman" w:hAnsi="Times New Roman" w:cs="Times New Roman"/>
          <w:sz w:val="24"/>
          <w:szCs w:val="24"/>
        </w:rPr>
        <w:t xml:space="preserve"> </w:t>
      </w:r>
      <w:r w:rsidRPr="007A0676">
        <w:rPr>
          <w:rFonts w:ascii="Times New Roman" w:hAnsi="Times New Roman" w:cs="Times New Roman"/>
          <w:sz w:val="24"/>
          <w:szCs w:val="24"/>
        </w:rPr>
        <w:t>Bien entendu, il N’EST PAS recommandé de payer :</w:t>
      </w:r>
      <w:r w:rsidRPr="00A867E1">
        <w:rPr>
          <w:rFonts w:ascii="Times New Roman" w:hAnsi="Times New Roman" w:cs="Times New Roman"/>
          <w:sz w:val="24"/>
          <w:szCs w:val="24"/>
        </w:rPr>
        <w:t xml:space="preserve"> </w:t>
      </w:r>
      <w:r w:rsidRPr="007A0676">
        <w:rPr>
          <w:rFonts w:ascii="Times New Roman" w:hAnsi="Times New Roman" w:cs="Times New Roman"/>
          <w:sz w:val="24"/>
          <w:szCs w:val="24"/>
        </w:rPr>
        <w:t>53 % des entreprises qui le font ne recouvrent pas pour autant leurs données.</w:t>
      </w:r>
      <w:r w:rsidRPr="00A867E1">
        <w:rPr>
          <w:rFonts w:ascii="Times New Roman" w:hAnsi="Times New Roman" w:cs="Times New Roman"/>
          <w:sz w:val="24"/>
          <w:szCs w:val="24"/>
        </w:rPr>
        <w:t xml:space="preserve"> </w:t>
      </w:r>
      <w:r w:rsidRPr="007A0676">
        <w:rPr>
          <w:rFonts w:ascii="Times New Roman" w:hAnsi="Times New Roman" w:cs="Times New Roman"/>
          <w:sz w:val="24"/>
          <w:szCs w:val="24"/>
        </w:rPr>
        <w:t>La réussite des récentes attaques connues sous le nom de « NotPetya » et « WannaCry » a prouvé que les entreprises ne consacraient pas assez de temps à réfléchir à la façon d’améliorer leur système de cybersécurité</w:t>
      </w:r>
      <w:r w:rsidRPr="007A0676">
        <w:rPr>
          <w:rStyle w:val="Appelnotedebasdep"/>
          <w:sz w:val="24"/>
        </w:rPr>
        <w:footnoteReference w:id="27"/>
      </w:r>
      <w:r w:rsidRPr="007A0676">
        <w:rPr>
          <w:rFonts w:ascii="Times New Roman" w:hAnsi="Times New Roman" w:cs="Times New Roman"/>
          <w:sz w:val="24"/>
          <w:szCs w:val="24"/>
        </w:rPr>
        <w:t>.</w:t>
      </w:r>
      <w:r w:rsidRPr="00A867E1">
        <w:rPr>
          <w:rFonts w:ascii="Times New Roman" w:hAnsi="Times New Roman" w:cs="Times New Roman"/>
          <w:sz w:val="24"/>
          <w:szCs w:val="24"/>
        </w:rPr>
        <w:t xml:space="preserve"> </w:t>
      </w:r>
    </w:p>
    <w:p w:rsidR="00CB0492" w:rsidRPr="00CB0492" w:rsidRDefault="00CB0492" w:rsidP="00CB0492">
      <w:pPr>
        <w:jc w:val="both"/>
        <w:rPr>
          <w:rFonts w:ascii="Times New Roman" w:hAnsi="Times New Roman" w:cs="Times New Roman"/>
          <w:sz w:val="24"/>
          <w:szCs w:val="24"/>
        </w:rPr>
      </w:pPr>
      <w:r w:rsidRPr="007A0676">
        <w:rPr>
          <w:rFonts w:ascii="Times New Roman" w:hAnsi="Times New Roman" w:cs="Times New Roman"/>
          <w:sz w:val="24"/>
          <w:szCs w:val="24"/>
        </w:rPr>
        <w:t>Citons quelques chiffres :</w:t>
      </w:r>
      <w:r w:rsidRPr="00A867E1">
        <w:rPr>
          <w:rFonts w:ascii="Times New Roman" w:hAnsi="Times New Roman" w:cs="Times New Roman"/>
          <w:sz w:val="24"/>
          <w:szCs w:val="24"/>
        </w:rPr>
        <w:t xml:space="preserve"> </w:t>
      </w:r>
      <w:r w:rsidRPr="007A0676">
        <w:rPr>
          <w:rFonts w:ascii="Times New Roman" w:hAnsi="Times New Roman" w:cs="Times New Roman"/>
          <w:sz w:val="24"/>
          <w:szCs w:val="24"/>
        </w:rPr>
        <w:t>55 % des entreprises françaises déclarent avoir été victimes d’une cyberattaque en 2016.</w:t>
      </w:r>
      <w:r w:rsidRPr="00A867E1">
        <w:rPr>
          <w:rFonts w:ascii="Times New Roman" w:hAnsi="Times New Roman" w:cs="Times New Roman"/>
          <w:sz w:val="24"/>
          <w:szCs w:val="24"/>
        </w:rPr>
        <w:t xml:space="preserve"> </w:t>
      </w:r>
      <w:r w:rsidRPr="007A0676">
        <w:rPr>
          <w:rFonts w:ascii="Times New Roman" w:hAnsi="Times New Roman" w:cs="Times New Roman"/>
          <w:sz w:val="24"/>
          <w:szCs w:val="24"/>
        </w:rPr>
        <w:t>La moitié d’entre elles déclarent que la cyberattaque a eu des conséquences importantes sur leur productivité.</w:t>
      </w:r>
      <w:r w:rsidRPr="00A867E1">
        <w:rPr>
          <w:rFonts w:ascii="Times New Roman" w:hAnsi="Times New Roman" w:cs="Times New Roman"/>
          <w:sz w:val="24"/>
          <w:szCs w:val="24"/>
        </w:rPr>
        <w:t xml:space="preserve"> </w:t>
      </w:r>
      <w:r w:rsidRPr="007A0676">
        <w:rPr>
          <w:rFonts w:ascii="Times New Roman" w:hAnsi="Times New Roman" w:cs="Times New Roman"/>
          <w:sz w:val="24"/>
          <w:szCs w:val="24"/>
        </w:rPr>
        <w:t xml:space="preserve">23 % déclarent avoir des difficultés à maintenir leur réputation </w:t>
      </w:r>
      <w:r w:rsidRPr="007A0676">
        <w:rPr>
          <w:rFonts w:ascii="Times New Roman" w:hAnsi="Times New Roman" w:cs="Times New Roman"/>
          <w:sz w:val="24"/>
          <w:szCs w:val="24"/>
        </w:rPr>
        <w:lastRenderedPageBreak/>
        <w:t>après une attaque.</w:t>
      </w:r>
      <w:r w:rsidRPr="00A867E1">
        <w:rPr>
          <w:rFonts w:ascii="Times New Roman" w:hAnsi="Times New Roman" w:cs="Times New Roman"/>
          <w:sz w:val="24"/>
          <w:szCs w:val="24"/>
        </w:rPr>
        <w:t xml:space="preserve"> </w:t>
      </w:r>
      <w:r w:rsidRPr="007A0676">
        <w:rPr>
          <w:rFonts w:ascii="Times New Roman" w:hAnsi="Times New Roman" w:cs="Times New Roman"/>
          <w:sz w:val="24"/>
          <w:szCs w:val="24"/>
        </w:rPr>
        <w:t>60 % des petites entreprises attaquées mettent la clé sous la porte dans les six mois suivant une cyberattaque</w:t>
      </w:r>
      <w:r w:rsidRPr="007A0676">
        <w:rPr>
          <w:rStyle w:val="Appelnotedebasdep"/>
          <w:sz w:val="24"/>
        </w:rPr>
        <w:footnoteReference w:id="28"/>
      </w:r>
      <w:r w:rsidRPr="007A0676">
        <w:rPr>
          <w:rFonts w:ascii="Times New Roman" w:hAnsi="Times New Roman" w:cs="Times New Roman"/>
          <w:sz w:val="24"/>
          <w:szCs w:val="24"/>
        </w:rPr>
        <w:t>.</w:t>
      </w:r>
    </w:p>
    <w:p w:rsidR="00CB0492" w:rsidRPr="00A867E1" w:rsidRDefault="00CB0492" w:rsidP="00CB0492">
      <w:pPr>
        <w:jc w:val="both"/>
        <w:rPr>
          <w:rFonts w:ascii="Times New Roman" w:hAnsi="Times New Roman" w:cs="Times New Roman"/>
          <w:b/>
          <w:sz w:val="24"/>
          <w:szCs w:val="24"/>
        </w:rPr>
      </w:pPr>
      <w:r w:rsidRPr="007A0676">
        <w:rPr>
          <w:rFonts w:ascii="Times New Roman" w:hAnsi="Times New Roman" w:cs="Times New Roman"/>
          <w:b/>
          <w:sz w:val="24"/>
          <w:szCs w:val="24"/>
        </w:rPr>
        <w:t>Cybersécurité :</w:t>
      </w:r>
      <w:r w:rsidRPr="00A867E1">
        <w:rPr>
          <w:rFonts w:ascii="Times New Roman" w:hAnsi="Times New Roman" w:cs="Times New Roman"/>
          <w:b/>
          <w:sz w:val="24"/>
          <w:szCs w:val="24"/>
        </w:rPr>
        <w:t xml:space="preserve"> </w:t>
      </w:r>
      <w:r w:rsidRPr="007A0676">
        <w:rPr>
          <w:rFonts w:ascii="Times New Roman" w:hAnsi="Times New Roman" w:cs="Times New Roman"/>
          <w:b/>
          <w:sz w:val="24"/>
          <w:szCs w:val="24"/>
        </w:rPr>
        <w:t>comment se protéger ?</w:t>
      </w:r>
    </w:p>
    <w:p w:rsidR="00CB0492" w:rsidRPr="00A867E1" w:rsidRDefault="00CB0492" w:rsidP="00CB0492">
      <w:pPr>
        <w:jc w:val="both"/>
        <w:rPr>
          <w:rFonts w:ascii="Times New Roman" w:hAnsi="Times New Roman" w:cs="Times New Roman"/>
          <w:sz w:val="24"/>
          <w:szCs w:val="24"/>
        </w:rPr>
      </w:pPr>
      <w:r w:rsidRPr="007A0676">
        <w:rPr>
          <w:rFonts w:ascii="Times New Roman" w:hAnsi="Times New Roman" w:cs="Times New Roman"/>
          <w:sz w:val="24"/>
          <w:szCs w:val="24"/>
        </w:rPr>
        <w:t>Pour se protéger contre les cybermenaces, l’entreprise doit formaliser ses processus, identifier les données sensibles et les fragilités de son système informatique et les renforcer en mettant en œuvre des moyens de cybersécurité tels que des pares-feux, une politique en matière de mots de passe, un chiffrement intégral obligatoire des disques, etc. Il est important de comprendre que la formalisation des processus et le renforcement de la cybersécurité sont indispensables à la survie d’une entreprise.</w:t>
      </w:r>
      <w:r w:rsidRPr="00A867E1">
        <w:rPr>
          <w:rFonts w:ascii="Times New Roman" w:hAnsi="Times New Roman" w:cs="Times New Roman"/>
          <w:sz w:val="24"/>
          <w:szCs w:val="24"/>
        </w:rPr>
        <w:t xml:space="preserve"> </w:t>
      </w:r>
      <w:r w:rsidRPr="007A0676">
        <w:rPr>
          <w:rFonts w:ascii="Times New Roman" w:hAnsi="Times New Roman" w:cs="Times New Roman"/>
          <w:sz w:val="24"/>
          <w:szCs w:val="24"/>
        </w:rPr>
        <w:t>De nos jours, la gestion de la cybersécurité semble réservée aux entreprises qui gèrent des données sensibles, alors qu’elle devrait faire partie du cycle de vie de n’importe quelle entreprise.</w:t>
      </w:r>
    </w:p>
    <w:p w:rsidR="00CB0492" w:rsidRPr="00A867E1" w:rsidRDefault="00CB0492" w:rsidP="00CB0492">
      <w:pPr>
        <w:jc w:val="both"/>
        <w:rPr>
          <w:rFonts w:ascii="Times New Roman" w:hAnsi="Times New Roman" w:cs="Times New Roman"/>
          <w:sz w:val="24"/>
          <w:szCs w:val="24"/>
        </w:rPr>
      </w:pPr>
      <w:r w:rsidRPr="007A0676">
        <w:rPr>
          <w:rFonts w:ascii="Times New Roman" w:hAnsi="Times New Roman" w:cs="Times New Roman"/>
          <w:sz w:val="24"/>
          <w:szCs w:val="24"/>
        </w:rPr>
        <w:t>Les attaquants peuvent facilement endommager un système informatique non protégé en envoyant des messages électroniques contenant des pièces jointes infectées à toute l’entreprise.</w:t>
      </w:r>
      <w:r w:rsidRPr="00A867E1">
        <w:rPr>
          <w:rFonts w:ascii="Times New Roman" w:hAnsi="Times New Roman" w:cs="Times New Roman"/>
          <w:sz w:val="24"/>
          <w:szCs w:val="24"/>
        </w:rPr>
        <w:t xml:space="preserve"> </w:t>
      </w:r>
      <w:r w:rsidRPr="007A0676">
        <w:rPr>
          <w:rFonts w:ascii="Times New Roman" w:hAnsi="Times New Roman" w:cs="Times New Roman"/>
          <w:sz w:val="24"/>
          <w:szCs w:val="24"/>
        </w:rPr>
        <w:t>Cette méthode s’appelle le hameçonnage.</w:t>
      </w:r>
      <w:r w:rsidRPr="00A867E1">
        <w:rPr>
          <w:rFonts w:ascii="Times New Roman" w:hAnsi="Times New Roman" w:cs="Times New Roman"/>
          <w:sz w:val="24"/>
          <w:szCs w:val="24"/>
        </w:rPr>
        <w:t xml:space="preserve"> </w:t>
      </w:r>
      <w:r w:rsidRPr="007A0676">
        <w:rPr>
          <w:rFonts w:ascii="Times New Roman" w:hAnsi="Times New Roman" w:cs="Times New Roman"/>
          <w:sz w:val="24"/>
          <w:szCs w:val="24"/>
        </w:rPr>
        <w:t>Quand elles visent des particuliers, ces attaques auront pour but de pirater leur compte sur les réseaux sociaux ou de voler leurs coordonnées bancaires.</w:t>
      </w:r>
      <w:r w:rsidRPr="00A867E1">
        <w:rPr>
          <w:rFonts w:ascii="Times New Roman" w:hAnsi="Times New Roman" w:cs="Times New Roman"/>
          <w:sz w:val="24"/>
          <w:szCs w:val="24"/>
        </w:rPr>
        <w:t xml:space="preserve"> </w:t>
      </w:r>
      <w:r w:rsidRPr="007A0676">
        <w:rPr>
          <w:rFonts w:ascii="Times New Roman" w:hAnsi="Times New Roman" w:cs="Times New Roman"/>
          <w:sz w:val="24"/>
          <w:szCs w:val="24"/>
        </w:rPr>
        <w:t>Dans le cas d’une entreprise, le simple envoi d’une pièce jointe, une fois que celle-ci a infecté un ordinateur, suffit pour que le virus se propage dans tout le réseau comme un ver.</w:t>
      </w:r>
      <w:r w:rsidRPr="00A867E1">
        <w:rPr>
          <w:rFonts w:ascii="Times New Roman" w:hAnsi="Times New Roman" w:cs="Times New Roman"/>
          <w:sz w:val="24"/>
          <w:szCs w:val="24"/>
        </w:rPr>
        <w:t xml:space="preserve"> </w:t>
      </w:r>
      <w:r w:rsidRPr="007A0676">
        <w:rPr>
          <w:rFonts w:ascii="Times New Roman" w:hAnsi="Times New Roman" w:cs="Times New Roman"/>
          <w:sz w:val="24"/>
          <w:szCs w:val="24"/>
        </w:rPr>
        <w:t>Les attaques de hameçonnage vont souvent de pair avec des tentatives d’extorsion.</w:t>
      </w:r>
      <w:r w:rsidRPr="00A867E1">
        <w:rPr>
          <w:rFonts w:ascii="Times New Roman" w:hAnsi="Times New Roman" w:cs="Times New Roman"/>
          <w:sz w:val="24"/>
          <w:szCs w:val="24"/>
        </w:rPr>
        <w:t xml:space="preserve"> </w:t>
      </w:r>
      <w:r w:rsidRPr="007A0676">
        <w:rPr>
          <w:rFonts w:ascii="Times New Roman" w:hAnsi="Times New Roman" w:cs="Times New Roman"/>
          <w:sz w:val="24"/>
          <w:szCs w:val="24"/>
        </w:rPr>
        <w:t>La quantité de messages électroniques de hameçonnage contenant une forme de logiciel d’extorsion est passée à 97,25 % au troisième trimestre 2016, contre 92 % au premier trimestre</w:t>
      </w:r>
      <w:r w:rsidRPr="007A0676">
        <w:rPr>
          <w:rStyle w:val="Appelnotedebasdep"/>
          <w:sz w:val="24"/>
        </w:rPr>
        <w:footnoteReference w:id="29"/>
      </w:r>
      <w:r w:rsidRPr="007A0676">
        <w:rPr>
          <w:rFonts w:ascii="Times New Roman" w:hAnsi="Times New Roman" w:cs="Times New Roman"/>
          <w:sz w:val="24"/>
          <w:szCs w:val="24"/>
        </w:rPr>
        <w:t>.</w:t>
      </w:r>
      <w:r w:rsidRPr="00A867E1">
        <w:rPr>
          <w:rFonts w:ascii="Times New Roman" w:hAnsi="Times New Roman" w:cs="Times New Roman"/>
          <w:sz w:val="24"/>
          <w:szCs w:val="24"/>
        </w:rPr>
        <w:t xml:space="preserve"> </w:t>
      </w:r>
      <w:r w:rsidRPr="007A0676">
        <w:rPr>
          <w:rFonts w:ascii="Times New Roman" w:hAnsi="Times New Roman" w:cs="Times New Roman"/>
          <w:sz w:val="24"/>
          <w:szCs w:val="24"/>
        </w:rPr>
        <w:t>La forme de ces messages est réaliste (copie d’adresse électronique / de format, par exemple fausse « facture d’électricité »…).</w:t>
      </w:r>
      <w:r w:rsidRPr="00A867E1">
        <w:rPr>
          <w:rFonts w:ascii="Times New Roman" w:hAnsi="Times New Roman" w:cs="Times New Roman"/>
          <w:sz w:val="24"/>
          <w:szCs w:val="24"/>
        </w:rPr>
        <w:t xml:space="preserve"> </w:t>
      </w:r>
    </w:p>
    <w:p w:rsidR="00CB0492" w:rsidRPr="00A867E1" w:rsidRDefault="00CB0492" w:rsidP="00CB0492">
      <w:pPr>
        <w:jc w:val="both"/>
        <w:rPr>
          <w:rFonts w:ascii="Times New Roman" w:hAnsi="Times New Roman" w:cs="Times New Roman"/>
          <w:i/>
          <w:sz w:val="24"/>
          <w:szCs w:val="24"/>
        </w:rPr>
      </w:pPr>
      <w:r w:rsidRPr="007A0676">
        <w:rPr>
          <w:rFonts w:ascii="Times New Roman" w:hAnsi="Times New Roman" w:cs="Times New Roman"/>
          <w:i/>
          <w:sz w:val="24"/>
          <w:szCs w:val="24"/>
        </w:rPr>
        <w:t>Le niveau de sécurité est évalué par rapport au maillon le plus faible du système informatique.</w:t>
      </w:r>
    </w:p>
    <w:p w:rsidR="00CB0492" w:rsidRPr="00A867E1" w:rsidRDefault="00CB0492" w:rsidP="00CB0492">
      <w:pPr>
        <w:jc w:val="both"/>
        <w:rPr>
          <w:rFonts w:ascii="Times New Roman" w:hAnsi="Times New Roman" w:cs="Times New Roman"/>
          <w:sz w:val="24"/>
          <w:szCs w:val="24"/>
        </w:rPr>
      </w:pPr>
      <w:r w:rsidRPr="007A0676">
        <w:rPr>
          <w:rFonts w:ascii="Times New Roman" w:hAnsi="Times New Roman" w:cs="Times New Roman"/>
          <w:sz w:val="24"/>
          <w:szCs w:val="24"/>
        </w:rPr>
        <w:t>Les pirates ont bien compris cette idée, et c’est la raison pour laquelle il y a de plus en plus de tentatives de hameçonnage.</w:t>
      </w:r>
      <w:r w:rsidRPr="00A867E1">
        <w:rPr>
          <w:rFonts w:ascii="Times New Roman" w:hAnsi="Times New Roman" w:cs="Times New Roman"/>
          <w:sz w:val="24"/>
          <w:szCs w:val="24"/>
        </w:rPr>
        <w:t xml:space="preserve"> </w:t>
      </w:r>
      <w:r w:rsidRPr="007A0676">
        <w:rPr>
          <w:rFonts w:ascii="Times New Roman" w:hAnsi="Times New Roman" w:cs="Times New Roman"/>
          <w:sz w:val="24"/>
          <w:szCs w:val="24"/>
        </w:rPr>
        <w:t>On a beau avoir mis en place les mesures de sécurité les plus complexes, un système défensif de pointe imposant des restrictions strictes aux flux de réseau, un collaborateur peut tout anéantir à cause d’une seule erreur, en ouvrant le mauvais fichier ou en branchant une clé USB portant le nom d’un concurrent qu’il a trouvée par terre dans le parking de l’entreprise, etc.</w:t>
      </w:r>
    </w:p>
    <w:p w:rsidR="00CB0492" w:rsidRPr="00A867E1" w:rsidRDefault="00CB0492" w:rsidP="00CB0492">
      <w:pPr>
        <w:jc w:val="both"/>
        <w:rPr>
          <w:rFonts w:ascii="Times New Roman" w:hAnsi="Times New Roman" w:cs="Times New Roman"/>
          <w:sz w:val="24"/>
          <w:szCs w:val="24"/>
        </w:rPr>
      </w:pPr>
      <w:r w:rsidRPr="007A0676">
        <w:rPr>
          <w:rFonts w:ascii="Times New Roman" w:hAnsi="Times New Roman" w:cs="Times New Roman"/>
          <w:sz w:val="24"/>
          <w:szCs w:val="24"/>
        </w:rPr>
        <w:t xml:space="preserve">Les experts de la cybersécurité peuvent réaliser un </w:t>
      </w:r>
      <w:r w:rsidRPr="007A0676">
        <w:rPr>
          <w:rFonts w:ascii="Times New Roman" w:hAnsi="Times New Roman" w:cs="Times New Roman"/>
          <w:i/>
          <w:sz w:val="24"/>
          <w:szCs w:val="24"/>
        </w:rPr>
        <w:t>audit</w:t>
      </w:r>
      <w:r w:rsidRPr="007A0676">
        <w:rPr>
          <w:rFonts w:ascii="Times New Roman" w:hAnsi="Times New Roman" w:cs="Times New Roman"/>
          <w:sz w:val="24"/>
          <w:szCs w:val="24"/>
        </w:rPr>
        <w:t xml:space="preserve"> de votre entreprise, qui consiste à prendre une photographie de votre système informatique, à l’analyser en étudiant son code, son architecture et sa configuration, et ainsi vérifier qu’il est bien sécurisé et conforme aux normes en matière de cybersécurité.</w:t>
      </w:r>
    </w:p>
    <w:p w:rsidR="00CB0492" w:rsidRPr="00A867E1" w:rsidRDefault="00CB0492" w:rsidP="00CB0492">
      <w:pPr>
        <w:jc w:val="both"/>
        <w:rPr>
          <w:rFonts w:ascii="Times New Roman" w:hAnsi="Times New Roman" w:cs="Times New Roman"/>
          <w:sz w:val="24"/>
          <w:szCs w:val="24"/>
        </w:rPr>
      </w:pPr>
      <w:r w:rsidRPr="007A0676">
        <w:rPr>
          <w:rFonts w:ascii="Times New Roman" w:hAnsi="Times New Roman" w:cs="Times New Roman"/>
          <w:i/>
          <w:sz w:val="24"/>
          <w:szCs w:val="24"/>
        </w:rPr>
        <w:lastRenderedPageBreak/>
        <w:t>Les essais d’intrusion ont eux aussi leur utilité ; ils consistent à tester la sécurité du système informatique de l’entreprise en conditions réelles.</w:t>
      </w:r>
      <w:r w:rsidRPr="00A867E1">
        <w:rPr>
          <w:rFonts w:ascii="Times New Roman" w:hAnsi="Times New Roman" w:cs="Times New Roman"/>
          <w:sz w:val="24"/>
          <w:szCs w:val="24"/>
        </w:rPr>
        <w:t xml:space="preserve"> </w:t>
      </w:r>
      <w:r w:rsidRPr="007A0676">
        <w:rPr>
          <w:rFonts w:ascii="Times New Roman" w:hAnsi="Times New Roman" w:cs="Times New Roman"/>
          <w:sz w:val="24"/>
          <w:szCs w:val="24"/>
        </w:rPr>
        <w:t>Un auditeur se rend dans vos locaux et se comporte comme un collaborateur malveillant qui souhaite nuire à l’entreprise, sans toutefois faire quoique ce soit qui serait susceptible d’avoir des répercussions sur la productivité, sauf s’il a le consentement de l’entreprise à cet effet.</w:t>
      </w:r>
      <w:r w:rsidRPr="00A867E1">
        <w:rPr>
          <w:rFonts w:ascii="Times New Roman" w:hAnsi="Times New Roman" w:cs="Times New Roman"/>
          <w:sz w:val="24"/>
          <w:szCs w:val="24"/>
        </w:rPr>
        <w:t xml:space="preserve"> </w:t>
      </w:r>
      <w:r w:rsidRPr="007A0676">
        <w:rPr>
          <w:rFonts w:ascii="Times New Roman" w:hAnsi="Times New Roman" w:cs="Times New Roman"/>
          <w:sz w:val="24"/>
          <w:szCs w:val="24"/>
        </w:rPr>
        <w:t>L’audit et l’essai d’intrusion donnent lieu à un rapport qui contient toutes les vulnérabilités découvertes et les recommandations correspondantes.</w:t>
      </w:r>
    </w:p>
    <w:p w:rsidR="00CB0492" w:rsidRPr="00A867E1" w:rsidRDefault="00CB0492" w:rsidP="00CB0492">
      <w:pPr>
        <w:jc w:val="both"/>
        <w:rPr>
          <w:rFonts w:ascii="Times New Roman" w:hAnsi="Times New Roman" w:cs="Times New Roman"/>
          <w:sz w:val="24"/>
          <w:szCs w:val="24"/>
        </w:rPr>
      </w:pPr>
      <w:r w:rsidRPr="007A0676">
        <w:rPr>
          <w:rFonts w:ascii="Times New Roman" w:hAnsi="Times New Roman" w:cs="Times New Roman"/>
          <w:i/>
          <w:sz w:val="24"/>
          <w:szCs w:val="24"/>
        </w:rPr>
        <w:t>Les mesures de sensibilisation sont elles aussi utiles, car on ne peut pas « configurer » un être humain comme on le fait avec un ordinateur !</w:t>
      </w:r>
      <w:r w:rsidRPr="00A867E1">
        <w:rPr>
          <w:rFonts w:ascii="Times New Roman" w:hAnsi="Times New Roman" w:cs="Times New Roman"/>
          <w:sz w:val="24"/>
          <w:szCs w:val="24"/>
        </w:rPr>
        <w:t xml:space="preserve"> </w:t>
      </w:r>
      <w:r w:rsidRPr="007A0676">
        <w:rPr>
          <w:rFonts w:ascii="Times New Roman" w:hAnsi="Times New Roman" w:cs="Times New Roman"/>
          <w:sz w:val="24"/>
          <w:szCs w:val="24"/>
        </w:rPr>
        <w:t>Les collaborateurs doivent se soucier de la cybersécurité de leur entreprise. À cet effet, de simples gestes, tels que le verrouillage de l’ordinateur quand ils le quittent (ne serait-ce que pour trois minutes), l’utilisation de mots de passe complexes ou d’un gestionnaire de mots de passe pour accéder aux services en ligne professionnels et internes, participent au renforcement de la cybersécurité de l’entreprise.</w:t>
      </w:r>
    </w:p>
    <w:p w:rsidR="00CB0492" w:rsidRPr="00A867E1" w:rsidRDefault="00CB0492" w:rsidP="00CB0492">
      <w:pPr>
        <w:jc w:val="both"/>
        <w:rPr>
          <w:rFonts w:ascii="Times New Roman" w:hAnsi="Times New Roman" w:cs="Times New Roman"/>
          <w:b/>
          <w:sz w:val="24"/>
          <w:szCs w:val="24"/>
        </w:rPr>
      </w:pPr>
      <w:r w:rsidRPr="007A0676">
        <w:rPr>
          <w:rFonts w:ascii="Times New Roman" w:hAnsi="Times New Roman" w:cs="Times New Roman"/>
          <w:b/>
          <w:sz w:val="24"/>
          <w:szCs w:val="24"/>
        </w:rPr>
        <w:t>Préparation au RGPD</w:t>
      </w:r>
    </w:p>
    <w:p w:rsidR="00CB0492" w:rsidRPr="00A867E1" w:rsidRDefault="00CB0492" w:rsidP="00CB0492">
      <w:pPr>
        <w:jc w:val="both"/>
        <w:rPr>
          <w:rFonts w:ascii="Times New Roman" w:hAnsi="Times New Roman" w:cs="Times New Roman"/>
          <w:sz w:val="24"/>
          <w:szCs w:val="24"/>
        </w:rPr>
      </w:pPr>
      <w:r w:rsidRPr="007A0676">
        <w:rPr>
          <w:rFonts w:ascii="Times New Roman" w:hAnsi="Times New Roman" w:cs="Times New Roman"/>
          <w:sz w:val="24"/>
          <w:szCs w:val="24"/>
        </w:rPr>
        <w:t xml:space="preserve">Actuellement, le Parlement européen souhaite renforcer la protection des données pour tous les citoyens de l’Union européenne, grâce au </w:t>
      </w:r>
      <w:r w:rsidR="00020502">
        <w:rPr>
          <w:rFonts w:ascii="Times New Roman" w:hAnsi="Times New Roman" w:cs="Times New Roman"/>
          <w:b/>
          <w:sz w:val="24"/>
          <w:szCs w:val="24"/>
        </w:rPr>
        <w:t>R</w:t>
      </w:r>
      <w:r w:rsidRPr="00020502">
        <w:rPr>
          <w:rFonts w:ascii="Times New Roman" w:hAnsi="Times New Roman" w:cs="Times New Roman"/>
          <w:b/>
          <w:sz w:val="24"/>
          <w:szCs w:val="24"/>
        </w:rPr>
        <w:t xml:space="preserve">èglement général sur la protection des données </w:t>
      </w:r>
      <w:r w:rsidRPr="007A0676">
        <w:rPr>
          <w:rFonts w:ascii="Times New Roman" w:hAnsi="Times New Roman" w:cs="Times New Roman"/>
          <w:sz w:val="24"/>
          <w:szCs w:val="24"/>
        </w:rPr>
        <w:t>(« </w:t>
      </w:r>
      <w:r w:rsidRPr="00020502">
        <w:rPr>
          <w:rFonts w:ascii="Times New Roman" w:hAnsi="Times New Roman" w:cs="Times New Roman"/>
          <w:b/>
          <w:sz w:val="24"/>
          <w:szCs w:val="24"/>
        </w:rPr>
        <w:t>RGPD </w:t>
      </w:r>
      <w:r w:rsidRPr="007A0676">
        <w:rPr>
          <w:rFonts w:ascii="Times New Roman" w:hAnsi="Times New Roman" w:cs="Times New Roman"/>
          <w:sz w:val="24"/>
          <w:szCs w:val="24"/>
        </w:rPr>
        <w:t>» ou « Règlement »), qui entrera en vigueur en mai 2018.</w:t>
      </w:r>
    </w:p>
    <w:p w:rsidR="00CB0492" w:rsidRPr="00A867E1" w:rsidRDefault="00CB0492" w:rsidP="00CB0492">
      <w:pPr>
        <w:jc w:val="both"/>
        <w:rPr>
          <w:rFonts w:ascii="Times New Roman" w:hAnsi="Times New Roman" w:cs="Times New Roman"/>
          <w:sz w:val="24"/>
          <w:szCs w:val="24"/>
        </w:rPr>
      </w:pPr>
      <w:r w:rsidRPr="007A0676">
        <w:rPr>
          <w:rFonts w:ascii="Times New Roman" w:hAnsi="Times New Roman" w:cs="Times New Roman"/>
          <w:sz w:val="24"/>
          <w:szCs w:val="24"/>
        </w:rPr>
        <w:t>Si une entreprise ne se conforme pas aux exigences du RGPD, elle risque une amende de 20 M d’euros ou de 4 % de son chiffre d’affaires mondial annuel (le montant le plus élevé étant retenu).</w:t>
      </w:r>
      <w:r w:rsidRPr="00A867E1">
        <w:rPr>
          <w:rFonts w:ascii="Times New Roman" w:hAnsi="Times New Roman" w:cs="Times New Roman"/>
          <w:sz w:val="24"/>
          <w:szCs w:val="24"/>
        </w:rPr>
        <w:t xml:space="preserve"> </w:t>
      </w:r>
      <w:r w:rsidRPr="007A0676">
        <w:rPr>
          <w:rFonts w:ascii="Times New Roman" w:hAnsi="Times New Roman" w:cs="Times New Roman"/>
          <w:sz w:val="24"/>
          <w:szCs w:val="24"/>
        </w:rPr>
        <w:t>Parmi les entreprises, 52 % pensent qu’elles devront payer une amende</w:t>
      </w:r>
      <w:r w:rsidRPr="00A867E1">
        <w:rPr>
          <w:rFonts w:ascii="Times New Roman" w:hAnsi="Times New Roman" w:cs="Times New Roman"/>
          <w:sz w:val="24"/>
          <w:szCs w:val="24"/>
        </w:rPr>
        <w:t xml:space="preserve"> </w:t>
      </w:r>
      <w:r w:rsidRPr="007A0676">
        <w:rPr>
          <w:rFonts w:ascii="Times New Roman" w:hAnsi="Times New Roman" w:cs="Times New Roman"/>
          <w:sz w:val="24"/>
          <w:szCs w:val="24"/>
        </w:rPr>
        <w:t>(article 83 du RGPD)</w:t>
      </w:r>
      <w:r w:rsidRPr="007A0676">
        <w:rPr>
          <w:rStyle w:val="Appelnotedebasdep"/>
          <w:sz w:val="24"/>
        </w:rPr>
        <w:footnoteReference w:id="30"/>
      </w:r>
      <w:r w:rsidRPr="007A0676">
        <w:rPr>
          <w:rFonts w:ascii="Times New Roman" w:hAnsi="Times New Roman" w:cs="Times New Roman"/>
          <w:sz w:val="24"/>
          <w:szCs w:val="24"/>
        </w:rPr>
        <w:t>.</w:t>
      </w:r>
      <w:r w:rsidRPr="00A867E1">
        <w:rPr>
          <w:rFonts w:ascii="Times New Roman" w:hAnsi="Times New Roman" w:cs="Times New Roman"/>
          <w:sz w:val="24"/>
          <w:szCs w:val="24"/>
        </w:rPr>
        <w:t xml:space="preserve"> </w:t>
      </w:r>
      <w:r w:rsidRPr="007A0676">
        <w:rPr>
          <w:rFonts w:ascii="Times New Roman" w:hAnsi="Times New Roman" w:cs="Times New Roman"/>
          <w:sz w:val="24"/>
          <w:szCs w:val="24"/>
        </w:rPr>
        <w:t>L’objectif du RGPD est que toutes les entreprises protègent les données à caractère personnel suivantes :</w:t>
      </w:r>
      <w:r w:rsidRPr="00A867E1">
        <w:rPr>
          <w:rFonts w:ascii="Times New Roman" w:hAnsi="Times New Roman" w:cs="Times New Roman"/>
          <w:sz w:val="24"/>
          <w:szCs w:val="24"/>
        </w:rPr>
        <w:t xml:space="preserve"> </w:t>
      </w:r>
    </w:p>
    <w:p w:rsidR="00CB0492" w:rsidRPr="00A867E1" w:rsidRDefault="00CB0492" w:rsidP="00CB0492">
      <w:pPr>
        <w:pStyle w:val="Paragraphedeliste"/>
        <w:numPr>
          <w:ilvl w:val="0"/>
          <w:numId w:val="45"/>
        </w:numPr>
        <w:suppressAutoHyphens w:val="0"/>
        <w:spacing w:after="160" w:line="259" w:lineRule="auto"/>
        <w:contextualSpacing/>
        <w:jc w:val="both"/>
      </w:pPr>
      <w:r w:rsidRPr="007A0676">
        <w:t>Nom, adresse et numéro d’identité ;</w:t>
      </w:r>
    </w:p>
    <w:p w:rsidR="00CB0492" w:rsidRPr="00A867E1" w:rsidRDefault="00CB0492" w:rsidP="00CB0492">
      <w:pPr>
        <w:pStyle w:val="Paragraphedeliste"/>
        <w:numPr>
          <w:ilvl w:val="0"/>
          <w:numId w:val="45"/>
        </w:numPr>
        <w:suppressAutoHyphens w:val="0"/>
        <w:spacing w:after="160" w:line="259" w:lineRule="auto"/>
        <w:contextualSpacing/>
        <w:jc w:val="both"/>
      </w:pPr>
      <w:r w:rsidRPr="007A0676">
        <w:t>Lieu, adresse IP, données de type « cookies » et étiquettes RFID ;</w:t>
      </w:r>
    </w:p>
    <w:p w:rsidR="00CB0492" w:rsidRPr="007A0676" w:rsidRDefault="00CB0492" w:rsidP="00CB0492">
      <w:pPr>
        <w:pStyle w:val="Paragraphedeliste"/>
        <w:numPr>
          <w:ilvl w:val="0"/>
          <w:numId w:val="45"/>
        </w:numPr>
        <w:suppressAutoHyphens w:val="0"/>
        <w:spacing w:after="160" w:line="259" w:lineRule="auto"/>
        <w:contextualSpacing/>
        <w:jc w:val="both"/>
        <w:rPr>
          <w:lang w:val="en-GB"/>
        </w:rPr>
      </w:pPr>
      <w:r w:rsidRPr="007A0676">
        <w:t>Données génétiques et sanitaires ;</w:t>
      </w:r>
    </w:p>
    <w:p w:rsidR="00CB0492" w:rsidRPr="007A0676" w:rsidRDefault="00CB0492" w:rsidP="00CB0492">
      <w:pPr>
        <w:pStyle w:val="Paragraphedeliste"/>
        <w:numPr>
          <w:ilvl w:val="0"/>
          <w:numId w:val="45"/>
        </w:numPr>
        <w:suppressAutoHyphens w:val="0"/>
        <w:spacing w:after="160" w:line="259" w:lineRule="auto"/>
        <w:contextualSpacing/>
        <w:jc w:val="both"/>
        <w:rPr>
          <w:lang w:val="en-GB"/>
        </w:rPr>
      </w:pPr>
      <w:r w:rsidRPr="007A0676">
        <w:t>Données biométriques ;</w:t>
      </w:r>
    </w:p>
    <w:p w:rsidR="00CB0492" w:rsidRPr="007A0676" w:rsidRDefault="00CB0492" w:rsidP="00CB0492">
      <w:pPr>
        <w:pStyle w:val="Paragraphedeliste"/>
        <w:numPr>
          <w:ilvl w:val="0"/>
          <w:numId w:val="45"/>
        </w:numPr>
        <w:suppressAutoHyphens w:val="0"/>
        <w:spacing w:after="160" w:line="259" w:lineRule="auto"/>
        <w:contextualSpacing/>
        <w:jc w:val="both"/>
        <w:rPr>
          <w:lang w:val="en-GB"/>
        </w:rPr>
      </w:pPr>
      <w:r w:rsidRPr="007A0676">
        <w:t>Données raciales ou ethniques ;</w:t>
      </w:r>
    </w:p>
    <w:p w:rsidR="00CB0492" w:rsidRPr="007A0676" w:rsidRDefault="00CB0492" w:rsidP="00CB0492">
      <w:pPr>
        <w:pStyle w:val="Paragraphedeliste"/>
        <w:numPr>
          <w:ilvl w:val="0"/>
          <w:numId w:val="45"/>
        </w:numPr>
        <w:suppressAutoHyphens w:val="0"/>
        <w:spacing w:after="160" w:line="259" w:lineRule="auto"/>
        <w:contextualSpacing/>
        <w:jc w:val="both"/>
        <w:rPr>
          <w:lang w:val="en-GB"/>
        </w:rPr>
      </w:pPr>
      <w:r w:rsidRPr="007A0676">
        <w:t>Opinions politiques ;</w:t>
      </w:r>
    </w:p>
    <w:p w:rsidR="00CB0492" w:rsidRPr="007A0676" w:rsidRDefault="00CB0492" w:rsidP="00CB0492">
      <w:pPr>
        <w:pStyle w:val="Paragraphedeliste"/>
        <w:numPr>
          <w:ilvl w:val="0"/>
          <w:numId w:val="45"/>
        </w:numPr>
        <w:suppressAutoHyphens w:val="0"/>
        <w:spacing w:after="160" w:line="259" w:lineRule="auto"/>
        <w:contextualSpacing/>
        <w:jc w:val="both"/>
        <w:rPr>
          <w:lang w:val="en-GB"/>
        </w:rPr>
      </w:pPr>
      <w:r w:rsidRPr="007A0676">
        <w:t>Orientation sexuelle.</w:t>
      </w:r>
    </w:p>
    <w:p w:rsidR="00CB0492" w:rsidRPr="00A867E1" w:rsidRDefault="00CB0492" w:rsidP="00CB0492">
      <w:pPr>
        <w:jc w:val="both"/>
        <w:rPr>
          <w:rFonts w:ascii="Times New Roman" w:hAnsi="Times New Roman" w:cs="Times New Roman"/>
          <w:sz w:val="24"/>
          <w:szCs w:val="24"/>
        </w:rPr>
      </w:pPr>
      <w:r w:rsidRPr="007A0676">
        <w:rPr>
          <w:rFonts w:ascii="Times New Roman" w:hAnsi="Times New Roman" w:cs="Times New Roman"/>
          <w:sz w:val="24"/>
          <w:szCs w:val="24"/>
        </w:rPr>
        <w:t>Le Règlement dispose, par exemple, que l’entreprise doit pouvoir localiser et, sur demande, fournir toutes les données à caractère personnel qu’elle a recueillies concernant une personne précise.</w:t>
      </w:r>
      <w:r w:rsidRPr="00A867E1">
        <w:rPr>
          <w:rFonts w:ascii="Times New Roman" w:hAnsi="Times New Roman" w:cs="Times New Roman"/>
          <w:sz w:val="24"/>
          <w:szCs w:val="24"/>
        </w:rPr>
        <w:t xml:space="preserve"> </w:t>
      </w:r>
      <w:r w:rsidRPr="007A0676">
        <w:rPr>
          <w:rFonts w:ascii="Times New Roman" w:hAnsi="Times New Roman" w:cs="Times New Roman"/>
          <w:sz w:val="24"/>
          <w:szCs w:val="24"/>
        </w:rPr>
        <w:t>Si l’entreprise ne peut pas répondre à la demande et que la personne décide de porter plainte, elle peut être condamnée à payer une amende.</w:t>
      </w:r>
    </w:p>
    <w:p w:rsidR="00CB0492" w:rsidRPr="00A867E1" w:rsidRDefault="00CB0492" w:rsidP="00CB0492">
      <w:pPr>
        <w:jc w:val="both"/>
        <w:rPr>
          <w:rFonts w:ascii="Times New Roman" w:hAnsi="Times New Roman" w:cs="Times New Roman"/>
          <w:sz w:val="24"/>
          <w:szCs w:val="24"/>
        </w:rPr>
      </w:pPr>
      <w:r w:rsidRPr="007A0676">
        <w:rPr>
          <w:rFonts w:ascii="Times New Roman" w:hAnsi="Times New Roman" w:cs="Times New Roman"/>
          <w:sz w:val="24"/>
          <w:szCs w:val="24"/>
        </w:rPr>
        <w:t>La conformité au RGPD prouve que l’entreprise :</w:t>
      </w:r>
      <w:r w:rsidRPr="00A867E1">
        <w:rPr>
          <w:rFonts w:ascii="Times New Roman" w:hAnsi="Times New Roman" w:cs="Times New Roman"/>
          <w:sz w:val="24"/>
          <w:szCs w:val="24"/>
        </w:rPr>
        <w:t xml:space="preserve"> </w:t>
      </w:r>
    </w:p>
    <w:p w:rsidR="00CB0492" w:rsidRPr="00A867E1" w:rsidRDefault="00CB0492" w:rsidP="00CB0492">
      <w:pPr>
        <w:pStyle w:val="Paragraphedeliste"/>
        <w:numPr>
          <w:ilvl w:val="0"/>
          <w:numId w:val="45"/>
        </w:numPr>
        <w:suppressAutoHyphens w:val="0"/>
        <w:spacing w:after="160" w:line="259" w:lineRule="auto"/>
        <w:contextualSpacing/>
        <w:jc w:val="both"/>
      </w:pPr>
      <w:r w:rsidRPr="007A0676">
        <w:t>a mis en place des processus et est capable de localiser et protéger toutes les données à caractère personnel conservées ;</w:t>
      </w:r>
    </w:p>
    <w:p w:rsidR="00CB0492" w:rsidRPr="00A867E1" w:rsidRDefault="00CB0492" w:rsidP="00CB0492">
      <w:pPr>
        <w:pStyle w:val="Paragraphedeliste"/>
        <w:numPr>
          <w:ilvl w:val="0"/>
          <w:numId w:val="45"/>
        </w:numPr>
        <w:suppressAutoHyphens w:val="0"/>
        <w:spacing w:after="160" w:line="259" w:lineRule="auto"/>
        <w:contextualSpacing/>
        <w:jc w:val="both"/>
      </w:pPr>
      <w:r w:rsidRPr="007A0676">
        <w:lastRenderedPageBreak/>
        <w:t>peut identifier les applications qui utilisent les données à caractère personnel ; et</w:t>
      </w:r>
    </w:p>
    <w:p w:rsidR="00CB0492" w:rsidRPr="00A867E1" w:rsidRDefault="00CB0492" w:rsidP="00CB0492">
      <w:pPr>
        <w:pStyle w:val="Paragraphedeliste"/>
        <w:numPr>
          <w:ilvl w:val="0"/>
          <w:numId w:val="45"/>
        </w:numPr>
        <w:suppressAutoHyphens w:val="0"/>
        <w:spacing w:after="160" w:line="259" w:lineRule="auto"/>
        <w:contextualSpacing/>
        <w:jc w:val="both"/>
      </w:pPr>
      <w:r w:rsidRPr="007A0676">
        <w:t>peut identifier les personnes qui y ont accès.</w:t>
      </w:r>
    </w:p>
    <w:p w:rsidR="00CB0492" w:rsidRPr="00A867E1" w:rsidRDefault="00CB0492" w:rsidP="00CB0492">
      <w:pPr>
        <w:jc w:val="both"/>
        <w:rPr>
          <w:rFonts w:ascii="Times New Roman" w:hAnsi="Times New Roman" w:cs="Times New Roman"/>
          <w:sz w:val="24"/>
          <w:szCs w:val="24"/>
        </w:rPr>
      </w:pPr>
      <w:r w:rsidRPr="007A0676">
        <w:rPr>
          <w:rFonts w:ascii="Times New Roman" w:hAnsi="Times New Roman" w:cs="Times New Roman"/>
          <w:sz w:val="24"/>
          <w:szCs w:val="24"/>
        </w:rPr>
        <w:t>L’un des principes forts du RGPD est la « responsabilité ».</w:t>
      </w:r>
      <w:r w:rsidRPr="00A867E1">
        <w:rPr>
          <w:rFonts w:ascii="Times New Roman" w:hAnsi="Times New Roman" w:cs="Times New Roman"/>
          <w:sz w:val="24"/>
          <w:szCs w:val="24"/>
        </w:rPr>
        <w:t xml:space="preserve"> </w:t>
      </w:r>
      <w:r w:rsidRPr="007A0676">
        <w:rPr>
          <w:rFonts w:ascii="Times New Roman" w:hAnsi="Times New Roman" w:cs="Times New Roman"/>
          <w:sz w:val="24"/>
          <w:szCs w:val="24"/>
        </w:rPr>
        <w:t>Si un pirate parvient à voler des données à caractère personnel à l’un des partenaires de l’entreprise, celle-ci est considérée comme tout aussi responsable de la fuite que l’entreprise du partenaire, même si l’entreprise respecte le RGPD.</w:t>
      </w:r>
      <w:r w:rsidRPr="00A867E1">
        <w:rPr>
          <w:rFonts w:ascii="Times New Roman" w:hAnsi="Times New Roman" w:cs="Times New Roman"/>
          <w:sz w:val="24"/>
          <w:szCs w:val="24"/>
        </w:rPr>
        <w:t xml:space="preserve"> </w:t>
      </w:r>
      <w:r w:rsidRPr="007A0676">
        <w:rPr>
          <w:rFonts w:ascii="Times New Roman" w:hAnsi="Times New Roman" w:cs="Times New Roman"/>
          <w:sz w:val="24"/>
          <w:szCs w:val="24"/>
        </w:rPr>
        <w:t>Ceci est la principale raison pour laquelle la « préparation au RGPD » est un gage de confiance.</w:t>
      </w:r>
      <w:r w:rsidRPr="00A867E1">
        <w:rPr>
          <w:rFonts w:ascii="Times New Roman" w:hAnsi="Times New Roman" w:cs="Times New Roman"/>
          <w:sz w:val="24"/>
          <w:szCs w:val="24"/>
        </w:rPr>
        <w:t xml:space="preserve"> </w:t>
      </w:r>
      <w:r w:rsidRPr="007A0676">
        <w:rPr>
          <w:rFonts w:ascii="Times New Roman" w:hAnsi="Times New Roman" w:cs="Times New Roman"/>
          <w:sz w:val="24"/>
          <w:szCs w:val="24"/>
        </w:rPr>
        <w:t>Cela signifie que le RGPD pourrait véritablement devenir un avantage concurrentiel ou au moins une condition nécessaire à la coopération avec d’autres entreprises.</w:t>
      </w:r>
    </w:p>
    <w:p w:rsidR="00CB0492" w:rsidRPr="00A867E1" w:rsidRDefault="00CB0492" w:rsidP="00CB0492">
      <w:pPr>
        <w:jc w:val="both"/>
        <w:rPr>
          <w:rFonts w:ascii="Times New Roman" w:hAnsi="Times New Roman" w:cs="Times New Roman"/>
          <w:sz w:val="24"/>
          <w:szCs w:val="24"/>
        </w:rPr>
      </w:pPr>
      <w:r w:rsidRPr="007A0676">
        <w:rPr>
          <w:rFonts w:ascii="Times New Roman" w:hAnsi="Times New Roman" w:cs="Times New Roman"/>
          <w:sz w:val="24"/>
          <w:szCs w:val="24"/>
        </w:rPr>
        <w:t>Le fait de suivre le processus de mise en conformité au RGPD non seulement aide les entreprises à protéger les données à caractère personnel de leurs salariés, clients, fournisseurs et autres partenaires, mais également leur permet de renforcer leur cybersécurité (protection par pare-feu, chiffrement des données, principe de séparation des privilèges, etc.) et de mettre en œuvre des mesures de sécurité de base pour garantir qu’il n’y a pas de fuite de données personnelles ou que celles-ci ne sont pas accessibles à des personnes non autorisées.</w:t>
      </w:r>
    </w:p>
    <w:p w:rsidR="00CB0492" w:rsidRDefault="00CB0492" w:rsidP="00CB0492">
      <w:pPr>
        <w:jc w:val="both"/>
        <w:rPr>
          <w:rFonts w:ascii="Times New Roman" w:hAnsi="Times New Roman" w:cs="Times New Roman"/>
          <w:sz w:val="24"/>
          <w:szCs w:val="24"/>
          <w:lang w:val="en-GB"/>
        </w:rPr>
      </w:pPr>
      <w:r w:rsidRPr="007A0676">
        <w:rPr>
          <w:rFonts w:ascii="Times New Roman" w:hAnsi="Times New Roman" w:cs="Times New Roman"/>
          <w:b/>
          <w:sz w:val="24"/>
          <w:szCs w:val="24"/>
        </w:rPr>
        <w:t>Conclusion</w:t>
      </w:r>
      <w:r w:rsidRPr="007A0676">
        <w:rPr>
          <w:rFonts w:ascii="Times New Roman" w:hAnsi="Times New Roman" w:cs="Times New Roman"/>
          <w:sz w:val="24"/>
          <w:szCs w:val="24"/>
          <w:lang w:val="en-GB"/>
        </w:rPr>
        <w:t xml:space="preserve"> </w:t>
      </w:r>
    </w:p>
    <w:p w:rsidR="00CB0492" w:rsidRDefault="00CB0492" w:rsidP="00CB0492">
      <w:pPr>
        <w:pStyle w:val="Paragraphedeliste"/>
        <w:numPr>
          <w:ilvl w:val="0"/>
          <w:numId w:val="45"/>
        </w:numPr>
        <w:suppressAutoHyphens w:val="0"/>
        <w:spacing w:after="160" w:line="259" w:lineRule="auto"/>
        <w:contextualSpacing/>
        <w:jc w:val="both"/>
        <w:rPr>
          <w:lang w:val="en-GB"/>
        </w:rPr>
      </w:pPr>
      <w:r w:rsidRPr="007A0676">
        <w:t>Toutes les entreprises seront attaquées, que ce soit directement ou indirectement.</w:t>
      </w:r>
      <w:r w:rsidRPr="00A867E1">
        <w:t xml:space="preserve"> </w:t>
      </w:r>
      <w:r w:rsidRPr="007A0676">
        <w:t>C’est une question de temps.</w:t>
      </w:r>
      <w:r w:rsidRPr="007A0676">
        <w:rPr>
          <w:lang w:val="en-GB"/>
        </w:rPr>
        <w:t xml:space="preserve"> </w:t>
      </w:r>
    </w:p>
    <w:p w:rsidR="00CB0492" w:rsidRPr="00A867E1" w:rsidRDefault="00CB0492" w:rsidP="00CB0492">
      <w:pPr>
        <w:pStyle w:val="Paragraphedeliste"/>
        <w:numPr>
          <w:ilvl w:val="0"/>
          <w:numId w:val="45"/>
        </w:numPr>
        <w:suppressAutoHyphens w:val="0"/>
        <w:spacing w:after="160" w:line="259" w:lineRule="auto"/>
        <w:contextualSpacing/>
        <w:jc w:val="both"/>
      </w:pPr>
      <w:r w:rsidRPr="007A0676">
        <w:t>La cybersécurité est un sujet universel :</w:t>
      </w:r>
      <w:r w:rsidRPr="00A867E1">
        <w:t xml:space="preserve"> </w:t>
      </w:r>
    </w:p>
    <w:p w:rsidR="00CB0492" w:rsidRPr="00A867E1" w:rsidRDefault="00CB0492" w:rsidP="00CB0492">
      <w:pPr>
        <w:pStyle w:val="Paragraphedeliste"/>
        <w:numPr>
          <w:ilvl w:val="1"/>
          <w:numId w:val="45"/>
        </w:numPr>
        <w:suppressAutoHyphens w:val="0"/>
        <w:spacing w:after="160" w:line="259" w:lineRule="auto"/>
        <w:contextualSpacing/>
        <w:jc w:val="both"/>
      </w:pPr>
      <w:r w:rsidRPr="007A0676">
        <w:t>pour les entreprises et leurs clients ;</w:t>
      </w:r>
    </w:p>
    <w:p w:rsidR="00CB0492" w:rsidRPr="00A867E1" w:rsidRDefault="00CB0492" w:rsidP="00CB0492">
      <w:pPr>
        <w:pStyle w:val="Paragraphedeliste"/>
        <w:numPr>
          <w:ilvl w:val="1"/>
          <w:numId w:val="45"/>
        </w:numPr>
        <w:suppressAutoHyphens w:val="0"/>
        <w:spacing w:after="160" w:line="259" w:lineRule="auto"/>
        <w:contextualSpacing/>
        <w:jc w:val="both"/>
      </w:pPr>
      <w:r w:rsidRPr="007A0676">
        <w:t>pour toutes les entreprises, quelle que soit leur taille.</w:t>
      </w:r>
    </w:p>
    <w:p w:rsidR="00CB0492" w:rsidRPr="00A867E1" w:rsidRDefault="00CB0492" w:rsidP="00CB0492">
      <w:pPr>
        <w:pStyle w:val="Paragraphedeliste"/>
        <w:numPr>
          <w:ilvl w:val="0"/>
          <w:numId w:val="45"/>
        </w:numPr>
        <w:suppressAutoHyphens w:val="0"/>
        <w:spacing w:after="160" w:line="259" w:lineRule="auto"/>
        <w:contextualSpacing/>
        <w:jc w:val="both"/>
      </w:pPr>
      <w:r w:rsidRPr="007A0676">
        <w:t>Toute société traitant les données à caractère personnel de citoyens européens devra respecter le RGPD.</w:t>
      </w:r>
    </w:p>
    <w:p w:rsidR="00CB0492" w:rsidRPr="00A867E1" w:rsidRDefault="00CB0492" w:rsidP="00CB0492">
      <w:pPr>
        <w:pStyle w:val="Paragraphedeliste"/>
        <w:numPr>
          <w:ilvl w:val="0"/>
          <w:numId w:val="45"/>
        </w:numPr>
        <w:suppressAutoHyphens w:val="0"/>
        <w:spacing w:after="160" w:line="259" w:lineRule="auto"/>
        <w:contextualSpacing/>
        <w:jc w:val="both"/>
      </w:pPr>
      <w:r w:rsidRPr="007A0676">
        <w:rPr>
          <w:b/>
        </w:rPr>
        <w:t>En tant que membre d’INSOL Europe, vous devez veiller à ce que votre entreprise se mette en conformité avec le RGPD !</w:t>
      </w:r>
      <w:r w:rsidRPr="00A867E1">
        <w:rPr>
          <w:b/>
        </w:rPr>
        <w:t xml:space="preserve"> </w:t>
      </w:r>
    </w:p>
    <w:p w:rsidR="00CB0492" w:rsidRDefault="00CB0492" w:rsidP="00CB0492">
      <w:pPr>
        <w:rPr>
          <w:rFonts w:ascii="Arial Narrow" w:hAnsi="Arial Narrow" w:cs="Times New Roman"/>
          <w:i/>
          <w:sz w:val="20"/>
          <w:szCs w:val="20"/>
        </w:rPr>
      </w:pPr>
      <w:r w:rsidRPr="007A0676">
        <w:rPr>
          <w:rFonts w:ascii="Arial Narrow" w:hAnsi="Arial Narrow" w:cs="Times New Roman"/>
          <w:i/>
          <w:sz w:val="20"/>
          <w:szCs w:val="20"/>
        </w:rPr>
        <w:t>*Christophe Szwedo, CYLRESC, France, Laurent Le Pajolec, EXCO A2A Polska – INSOL PL</w:t>
      </w:r>
    </w:p>
    <w:p w:rsidR="00CB0492" w:rsidRPr="00A867E1" w:rsidRDefault="00CB0492" w:rsidP="00CB04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r w:rsidRPr="00A867E1">
        <w:rPr>
          <w:rFonts w:ascii="Times New Roman" w:hAnsi="Times New Roman" w:cs="Times New Roman"/>
          <w:sz w:val="24"/>
          <w:szCs w:val="24"/>
        </w:rPr>
        <w:t xml:space="preserve">  x  x</w:t>
      </w:r>
    </w:p>
    <w:p w:rsidR="00CB28A0" w:rsidRDefault="00CB0492" w:rsidP="00EB197C">
      <w:pPr>
        <w:spacing w:after="0" w:line="240" w:lineRule="auto"/>
        <w:jc w:val="center"/>
        <w:rPr>
          <w:rFonts w:ascii="Times New Roman" w:hAnsi="Times New Roman" w:cs="Times New Roman"/>
          <w:sz w:val="24"/>
          <w:szCs w:val="24"/>
        </w:rPr>
      </w:pPr>
      <w:r w:rsidRPr="00A867E1">
        <w:rPr>
          <w:rFonts w:ascii="Times New Roman" w:hAnsi="Times New Roman" w:cs="Times New Roman"/>
          <w:sz w:val="24"/>
          <w:szCs w:val="24"/>
        </w:rPr>
        <w:t>x</w:t>
      </w:r>
    </w:p>
    <w:p w:rsidR="00EB197C" w:rsidRDefault="00EB197C" w:rsidP="00EB197C">
      <w:pPr>
        <w:spacing w:after="0" w:line="240" w:lineRule="auto"/>
        <w:jc w:val="center"/>
        <w:rPr>
          <w:rFonts w:ascii="Times New Roman" w:hAnsi="Times New Roman" w:cs="Times New Roman"/>
          <w:sz w:val="24"/>
          <w:szCs w:val="24"/>
        </w:rPr>
      </w:pPr>
    </w:p>
    <w:p w:rsidR="00EB197C" w:rsidRPr="00EB197C" w:rsidRDefault="00EB197C" w:rsidP="00EB197C">
      <w:pPr>
        <w:spacing w:after="0" w:line="240" w:lineRule="auto"/>
        <w:jc w:val="center"/>
        <w:rPr>
          <w:rFonts w:ascii="Times New Roman" w:hAnsi="Times New Roman" w:cs="Times New Roman"/>
          <w:sz w:val="24"/>
          <w:szCs w:val="24"/>
        </w:rPr>
      </w:pPr>
    </w:p>
    <w:p w:rsidR="0077507B" w:rsidRDefault="0077507B" w:rsidP="00035770">
      <w:pPr>
        <w:jc w:val="both"/>
        <w:rPr>
          <w:rFonts w:ascii="Arial Narrow" w:hAnsi="Arial Narrow" w:cs="Times New Roman"/>
          <w:b/>
          <w:sz w:val="28"/>
          <w:szCs w:val="28"/>
        </w:rPr>
      </w:pPr>
    </w:p>
    <w:p w:rsidR="0077507B" w:rsidRDefault="0077507B" w:rsidP="00035770">
      <w:pPr>
        <w:jc w:val="both"/>
        <w:rPr>
          <w:rFonts w:ascii="Arial Narrow" w:hAnsi="Arial Narrow" w:cs="Times New Roman"/>
          <w:b/>
          <w:sz w:val="28"/>
          <w:szCs w:val="28"/>
        </w:rPr>
      </w:pPr>
    </w:p>
    <w:p w:rsidR="0077507B" w:rsidRDefault="0077507B" w:rsidP="00035770">
      <w:pPr>
        <w:jc w:val="both"/>
        <w:rPr>
          <w:rFonts w:ascii="Arial Narrow" w:hAnsi="Arial Narrow" w:cs="Times New Roman"/>
          <w:b/>
          <w:sz w:val="28"/>
          <w:szCs w:val="28"/>
        </w:rPr>
      </w:pPr>
    </w:p>
    <w:p w:rsidR="0077507B" w:rsidRDefault="0077507B" w:rsidP="00035770">
      <w:pPr>
        <w:jc w:val="both"/>
        <w:rPr>
          <w:rFonts w:ascii="Arial Narrow" w:hAnsi="Arial Narrow" w:cs="Times New Roman"/>
          <w:b/>
          <w:sz w:val="28"/>
          <w:szCs w:val="28"/>
        </w:rPr>
      </w:pPr>
    </w:p>
    <w:p w:rsidR="0077507B" w:rsidRDefault="0077507B" w:rsidP="00035770">
      <w:pPr>
        <w:jc w:val="both"/>
        <w:rPr>
          <w:rFonts w:ascii="Arial Narrow" w:hAnsi="Arial Narrow" w:cs="Times New Roman"/>
          <w:b/>
          <w:sz w:val="28"/>
          <w:szCs w:val="28"/>
        </w:rPr>
      </w:pPr>
    </w:p>
    <w:p w:rsidR="00035770" w:rsidRPr="00035770" w:rsidRDefault="00035770" w:rsidP="00035770">
      <w:pPr>
        <w:jc w:val="both"/>
        <w:rPr>
          <w:rFonts w:ascii="Arial Narrow" w:hAnsi="Arial Narrow" w:cs="Times New Roman"/>
          <w:b/>
          <w:sz w:val="28"/>
          <w:szCs w:val="28"/>
        </w:rPr>
      </w:pPr>
      <w:r w:rsidRPr="00035770">
        <w:rPr>
          <w:rFonts w:ascii="Arial Narrow" w:hAnsi="Arial Narrow" w:cs="Times New Roman"/>
          <w:b/>
          <w:sz w:val="28"/>
          <w:szCs w:val="28"/>
        </w:rPr>
        <w:lastRenderedPageBreak/>
        <w:t>Roumanie</w:t>
      </w:r>
    </w:p>
    <w:p w:rsidR="00035770" w:rsidRPr="00A73E74" w:rsidRDefault="00035770" w:rsidP="00035770">
      <w:pPr>
        <w:spacing w:after="0"/>
        <w:jc w:val="center"/>
        <w:rPr>
          <w:rFonts w:ascii="Times New Roman" w:hAnsi="Times New Roman" w:cs="Times New Roman"/>
          <w:b/>
          <w:sz w:val="48"/>
          <w:szCs w:val="48"/>
        </w:rPr>
      </w:pPr>
      <w:r w:rsidRPr="00A73E74">
        <w:rPr>
          <w:rFonts w:ascii="Times New Roman" w:hAnsi="Times New Roman" w:cs="Times New Roman"/>
          <w:b/>
          <w:sz w:val="48"/>
          <w:szCs w:val="48"/>
        </w:rPr>
        <w:t>Insolvabilité stratégique en Roumanie</w:t>
      </w:r>
    </w:p>
    <w:p w:rsidR="00035770" w:rsidRPr="00A73E74" w:rsidRDefault="00035770" w:rsidP="00035770">
      <w:pPr>
        <w:jc w:val="center"/>
        <w:rPr>
          <w:rFonts w:ascii="Arial Narrow" w:hAnsi="Arial Narrow" w:cs="Times New Roman"/>
          <w:i/>
          <w:sz w:val="24"/>
          <w:szCs w:val="24"/>
        </w:rPr>
      </w:pPr>
      <w:r w:rsidRPr="00981D7B">
        <w:rPr>
          <w:rFonts w:ascii="Arial Narrow" w:hAnsi="Arial Narrow" w:cs="Times New Roman"/>
          <w:i/>
          <w:sz w:val="24"/>
          <w:szCs w:val="24"/>
        </w:rPr>
        <w:t>Nicoleta Munteanu* nous explique ce qu’on entend par « insolvabilité stratégique » en Roumanie, et ses conséquences sur les procédures d’insolvabilité</w:t>
      </w:r>
    </w:p>
    <w:p w:rsidR="00035770" w:rsidRPr="00A73E74" w:rsidRDefault="00035770" w:rsidP="00035770">
      <w:pPr>
        <w:jc w:val="both"/>
        <w:rPr>
          <w:rFonts w:ascii="Times New Roman" w:hAnsi="Times New Roman" w:cs="Times New Roman"/>
          <w:b/>
          <w:sz w:val="24"/>
          <w:szCs w:val="24"/>
        </w:rPr>
      </w:pPr>
      <w:r w:rsidRPr="00981D7B">
        <w:rPr>
          <w:rFonts w:ascii="Times New Roman" w:hAnsi="Times New Roman" w:cs="Times New Roman"/>
          <w:b/>
          <w:sz w:val="24"/>
          <w:szCs w:val="24"/>
        </w:rPr>
        <w:t>Grâce à la restructuration précoce et à la seconde chance, l’Union européenne s’est préoccupée d’une réalité qui est moins bien comprise dans l’environnement économique.</w:t>
      </w:r>
    </w:p>
    <w:p w:rsidR="00035770" w:rsidRPr="00A73E74" w:rsidRDefault="00035770" w:rsidP="00035770">
      <w:pPr>
        <w:jc w:val="both"/>
        <w:rPr>
          <w:rFonts w:ascii="Times New Roman" w:hAnsi="Times New Roman" w:cs="Times New Roman"/>
          <w:sz w:val="24"/>
          <w:szCs w:val="24"/>
        </w:rPr>
      </w:pPr>
      <w:r w:rsidRPr="00981D7B">
        <w:rPr>
          <w:rFonts w:ascii="Times New Roman" w:hAnsi="Times New Roman" w:cs="Times New Roman"/>
          <w:sz w:val="24"/>
          <w:szCs w:val="24"/>
        </w:rPr>
        <w:t>C’est un état de fait : l’insolvabilité fait partie du circuit économique, c’est un marqueur indispensable à l’efficacité, à la dynamique et à l’essence même des mécanismes économiques.</w:t>
      </w:r>
      <w:r w:rsidRPr="00A73E74">
        <w:rPr>
          <w:rFonts w:ascii="Times New Roman" w:hAnsi="Times New Roman" w:cs="Times New Roman"/>
          <w:sz w:val="24"/>
          <w:szCs w:val="24"/>
        </w:rPr>
        <w:t xml:space="preserve"> </w:t>
      </w:r>
      <w:r w:rsidRPr="00981D7B">
        <w:rPr>
          <w:rFonts w:ascii="Times New Roman" w:hAnsi="Times New Roman" w:cs="Times New Roman"/>
          <w:sz w:val="24"/>
          <w:szCs w:val="24"/>
        </w:rPr>
        <w:t>Par conséquent, l’insolvabilité des entreprises défaillantes est déterminée non seulement par des causes subjectives, mais aussi par des causes objectives, par un contexte économique et financier qui place l’entreprise débitrice dans une situation indésirable qui échappe à son contrôle.</w:t>
      </w:r>
      <w:r w:rsidRPr="00A73E74">
        <w:rPr>
          <w:rFonts w:ascii="Times New Roman" w:hAnsi="Times New Roman" w:cs="Times New Roman"/>
          <w:sz w:val="24"/>
          <w:szCs w:val="24"/>
        </w:rPr>
        <w:t xml:space="preserve"> </w:t>
      </w:r>
      <w:r w:rsidRPr="00981D7B">
        <w:rPr>
          <w:rFonts w:ascii="Times New Roman" w:hAnsi="Times New Roman" w:cs="Times New Roman"/>
          <w:sz w:val="24"/>
          <w:szCs w:val="24"/>
        </w:rPr>
        <w:t xml:space="preserve">C’est de ce point de vue qu’il faut comprendre les </w:t>
      </w:r>
      <w:r>
        <w:rPr>
          <w:rFonts w:ascii="Times New Roman" w:hAnsi="Times New Roman" w:cs="Times New Roman"/>
          <w:sz w:val="24"/>
          <w:szCs w:val="24"/>
        </w:rPr>
        <w:t>tentatives de l’UE, qui insiste</w:t>
      </w:r>
      <w:r w:rsidRPr="00981D7B">
        <w:rPr>
          <w:rFonts w:ascii="Times New Roman" w:hAnsi="Times New Roman" w:cs="Times New Roman"/>
          <w:sz w:val="24"/>
          <w:szCs w:val="24"/>
        </w:rPr>
        <w:t xml:space="preserve"> sur les mécanismes de prévention et sur la possibilité, pour l’entreprise, de revenir dans le circuit économique.</w:t>
      </w:r>
    </w:p>
    <w:p w:rsidR="00035770" w:rsidRPr="00A73E74" w:rsidRDefault="00035770" w:rsidP="00035770">
      <w:pPr>
        <w:jc w:val="both"/>
        <w:rPr>
          <w:rFonts w:ascii="Times New Roman" w:hAnsi="Times New Roman" w:cs="Times New Roman"/>
          <w:sz w:val="24"/>
          <w:szCs w:val="24"/>
        </w:rPr>
      </w:pPr>
      <w:r w:rsidRPr="00981D7B">
        <w:rPr>
          <w:rFonts w:ascii="Times New Roman" w:hAnsi="Times New Roman" w:cs="Times New Roman"/>
          <w:sz w:val="24"/>
          <w:szCs w:val="24"/>
        </w:rPr>
        <w:t>Comprendre l’insolvabilité comme un « mal nécessaire », comme un déséquilibre annonciateur d’un nouvel équilibre, comme un « point critique » servant non seulement à tirer un signal d’alarme fort mais également à marquer un « nouveau départ » est ce qui s’approche le plus de la philosophie de l’UE en la matière.</w:t>
      </w:r>
      <w:r w:rsidRPr="00A73E74">
        <w:rPr>
          <w:rFonts w:ascii="Times New Roman" w:hAnsi="Times New Roman" w:cs="Times New Roman"/>
          <w:sz w:val="24"/>
          <w:szCs w:val="24"/>
        </w:rPr>
        <w:t xml:space="preserve"> </w:t>
      </w:r>
      <w:r w:rsidRPr="00981D7B">
        <w:rPr>
          <w:rFonts w:ascii="Times New Roman" w:hAnsi="Times New Roman" w:cs="Times New Roman"/>
          <w:sz w:val="24"/>
          <w:szCs w:val="24"/>
        </w:rPr>
        <w:t>En outre, l’insolvabilité a également pour effet de nettoyer le circuit économique et d’en éliminer, lorsque cela est nécessaire, les entreprises qui ne respectent pas les règles du jeu et essaient de les détourner à leur profit.</w:t>
      </w:r>
      <w:r w:rsidRPr="00A73E74">
        <w:rPr>
          <w:rFonts w:ascii="Times New Roman" w:hAnsi="Times New Roman" w:cs="Times New Roman"/>
          <w:sz w:val="24"/>
          <w:szCs w:val="24"/>
        </w:rPr>
        <w:t xml:space="preserve"> </w:t>
      </w:r>
      <w:r>
        <w:rPr>
          <w:rFonts w:ascii="Times New Roman" w:hAnsi="Times New Roman" w:cs="Times New Roman"/>
          <w:sz w:val="24"/>
          <w:szCs w:val="24"/>
        </w:rPr>
        <w:t>Mais q</w:t>
      </w:r>
      <w:r w:rsidRPr="00981D7B">
        <w:rPr>
          <w:rFonts w:ascii="Times New Roman" w:hAnsi="Times New Roman" w:cs="Times New Roman"/>
          <w:sz w:val="24"/>
          <w:szCs w:val="24"/>
        </w:rPr>
        <w:t>ue se passe-t-il dans le cas où certaines entreprises ne peuvent tout simplement pas être éliminées du circuit économique ?</w:t>
      </w:r>
    </w:p>
    <w:p w:rsidR="00035770" w:rsidRPr="00A73E74" w:rsidRDefault="00035770" w:rsidP="00035770">
      <w:pPr>
        <w:jc w:val="both"/>
        <w:rPr>
          <w:rFonts w:ascii="Times New Roman" w:hAnsi="Times New Roman" w:cs="Times New Roman"/>
          <w:sz w:val="24"/>
          <w:szCs w:val="24"/>
        </w:rPr>
      </w:pPr>
      <w:r w:rsidRPr="00981D7B">
        <w:rPr>
          <w:rFonts w:ascii="Times New Roman" w:hAnsi="Times New Roman" w:cs="Times New Roman"/>
          <w:sz w:val="24"/>
          <w:szCs w:val="24"/>
        </w:rPr>
        <w:t>L’expérience pratique acquise en gérant des entreprises insolvables permet de tirer plusieurs conclusions quant au processus dans son ensemble :</w:t>
      </w:r>
      <w:r w:rsidRPr="00A73E74">
        <w:rPr>
          <w:rFonts w:ascii="Times New Roman" w:hAnsi="Times New Roman" w:cs="Times New Roman"/>
          <w:sz w:val="24"/>
          <w:szCs w:val="24"/>
        </w:rPr>
        <w:t xml:space="preserve"> </w:t>
      </w:r>
    </w:p>
    <w:p w:rsidR="00035770" w:rsidRPr="00A73E74" w:rsidRDefault="00035770" w:rsidP="00035770">
      <w:pPr>
        <w:pStyle w:val="Paragraphedeliste"/>
        <w:numPr>
          <w:ilvl w:val="0"/>
          <w:numId w:val="40"/>
        </w:numPr>
        <w:suppressAutoHyphens w:val="0"/>
        <w:spacing w:after="160" w:line="259" w:lineRule="auto"/>
        <w:contextualSpacing/>
        <w:jc w:val="both"/>
      </w:pPr>
      <w:r w:rsidRPr="00981D7B">
        <w:t>De nombreuses entreprises demandent l’ouverture d’une procédure d’insolvabilité à cause d’un contexte économique et financier qu’elles ne peuvent pas contrôler, découlant souvent de crises économiques, sociales, politiques, etc.</w:t>
      </w:r>
    </w:p>
    <w:p w:rsidR="00035770" w:rsidRPr="00A73E74" w:rsidRDefault="00035770" w:rsidP="00035770">
      <w:pPr>
        <w:pStyle w:val="Paragraphedeliste"/>
        <w:numPr>
          <w:ilvl w:val="0"/>
          <w:numId w:val="40"/>
        </w:numPr>
        <w:suppressAutoHyphens w:val="0"/>
        <w:spacing w:after="160" w:line="259" w:lineRule="auto"/>
        <w:contextualSpacing/>
        <w:jc w:val="both"/>
      </w:pPr>
      <w:r w:rsidRPr="00981D7B">
        <w:t>De nombreuses entreprises demandent l’ouverture d’une procédure d’insolvabilité en raison d’une gestion défaillante, individualisée, focalisée sur les intérêts d’un groupe.</w:t>
      </w:r>
      <w:r w:rsidRPr="00A73E74">
        <w:t xml:space="preserve"> </w:t>
      </w:r>
      <w:r w:rsidRPr="00981D7B">
        <w:t>Souvent, cette gestion est politi</w:t>
      </w:r>
      <w:r>
        <w:t>cienn</w:t>
      </w:r>
      <w:r w:rsidRPr="00981D7B">
        <w:t>e : les dirigeants choisis n’ont pas les compétences professionnelles nécessaires en matière de gestion pour exercer leurs fonctions.</w:t>
      </w:r>
    </w:p>
    <w:p w:rsidR="00035770" w:rsidRPr="00A73E74" w:rsidRDefault="00035770" w:rsidP="00035770">
      <w:pPr>
        <w:pStyle w:val="Paragraphedeliste"/>
        <w:numPr>
          <w:ilvl w:val="0"/>
          <w:numId w:val="40"/>
        </w:numPr>
        <w:suppressAutoHyphens w:val="0"/>
        <w:spacing w:after="160" w:line="259" w:lineRule="auto"/>
        <w:contextualSpacing/>
        <w:jc w:val="both"/>
      </w:pPr>
      <w:r w:rsidRPr="00981D7B">
        <w:t>De nombreuses entreprises demandent l’ouverture d’une procédure de faillite parce que, en tant que créanciers d’autres entreprises insolvables, elles subissent ce que l’on appelle un « effet domino ».</w:t>
      </w:r>
    </w:p>
    <w:p w:rsidR="00035770" w:rsidRPr="00A73E74" w:rsidRDefault="00035770" w:rsidP="00035770">
      <w:pPr>
        <w:pStyle w:val="Paragraphedeliste"/>
        <w:numPr>
          <w:ilvl w:val="0"/>
          <w:numId w:val="40"/>
        </w:numPr>
        <w:suppressAutoHyphens w:val="0"/>
        <w:spacing w:after="160" w:line="259" w:lineRule="auto"/>
        <w:contextualSpacing/>
        <w:jc w:val="both"/>
      </w:pPr>
      <w:r w:rsidRPr="00133F29">
        <w:t>La dimension « gestion » de la procédure d’insolvabilité est étouffée par la dimension juridique, puisque le praticien de l’insolvabilité ne peut pas mettre en place sa propre politique de gestion</w:t>
      </w:r>
      <w:r>
        <w:t xml:space="preserve"> : </w:t>
      </w:r>
      <w:r w:rsidRPr="00133F29">
        <w:t>il est contraint de respecter à la lettre la procédure, qui consiste la plupart du temps à simplement superviser les activités opérationnelles de la direction, sans y être directement impliqué.</w:t>
      </w:r>
    </w:p>
    <w:p w:rsidR="00035770" w:rsidRPr="00A73E74" w:rsidRDefault="00035770" w:rsidP="00035770">
      <w:pPr>
        <w:pStyle w:val="Paragraphedeliste"/>
        <w:numPr>
          <w:ilvl w:val="0"/>
          <w:numId w:val="40"/>
        </w:numPr>
        <w:suppressAutoHyphens w:val="0"/>
        <w:spacing w:after="160" w:line="259" w:lineRule="auto"/>
        <w:contextualSpacing/>
        <w:jc w:val="both"/>
      </w:pPr>
      <w:r w:rsidRPr="00133F29">
        <w:lastRenderedPageBreak/>
        <w:t>Enfin, on observe souvent que certaines entreprises débitrices sont très importantes pour l’économie nationale et pour la sécurité et la sûreté de l’État, et que leur insolvabilité peut ouvrir des brèches de vulnérabilité et entraîner des risques dans le domaine de la sécurité nationale.</w:t>
      </w:r>
      <w:r w:rsidRPr="00A73E74">
        <w:t xml:space="preserve"> </w:t>
      </w:r>
      <w:r w:rsidRPr="00133F29">
        <w:t>Dans ces cas, ces entreprises ne doivent pas disparaître du circuit économique.</w:t>
      </w:r>
    </w:p>
    <w:p w:rsidR="00035770" w:rsidRPr="00A73E74" w:rsidRDefault="00035770" w:rsidP="00035770">
      <w:pPr>
        <w:jc w:val="both"/>
        <w:rPr>
          <w:rFonts w:ascii="Times New Roman" w:hAnsi="Times New Roman" w:cs="Times New Roman"/>
          <w:sz w:val="24"/>
          <w:szCs w:val="24"/>
        </w:rPr>
      </w:pPr>
      <w:r w:rsidRPr="00133F29">
        <w:rPr>
          <w:rFonts w:ascii="Times New Roman" w:hAnsi="Times New Roman" w:cs="Times New Roman"/>
          <w:sz w:val="24"/>
          <w:szCs w:val="24"/>
        </w:rPr>
        <w:t>Cette conclusion est directement née des discussions entre praticiens, et indirectement d’une étude bibliographique et de longues recherches scientifiques</w:t>
      </w:r>
      <w:bookmarkStart w:id="2" w:name="_Ref511305307"/>
      <w:r w:rsidRPr="00133F29">
        <w:rPr>
          <w:rStyle w:val="Appelnotedebasdep"/>
          <w:sz w:val="24"/>
        </w:rPr>
        <w:footnoteReference w:id="31"/>
      </w:r>
      <w:bookmarkEnd w:id="2"/>
      <w:r w:rsidRPr="00133F29">
        <w:rPr>
          <w:rFonts w:ascii="Times New Roman" w:hAnsi="Times New Roman" w:cs="Times New Roman"/>
          <w:sz w:val="24"/>
          <w:szCs w:val="24"/>
        </w:rPr>
        <w:t> : il existe certains acteurs de l’économie nationale dont l’insolvabilité créerait des menaces tant pour la sécurité économique que pour la sécurité nationale.</w:t>
      </w:r>
    </w:p>
    <w:p w:rsidR="00035770" w:rsidRPr="00A73E74" w:rsidRDefault="00035770" w:rsidP="00035770">
      <w:pPr>
        <w:jc w:val="both"/>
        <w:rPr>
          <w:rFonts w:ascii="Times New Roman" w:hAnsi="Times New Roman" w:cs="Times New Roman"/>
          <w:sz w:val="24"/>
          <w:szCs w:val="24"/>
        </w:rPr>
      </w:pPr>
      <w:r w:rsidRPr="00133F29">
        <w:rPr>
          <w:rFonts w:ascii="Times New Roman" w:hAnsi="Times New Roman" w:cs="Times New Roman"/>
          <w:sz w:val="24"/>
          <w:szCs w:val="24"/>
        </w:rPr>
        <w:t xml:space="preserve">Une analyse de ces insolvabilités est donc nécessaire, venant compléter la dimension juridique par celle des études sur la sécurité et la gestion. Elle aboutit au concept d’« insolvabilité stratégique », qui n’est rien d’autre que l’insolvabilité « classique » appliquée aux entreprises à valeur « stratégique », qui ne peuvent pas être éliminées du circuit économique </w:t>
      </w:r>
      <w:r>
        <w:rPr>
          <w:rFonts w:ascii="Times New Roman" w:hAnsi="Times New Roman" w:cs="Times New Roman"/>
          <w:sz w:val="24"/>
          <w:szCs w:val="24"/>
        </w:rPr>
        <w:t>au risque d’</w:t>
      </w:r>
      <w:r w:rsidRPr="00133F29">
        <w:rPr>
          <w:rFonts w:ascii="Times New Roman" w:hAnsi="Times New Roman" w:cs="Times New Roman"/>
          <w:sz w:val="24"/>
          <w:szCs w:val="24"/>
        </w:rPr>
        <w:t>entraîner des menaces pour la sécurité de l’État.</w:t>
      </w:r>
    </w:p>
    <w:p w:rsidR="00035770" w:rsidRPr="00A73E74" w:rsidRDefault="00035770" w:rsidP="00035770">
      <w:pPr>
        <w:jc w:val="both"/>
        <w:rPr>
          <w:rFonts w:ascii="Times New Roman" w:hAnsi="Times New Roman" w:cs="Times New Roman"/>
          <w:sz w:val="24"/>
          <w:szCs w:val="24"/>
        </w:rPr>
      </w:pPr>
      <w:r w:rsidRPr="00133F29">
        <w:rPr>
          <w:rFonts w:ascii="Times New Roman" w:hAnsi="Times New Roman" w:cs="Times New Roman"/>
          <w:sz w:val="24"/>
          <w:szCs w:val="24"/>
        </w:rPr>
        <w:t xml:space="preserve">En outre, l’analyse de l’insolvabilité en termes de gestion permet de comprendre à quel point les compétences de gestion du praticien de l’insolvabilité sont importantes, surtout lorsqu’il s’agit de gérer des entreprises présentant un </w:t>
      </w:r>
      <w:r>
        <w:rPr>
          <w:rFonts w:ascii="Times New Roman" w:hAnsi="Times New Roman" w:cs="Times New Roman"/>
          <w:sz w:val="24"/>
          <w:szCs w:val="24"/>
        </w:rPr>
        <w:t>intérêt</w:t>
      </w:r>
      <w:r w:rsidRPr="00133F29">
        <w:rPr>
          <w:rFonts w:ascii="Times New Roman" w:hAnsi="Times New Roman" w:cs="Times New Roman"/>
          <w:sz w:val="24"/>
          <w:szCs w:val="24"/>
        </w:rPr>
        <w:t xml:space="preserve"> pour la sécurité nationale.</w:t>
      </w:r>
    </w:p>
    <w:p w:rsidR="00035770" w:rsidRPr="00A73E74" w:rsidRDefault="00035770" w:rsidP="00035770">
      <w:pPr>
        <w:jc w:val="both"/>
        <w:rPr>
          <w:rFonts w:ascii="Times New Roman" w:hAnsi="Times New Roman" w:cs="Times New Roman"/>
          <w:sz w:val="24"/>
          <w:szCs w:val="24"/>
        </w:rPr>
      </w:pPr>
      <w:r w:rsidRPr="00133F29">
        <w:rPr>
          <w:rFonts w:ascii="Times New Roman" w:hAnsi="Times New Roman" w:cs="Times New Roman"/>
          <w:sz w:val="24"/>
          <w:szCs w:val="24"/>
        </w:rPr>
        <w:t>D’après la loi roumaine applicable, la définition de l’insolvabilité désigne la situation où le débiteur ne dispose pas de fonds suffisants pour payer ses dettes certaines, liquides et exigibles.</w:t>
      </w:r>
    </w:p>
    <w:p w:rsidR="00035770" w:rsidRPr="00A73E74" w:rsidRDefault="00035770" w:rsidP="00035770">
      <w:pPr>
        <w:jc w:val="both"/>
        <w:rPr>
          <w:rFonts w:ascii="Times New Roman" w:hAnsi="Times New Roman" w:cs="Times New Roman"/>
          <w:sz w:val="24"/>
          <w:szCs w:val="24"/>
        </w:rPr>
      </w:pPr>
      <w:r w:rsidRPr="00133F29">
        <w:rPr>
          <w:rFonts w:ascii="Times New Roman" w:hAnsi="Times New Roman" w:cs="Times New Roman"/>
          <w:sz w:val="24"/>
          <w:szCs w:val="24"/>
        </w:rPr>
        <w:t xml:space="preserve">Le terme « insolvabilité stratégique » </w:t>
      </w:r>
      <w:r>
        <w:rPr>
          <w:rFonts w:ascii="Times New Roman" w:hAnsi="Times New Roman" w:cs="Times New Roman"/>
          <w:sz w:val="24"/>
          <w:szCs w:val="24"/>
        </w:rPr>
        <w:t>se rapporte à</w:t>
      </w:r>
      <w:r w:rsidRPr="00133F29">
        <w:rPr>
          <w:rFonts w:ascii="Times New Roman" w:hAnsi="Times New Roman" w:cs="Times New Roman"/>
          <w:sz w:val="24"/>
          <w:szCs w:val="24"/>
        </w:rPr>
        <w:t xml:space="preserve"> un débiteur qui appartient au système de sécurité nationale, mais dont la situation </w:t>
      </w:r>
      <w:r>
        <w:rPr>
          <w:rFonts w:ascii="Times New Roman" w:hAnsi="Times New Roman" w:cs="Times New Roman"/>
          <w:sz w:val="24"/>
          <w:szCs w:val="24"/>
        </w:rPr>
        <w:t xml:space="preserve">se caractérise </w:t>
      </w:r>
      <w:r w:rsidRPr="00133F29">
        <w:rPr>
          <w:rFonts w:ascii="Times New Roman" w:hAnsi="Times New Roman" w:cs="Times New Roman"/>
          <w:sz w:val="24"/>
          <w:szCs w:val="24"/>
        </w:rPr>
        <w:t>également par l’insuffisance de fonds disponibles pour payer ses dettes.</w:t>
      </w:r>
    </w:p>
    <w:p w:rsidR="00035770" w:rsidRPr="00A73E74" w:rsidRDefault="00035770" w:rsidP="00035770">
      <w:pPr>
        <w:jc w:val="both"/>
        <w:rPr>
          <w:rFonts w:ascii="Times New Roman" w:hAnsi="Times New Roman" w:cs="Times New Roman"/>
          <w:sz w:val="24"/>
          <w:szCs w:val="24"/>
        </w:rPr>
      </w:pPr>
      <w:r w:rsidRPr="00133F29">
        <w:rPr>
          <w:rFonts w:ascii="Times New Roman" w:hAnsi="Times New Roman" w:cs="Times New Roman"/>
          <w:sz w:val="24"/>
          <w:szCs w:val="24"/>
        </w:rPr>
        <w:t>Comme on peut le voir, la distinction entre une insolvabilité ordinaire et une insolvabilité stratégique dépend uniquement du statut du débiteur au sein du système de sécurité nationale.</w:t>
      </w:r>
    </w:p>
    <w:p w:rsidR="00035770" w:rsidRPr="00A73E74" w:rsidRDefault="00035770" w:rsidP="00035770">
      <w:pPr>
        <w:jc w:val="both"/>
        <w:rPr>
          <w:rFonts w:ascii="Times New Roman" w:hAnsi="Times New Roman" w:cs="Times New Roman"/>
          <w:sz w:val="24"/>
          <w:szCs w:val="24"/>
        </w:rPr>
      </w:pPr>
      <w:r w:rsidRPr="00133F29">
        <w:rPr>
          <w:rFonts w:ascii="Times New Roman" w:hAnsi="Times New Roman" w:cs="Times New Roman"/>
          <w:sz w:val="24"/>
          <w:szCs w:val="24"/>
        </w:rPr>
        <w:t>Les questions suivantes sont le point de départ de cette analyse</w:t>
      </w:r>
      <w:r>
        <w:rPr>
          <w:rFonts w:ascii="Times New Roman" w:hAnsi="Times New Roman" w:cs="Times New Roman"/>
          <w:sz w:val="24"/>
          <w:szCs w:val="24"/>
        </w:rPr>
        <w:t> :</w:t>
      </w:r>
    </w:p>
    <w:p w:rsidR="00035770" w:rsidRPr="00A73E74" w:rsidRDefault="00035770" w:rsidP="00035770">
      <w:pPr>
        <w:pStyle w:val="Paragraphedeliste"/>
        <w:numPr>
          <w:ilvl w:val="0"/>
          <w:numId w:val="41"/>
        </w:numPr>
        <w:suppressAutoHyphens w:val="0"/>
        <w:spacing w:after="160" w:line="259" w:lineRule="auto"/>
        <w:contextualSpacing/>
        <w:jc w:val="both"/>
        <w:rPr>
          <w:b/>
        </w:rPr>
      </w:pPr>
      <w:r w:rsidRPr="00133F29">
        <w:rPr>
          <w:b/>
        </w:rPr>
        <w:t>Comment identifier et analyser le statut du débiteur pour qu’il soit considéré comme suffisamment important pour le système de sécurité nationale ?</w:t>
      </w:r>
    </w:p>
    <w:p w:rsidR="00035770" w:rsidRPr="00A73E74" w:rsidRDefault="00035770" w:rsidP="00035770">
      <w:pPr>
        <w:pStyle w:val="Paragraphedeliste"/>
        <w:numPr>
          <w:ilvl w:val="0"/>
          <w:numId w:val="41"/>
        </w:numPr>
        <w:suppressAutoHyphens w:val="0"/>
        <w:spacing w:after="160" w:line="259" w:lineRule="auto"/>
        <w:contextualSpacing/>
        <w:jc w:val="both"/>
        <w:rPr>
          <w:b/>
        </w:rPr>
      </w:pPr>
      <w:r w:rsidRPr="00133F29">
        <w:rPr>
          <w:b/>
        </w:rPr>
        <w:t>Comment structurer la dimension de gestion de l’« insolvabilité stratégique » ?</w:t>
      </w:r>
    </w:p>
    <w:p w:rsidR="00035770" w:rsidRPr="00A73E74" w:rsidRDefault="00035770" w:rsidP="00035770">
      <w:pPr>
        <w:jc w:val="both"/>
        <w:rPr>
          <w:rFonts w:ascii="Times New Roman" w:hAnsi="Times New Roman" w:cs="Times New Roman"/>
          <w:sz w:val="24"/>
          <w:szCs w:val="24"/>
        </w:rPr>
      </w:pPr>
      <w:r w:rsidRPr="00133F29">
        <w:rPr>
          <w:rFonts w:ascii="Times New Roman" w:hAnsi="Times New Roman" w:cs="Times New Roman"/>
          <w:sz w:val="24"/>
          <w:szCs w:val="24"/>
        </w:rPr>
        <w:t>Pour ce qui est de la première question, la notion de « système de sécurité nationale » est très vague et, selon une analyse générale, elle englobe toute entité organisée liée directement ou indirectement à la sécurité nationale.</w:t>
      </w:r>
    </w:p>
    <w:p w:rsidR="00035770" w:rsidRDefault="00035770" w:rsidP="00035770">
      <w:pPr>
        <w:jc w:val="both"/>
        <w:rPr>
          <w:rFonts w:ascii="Times New Roman" w:hAnsi="Times New Roman" w:cs="Times New Roman"/>
          <w:sz w:val="24"/>
          <w:szCs w:val="24"/>
          <w:lang w:val="en-GB"/>
        </w:rPr>
      </w:pPr>
      <w:r w:rsidRPr="00133F29">
        <w:rPr>
          <w:rFonts w:ascii="Times New Roman" w:hAnsi="Times New Roman" w:cs="Times New Roman"/>
          <w:sz w:val="24"/>
          <w:szCs w:val="24"/>
        </w:rPr>
        <w:t xml:space="preserve">Des indicateurs pratiques et facilement repérables doivent être trouvés pour vérifier si une entité économique fait partie du système de sécurité nationale, ainsi que divers instruments permettant de </w:t>
      </w:r>
      <w:r w:rsidRPr="00133F29">
        <w:rPr>
          <w:rFonts w:ascii="Times New Roman" w:hAnsi="Times New Roman" w:cs="Times New Roman"/>
          <w:sz w:val="24"/>
          <w:szCs w:val="24"/>
        </w:rPr>
        <w:lastRenderedPageBreak/>
        <w:t>décider si oui ou non une entité économique (entreprise publique ou privée) fait partie de ce système.</w:t>
      </w:r>
      <w:r w:rsidRPr="00A73E74">
        <w:rPr>
          <w:rFonts w:ascii="Times New Roman" w:hAnsi="Times New Roman" w:cs="Times New Roman"/>
          <w:sz w:val="24"/>
          <w:szCs w:val="24"/>
        </w:rPr>
        <w:t xml:space="preserve"> </w:t>
      </w:r>
      <w:r w:rsidRPr="00133F29">
        <w:rPr>
          <w:rFonts w:ascii="Times New Roman" w:hAnsi="Times New Roman" w:cs="Times New Roman"/>
          <w:sz w:val="24"/>
          <w:szCs w:val="24"/>
        </w:rPr>
        <w:t>Les instruments à utiliser sont les suivants :</w:t>
      </w:r>
      <w:r w:rsidRPr="00133F29">
        <w:rPr>
          <w:rFonts w:ascii="Times New Roman" w:hAnsi="Times New Roman" w:cs="Times New Roman"/>
          <w:sz w:val="24"/>
          <w:szCs w:val="24"/>
          <w:lang w:val="en-GB"/>
        </w:rPr>
        <w:t xml:space="preserve"> </w:t>
      </w:r>
    </w:p>
    <w:p w:rsidR="00035770" w:rsidRPr="00133F29" w:rsidRDefault="00035770" w:rsidP="00035770">
      <w:pPr>
        <w:pStyle w:val="Paragraphedeliste"/>
        <w:numPr>
          <w:ilvl w:val="0"/>
          <w:numId w:val="40"/>
        </w:numPr>
        <w:suppressAutoHyphens w:val="0"/>
        <w:spacing w:after="160" w:line="259" w:lineRule="auto"/>
        <w:contextualSpacing/>
        <w:jc w:val="both"/>
        <w:rPr>
          <w:lang w:val="en-GB"/>
        </w:rPr>
      </w:pPr>
      <w:r w:rsidRPr="00133F29">
        <w:t>infrastructure fondamentale de l’État ;</w:t>
      </w:r>
    </w:p>
    <w:p w:rsidR="00035770" w:rsidRPr="00A73E74" w:rsidRDefault="00035770" w:rsidP="00035770">
      <w:pPr>
        <w:pStyle w:val="Paragraphedeliste"/>
        <w:numPr>
          <w:ilvl w:val="0"/>
          <w:numId w:val="40"/>
        </w:numPr>
        <w:suppressAutoHyphens w:val="0"/>
        <w:spacing w:after="160" w:line="259" w:lineRule="auto"/>
        <w:contextualSpacing/>
        <w:jc w:val="both"/>
      </w:pPr>
      <w:r w:rsidRPr="00133F29">
        <w:t>domaines stratégiques d’intérêt pour la sécurité nationale ; et</w:t>
      </w:r>
    </w:p>
    <w:p w:rsidR="00035770" w:rsidRPr="00A73E74" w:rsidRDefault="00035770" w:rsidP="00035770">
      <w:pPr>
        <w:pStyle w:val="Paragraphedeliste"/>
        <w:numPr>
          <w:ilvl w:val="0"/>
          <w:numId w:val="40"/>
        </w:numPr>
        <w:suppressAutoHyphens w:val="0"/>
        <w:spacing w:after="160" w:line="259" w:lineRule="auto"/>
        <w:contextualSpacing/>
        <w:jc w:val="both"/>
      </w:pPr>
      <w:r w:rsidRPr="00133F29">
        <w:t>risque / vulnérabilité pour la sécurité nationale découlant de l’insolvabilité de l’entreprise.</w:t>
      </w:r>
    </w:p>
    <w:p w:rsidR="00035770" w:rsidRPr="00A73E74" w:rsidRDefault="00035770" w:rsidP="00035770">
      <w:pPr>
        <w:jc w:val="both"/>
        <w:rPr>
          <w:rFonts w:ascii="Times New Roman" w:hAnsi="Times New Roman" w:cs="Times New Roman"/>
          <w:sz w:val="24"/>
          <w:szCs w:val="24"/>
        </w:rPr>
      </w:pPr>
      <w:r w:rsidRPr="00133F29">
        <w:rPr>
          <w:rFonts w:ascii="Times New Roman" w:hAnsi="Times New Roman" w:cs="Times New Roman"/>
          <w:sz w:val="24"/>
          <w:szCs w:val="24"/>
        </w:rPr>
        <w:t>De nos jours, en Roumanie, l’infrastructure fondamentale correspond à une liste des secteurs ICN</w:t>
      </w:r>
      <w:r w:rsidRPr="00133F29">
        <w:rPr>
          <w:rStyle w:val="Appelnotedebasdep"/>
          <w:sz w:val="24"/>
        </w:rPr>
        <w:footnoteReference w:id="32"/>
      </w:r>
      <w:r w:rsidRPr="00133F29">
        <w:rPr>
          <w:rFonts w:ascii="Times New Roman" w:hAnsi="Times New Roman" w:cs="Times New Roman"/>
          <w:sz w:val="24"/>
          <w:szCs w:val="24"/>
        </w:rPr>
        <w:t xml:space="preserve"> et des autorités compétentes, ce qui permet d’identifier facilement les entités débitrices qui relèvent de l’ICN.</w:t>
      </w:r>
      <w:r w:rsidRPr="00A73E74">
        <w:rPr>
          <w:rFonts w:ascii="Times New Roman" w:hAnsi="Times New Roman" w:cs="Times New Roman"/>
          <w:sz w:val="24"/>
          <w:szCs w:val="24"/>
        </w:rPr>
        <w:t xml:space="preserve"> </w:t>
      </w:r>
      <w:r w:rsidRPr="00133F29">
        <w:rPr>
          <w:rFonts w:ascii="Times New Roman" w:hAnsi="Times New Roman" w:cs="Times New Roman"/>
          <w:sz w:val="24"/>
          <w:szCs w:val="24"/>
        </w:rPr>
        <w:t>Cette liste comprend notamment les secteurs de l’énergie, des technologies de l’information et de la communication, l’approvisionnement en eau, l’alimentaire, la santé, la sécurité nationale, l’administration, les transports, l’industrie chimique et nucléaire, etc.</w:t>
      </w:r>
    </w:p>
    <w:p w:rsidR="00035770" w:rsidRPr="00A73E74" w:rsidRDefault="00035770" w:rsidP="00035770">
      <w:pPr>
        <w:jc w:val="both"/>
        <w:rPr>
          <w:rFonts w:ascii="Times New Roman" w:hAnsi="Times New Roman" w:cs="Times New Roman"/>
          <w:sz w:val="24"/>
          <w:szCs w:val="24"/>
        </w:rPr>
      </w:pPr>
      <w:r w:rsidRPr="00017F0B">
        <w:rPr>
          <w:rFonts w:ascii="Times New Roman" w:hAnsi="Times New Roman" w:cs="Times New Roman"/>
          <w:sz w:val="24"/>
          <w:szCs w:val="24"/>
        </w:rPr>
        <w:t>Pour ce qui est des domaines stratégiques présentant un intérêt pour la sécurité nationale, l’État a la possibilité, par le biais d’une décision gouvernementale, d’établir quelles sont les entités économiques qui entrent dans cette catégorie.</w:t>
      </w:r>
      <w:r w:rsidRPr="00A73E74">
        <w:rPr>
          <w:rFonts w:ascii="Times New Roman" w:hAnsi="Times New Roman" w:cs="Times New Roman"/>
          <w:sz w:val="24"/>
          <w:szCs w:val="24"/>
        </w:rPr>
        <w:t xml:space="preserve"> </w:t>
      </w:r>
      <w:r w:rsidRPr="00017F0B">
        <w:rPr>
          <w:rFonts w:ascii="Times New Roman" w:hAnsi="Times New Roman" w:cs="Times New Roman"/>
          <w:sz w:val="24"/>
          <w:szCs w:val="24"/>
        </w:rPr>
        <w:t>Les recherches effectuées ont également pris en considération les entreprises privées qui ont une grande importance pour le système de sécurité nationale, puisque toute discrimination entre les entreprises publiques et privées est préjudiciable à l’État.</w:t>
      </w:r>
    </w:p>
    <w:p w:rsidR="00035770" w:rsidRPr="00A73E74" w:rsidRDefault="00035770" w:rsidP="00035770">
      <w:pPr>
        <w:jc w:val="both"/>
        <w:rPr>
          <w:rFonts w:ascii="Times New Roman" w:hAnsi="Times New Roman" w:cs="Times New Roman"/>
          <w:sz w:val="24"/>
          <w:szCs w:val="24"/>
        </w:rPr>
      </w:pPr>
      <w:r w:rsidRPr="00017F0B">
        <w:rPr>
          <w:rFonts w:ascii="Times New Roman" w:hAnsi="Times New Roman" w:cs="Times New Roman"/>
          <w:sz w:val="24"/>
          <w:szCs w:val="24"/>
        </w:rPr>
        <w:t>Le dernier instrument, qui correspond au risque / vulnérabilité causé par une entreprise « stratégique » pour la sécurité nationale, permet d’analyser et de décider au niveau stratégique</w:t>
      </w:r>
      <w:r w:rsidRPr="00017F0B">
        <w:rPr>
          <w:rStyle w:val="Appelnotedebasdep"/>
          <w:sz w:val="24"/>
        </w:rPr>
        <w:footnoteReference w:id="33"/>
      </w:r>
      <w:r w:rsidRPr="00017F0B">
        <w:rPr>
          <w:rFonts w:ascii="Times New Roman" w:hAnsi="Times New Roman" w:cs="Times New Roman"/>
          <w:sz w:val="24"/>
          <w:szCs w:val="24"/>
        </w:rPr>
        <w:t xml:space="preserve"> quels peuvent être les effets de l’insolvabilité de ces entités en termes de sécurité nationale.</w:t>
      </w:r>
    </w:p>
    <w:p w:rsidR="00035770" w:rsidRPr="00A73E74" w:rsidRDefault="00035770" w:rsidP="00035770">
      <w:pPr>
        <w:jc w:val="both"/>
        <w:rPr>
          <w:rFonts w:ascii="Times New Roman" w:hAnsi="Times New Roman" w:cs="Times New Roman"/>
          <w:sz w:val="24"/>
          <w:szCs w:val="24"/>
        </w:rPr>
      </w:pPr>
      <w:r w:rsidRPr="00017F0B">
        <w:rPr>
          <w:rFonts w:ascii="Times New Roman" w:hAnsi="Times New Roman" w:cs="Times New Roman"/>
          <w:sz w:val="24"/>
          <w:szCs w:val="24"/>
        </w:rPr>
        <w:t>Grâce à cette analyse stratégique, l’État peut inclure dans le système de sécurité nationale les entités qui, du fait de leur liquidation, entraînent des risques et vulnérabilités importants pour la sécurité nationale.</w:t>
      </w:r>
      <w:r w:rsidRPr="00A73E74">
        <w:rPr>
          <w:rFonts w:ascii="Times New Roman" w:hAnsi="Times New Roman" w:cs="Times New Roman"/>
          <w:sz w:val="24"/>
          <w:szCs w:val="24"/>
        </w:rPr>
        <w:t xml:space="preserve"> </w:t>
      </w:r>
      <w:r w:rsidRPr="00017F0B">
        <w:rPr>
          <w:rFonts w:ascii="Times New Roman" w:hAnsi="Times New Roman" w:cs="Times New Roman"/>
          <w:sz w:val="24"/>
          <w:szCs w:val="24"/>
        </w:rPr>
        <w:t>Cette analyse stratégique porte également sur les moyens permettant à l’État d’assumer cette insolvabilité.</w:t>
      </w:r>
      <w:r w:rsidRPr="00A73E74">
        <w:rPr>
          <w:rFonts w:ascii="Times New Roman" w:hAnsi="Times New Roman" w:cs="Times New Roman"/>
          <w:sz w:val="24"/>
          <w:szCs w:val="24"/>
        </w:rPr>
        <w:t xml:space="preserve"> </w:t>
      </w:r>
      <w:r w:rsidRPr="00017F0B">
        <w:rPr>
          <w:rFonts w:ascii="Times New Roman" w:hAnsi="Times New Roman" w:cs="Times New Roman"/>
          <w:sz w:val="24"/>
          <w:szCs w:val="24"/>
        </w:rPr>
        <w:t xml:space="preserve">Cependant, il ne faut en aucun cas considérer le sauvetage d’entreprises par le biais d’une restructuration judiciaire </w:t>
      </w:r>
      <w:r>
        <w:rPr>
          <w:rFonts w:ascii="Times New Roman" w:hAnsi="Times New Roman" w:cs="Times New Roman"/>
          <w:sz w:val="24"/>
          <w:szCs w:val="24"/>
        </w:rPr>
        <w:t>comme</w:t>
      </w:r>
      <w:r w:rsidRPr="00017F0B">
        <w:rPr>
          <w:rFonts w:ascii="Times New Roman" w:hAnsi="Times New Roman" w:cs="Times New Roman"/>
          <w:sz w:val="24"/>
          <w:szCs w:val="24"/>
        </w:rPr>
        <w:t xml:space="preserve"> une aide de l’État.</w:t>
      </w:r>
      <w:r w:rsidRPr="00A73E74">
        <w:rPr>
          <w:rFonts w:ascii="Times New Roman" w:hAnsi="Times New Roman" w:cs="Times New Roman"/>
          <w:sz w:val="24"/>
          <w:szCs w:val="24"/>
        </w:rPr>
        <w:t xml:space="preserve"> </w:t>
      </w:r>
      <w:r w:rsidRPr="00017F0B">
        <w:rPr>
          <w:rFonts w:ascii="Times New Roman" w:hAnsi="Times New Roman" w:cs="Times New Roman"/>
          <w:sz w:val="24"/>
          <w:szCs w:val="24"/>
        </w:rPr>
        <w:t>Le succès de la restructuration dépend de la mise en œuvre d’une gestion efficace et des instruments de l’économie de marché prévus par la législation nationale et européenne.</w:t>
      </w:r>
    </w:p>
    <w:p w:rsidR="00035770" w:rsidRPr="00A73E74" w:rsidRDefault="00035770" w:rsidP="00035770">
      <w:pPr>
        <w:jc w:val="both"/>
        <w:rPr>
          <w:rFonts w:ascii="Times New Roman" w:hAnsi="Times New Roman" w:cs="Times New Roman"/>
          <w:sz w:val="24"/>
          <w:szCs w:val="24"/>
        </w:rPr>
      </w:pPr>
      <w:r w:rsidRPr="00017F0B">
        <w:rPr>
          <w:rFonts w:ascii="Times New Roman" w:hAnsi="Times New Roman" w:cs="Times New Roman"/>
          <w:sz w:val="24"/>
          <w:szCs w:val="24"/>
        </w:rPr>
        <w:t xml:space="preserve">Pour ce qui est de la seconde question, à savoir « comment structurer la dimension de gestion de l’‘insolvabilité stratégique’ », il faut établir un </w:t>
      </w:r>
      <w:r w:rsidRPr="00017F0B">
        <w:rPr>
          <w:rFonts w:ascii="Times New Roman" w:hAnsi="Times New Roman" w:cs="Times New Roman"/>
          <w:i/>
          <w:sz w:val="24"/>
          <w:szCs w:val="24"/>
        </w:rPr>
        <w:t xml:space="preserve">modèle de gestion </w:t>
      </w:r>
      <w:r w:rsidRPr="00017F0B">
        <w:rPr>
          <w:rFonts w:ascii="Times New Roman" w:hAnsi="Times New Roman" w:cs="Times New Roman"/>
          <w:sz w:val="24"/>
          <w:szCs w:val="24"/>
        </w:rPr>
        <w:t xml:space="preserve">capable d’apporter une vision cohérente de la mise en œuvre de mesures nécessaires au redressement du débiteur, et développer un style de gestion qui soit à la fois direct, proactif, visionnaire et assumé, mais également </w:t>
      </w:r>
      <w:r>
        <w:rPr>
          <w:rFonts w:ascii="Times New Roman" w:hAnsi="Times New Roman" w:cs="Times New Roman"/>
          <w:sz w:val="24"/>
          <w:szCs w:val="24"/>
        </w:rPr>
        <w:t>actif</w:t>
      </w:r>
      <w:r w:rsidRPr="00017F0B">
        <w:rPr>
          <w:rFonts w:ascii="Times New Roman" w:hAnsi="Times New Roman" w:cs="Times New Roman"/>
          <w:sz w:val="24"/>
          <w:szCs w:val="24"/>
        </w:rPr>
        <w:t xml:space="preserve"> à tous les niveaux de la société.</w:t>
      </w:r>
    </w:p>
    <w:p w:rsidR="00035770" w:rsidRPr="00A73E74" w:rsidRDefault="00035770" w:rsidP="00035770">
      <w:pPr>
        <w:jc w:val="both"/>
        <w:rPr>
          <w:rFonts w:ascii="Times New Roman" w:hAnsi="Times New Roman" w:cs="Times New Roman"/>
          <w:sz w:val="24"/>
          <w:szCs w:val="24"/>
        </w:rPr>
      </w:pPr>
      <w:r w:rsidRPr="00017F0B">
        <w:rPr>
          <w:rFonts w:ascii="Times New Roman" w:hAnsi="Times New Roman" w:cs="Times New Roman"/>
          <w:sz w:val="24"/>
          <w:szCs w:val="24"/>
        </w:rPr>
        <w:t xml:space="preserve">Ainsi, la </w:t>
      </w:r>
      <w:r w:rsidRPr="00017F0B">
        <w:rPr>
          <w:rFonts w:ascii="Times New Roman" w:hAnsi="Times New Roman" w:cs="Times New Roman"/>
          <w:i/>
          <w:sz w:val="24"/>
          <w:szCs w:val="24"/>
        </w:rPr>
        <w:t>gestion de l’insolvabilité stratégique</w:t>
      </w:r>
      <w:r w:rsidRPr="00017F0B">
        <w:rPr>
          <w:rFonts w:ascii="Times New Roman" w:hAnsi="Times New Roman" w:cs="Times New Roman"/>
          <w:sz w:val="24"/>
          <w:szCs w:val="24"/>
        </w:rPr>
        <w:t xml:space="preserve"> doit traiter la crise et les situations à risque en élaborant des instruments de gestion propres à cette branche, permettant au praticien de l’insolvabilité de mettre directement en œuvre les mesures qu’il estime nécessaires.</w:t>
      </w:r>
    </w:p>
    <w:p w:rsidR="00035770" w:rsidRPr="00A73E74" w:rsidRDefault="00035770" w:rsidP="00035770">
      <w:pPr>
        <w:jc w:val="both"/>
        <w:rPr>
          <w:rFonts w:ascii="Times New Roman" w:hAnsi="Times New Roman" w:cs="Times New Roman"/>
          <w:sz w:val="24"/>
          <w:szCs w:val="24"/>
        </w:rPr>
      </w:pPr>
      <w:r w:rsidRPr="00017F0B">
        <w:rPr>
          <w:rFonts w:ascii="Times New Roman" w:hAnsi="Times New Roman" w:cs="Times New Roman"/>
          <w:sz w:val="24"/>
          <w:szCs w:val="24"/>
        </w:rPr>
        <w:lastRenderedPageBreak/>
        <w:t xml:space="preserve">De ce point de vue, les </w:t>
      </w:r>
      <w:r w:rsidRPr="00017F0B">
        <w:rPr>
          <w:rFonts w:ascii="Times New Roman" w:hAnsi="Times New Roman" w:cs="Times New Roman"/>
          <w:i/>
          <w:sz w:val="24"/>
          <w:szCs w:val="24"/>
        </w:rPr>
        <w:t>concepts de risque et d’analyse des risques</w:t>
      </w:r>
      <w:r w:rsidRPr="00017F0B">
        <w:rPr>
          <w:rFonts w:ascii="Times New Roman" w:hAnsi="Times New Roman" w:cs="Times New Roman"/>
          <w:sz w:val="24"/>
          <w:szCs w:val="24"/>
        </w:rPr>
        <w:t xml:space="preserve"> prennent toute leur importance dans les démarches entreprises pour élaborer ce modèle de gestion, car ils sont la base non seulement de la gestion, mais également des propositions concernant les étapes du processus et la structure du plan de documentation de gestion des risques que propose la thèse de doctorat mentionnée ci-dessus (voir note de bas de page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NOTEREF _Ref511305307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r w:rsidRPr="00017F0B">
        <w:rPr>
          <w:rFonts w:ascii="Times New Roman" w:hAnsi="Times New Roman" w:cs="Times New Roman"/>
          <w:sz w:val="24"/>
          <w:szCs w:val="24"/>
        </w:rPr>
        <w:t>).</w:t>
      </w:r>
    </w:p>
    <w:p w:rsidR="00035770" w:rsidRPr="00A73E74" w:rsidRDefault="00035770" w:rsidP="00035770">
      <w:pPr>
        <w:jc w:val="both"/>
        <w:rPr>
          <w:rFonts w:ascii="Times New Roman" w:hAnsi="Times New Roman" w:cs="Times New Roman"/>
          <w:sz w:val="24"/>
          <w:szCs w:val="24"/>
        </w:rPr>
      </w:pPr>
      <w:r w:rsidRPr="00017F0B">
        <w:rPr>
          <w:rFonts w:ascii="Times New Roman" w:hAnsi="Times New Roman" w:cs="Times New Roman"/>
          <w:b/>
          <w:sz w:val="24"/>
          <w:szCs w:val="24"/>
        </w:rPr>
        <w:t>Conclusion</w:t>
      </w:r>
      <w:r w:rsidRPr="00A73E74">
        <w:rPr>
          <w:rFonts w:ascii="Times New Roman" w:hAnsi="Times New Roman" w:cs="Times New Roman"/>
          <w:sz w:val="24"/>
          <w:szCs w:val="24"/>
        </w:rPr>
        <w:t xml:space="preserve"> </w:t>
      </w:r>
    </w:p>
    <w:p w:rsidR="00035770" w:rsidRPr="00A73E74" w:rsidRDefault="00035770" w:rsidP="00035770">
      <w:pPr>
        <w:jc w:val="both"/>
        <w:rPr>
          <w:rFonts w:ascii="Times New Roman" w:hAnsi="Times New Roman" w:cs="Times New Roman"/>
          <w:sz w:val="24"/>
          <w:szCs w:val="24"/>
        </w:rPr>
      </w:pPr>
      <w:r w:rsidRPr="002C1D49">
        <w:rPr>
          <w:rFonts w:ascii="Times New Roman" w:hAnsi="Times New Roman" w:cs="Times New Roman"/>
          <w:sz w:val="24"/>
          <w:szCs w:val="24"/>
        </w:rPr>
        <w:t>En conclusion, la gestion de l’</w:t>
      </w:r>
      <w:r w:rsidRPr="00FF6BB6">
        <w:rPr>
          <w:rFonts w:ascii="Times New Roman" w:hAnsi="Times New Roman" w:cs="Times New Roman"/>
          <w:i/>
          <w:sz w:val="24"/>
          <w:szCs w:val="24"/>
        </w:rPr>
        <w:t>insolvabilité stratégique</w:t>
      </w:r>
      <w:r w:rsidRPr="002C1D49">
        <w:rPr>
          <w:rFonts w:ascii="Times New Roman" w:hAnsi="Times New Roman" w:cs="Times New Roman"/>
          <w:sz w:val="24"/>
          <w:szCs w:val="24"/>
        </w:rPr>
        <w:t xml:space="preserve"> peut </w:t>
      </w:r>
      <w:r>
        <w:rPr>
          <w:rFonts w:ascii="Times New Roman" w:hAnsi="Times New Roman" w:cs="Times New Roman"/>
          <w:sz w:val="24"/>
          <w:szCs w:val="24"/>
        </w:rPr>
        <w:t>aboutir</w:t>
      </w:r>
      <w:r w:rsidRPr="002C1D49">
        <w:rPr>
          <w:rFonts w:ascii="Times New Roman" w:hAnsi="Times New Roman" w:cs="Times New Roman"/>
          <w:sz w:val="24"/>
          <w:szCs w:val="24"/>
        </w:rPr>
        <w:t xml:space="preserve"> à la fois </w:t>
      </w:r>
      <w:r>
        <w:rPr>
          <w:rFonts w:ascii="Times New Roman" w:hAnsi="Times New Roman" w:cs="Times New Roman"/>
          <w:sz w:val="24"/>
          <w:szCs w:val="24"/>
        </w:rPr>
        <w:t>au</w:t>
      </w:r>
      <w:r w:rsidRPr="002C1D49">
        <w:rPr>
          <w:rFonts w:ascii="Times New Roman" w:hAnsi="Times New Roman" w:cs="Times New Roman"/>
          <w:sz w:val="24"/>
          <w:szCs w:val="24"/>
        </w:rPr>
        <w:t xml:space="preserve"> développement des compétences du praticien de l’insolvabilité et, bien entendu, </w:t>
      </w:r>
      <w:r>
        <w:rPr>
          <w:rFonts w:ascii="Times New Roman" w:hAnsi="Times New Roman" w:cs="Times New Roman"/>
          <w:sz w:val="24"/>
          <w:szCs w:val="24"/>
        </w:rPr>
        <w:t>au</w:t>
      </w:r>
      <w:r w:rsidRPr="002C1D49">
        <w:rPr>
          <w:rFonts w:ascii="Times New Roman" w:hAnsi="Times New Roman" w:cs="Times New Roman"/>
          <w:sz w:val="24"/>
          <w:szCs w:val="24"/>
        </w:rPr>
        <w:t xml:space="preserve"> redressement de l’entreprise débitrice par le biais d’une réorganisation, et </w:t>
      </w:r>
      <w:r>
        <w:rPr>
          <w:rFonts w:ascii="Times New Roman" w:hAnsi="Times New Roman" w:cs="Times New Roman"/>
          <w:sz w:val="24"/>
          <w:szCs w:val="24"/>
        </w:rPr>
        <w:t xml:space="preserve">à </w:t>
      </w:r>
      <w:r w:rsidRPr="002C1D49">
        <w:rPr>
          <w:rFonts w:ascii="Times New Roman" w:hAnsi="Times New Roman" w:cs="Times New Roman"/>
          <w:sz w:val="24"/>
          <w:szCs w:val="24"/>
        </w:rPr>
        <w:t>sa réintégration dans le circuit économique, dans le cadre du système de sécurité nationale.</w:t>
      </w:r>
    </w:p>
    <w:p w:rsidR="00035770" w:rsidRPr="00A73E74" w:rsidRDefault="00035770" w:rsidP="00035770">
      <w:pPr>
        <w:jc w:val="both"/>
        <w:rPr>
          <w:rFonts w:ascii="Times New Roman" w:hAnsi="Times New Roman" w:cs="Times New Roman"/>
          <w:sz w:val="24"/>
          <w:szCs w:val="24"/>
        </w:rPr>
      </w:pPr>
      <w:r w:rsidRPr="002C1D49">
        <w:rPr>
          <w:rFonts w:ascii="Times New Roman" w:hAnsi="Times New Roman" w:cs="Times New Roman"/>
          <w:sz w:val="24"/>
          <w:szCs w:val="24"/>
        </w:rPr>
        <w:t>Le concept d’« insolvabilité stratégique » suscitera certainement d’autres débats et prises de position de spécialistes en la matière</w:t>
      </w:r>
      <w:r w:rsidRPr="002C1D49">
        <w:rPr>
          <w:rStyle w:val="Appelnotedebasdep"/>
          <w:sz w:val="24"/>
        </w:rPr>
        <w:footnoteReference w:id="34"/>
      </w:r>
      <w:r w:rsidRPr="002C1D49">
        <w:rPr>
          <w:rFonts w:ascii="Times New Roman" w:hAnsi="Times New Roman" w:cs="Times New Roman"/>
          <w:sz w:val="24"/>
          <w:szCs w:val="24"/>
        </w:rPr>
        <w:t>.</w:t>
      </w:r>
      <w:r w:rsidRPr="00A73E74">
        <w:rPr>
          <w:rFonts w:ascii="Times New Roman" w:hAnsi="Times New Roman" w:cs="Times New Roman"/>
          <w:sz w:val="24"/>
          <w:szCs w:val="24"/>
        </w:rPr>
        <w:t xml:space="preserve"> </w:t>
      </w:r>
      <w:r w:rsidRPr="002C1D49">
        <w:rPr>
          <w:rFonts w:ascii="Times New Roman" w:hAnsi="Times New Roman" w:cs="Times New Roman"/>
          <w:sz w:val="24"/>
          <w:szCs w:val="24"/>
        </w:rPr>
        <w:t>Même si, en ce moment, les praticiens de l’insolvabilité ont des difficultés à comprendre la gestion de l’insolvabilité comme une question de sécurité, les nouvelles réalités géo-économiques, auxquelles s’ajoute le souhait des États de garantir la sécurité économique, aboutiront sûrement à l’acceptation de ce concept comme étant une solution viable pour les secteurs économiques qui ont des répercussions directes sur la sécurité nationale.</w:t>
      </w:r>
    </w:p>
    <w:p w:rsidR="00035770" w:rsidRPr="00A73E74" w:rsidRDefault="00035770" w:rsidP="00035770">
      <w:pPr>
        <w:jc w:val="both"/>
        <w:rPr>
          <w:rFonts w:ascii="Times New Roman" w:hAnsi="Times New Roman" w:cs="Times New Roman"/>
          <w:sz w:val="24"/>
          <w:szCs w:val="24"/>
        </w:rPr>
      </w:pPr>
      <w:r w:rsidRPr="002C1D49">
        <w:rPr>
          <w:rFonts w:ascii="Times New Roman" w:hAnsi="Times New Roman" w:cs="Times New Roman"/>
          <w:sz w:val="24"/>
          <w:szCs w:val="24"/>
        </w:rPr>
        <w:t xml:space="preserve">À titre d’exemple, le succès de la réorganisation de </w:t>
      </w:r>
      <w:r w:rsidRPr="002C1D49">
        <w:rPr>
          <w:rFonts w:ascii="Times New Roman" w:hAnsi="Times New Roman" w:cs="Times New Roman"/>
          <w:i/>
          <w:sz w:val="24"/>
          <w:szCs w:val="24"/>
        </w:rPr>
        <w:t>Hidroelectrica</w:t>
      </w:r>
      <w:r w:rsidRPr="002C1D49">
        <w:rPr>
          <w:rStyle w:val="Appelnotedebasdep"/>
          <w:i/>
          <w:sz w:val="24"/>
        </w:rPr>
        <w:footnoteReference w:id="35"/>
      </w:r>
      <w:r w:rsidRPr="002C1D49">
        <w:rPr>
          <w:rFonts w:ascii="Times New Roman" w:hAnsi="Times New Roman" w:cs="Times New Roman"/>
          <w:sz w:val="24"/>
          <w:szCs w:val="24"/>
        </w:rPr>
        <w:t xml:space="preserve"> est principalement dû au fait que l’administrateur judiciaire a pu gérer directement tous les niveaux de l’entreprise, et à</w:t>
      </w:r>
      <w:r>
        <w:rPr>
          <w:rFonts w:ascii="Times New Roman" w:hAnsi="Times New Roman" w:cs="Times New Roman"/>
          <w:sz w:val="24"/>
          <w:szCs w:val="24"/>
        </w:rPr>
        <w:t xml:space="preserve"> un </w:t>
      </w:r>
      <w:r w:rsidRPr="002C1D49">
        <w:rPr>
          <w:rFonts w:ascii="Times New Roman" w:hAnsi="Times New Roman" w:cs="Times New Roman"/>
          <w:sz w:val="24"/>
          <w:szCs w:val="24"/>
        </w:rPr>
        <w:t>changement d’attitude et de mentalité</w:t>
      </w:r>
      <w:r>
        <w:rPr>
          <w:rFonts w:ascii="Times New Roman" w:hAnsi="Times New Roman" w:cs="Times New Roman"/>
          <w:sz w:val="24"/>
          <w:szCs w:val="24"/>
        </w:rPr>
        <w:t xml:space="preserve"> dans l’entreprise</w:t>
      </w:r>
      <w:r w:rsidRPr="002C1D49">
        <w:rPr>
          <w:rFonts w:ascii="Times New Roman" w:hAnsi="Times New Roman" w:cs="Times New Roman"/>
          <w:sz w:val="24"/>
          <w:szCs w:val="24"/>
        </w:rPr>
        <w:t xml:space="preserve">, non seulement </w:t>
      </w:r>
      <w:r>
        <w:rPr>
          <w:rFonts w:ascii="Times New Roman" w:hAnsi="Times New Roman" w:cs="Times New Roman"/>
          <w:sz w:val="24"/>
          <w:szCs w:val="24"/>
        </w:rPr>
        <w:t xml:space="preserve">de la part </w:t>
      </w:r>
      <w:r w:rsidRPr="002C1D49">
        <w:rPr>
          <w:rFonts w:ascii="Times New Roman" w:hAnsi="Times New Roman" w:cs="Times New Roman"/>
          <w:sz w:val="24"/>
          <w:szCs w:val="24"/>
        </w:rPr>
        <w:t>des hauts dirigeants, mais aussi de ceux situés à des niveaux intermédiaires.</w:t>
      </w:r>
    </w:p>
    <w:p w:rsidR="00035770" w:rsidRPr="00A73E74" w:rsidRDefault="00035770" w:rsidP="00035770">
      <w:pPr>
        <w:jc w:val="both"/>
        <w:rPr>
          <w:rFonts w:ascii="Times New Roman" w:hAnsi="Times New Roman" w:cs="Times New Roman"/>
          <w:sz w:val="24"/>
          <w:szCs w:val="24"/>
        </w:rPr>
      </w:pPr>
      <w:r w:rsidRPr="002C1D49">
        <w:rPr>
          <w:rFonts w:ascii="Times New Roman" w:hAnsi="Times New Roman" w:cs="Times New Roman"/>
          <w:sz w:val="24"/>
          <w:szCs w:val="24"/>
        </w:rPr>
        <w:t>En conclusion, la « sauvegarde des entreprises d’intérêt stratégique » contre l’insolvabilité ne doit pas être comprise ni associée à l’idée d’« aide de l’État », car l’État ne fait que reconnaître l’importance de ces entreprises en termes de sécurité nationale et démontre la flexibilité assumée dans la mise en œuvre des mesures économiques nécessaires au retour de l’entreprise débitrice dans le circuit économique.</w:t>
      </w:r>
      <w:r w:rsidRPr="00A73E74">
        <w:rPr>
          <w:rFonts w:ascii="Times New Roman" w:hAnsi="Times New Roman" w:cs="Times New Roman"/>
          <w:sz w:val="24"/>
          <w:szCs w:val="24"/>
        </w:rPr>
        <w:t xml:space="preserve"> </w:t>
      </w:r>
    </w:p>
    <w:p w:rsidR="00035770" w:rsidRPr="009A1930" w:rsidRDefault="00035770" w:rsidP="00035770">
      <w:pPr>
        <w:jc w:val="both"/>
        <w:rPr>
          <w:rFonts w:ascii="Arial Narrow" w:hAnsi="Arial Narrow" w:cs="Times New Roman"/>
          <w:i/>
          <w:sz w:val="24"/>
          <w:szCs w:val="24"/>
        </w:rPr>
      </w:pPr>
      <w:r>
        <w:rPr>
          <w:rFonts w:ascii="Arial Narrow" w:hAnsi="Arial Narrow" w:cs="Times New Roman"/>
          <w:i/>
          <w:sz w:val="24"/>
          <w:szCs w:val="24"/>
        </w:rPr>
        <w:t xml:space="preserve">                                                           </w:t>
      </w:r>
      <w:r w:rsidRPr="002C1D49">
        <w:rPr>
          <w:rFonts w:ascii="Arial Narrow" w:hAnsi="Arial Narrow" w:cs="Times New Roman"/>
          <w:i/>
          <w:sz w:val="24"/>
          <w:szCs w:val="24"/>
        </w:rPr>
        <w:t>*Nicoleta Munteanu, Praticienne coordinatrice, Euro Insol SPRL</w:t>
      </w:r>
    </w:p>
    <w:p w:rsidR="003B5B5D" w:rsidRPr="009A1930" w:rsidRDefault="00035770" w:rsidP="00035770">
      <w:pPr>
        <w:suppressAutoHyphens/>
        <w:spacing w:after="0" w:line="240" w:lineRule="auto"/>
        <w:jc w:val="center"/>
        <w:rPr>
          <w:rFonts w:ascii="Times New Roman" w:eastAsia="Times New Roman" w:hAnsi="Times New Roman" w:cs="Times New Roman"/>
          <w:sz w:val="24"/>
          <w:szCs w:val="24"/>
          <w:lang w:eastAsia="ar-SA"/>
        </w:rPr>
      </w:pPr>
      <w:r w:rsidRPr="009A1930">
        <w:rPr>
          <w:rFonts w:ascii="Times New Roman" w:eastAsia="Times New Roman" w:hAnsi="Times New Roman" w:cs="Times New Roman"/>
          <w:sz w:val="24"/>
          <w:szCs w:val="24"/>
          <w:lang w:eastAsia="ar-SA"/>
        </w:rPr>
        <w:t>x  x  x</w:t>
      </w:r>
    </w:p>
    <w:p w:rsidR="00035770" w:rsidRPr="009A1930" w:rsidRDefault="00035770" w:rsidP="00035770">
      <w:pPr>
        <w:suppressAutoHyphens/>
        <w:spacing w:after="0" w:line="240" w:lineRule="auto"/>
        <w:jc w:val="center"/>
        <w:rPr>
          <w:rFonts w:ascii="Arial Narrow" w:eastAsia="Times New Roman" w:hAnsi="Arial Narrow" w:cs="Times New Roman"/>
          <w:b/>
          <w:sz w:val="32"/>
          <w:szCs w:val="32"/>
          <w:lang w:eastAsia="ar-SA"/>
        </w:rPr>
      </w:pPr>
      <w:r w:rsidRPr="009A1930">
        <w:rPr>
          <w:rFonts w:ascii="Times New Roman" w:eastAsia="Times New Roman" w:hAnsi="Times New Roman" w:cs="Times New Roman"/>
          <w:sz w:val="24"/>
          <w:szCs w:val="24"/>
          <w:lang w:eastAsia="ar-SA"/>
        </w:rPr>
        <w:t>x</w:t>
      </w:r>
    </w:p>
    <w:p w:rsidR="003B5B5D" w:rsidRPr="009A1930" w:rsidRDefault="003B5B5D" w:rsidP="003B5B5D">
      <w:pPr>
        <w:suppressAutoHyphens/>
        <w:spacing w:after="0" w:line="240" w:lineRule="auto"/>
        <w:jc w:val="both"/>
        <w:rPr>
          <w:rFonts w:ascii="Arial Narrow" w:eastAsia="Times New Roman" w:hAnsi="Arial Narrow" w:cs="Times New Roman"/>
          <w:b/>
          <w:sz w:val="32"/>
          <w:szCs w:val="32"/>
          <w:lang w:eastAsia="ar-SA"/>
        </w:rPr>
      </w:pPr>
    </w:p>
    <w:p w:rsidR="003B5B5D" w:rsidRPr="009A1930" w:rsidRDefault="003B5B5D" w:rsidP="003B5B5D">
      <w:pPr>
        <w:suppressAutoHyphens/>
        <w:spacing w:after="0" w:line="240" w:lineRule="auto"/>
        <w:jc w:val="both"/>
        <w:rPr>
          <w:rFonts w:ascii="Arial Narrow" w:eastAsia="Times New Roman" w:hAnsi="Arial Narrow" w:cs="Times New Roman"/>
          <w:b/>
          <w:sz w:val="32"/>
          <w:szCs w:val="32"/>
          <w:lang w:eastAsia="ar-SA"/>
        </w:rPr>
      </w:pPr>
    </w:p>
    <w:p w:rsidR="00035770" w:rsidRPr="009A1930" w:rsidRDefault="00035770" w:rsidP="003B5B5D">
      <w:pPr>
        <w:suppressAutoHyphens/>
        <w:spacing w:after="0" w:line="240" w:lineRule="auto"/>
        <w:jc w:val="both"/>
        <w:rPr>
          <w:rFonts w:ascii="Arial Narrow" w:eastAsia="Times New Roman" w:hAnsi="Arial Narrow" w:cs="Times New Roman"/>
          <w:b/>
          <w:sz w:val="32"/>
          <w:szCs w:val="32"/>
          <w:lang w:eastAsia="ar-SA"/>
        </w:rPr>
      </w:pPr>
    </w:p>
    <w:p w:rsidR="00035770" w:rsidRPr="009A1930" w:rsidRDefault="00035770" w:rsidP="003B5B5D">
      <w:pPr>
        <w:suppressAutoHyphens/>
        <w:spacing w:after="0" w:line="240" w:lineRule="auto"/>
        <w:jc w:val="both"/>
        <w:rPr>
          <w:rFonts w:ascii="Arial Narrow" w:eastAsia="Times New Roman" w:hAnsi="Arial Narrow" w:cs="Times New Roman"/>
          <w:b/>
          <w:sz w:val="32"/>
          <w:szCs w:val="32"/>
          <w:lang w:eastAsia="ar-SA"/>
        </w:rPr>
      </w:pPr>
    </w:p>
    <w:p w:rsidR="00035770" w:rsidRPr="009A1930" w:rsidRDefault="00035770" w:rsidP="003B5B5D">
      <w:pPr>
        <w:suppressAutoHyphens/>
        <w:spacing w:after="0" w:line="240" w:lineRule="auto"/>
        <w:jc w:val="both"/>
        <w:rPr>
          <w:rFonts w:ascii="Arial Narrow" w:eastAsia="Times New Roman" w:hAnsi="Arial Narrow" w:cs="Times New Roman"/>
          <w:b/>
          <w:sz w:val="32"/>
          <w:szCs w:val="32"/>
          <w:lang w:eastAsia="ar-SA"/>
        </w:rPr>
      </w:pPr>
    </w:p>
    <w:p w:rsidR="005759EE" w:rsidRPr="0077507B" w:rsidRDefault="005759EE" w:rsidP="005759E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32"/>
          <w:lang w:eastAsia="fr-FR"/>
        </w:rPr>
      </w:pPr>
      <w:r w:rsidRPr="0077507B">
        <w:rPr>
          <w:rFonts w:ascii="Times New Roman" w:eastAsia="Times New Roman" w:hAnsi="Times New Roman" w:cs="Times New Roman"/>
          <w:b/>
          <w:sz w:val="24"/>
          <w:szCs w:val="32"/>
          <w:lang w:eastAsia="fr-FR"/>
        </w:rPr>
        <w:lastRenderedPageBreak/>
        <w:t xml:space="preserve">Le prix « Richard Turton » </w:t>
      </w:r>
    </w:p>
    <w:p w:rsidR="005759EE" w:rsidRPr="0077507B" w:rsidRDefault="005759EE" w:rsidP="005759E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0"/>
          <w:lang w:eastAsia="fr-FR"/>
        </w:rPr>
      </w:pPr>
      <w:r w:rsidRPr="0077507B">
        <w:rPr>
          <w:rFonts w:ascii="Times New Roman" w:eastAsia="Times New Roman" w:hAnsi="Times New Roman" w:cs="Times New Roman"/>
          <w:b/>
          <w:bCs/>
          <w:sz w:val="24"/>
          <w:szCs w:val="20"/>
          <w:lang w:eastAsia="fr-FR"/>
        </w:rPr>
        <w:t>Parrainé par INSOL Europe, INSOL International, The Insolvency Practitioners Association et R3</w:t>
      </w:r>
    </w:p>
    <w:p w:rsidR="005759EE" w:rsidRPr="0077507B" w:rsidRDefault="005759EE" w:rsidP="005759E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0"/>
          <w:lang w:eastAsia="fr-FR"/>
        </w:rPr>
      </w:pPr>
    </w:p>
    <w:p w:rsidR="005759EE" w:rsidRPr="0077507B" w:rsidRDefault="005759EE" w:rsidP="005759EE">
      <w:pPr>
        <w:pBdr>
          <w:top w:val="single" w:sz="4" w:space="1" w:color="auto"/>
          <w:left w:val="single" w:sz="4" w:space="4" w:color="auto"/>
          <w:bottom w:val="single" w:sz="4" w:space="1" w:color="auto"/>
          <w:right w:val="single" w:sz="4" w:space="4" w:color="auto"/>
        </w:pBdr>
        <w:spacing w:after="0" w:line="100" w:lineRule="atLeast"/>
        <w:ind w:firstLine="708"/>
        <w:jc w:val="both"/>
        <w:rPr>
          <w:rFonts w:ascii="Times New Roman" w:eastAsia="Courier 10cpi" w:hAnsi="Times New Roman" w:cs="Courier 10cpi"/>
          <w:color w:val="010101"/>
          <w:sz w:val="24"/>
          <w:szCs w:val="20"/>
          <w:lang w:eastAsia="fr-FR"/>
        </w:rPr>
      </w:pPr>
      <w:r w:rsidRPr="0077507B">
        <w:rPr>
          <w:rFonts w:ascii="Times New Roman" w:eastAsia="Courier 10cpi" w:hAnsi="Times New Roman" w:cs="Courier 10cpi"/>
          <w:color w:val="010101"/>
          <w:sz w:val="24"/>
          <w:szCs w:val="20"/>
          <w:lang w:eastAsia="fr-FR"/>
        </w:rPr>
        <w:t>Richard Turton a joué un rôle exceptionnel dans la création et la direction d'Insol Europe, Insol International, l'</w:t>
      </w:r>
      <w:r w:rsidRPr="0077507B">
        <w:rPr>
          <w:rFonts w:ascii="Times New Roman" w:eastAsia="Courier 10cpi" w:hAnsi="Times New Roman" w:cs="Courier 10cpi"/>
          <w:i/>
          <w:iCs/>
          <w:color w:val="010101"/>
          <w:sz w:val="24"/>
          <w:szCs w:val="20"/>
          <w:lang w:eastAsia="fr-FR"/>
        </w:rPr>
        <w:t>Insolvency Practitioners Association</w:t>
      </w:r>
      <w:r w:rsidRPr="0077507B">
        <w:rPr>
          <w:rFonts w:ascii="Times New Roman" w:eastAsia="Courier 10cpi" w:hAnsi="Times New Roman" w:cs="Courier 10cpi"/>
          <w:color w:val="010101"/>
          <w:sz w:val="24"/>
          <w:szCs w:val="20"/>
          <w:lang w:eastAsia="fr-FR"/>
        </w:rPr>
        <w:t>, et R3, l'association des professionnels du redressement d'entreprises au Royaume-Uni. Ces quatre organisations, en reconnaissance de ses réalisations, ont conjointement créé un prix à sa mémoire. Le Prix Richard Turton sera attribué annuellement à un participant remplissant les conditions requises, lui permettant de compléter sa formation en participant à la conférence annuelle d'Insol Europe.</w:t>
      </w:r>
    </w:p>
    <w:p w:rsidR="005759EE" w:rsidRPr="0077507B" w:rsidRDefault="005759EE" w:rsidP="005759EE">
      <w:pPr>
        <w:pBdr>
          <w:top w:val="single" w:sz="4" w:space="1" w:color="auto"/>
          <w:left w:val="single" w:sz="4" w:space="4" w:color="auto"/>
          <w:bottom w:val="single" w:sz="4" w:space="1" w:color="auto"/>
          <w:right w:val="single" w:sz="4" w:space="4" w:color="auto"/>
        </w:pBdr>
        <w:spacing w:after="0" w:line="100" w:lineRule="atLeast"/>
        <w:ind w:firstLine="708"/>
        <w:jc w:val="both"/>
        <w:rPr>
          <w:rFonts w:ascii="Times New Roman" w:eastAsia="Courier 10cpi" w:hAnsi="Times New Roman" w:cs="Courier 10cpi"/>
          <w:color w:val="010101"/>
          <w:sz w:val="24"/>
          <w:szCs w:val="20"/>
          <w:lang w:eastAsia="fr-FR"/>
        </w:rPr>
      </w:pPr>
      <w:r w:rsidRPr="0077507B">
        <w:rPr>
          <w:rFonts w:ascii="Times New Roman" w:eastAsia="Courier 10cpi" w:hAnsi="Times New Roman" w:cs="Courier 10cpi"/>
          <w:color w:val="010101"/>
          <w:sz w:val="24"/>
          <w:szCs w:val="20"/>
          <w:lang w:eastAsia="fr-FR"/>
        </w:rPr>
        <w:t>En reconnaissance des aspects qui présentaient un intérêt particulier pour Richard, le prix est ouvert aux candidats remplissant les conditions suivantes :</w:t>
      </w:r>
    </w:p>
    <w:p w:rsidR="005759EE" w:rsidRPr="0077507B" w:rsidRDefault="005759EE" w:rsidP="005759EE">
      <w:pPr>
        <w:pBdr>
          <w:top w:val="single" w:sz="4" w:space="1" w:color="auto"/>
          <w:left w:val="single" w:sz="4" w:space="4" w:color="auto"/>
          <w:bottom w:val="single" w:sz="4" w:space="1" w:color="auto"/>
          <w:right w:val="single" w:sz="4" w:space="4" w:color="auto"/>
        </w:pBdr>
        <w:spacing w:after="0" w:line="100" w:lineRule="atLeast"/>
        <w:jc w:val="both"/>
        <w:rPr>
          <w:rFonts w:ascii="Times New Roman" w:eastAsia="Courier 10cpi" w:hAnsi="Times New Roman" w:cs="Courier 10cpi"/>
          <w:color w:val="010101"/>
          <w:sz w:val="24"/>
          <w:szCs w:val="20"/>
          <w:lang w:eastAsia="fr-FR"/>
        </w:rPr>
      </w:pPr>
      <w:r w:rsidRPr="0077507B">
        <w:rPr>
          <w:rFonts w:ascii="Times New Roman" w:eastAsia="Courier 10cpi" w:hAnsi="Times New Roman" w:cs="Courier 10cpi"/>
          <w:color w:val="010101"/>
          <w:sz w:val="24"/>
          <w:szCs w:val="20"/>
          <w:lang w:eastAsia="fr-FR"/>
        </w:rPr>
        <w:t>- travailler dans un pays en développement ou émergent, et en avoir la nationalité;</w:t>
      </w:r>
    </w:p>
    <w:p w:rsidR="005759EE" w:rsidRPr="0077507B" w:rsidRDefault="005759EE" w:rsidP="005759EE">
      <w:pPr>
        <w:pBdr>
          <w:top w:val="single" w:sz="4" w:space="1" w:color="auto"/>
          <w:left w:val="single" w:sz="4" w:space="4" w:color="auto"/>
          <w:bottom w:val="single" w:sz="4" w:space="1" w:color="auto"/>
          <w:right w:val="single" w:sz="4" w:space="4" w:color="auto"/>
        </w:pBdr>
        <w:spacing w:after="0" w:line="100" w:lineRule="atLeast"/>
        <w:jc w:val="both"/>
        <w:rPr>
          <w:rFonts w:ascii="Times New Roman" w:eastAsia="Courier 10cpi" w:hAnsi="Times New Roman" w:cs="Courier 10cpi"/>
          <w:color w:val="010101"/>
          <w:sz w:val="24"/>
          <w:szCs w:val="20"/>
          <w:lang w:eastAsia="fr-FR"/>
        </w:rPr>
      </w:pPr>
      <w:r w:rsidRPr="0077507B">
        <w:rPr>
          <w:rFonts w:ascii="Times New Roman" w:eastAsia="Courier 10cpi" w:hAnsi="Times New Roman" w:cs="Courier 10cpi"/>
          <w:color w:val="010101"/>
          <w:sz w:val="24"/>
          <w:szCs w:val="20"/>
          <w:lang w:eastAsia="fr-FR"/>
        </w:rPr>
        <w:t>- travailler dans le droit ou la pratique de l'insolvabilité, ou les étudier activement;</w:t>
      </w:r>
    </w:p>
    <w:p w:rsidR="005759EE" w:rsidRPr="0077507B" w:rsidRDefault="005759EE" w:rsidP="005759EE">
      <w:pPr>
        <w:pBdr>
          <w:top w:val="single" w:sz="4" w:space="1" w:color="auto"/>
          <w:left w:val="single" w:sz="4" w:space="4" w:color="auto"/>
          <w:bottom w:val="single" w:sz="4" w:space="1" w:color="auto"/>
          <w:right w:val="single" w:sz="4" w:space="4" w:color="auto"/>
        </w:pBdr>
        <w:spacing w:after="0" w:line="100" w:lineRule="atLeast"/>
        <w:jc w:val="both"/>
        <w:rPr>
          <w:rFonts w:ascii="Times New Roman" w:eastAsia="Courier 10cpi" w:hAnsi="Times New Roman" w:cs="Courier 10cpi"/>
          <w:color w:val="010101"/>
          <w:sz w:val="24"/>
          <w:szCs w:val="20"/>
          <w:lang w:eastAsia="fr-FR"/>
        </w:rPr>
      </w:pPr>
      <w:r w:rsidRPr="0077507B">
        <w:rPr>
          <w:rFonts w:ascii="Times New Roman" w:eastAsia="Courier 10cpi" w:hAnsi="Times New Roman" w:cs="Courier 10cpi"/>
          <w:color w:val="010101"/>
          <w:sz w:val="24"/>
          <w:szCs w:val="20"/>
          <w:lang w:eastAsia="fr-FR"/>
        </w:rPr>
        <w:t>- être âgé de moins de 35 ans à la date de la candidature;</w:t>
      </w:r>
    </w:p>
    <w:p w:rsidR="005759EE" w:rsidRPr="0077507B" w:rsidRDefault="005759EE" w:rsidP="005759EE">
      <w:pPr>
        <w:pBdr>
          <w:top w:val="single" w:sz="4" w:space="1" w:color="auto"/>
          <w:left w:val="single" w:sz="4" w:space="4" w:color="auto"/>
          <w:bottom w:val="single" w:sz="4" w:space="1" w:color="auto"/>
          <w:right w:val="single" w:sz="4" w:space="4" w:color="auto"/>
        </w:pBdr>
        <w:spacing w:after="0" w:line="100" w:lineRule="atLeast"/>
        <w:jc w:val="both"/>
        <w:rPr>
          <w:rFonts w:ascii="Times New Roman" w:eastAsia="Courier 10cpi" w:hAnsi="Times New Roman" w:cs="Courier 10cpi"/>
          <w:color w:val="010101"/>
          <w:sz w:val="24"/>
          <w:szCs w:val="20"/>
          <w:lang w:eastAsia="fr-FR"/>
        </w:rPr>
      </w:pPr>
      <w:r w:rsidRPr="0077507B">
        <w:rPr>
          <w:rFonts w:ascii="Times New Roman" w:eastAsia="Courier 10cpi" w:hAnsi="Times New Roman" w:cs="Courier 10cpi"/>
          <w:color w:val="010101"/>
          <w:sz w:val="24"/>
          <w:szCs w:val="20"/>
          <w:lang w:eastAsia="fr-FR"/>
        </w:rPr>
        <w:t>- maîtriser suffisamment l'anglais parlé pour tirer parti du programme technique du congrès annuel;</w:t>
      </w:r>
    </w:p>
    <w:p w:rsidR="005759EE" w:rsidRPr="0077507B" w:rsidRDefault="005759EE" w:rsidP="005759EE">
      <w:pPr>
        <w:pBdr>
          <w:top w:val="single" w:sz="4" w:space="1" w:color="auto"/>
          <w:left w:val="single" w:sz="4" w:space="4" w:color="auto"/>
          <w:bottom w:val="single" w:sz="4" w:space="1" w:color="auto"/>
          <w:right w:val="single" w:sz="4" w:space="4" w:color="auto"/>
        </w:pBdr>
        <w:spacing w:after="0" w:line="100" w:lineRule="atLeast"/>
        <w:jc w:val="both"/>
        <w:rPr>
          <w:rFonts w:ascii="Times New Roman" w:eastAsia="Courier 10cpi" w:hAnsi="Times New Roman" w:cs="Courier 10cpi"/>
          <w:color w:val="010101"/>
          <w:sz w:val="24"/>
          <w:szCs w:val="20"/>
          <w:lang w:eastAsia="fr-FR"/>
        </w:rPr>
      </w:pPr>
      <w:r w:rsidRPr="0077507B">
        <w:rPr>
          <w:rFonts w:ascii="Times New Roman" w:eastAsia="Courier 10cpi" w:hAnsi="Times New Roman" w:cs="Courier 10cpi"/>
          <w:color w:val="010101"/>
          <w:sz w:val="24"/>
          <w:szCs w:val="20"/>
          <w:lang w:eastAsia="fr-FR"/>
        </w:rPr>
        <w:t>- accepter les conditions ci-dessous.</w:t>
      </w:r>
    </w:p>
    <w:p w:rsidR="005759EE" w:rsidRPr="0077507B" w:rsidRDefault="005759EE" w:rsidP="005759EE">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4"/>
          <w:szCs w:val="20"/>
          <w:lang w:eastAsia="fr-FR"/>
        </w:rPr>
      </w:pPr>
      <w:r w:rsidRPr="0077507B">
        <w:rPr>
          <w:rFonts w:ascii="Times New Roman" w:eastAsia="Times New Roman" w:hAnsi="Times New Roman" w:cs="Times New Roman"/>
          <w:sz w:val="24"/>
          <w:szCs w:val="20"/>
          <w:lang w:eastAsia="fr-FR"/>
        </w:rPr>
        <w:t>Les candidats sont invités à écrire - avec leur CV - à l’adresse ci après, une lettre d’environ 200 mots, pour expliquer pour quoi ils se considèrent qualifiés à rece</w:t>
      </w:r>
      <w:r w:rsidR="00CB28A0" w:rsidRPr="0077507B">
        <w:rPr>
          <w:rFonts w:ascii="Times New Roman" w:eastAsia="Times New Roman" w:hAnsi="Times New Roman" w:cs="Times New Roman"/>
          <w:sz w:val="24"/>
          <w:szCs w:val="20"/>
          <w:lang w:eastAsia="fr-FR"/>
        </w:rPr>
        <w:t xml:space="preserve">voir ce prix, et ceci </w:t>
      </w:r>
      <w:r w:rsidR="00CB28A0" w:rsidRPr="0077507B">
        <w:rPr>
          <w:rFonts w:ascii="Times New Roman" w:eastAsia="Times New Roman" w:hAnsi="Times New Roman" w:cs="Times New Roman"/>
          <w:b/>
          <w:sz w:val="24"/>
          <w:szCs w:val="20"/>
          <w:lang w:eastAsia="fr-FR"/>
        </w:rPr>
        <w:t>avant le 2 juillet 2018</w:t>
      </w:r>
      <w:r w:rsidRPr="0077507B">
        <w:rPr>
          <w:rFonts w:ascii="Times New Roman" w:eastAsia="Times New Roman" w:hAnsi="Times New Roman" w:cs="Times New Roman"/>
          <w:sz w:val="24"/>
          <w:szCs w:val="20"/>
          <w:lang w:eastAsia="fr-FR"/>
        </w:rPr>
        <w:t xml:space="preserve">. Ils sont également censés donner le titre du papier qu’ils soumettront à la commission. La décision sera prise par un panel représentant les quatre organisations au plus tard le 3 août 2017, pour permettre au candidat retenu de programmer sa participation au Congrès annuel d’INSOL Europe. </w:t>
      </w:r>
    </w:p>
    <w:p w:rsidR="005759EE" w:rsidRPr="0077507B" w:rsidRDefault="005759EE" w:rsidP="005759EE">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4"/>
          <w:szCs w:val="20"/>
          <w:lang w:eastAsia="fr-FR"/>
        </w:rPr>
      </w:pPr>
      <w:r w:rsidRPr="0077507B">
        <w:rPr>
          <w:rFonts w:ascii="Times New Roman" w:eastAsia="Times New Roman" w:hAnsi="Times New Roman" w:cs="Times New Roman"/>
          <w:b/>
          <w:bCs/>
          <w:sz w:val="24"/>
          <w:szCs w:val="20"/>
          <w:lang w:eastAsia="fr-FR"/>
        </w:rPr>
        <w:t>Le candidat retenu</w:t>
      </w:r>
      <w:r w:rsidRPr="0077507B">
        <w:rPr>
          <w:rFonts w:ascii="Times New Roman" w:eastAsia="Times New Roman" w:hAnsi="Times New Roman" w:cs="Times New Roman"/>
          <w:sz w:val="24"/>
          <w:szCs w:val="20"/>
          <w:lang w:eastAsia="fr-FR"/>
        </w:rPr>
        <w:t xml:space="preserve"> bénéficiera :</w:t>
      </w:r>
    </w:p>
    <w:p w:rsidR="005759EE" w:rsidRPr="0077507B" w:rsidRDefault="005759EE" w:rsidP="005759E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0"/>
          <w:lang w:eastAsia="fr-FR"/>
        </w:rPr>
      </w:pPr>
      <w:r w:rsidRPr="0077507B">
        <w:rPr>
          <w:rFonts w:ascii="Times New Roman" w:eastAsia="Times New Roman" w:hAnsi="Times New Roman" w:cs="Times New Roman"/>
          <w:sz w:val="24"/>
          <w:szCs w:val="20"/>
          <w:lang w:eastAsia="fr-FR"/>
        </w:rPr>
        <w:t>- d’une inscription gratuite au congrès annuel d’INSOL Europe, qui se tiendra en 2017 à</w:t>
      </w:r>
      <w:r w:rsidR="00CB28A0" w:rsidRPr="0077507B">
        <w:rPr>
          <w:rFonts w:ascii="Times New Roman" w:eastAsia="Times New Roman" w:hAnsi="Times New Roman" w:cs="Times New Roman"/>
          <w:sz w:val="24"/>
          <w:szCs w:val="20"/>
          <w:lang w:eastAsia="fr-FR"/>
        </w:rPr>
        <w:t>Athènes du 4 au 7 octobre 2018</w:t>
      </w:r>
      <w:r w:rsidRPr="0077507B">
        <w:rPr>
          <w:rFonts w:ascii="Times New Roman" w:eastAsia="Times New Roman" w:hAnsi="Times New Roman" w:cs="Times New Roman"/>
          <w:sz w:val="24"/>
          <w:szCs w:val="20"/>
          <w:lang w:eastAsia="fr-FR"/>
        </w:rPr>
        <w:t xml:space="preserve"> ; ses frais de voyage, de logement et de nourriture seront pris en charge pour toute la durée du congrès ; </w:t>
      </w:r>
    </w:p>
    <w:p w:rsidR="005759EE" w:rsidRPr="0077507B" w:rsidRDefault="005759EE" w:rsidP="005759E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0"/>
          <w:lang w:eastAsia="fr-FR"/>
        </w:rPr>
      </w:pPr>
      <w:r w:rsidRPr="0077507B">
        <w:rPr>
          <w:rFonts w:ascii="Times New Roman" w:eastAsia="Times New Roman" w:hAnsi="Times New Roman" w:cs="Times New Roman"/>
          <w:sz w:val="24"/>
          <w:szCs w:val="20"/>
          <w:lang w:eastAsia="fr-FR"/>
        </w:rPr>
        <w:t>- en retour, le candidat devra écrire un article d’environ 3 000 mots sur le droit et/ou la pratique de l’insolvabilité ou réorganisation avec l’accord de la commission. Cet article pourra être publié dans la revue des quatre organisations marraines sous une forme réduite ; il sera également affiché intégralement sur leurs sites web.</w:t>
      </w:r>
    </w:p>
    <w:p w:rsidR="005759EE" w:rsidRPr="0077507B" w:rsidRDefault="005759EE" w:rsidP="005759E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0"/>
          <w:lang w:eastAsia="fr-FR"/>
        </w:rPr>
      </w:pPr>
      <w:r w:rsidRPr="0077507B">
        <w:rPr>
          <w:rFonts w:ascii="Times New Roman" w:eastAsia="Times New Roman" w:hAnsi="Times New Roman" w:cs="Times New Roman"/>
          <w:sz w:val="24"/>
          <w:szCs w:val="20"/>
          <w:lang w:eastAsia="fr-FR"/>
        </w:rPr>
        <w:t>- le candidat gagnant sera félicité lors du congrès et recevra un certificat encadré, correspondant à son prix.</w:t>
      </w:r>
    </w:p>
    <w:p w:rsidR="005759EE" w:rsidRPr="0077507B" w:rsidRDefault="005759EE" w:rsidP="005759EE">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b/>
          <w:bCs/>
          <w:sz w:val="24"/>
          <w:szCs w:val="20"/>
          <w:lang w:eastAsia="fr-FR"/>
        </w:rPr>
      </w:pPr>
      <w:r w:rsidRPr="0077507B">
        <w:rPr>
          <w:rFonts w:ascii="Times New Roman" w:eastAsia="Times New Roman" w:hAnsi="Times New Roman" w:cs="Times New Roman"/>
          <w:b/>
          <w:bCs/>
          <w:sz w:val="24"/>
          <w:szCs w:val="20"/>
          <w:lang w:eastAsia="fr-FR"/>
        </w:rPr>
        <w:t>Etes-vous intéressé ?</w:t>
      </w:r>
    </w:p>
    <w:p w:rsidR="005759EE" w:rsidRPr="0077507B" w:rsidRDefault="005759EE" w:rsidP="005759E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0"/>
          <w:lang w:eastAsia="fr-FR"/>
        </w:rPr>
      </w:pPr>
      <w:r w:rsidRPr="0077507B">
        <w:rPr>
          <w:rFonts w:ascii="Times New Roman" w:eastAsia="Times New Roman" w:hAnsi="Times New Roman" w:cs="Times New Roman"/>
          <w:sz w:val="24"/>
          <w:szCs w:val="20"/>
          <w:lang w:eastAsia="fr-FR"/>
        </w:rPr>
        <w:t xml:space="preserve">Envoyez votre lettre d’environ 200 mots, expliquant pour quoi vous vous considérez qualifié à bénéficier de la possibilité d’être présent au Congrès annuel d’INSOL Europe en tant que gagnant du prix Richard Turton, avant le </w:t>
      </w:r>
      <w:r w:rsidR="002275A1" w:rsidRPr="0077507B">
        <w:rPr>
          <w:rFonts w:ascii="Times New Roman" w:eastAsia="Times New Roman" w:hAnsi="Times New Roman" w:cs="Times New Roman"/>
          <w:sz w:val="24"/>
          <w:szCs w:val="20"/>
          <w:lang w:eastAsia="fr-FR"/>
        </w:rPr>
        <w:t>2 juillet 2018</w:t>
      </w:r>
      <w:r w:rsidRPr="0077507B">
        <w:rPr>
          <w:rFonts w:ascii="Times New Roman" w:eastAsia="Times New Roman" w:hAnsi="Times New Roman" w:cs="Times New Roman"/>
          <w:sz w:val="24"/>
          <w:szCs w:val="20"/>
          <w:lang w:eastAsia="fr-FR"/>
        </w:rPr>
        <w:t>, à l’adresse suivante :</w:t>
      </w:r>
    </w:p>
    <w:p w:rsidR="005759EE" w:rsidRPr="0077507B" w:rsidRDefault="005759EE" w:rsidP="005759E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0"/>
          <w:lang w:eastAsia="fr-FR"/>
        </w:rPr>
      </w:pPr>
      <w:r w:rsidRPr="0077507B">
        <w:rPr>
          <w:rFonts w:ascii="Times New Roman" w:eastAsia="Times New Roman" w:hAnsi="Times New Roman" w:cs="Times New Roman"/>
          <w:b/>
          <w:bCs/>
          <w:sz w:val="24"/>
          <w:szCs w:val="20"/>
          <w:lang w:eastAsia="fr-FR"/>
        </w:rPr>
        <w:t xml:space="preserve">Richard Turton Award   </w:t>
      </w:r>
      <w:r w:rsidRPr="0077507B">
        <w:rPr>
          <w:rFonts w:ascii="Times New Roman" w:eastAsia="Times New Roman" w:hAnsi="Times New Roman" w:cs="Times New Roman"/>
          <w:sz w:val="24"/>
          <w:szCs w:val="20"/>
          <w:lang w:eastAsia="fr-FR"/>
        </w:rPr>
        <w:t>c/o INSOL International</w:t>
      </w:r>
      <w:r w:rsidRPr="0077507B">
        <w:rPr>
          <w:rFonts w:ascii="Times New Roman" w:eastAsia="Times New Roman" w:hAnsi="Times New Roman" w:cs="Times New Roman"/>
          <w:b/>
          <w:bCs/>
          <w:sz w:val="24"/>
          <w:szCs w:val="20"/>
          <w:lang w:eastAsia="fr-FR"/>
        </w:rPr>
        <w:t xml:space="preserve">   </w:t>
      </w:r>
      <w:r w:rsidRPr="0077507B">
        <w:rPr>
          <w:rFonts w:ascii="Times New Roman" w:eastAsia="Times New Roman" w:hAnsi="Times New Roman" w:cs="Times New Roman"/>
          <w:sz w:val="24"/>
          <w:szCs w:val="20"/>
          <w:lang w:eastAsia="fr-FR"/>
        </w:rPr>
        <w:t>6-7 Queen Street</w:t>
      </w:r>
      <w:r w:rsidRPr="0077507B">
        <w:rPr>
          <w:rFonts w:ascii="Times New Roman" w:eastAsia="Times New Roman" w:hAnsi="Times New Roman" w:cs="Times New Roman"/>
          <w:b/>
          <w:bCs/>
          <w:sz w:val="24"/>
          <w:szCs w:val="20"/>
          <w:lang w:eastAsia="fr-FR"/>
        </w:rPr>
        <w:t xml:space="preserve">  </w:t>
      </w:r>
      <w:r w:rsidRPr="0077507B">
        <w:rPr>
          <w:rFonts w:ascii="Times New Roman" w:eastAsia="Times New Roman" w:hAnsi="Times New Roman" w:cs="Times New Roman"/>
          <w:sz w:val="24"/>
          <w:szCs w:val="20"/>
          <w:lang w:eastAsia="fr-FR"/>
        </w:rPr>
        <w:t xml:space="preserve">London EC4N 1SP   Royaume Uni    </w:t>
      </w:r>
    </w:p>
    <w:p w:rsidR="005759EE" w:rsidRPr="0077507B" w:rsidRDefault="005759EE" w:rsidP="005759E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sz w:val="24"/>
          <w:szCs w:val="20"/>
          <w:lang w:eastAsia="fr-FR"/>
        </w:rPr>
      </w:pPr>
      <w:r w:rsidRPr="0077507B">
        <w:rPr>
          <w:rFonts w:ascii="Times New Roman" w:eastAsia="Times New Roman" w:hAnsi="Times New Roman" w:cs="Times New Roman"/>
          <w:sz w:val="24"/>
          <w:szCs w:val="20"/>
          <w:lang w:eastAsia="fr-FR"/>
        </w:rPr>
        <w:t xml:space="preserve">                                            </w:t>
      </w:r>
      <w:r w:rsidR="002275A1" w:rsidRPr="0077507B">
        <w:rPr>
          <w:rFonts w:ascii="Times New Roman" w:eastAsia="Times New Roman" w:hAnsi="Times New Roman" w:cs="Times New Roman"/>
          <w:sz w:val="24"/>
          <w:szCs w:val="20"/>
          <w:lang w:eastAsia="fr-FR"/>
        </w:rPr>
        <w:t>e-mail :</w:t>
      </w:r>
      <w:hyperlink r:id="rId77" w:history="1">
        <w:r w:rsidR="002275A1" w:rsidRPr="0077507B">
          <w:rPr>
            <w:rStyle w:val="Lienhypertexte"/>
            <w:rFonts w:ascii="Times New Roman" w:eastAsia="Times New Roman" w:hAnsi="Times New Roman" w:cs="Times New Roman"/>
            <w:sz w:val="24"/>
            <w:szCs w:val="20"/>
            <w:lang w:eastAsia="fr-FR"/>
          </w:rPr>
          <w:t>jason@insol.ision.co.uk</w:t>
        </w:r>
      </w:hyperlink>
      <w:r w:rsidRPr="0077507B">
        <w:rPr>
          <w:rFonts w:ascii="Times New Roman" w:eastAsia="Times New Roman" w:hAnsi="Times New Roman" w:cs="Times New Roman"/>
          <w:b/>
          <w:bCs/>
          <w:sz w:val="24"/>
          <w:szCs w:val="20"/>
          <w:lang w:eastAsia="fr-FR"/>
        </w:rPr>
        <w:t xml:space="preserve">  </w:t>
      </w:r>
    </w:p>
    <w:p w:rsidR="005759EE" w:rsidRPr="0077507B" w:rsidRDefault="005759EE" w:rsidP="005759E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0"/>
          <w:lang w:eastAsia="fr-FR"/>
        </w:rPr>
      </w:pPr>
      <w:r w:rsidRPr="0077507B">
        <w:rPr>
          <w:rFonts w:ascii="Times New Roman" w:eastAsia="Times New Roman" w:hAnsi="Times New Roman" w:cs="Times New Roman"/>
          <w:b/>
          <w:bCs/>
          <w:sz w:val="24"/>
          <w:szCs w:val="20"/>
          <w:lang w:eastAsia="fr-FR"/>
        </w:rPr>
        <w:t xml:space="preserve">Avez-vous dépassé les 35 ans ?   </w:t>
      </w:r>
      <w:r w:rsidRPr="0077507B">
        <w:rPr>
          <w:rFonts w:ascii="Times New Roman" w:eastAsia="Times New Roman" w:hAnsi="Times New Roman" w:cs="Times New Roman"/>
          <w:sz w:val="24"/>
          <w:szCs w:val="20"/>
          <w:lang w:eastAsia="fr-FR"/>
        </w:rPr>
        <w:t>Passez cette annonce à un collègue plus jeune !</w:t>
      </w:r>
    </w:p>
    <w:p w:rsidR="005759EE" w:rsidRPr="0077507B" w:rsidRDefault="005759EE" w:rsidP="005759EE">
      <w:pPr>
        <w:pBdr>
          <w:top w:val="single" w:sz="4" w:space="1" w:color="auto"/>
          <w:left w:val="single" w:sz="4" w:space="4" w:color="auto"/>
          <w:bottom w:val="single" w:sz="4" w:space="1" w:color="auto"/>
          <w:right w:val="single" w:sz="4" w:space="4" w:color="auto"/>
        </w:pBdr>
        <w:spacing w:after="0" w:line="240" w:lineRule="auto"/>
        <w:ind w:firstLine="708"/>
        <w:jc w:val="center"/>
        <w:rPr>
          <w:rFonts w:ascii="Times New Roman" w:eastAsia="Times New Roman" w:hAnsi="Times New Roman" w:cs="Times New Roman"/>
          <w:sz w:val="24"/>
          <w:szCs w:val="20"/>
          <w:lang w:eastAsia="fr-FR"/>
        </w:rPr>
      </w:pPr>
      <w:r w:rsidRPr="0077507B">
        <w:rPr>
          <w:rFonts w:ascii="Times New Roman" w:eastAsia="Times New Roman" w:hAnsi="Times New Roman" w:cs="Times New Roman"/>
          <w:b/>
          <w:sz w:val="24"/>
          <w:szCs w:val="20"/>
          <w:lang w:eastAsia="fr-FR"/>
        </w:rPr>
        <w:t>Décision du Jury</w:t>
      </w:r>
      <w:r w:rsidR="002275A1" w:rsidRPr="0077507B">
        <w:rPr>
          <w:rFonts w:ascii="Times New Roman" w:eastAsia="Times New Roman" w:hAnsi="Times New Roman" w:cs="Times New Roman"/>
          <w:sz w:val="24"/>
          <w:szCs w:val="20"/>
          <w:lang w:eastAsia="fr-FR"/>
        </w:rPr>
        <w:t> : aux environs du 6 août 2018</w:t>
      </w:r>
      <w:r w:rsidRPr="0077507B">
        <w:rPr>
          <w:rFonts w:ascii="Times New Roman" w:eastAsia="Times New Roman" w:hAnsi="Times New Roman" w:cs="Times New Roman"/>
          <w:sz w:val="24"/>
          <w:szCs w:val="20"/>
          <w:lang w:eastAsia="fr-FR"/>
        </w:rPr>
        <w:t>.</w:t>
      </w:r>
    </w:p>
    <w:p w:rsidR="005759EE" w:rsidRPr="0077507B" w:rsidRDefault="005759EE" w:rsidP="005759EE">
      <w:pPr>
        <w:pBdr>
          <w:top w:val="single" w:sz="4" w:space="1" w:color="auto"/>
          <w:left w:val="single" w:sz="4" w:space="4" w:color="auto"/>
          <w:bottom w:val="single" w:sz="4" w:space="1" w:color="auto"/>
          <w:right w:val="single" w:sz="4" w:space="4" w:color="auto"/>
        </w:pBdr>
        <w:spacing w:after="0" w:line="240" w:lineRule="auto"/>
        <w:ind w:firstLine="708"/>
        <w:jc w:val="center"/>
        <w:rPr>
          <w:rFonts w:ascii="Times New Roman" w:eastAsia="Times New Roman" w:hAnsi="Times New Roman" w:cs="Times New Roman"/>
          <w:sz w:val="24"/>
          <w:szCs w:val="20"/>
          <w:lang w:eastAsia="fr-FR"/>
        </w:rPr>
      </w:pPr>
    </w:p>
    <w:p w:rsidR="005759EE" w:rsidRPr="005759EE" w:rsidRDefault="005759EE" w:rsidP="005759EE">
      <w:pPr>
        <w:suppressAutoHyphens/>
        <w:spacing w:after="0" w:line="240" w:lineRule="auto"/>
        <w:rPr>
          <w:rFonts w:ascii="Times New Roman" w:eastAsia="Times New Roman" w:hAnsi="Times New Roman" w:cs="Times New Roman"/>
          <w:sz w:val="24"/>
          <w:szCs w:val="24"/>
          <w:lang w:eastAsia="ar-SA"/>
        </w:rPr>
      </w:pPr>
    </w:p>
    <w:p w:rsidR="00035770" w:rsidRDefault="00035770" w:rsidP="005759EE">
      <w:pPr>
        <w:suppressAutoHyphens/>
        <w:spacing w:after="0" w:line="240" w:lineRule="auto"/>
        <w:rPr>
          <w:rFonts w:ascii="Times New Roman" w:eastAsia="Times New Roman" w:hAnsi="Times New Roman" w:cs="Times New Roman"/>
          <w:sz w:val="24"/>
          <w:szCs w:val="24"/>
          <w:lang w:eastAsia="ar-SA"/>
        </w:rPr>
      </w:pPr>
    </w:p>
    <w:p w:rsidR="003B5B5D" w:rsidRPr="003B5B5D" w:rsidRDefault="003B5B5D" w:rsidP="003B5B5D">
      <w:pPr>
        <w:suppressAutoHyphens/>
        <w:spacing w:after="0" w:line="240" w:lineRule="auto"/>
        <w:jc w:val="center"/>
        <w:rPr>
          <w:rFonts w:ascii="Times New Roman" w:eastAsia="Times New Roman" w:hAnsi="Times New Roman" w:cs="Times New Roman"/>
          <w:sz w:val="24"/>
          <w:szCs w:val="24"/>
          <w:lang w:eastAsia="ar-SA"/>
        </w:rPr>
      </w:pPr>
    </w:p>
    <w:p w:rsidR="005759EE" w:rsidRPr="005759EE" w:rsidRDefault="005759EE" w:rsidP="002275A1">
      <w:pPr>
        <w:suppressAutoHyphens/>
        <w:spacing w:after="0" w:line="240" w:lineRule="auto"/>
        <w:rPr>
          <w:rFonts w:ascii="Arial Narrow" w:eastAsia="Times New Roman" w:hAnsi="Arial Narrow" w:cs="Times New Roman"/>
          <w:b/>
          <w:sz w:val="32"/>
          <w:szCs w:val="32"/>
          <w:lang w:eastAsia="ar-SA"/>
        </w:rPr>
      </w:pPr>
      <w:r>
        <w:rPr>
          <w:rFonts w:ascii="Arial Narrow" w:eastAsia="Times New Roman" w:hAnsi="Arial Narrow" w:cs="Times New Roman"/>
          <w:b/>
          <w:sz w:val="32"/>
          <w:szCs w:val="32"/>
          <w:lang w:eastAsia="ar-SA"/>
        </w:rPr>
        <w:lastRenderedPageBreak/>
        <w:t>Espagne</w:t>
      </w:r>
    </w:p>
    <w:p w:rsidR="005759EE" w:rsidRPr="002275A1" w:rsidRDefault="005759EE" w:rsidP="002275A1">
      <w:pPr>
        <w:spacing w:after="0" w:line="240" w:lineRule="auto"/>
        <w:rPr>
          <w:rFonts w:ascii="Times New Roman" w:hAnsi="Times New Roman" w:cs="Times New Roman"/>
          <w:b/>
          <w:sz w:val="24"/>
          <w:szCs w:val="24"/>
        </w:rPr>
      </w:pPr>
    </w:p>
    <w:p w:rsidR="005759EE" w:rsidRDefault="005759EE" w:rsidP="005759EE">
      <w:pPr>
        <w:spacing w:after="0" w:line="240" w:lineRule="auto"/>
        <w:jc w:val="center"/>
        <w:rPr>
          <w:rFonts w:ascii="Times New Roman" w:hAnsi="Times New Roman" w:cs="Times New Roman"/>
          <w:b/>
          <w:sz w:val="48"/>
          <w:szCs w:val="48"/>
        </w:rPr>
      </w:pPr>
      <w:r w:rsidRPr="005759EE">
        <w:rPr>
          <w:rFonts w:ascii="Times New Roman" w:hAnsi="Times New Roman" w:cs="Times New Roman"/>
          <w:b/>
          <w:sz w:val="48"/>
          <w:szCs w:val="48"/>
        </w:rPr>
        <w:t xml:space="preserve">Réformes de la succession d’employeurs </w:t>
      </w:r>
    </w:p>
    <w:p w:rsidR="005759EE" w:rsidRPr="005759EE" w:rsidRDefault="005759EE" w:rsidP="005759EE">
      <w:pPr>
        <w:spacing w:after="0" w:line="240" w:lineRule="auto"/>
        <w:jc w:val="center"/>
        <w:rPr>
          <w:rFonts w:ascii="Times New Roman" w:hAnsi="Times New Roman" w:cs="Times New Roman"/>
          <w:b/>
          <w:sz w:val="48"/>
          <w:szCs w:val="48"/>
        </w:rPr>
      </w:pPr>
      <w:r w:rsidRPr="005759EE">
        <w:rPr>
          <w:rFonts w:ascii="Times New Roman" w:hAnsi="Times New Roman" w:cs="Times New Roman"/>
          <w:b/>
          <w:sz w:val="48"/>
          <w:szCs w:val="48"/>
        </w:rPr>
        <w:t>en Espagne</w:t>
      </w:r>
    </w:p>
    <w:p w:rsidR="005759EE" w:rsidRPr="005759EE" w:rsidRDefault="005759EE" w:rsidP="005759EE">
      <w:pPr>
        <w:jc w:val="center"/>
        <w:rPr>
          <w:rFonts w:ascii="Arial Narrow" w:hAnsi="Arial Narrow" w:cs="Times New Roman"/>
          <w:i/>
          <w:sz w:val="24"/>
          <w:szCs w:val="24"/>
        </w:rPr>
      </w:pPr>
      <w:r w:rsidRPr="00EC2DCE">
        <w:rPr>
          <w:rFonts w:ascii="Arial Narrow" w:hAnsi="Arial Narrow" w:cs="Times New Roman"/>
          <w:i/>
          <w:sz w:val="24"/>
          <w:szCs w:val="24"/>
        </w:rPr>
        <w:t xml:space="preserve">Agustín Bou* </w:t>
      </w:r>
      <w:r>
        <w:rPr>
          <w:rFonts w:ascii="Arial Narrow" w:hAnsi="Arial Narrow" w:cs="Times New Roman"/>
          <w:i/>
          <w:sz w:val="24"/>
          <w:szCs w:val="24"/>
        </w:rPr>
        <w:t>présente</w:t>
      </w:r>
      <w:r w:rsidRPr="00EC2DCE">
        <w:rPr>
          <w:rFonts w:ascii="Arial Narrow" w:hAnsi="Arial Narrow" w:cs="Times New Roman"/>
          <w:i/>
          <w:sz w:val="24"/>
          <w:szCs w:val="24"/>
        </w:rPr>
        <w:t xml:space="preserve"> les récentes réformes qui permettent la succession d’employeurs à la suite de la cession d’unités de production</w:t>
      </w:r>
    </w:p>
    <w:p w:rsidR="005759EE" w:rsidRPr="002B58B4" w:rsidRDefault="005759EE" w:rsidP="005759EE">
      <w:pPr>
        <w:jc w:val="both"/>
        <w:rPr>
          <w:rFonts w:ascii="Times New Roman" w:hAnsi="Times New Roman" w:cs="Times New Roman"/>
          <w:b/>
          <w:sz w:val="24"/>
          <w:szCs w:val="24"/>
        </w:rPr>
      </w:pPr>
      <w:r w:rsidRPr="00EC2DCE">
        <w:rPr>
          <w:rFonts w:ascii="Times New Roman" w:hAnsi="Times New Roman" w:cs="Times New Roman"/>
          <w:b/>
          <w:sz w:val="24"/>
          <w:szCs w:val="24"/>
        </w:rPr>
        <w:t>La loi espagnole sur l’insolvabilité (la « LI ») propose, au nombre de ses principaux objectifs, de maintenir la continuité de l’activité économique des entreprises faisant l’objet d’une procédure d’insolvabilité.</w:t>
      </w:r>
    </w:p>
    <w:p w:rsidR="005759EE" w:rsidRPr="002B58B4" w:rsidRDefault="005759EE" w:rsidP="005759EE">
      <w:pPr>
        <w:jc w:val="both"/>
        <w:rPr>
          <w:rFonts w:ascii="Times New Roman" w:hAnsi="Times New Roman" w:cs="Times New Roman"/>
          <w:sz w:val="24"/>
          <w:szCs w:val="24"/>
        </w:rPr>
      </w:pPr>
      <w:r w:rsidRPr="00150D7F">
        <w:rPr>
          <w:rFonts w:ascii="Times New Roman" w:hAnsi="Times New Roman" w:cs="Times New Roman"/>
          <w:sz w:val="24"/>
          <w:szCs w:val="24"/>
        </w:rPr>
        <w:t>Ces dernières années, grâce à cette loi, il a été possible de sauver de nombreux emplois et pôles opérationnels en cédant des unités de production dans le cadre de procédures d’insolvabilité.</w:t>
      </w:r>
      <w:r w:rsidRPr="002B58B4">
        <w:rPr>
          <w:rFonts w:ascii="Times New Roman" w:hAnsi="Times New Roman" w:cs="Times New Roman"/>
          <w:sz w:val="24"/>
          <w:szCs w:val="24"/>
        </w:rPr>
        <w:t xml:space="preserve"> </w:t>
      </w:r>
      <w:r w:rsidRPr="00150D7F">
        <w:rPr>
          <w:rFonts w:ascii="Times New Roman" w:hAnsi="Times New Roman" w:cs="Times New Roman"/>
          <w:sz w:val="24"/>
          <w:szCs w:val="24"/>
        </w:rPr>
        <w:t xml:space="preserve">Cette réussite est due au fait que ce type de cession permettait de conserver les pôles opérationnels économiquement viables </w:t>
      </w:r>
      <w:r>
        <w:rPr>
          <w:rFonts w:ascii="Times New Roman" w:hAnsi="Times New Roman" w:cs="Times New Roman"/>
          <w:sz w:val="24"/>
          <w:szCs w:val="24"/>
        </w:rPr>
        <w:t>sans assumer le passif de la masse de l’insolvabilité</w:t>
      </w:r>
      <w:r w:rsidRPr="00150D7F">
        <w:rPr>
          <w:rFonts w:ascii="Times New Roman" w:hAnsi="Times New Roman" w:cs="Times New Roman"/>
          <w:sz w:val="24"/>
          <w:szCs w:val="24"/>
        </w:rPr>
        <w:t xml:space="preserve">, et de subroger les contrats de travail à titre de nécessité </w:t>
      </w:r>
      <w:r>
        <w:rPr>
          <w:rFonts w:ascii="Times New Roman" w:hAnsi="Times New Roman" w:cs="Times New Roman"/>
          <w:sz w:val="24"/>
          <w:szCs w:val="24"/>
        </w:rPr>
        <w:t xml:space="preserve">en vue </w:t>
      </w:r>
      <w:r w:rsidRPr="00150D7F">
        <w:rPr>
          <w:rFonts w:ascii="Times New Roman" w:hAnsi="Times New Roman" w:cs="Times New Roman"/>
          <w:sz w:val="24"/>
          <w:szCs w:val="24"/>
        </w:rPr>
        <w:t>de la poursuite de l’activité.</w:t>
      </w:r>
    </w:p>
    <w:p w:rsidR="005759EE" w:rsidRPr="002B58B4" w:rsidRDefault="005759EE" w:rsidP="005759EE">
      <w:pPr>
        <w:jc w:val="both"/>
        <w:rPr>
          <w:rFonts w:ascii="Times New Roman" w:hAnsi="Times New Roman" w:cs="Times New Roman"/>
          <w:sz w:val="24"/>
          <w:szCs w:val="24"/>
        </w:rPr>
      </w:pPr>
      <w:r w:rsidRPr="00150D7F">
        <w:rPr>
          <w:rFonts w:ascii="Times New Roman" w:hAnsi="Times New Roman" w:cs="Times New Roman"/>
          <w:sz w:val="24"/>
          <w:szCs w:val="24"/>
        </w:rPr>
        <w:t>Par le passé, les tribunaux espagnols ont jugé que le transfert d’une unité de production ne constituait pas une succession d’employeurs, ce qui signifiait que les dettes correspondant aux salaires et aux charges sociales n’étaient pas assumées par l’acquéreur.</w:t>
      </w:r>
      <w:r w:rsidRPr="002B58B4">
        <w:rPr>
          <w:rFonts w:ascii="Times New Roman" w:hAnsi="Times New Roman" w:cs="Times New Roman"/>
          <w:sz w:val="24"/>
          <w:szCs w:val="24"/>
        </w:rPr>
        <w:t xml:space="preserve"> </w:t>
      </w:r>
      <w:r w:rsidRPr="00150D7F">
        <w:rPr>
          <w:rFonts w:ascii="Times New Roman" w:hAnsi="Times New Roman" w:cs="Times New Roman"/>
          <w:sz w:val="24"/>
          <w:szCs w:val="24"/>
        </w:rPr>
        <w:t>Toutefois, bien que les plus récentes réformes de la LI espagnole visaient théoriquement à assouplir les conditions de ces cessions, elles ont en réalité pro</w:t>
      </w:r>
      <w:r>
        <w:rPr>
          <w:rFonts w:ascii="Times New Roman" w:hAnsi="Times New Roman" w:cs="Times New Roman"/>
          <w:sz w:val="24"/>
          <w:szCs w:val="24"/>
        </w:rPr>
        <w:t>duit exactement l’effet inverse, car</w:t>
      </w:r>
      <w:r w:rsidRPr="002B58B4">
        <w:rPr>
          <w:rFonts w:ascii="Times New Roman" w:hAnsi="Times New Roman" w:cs="Times New Roman"/>
          <w:sz w:val="24"/>
          <w:szCs w:val="24"/>
        </w:rPr>
        <w:t xml:space="preserve"> </w:t>
      </w:r>
      <w:r>
        <w:rPr>
          <w:rFonts w:ascii="Times New Roman" w:hAnsi="Times New Roman" w:cs="Times New Roman"/>
          <w:sz w:val="24"/>
          <w:szCs w:val="24"/>
        </w:rPr>
        <w:t>les</w:t>
      </w:r>
      <w:r w:rsidRPr="00150D7F">
        <w:rPr>
          <w:rFonts w:ascii="Times New Roman" w:hAnsi="Times New Roman" w:cs="Times New Roman"/>
          <w:sz w:val="24"/>
          <w:szCs w:val="24"/>
        </w:rPr>
        <w:t xml:space="preserve"> nouvelles dispositions contraignent les acquéreurs d’unités de production à assumer les dettes correspondant aux salaires et aux charges sociales.</w:t>
      </w:r>
    </w:p>
    <w:p w:rsidR="005759EE" w:rsidRPr="002B58B4" w:rsidRDefault="005759EE" w:rsidP="005759EE">
      <w:pPr>
        <w:jc w:val="both"/>
        <w:rPr>
          <w:rFonts w:ascii="Times New Roman" w:hAnsi="Times New Roman" w:cs="Times New Roman"/>
          <w:sz w:val="24"/>
          <w:szCs w:val="24"/>
        </w:rPr>
      </w:pPr>
      <w:r w:rsidRPr="00150D7F">
        <w:rPr>
          <w:rFonts w:ascii="Times New Roman" w:hAnsi="Times New Roman" w:cs="Times New Roman"/>
          <w:b/>
          <w:sz w:val="24"/>
          <w:szCs w:val="24"/>
        </w:rPr>
        <w:t>Dernières réformes de la loi espagnole sur l’insolvabilité</w:t>
      </w:r>
      <w:r w:rsidRPr="002B58B4">
        <w:rPr>
          <w:rFonts w:ascii="Times New Roman" w:hAnsi="Times New Roman" w:cs="Times New Roman"/>
          <w:sz w:val="24"/>
          <w:szCs w:val="24"/>
        </w:rPr>
        <w:t xml:space="preserve"> </w:t>
      </w:r>
    </w:p>
    <w:p w:rsidR="005759EE" w:rsidRPr="002B58B4" w:rsidRDefault="005759EE" w:rsidP="005759EE">
      <w:pPr>
        <w:jc w:val="both"/>
        <w:rPr>
          <w:rFonts w:ascii="Times New Roman" w:hAnsi="Times New Roman" w:cs="Times New Roman"/>
          <w:sz w:val="24"/>
          <w:szCs w:val="24"/>
        </w:rPr>
      </w:pPr>
      <w:r w:rsidRPr="00150D7F">
        <w:rPr>
          <w:rFonts w:ascii="Times New Roman" w:hAnsi="Times New Roman" w:cs="Times New Roman"/>
          <w:sz w:val="24"/>
          <w:szCs w:val="24"/>
        </w:rPr>
        <w:t xml:space="preserve">Le décret-loi royal n° 11/2014 du 5 septembre concernant les mesures </w:t>
      </w:r>
      <w:r>
        <w:rPr>
          <w:rFonts w:ascii="Times New Roman" w:hAnsi="Times New Roman" w:cs="Times New Roman"/>
          <w:sz w:val="24"/>
          <w:szCs w:val="24"/>
        </w:rPr>
        <w:t>d’</w:t>
      </w:r>
      <w:r w:rsidRPr="00150D7F">
        <w:rPr>
          <w:rFonts w:ascii="Times New Roman" w:hAnsi="Times New Roman" w:cs="Times New Roman"/>
          <w:sz w:val="24"/>
          <w:szCs w:val="24"/>
        </w:rPr>
        <w:t>urgen</w:t>
      </w:r>
      <w:r>
        <w:rPr>
          <w:rFonts w:ascii="Times New Roman" w:hAnsi="Times New Roman" w:cs="Times New Roman"/>
          <w:sz w:val="24"/>
          <w:szCs w:val="24"/>
        </w:rPr>
        <w:t>ce</w:t>
      </w:r>
      <w:r w:rsidRPr="00150D7F">
        <w:rPr>
          <w:rFonts w:ascii="Times New Roman" w:hAnsi="Times New Roman" w:cs="Times New Roman"/>
          <w:sz w:val="24"/>
          <w:szCs w:val="24"/>
        </w:rPr>
        <w:t xml:space="preserve"> en matière d’insolvabilité, qui est devenu, après avoir suivi la procédure parlementaire correspondante, la loi espagnole n° 9/2015 du 25 mai portant modification de la loi sur l’insolvabilité, modifie en profondeur les règles de la LI concernant la cession d’unités de production dans le cadre d’une procédure d’insolvabilité.</w:t>
      </w:r>
    </w:p>
    <w:p w:rsidR="005759EE" w:rsidRPr="002B58B4" w:rsidRDefault="005759EE" w:rsidP="005759EE">
      <w:pPr>
        <w:jc w:val="both"/>
        <w:rPr>
          <w:rFonts w:ascii="Times New Roman" w:hAnsi="Times New Roman" w:cs="Times New Roman"/>
          <w:sz w:val="24"/>
          <w:szCs w:val="24"/>
        </w:rPr>
      </w:pPr>
      <w:r w:rsidRPr="00150D7F">
        <w:rPr>
          <w:rFonts w:ascii="Times New Roman" w:hAnsi="Times New Roman" w:cs="Times New Roman"/>
          <w:sz w:val="24"/>
          <w:szCs w:val="24"/>
        </w:rPr>
        <w:t xml:space="preserve">Cette réforme introduit </w:t>
      </w:r>
      <w:r>
        <w:rPr>
          <w:rFonts w:ascii="Times New Roman" w:hAnsi="Times New Roman" w:cs="Times New Roman"/>
          <w:sz w:val="24"/>
          <w:szCs w:val="24"/>
        </w:rPr>
        <w:t xml:space="preserve">un </w:t>
      </w:r>
      <w:r w:rsidRPr="00150D7F">
        <w:rPr>
          <w:rFonts w:ascii="Times New Roman" w:hAnsi="Times New Roman" w:cs="Times New Roman"/>
          <w:sz w:val="24"/>
          <w:szCs w:val="24"/>
        </w:rPr>
        <w:t>article 146 bis afin d’établir des règles spéciales applicables au transfert d’unités de production.</w:t>
      </w:r>
      <w:r w:rsidRPr="002B58B4">
        <w:rPr>
          <w:rFonts w:ascii="Times New Roman" w:hAnsi="Times New Roman" w:cs="Times New Roman"/>
          <w:sz w:val="24"/>
          <w:szCs w:val="24"/>
        </w:rPr>
        <w:t xml:space="preserve"> </w:t>
      </w:r>
      <w:r w:rsidRPr="00DA2BFA">
        <w:rPr>
          <w:rFonts w:ascii="Times New Roman" w:hAnsi="Times New Roman" w:cs="Times New Roman"/>
          <w:sz w:val="24"/>
          <w:szCs w:val="24"/>
        </w:rPr>
        <w:t>En vertu de cet article, l’acquéreur sera subrogé au débiteur au titre des contrats et licences administratives dont la résiliation n’a pas été demandée, et le transfert n'obligera pas l’acquéreur à régler les dettes impayées de l’entreprise insolvable avant le transfert.</w:t>
      </w:r>
      <w:r w:rsidRPr="002B58B4">
        <w:rPr>
          <w:rFonts w:ascii="Times New Roman" w:hAnsi="Times New Roman" w:cs="Times New Roman"/>
          <w:sz w:val="24"/>
          <w:szCs w:val="24"/>
        </w:rPr>
        <w:t xml:space="preserve"> </w:t>
      </w:r>
      <w:r w:rsidRPr="00DA2BFA">
        <w:rPr>
          <w:rFonts w:ascii="Times New Roman" w:hAnsi="Times New Roman" w:cs="Times New Roman"/>
          <w:sz w:val="24"/>
          <w:szCs w:val="24"/>
        </w:rPr>
        <w:t>Toutefois, il prévoit également une exception, à savoir « sans préjudice des dispositions de l’article 149.4 de la LI. »</w:t>
      </w:r>
    </w:p>
    <w:p w:rsidR="005759EE" w:rsidRPr="002B58B4" w:rsidRDefault="005759EE" w:rsidP="005759EE">
      <w:pPr>
        <w:jc w:val="both"/>
        <w:rPr>
          <w:rFonts w:ascii="Times New Roman" w:hAnsi="Times New Roman" w:cs="Times New Roman"/>
          <w:sz w:val="24"/>
          <w:szCs w:val="24"/>
        </w:rPr>
      </w:pPr>
      <w:r w:rsidRPr="00DA2BFA">
        <w:rPr>
          <w:rFonts w:ascii="Times New Roman" w:hAnsi="Times New Roman" w:cs="Times New Roman"/>
          <w:sz w:val="24"/>
          <w:szCs w:val="24"/>
        </w:rPr>
        <w:t>L’article 149.4 de la LI dispose que, lors du transfert d’une unité de production, il sera entendu, pour les besoins de l’emploi et de la sécurité sociale, qu’il y a succession d’employeurs.</w:t>
      </w:r>
      <w:r w:rsidRPr="002B58B4">
        <w:rPr>
          <w:rFonts w:ascii="Times New Roman" w:hAnsi="Times New Roman" w:cs="Times New Roman"/>
          <w:sz w:val="24"/>
          <w:szCs w:val="24"/>
        </w:rPr>
        <w:t xml:space="preserve"> </w:t>
      </w:r>
      <w:r w:rsidRPr="00DA2BFA">
        <w:rPr>
          <w:rFonts w:ascii="Times New Roman" w:hAnsi="Times New Roman" w:cs="Times New Roman"/>
          <w:sz w:val="24"/>
          <w:szCs w:val="24"/>
        </w:rPr>
        <w:t xml:space="preserve">Ainsi, le </w:t>
      </w:r>
      <w:r w:rsidRPr="00DA2BFA">
        <w:rPr>
          <w:rFonts w:ascii="Times New Roman" w:hAnsi="Times New Roman" w:cs="Times New Roman"/>
          <w:sz w:val="24"/>
          <w:szCs w:val="24"/>
        </w:rPr>
        <w:lastRenderedPageBreak/>
        <w:t xml:space="preserve">législateur prive l’acquéreur de la possibilité de se débarrasser des dettes </w:t>
      </w:r>
      <w:r>
        <w:rPr>
          <w:rFonts w:ascii="Times New Roman" w:hAnsi="Times New Roman" w:cs="Times New Roman"/>
          <w:sz w:val="24"/>
          <w:szCs w:val="24"/>
        </w:rPr>
        <w:t>correspondant aux</w:t>
      </w:r>
      <w:r w:rsidRPr="00DA2BFA">
        <w:rPr>
          <w:rFonts w:ascii="Times New Roman" w:hAnsi="Times New Roman" w:cs="Times New Roman"/>
          <w:sz w:val="24"/>
          <w:szCs w:val="24"/>
        </w:rPr>
        <w:t xml:space="preserve"> </w:t>
      </w:r>
      <w:r>
        <w:rPr>
          <w:rFonts w:ascii="Times New Roman" w:hAnsi="Times New Roman" w:cs="Times New Roman"/>
          <w:sz w:val="24"/>
          <w:szCs w:val="24"/>
        </w:rPr>
        <w:t>salaires</w:t>
      </w:r>
      <w:r w:rsidRPr="00DA2BFA">
        <w:rPr>
          <w:rFonts w:ascii="Times New Roman" w:hAnsi="Times New Roman" w:cs="Times New Roman"/>
          <w:sz w:val="24"/>
          <w:szCs w:val="24"/>
        </w:rPr>
        <w:t xml:space="preserve"> et </w:t>
      </w:r>
      <w:r>
        <w:rPr>
          <w:rFonts w:ascii="Times New Roman" w:hAnsi="Times New Roman" w:cs="Times New Roman"/>
          <w:sz w:val="24"/>
          <w:szCs w:val="24"/>
        </w:rPr>
        <w:t>aux charges</w:t>
      </w:r>
      <w:r w:rsidRPr="00DA2BFA">
        <w:rPr>
          <w:rFonts w:ascii="Times New Roman" w:hAnsi="Times New Roman" w:cs="Times New Roman"/>
          <w:sz w:val="24"/>
          <w:szCs w:val="24"/>
        </w:rPr>
        <w:t xml:space="preserve"> sociale</w:t>
      </w:r>
      <w:r>
        <w:rPr>
          <w:rFonts w:ascii="Times New Roman" w:hAnsi="Times New Roman" w:cs="Times New Roman"/>
          <w:sz w:val="24"/>
          <w:szCs w:val="24"/>
        </w:rPr>
        <w:t>s</w:t>
      </w:r>
      <w:r w:rsidRPr="00DA2BFA">
        <w:rPr>
          <w:rFonts w:ascii="Times New Roman" w:hAnsi="Times New Roman" w:cs="Times New Roman"/>
          <w:sz w:val="24"/>
          <w:szCs w:val="24"/>
        </w:rPr>
        <w:t>.</w:t>
      </w:r>
    </w:p>
    <w:p w:rsidR="005759EE" w:rsidRPr="002B58B4" w:rsidRDefault="005759EE" w:rsidP="005759EE">
      <w:pPr>
        <w:jc w:val="both"/>
        <w:rPr>
          <w:rFonts w:ascii="Times New Roman" w:hAnsi="Times New Roman" w:cs="Times New Roman"/>
          <w:sz w:val="24"/>
          <w:szCs w:val="24"/>
        </w:rPr>
      </w:pPr>
      <w:r w:rsidRPr="00DA2BFA">
        <w:rPr>
          <w:rFonts w:ascii="Times New Roman" w:hAnsi="Times New Roman" w:cs="Times New Roman"/>
          <w:sz w:val="24"/>
          <w:szCs w:val="24"/>
        </w:rPr>
        <w:t>Au départ, certains juges des tribunaux de commerce avaient décidé que le renvoi, dans l’article 146 bis.4 de la LI</w:t>
      </w:r>
      <w:r>
        <w:rPr>
          <w:rFonts w:ascii="Times New Roman" w:hAnsi="Times New Roman" w:cs="Times New Roman"/>
          <w:sz w:val="24"/>
          <w:szCs w:val="24"/>
        </w:rPr>
        <w:t>,</w:t>
      </w:r>
      <w:r w:rsidRPr="00DA2BFA">
        <w:rPr>
          <w:rFonts w:ascii="Times New Roman" w:hAnsi="Times New Roman" w:cs="Times New Roman"/>
          <w:sz w:val="24"/>
          <w:szCs w:val="24"/>
        </w:rPr>
        <w:t xml:space="preserve"> à l’article 149.4 de la LI devait être interprété au sens que l’acquéreur ne devait assumer que les dettes envers les salariés et le Trésor général de la sécurité sociale (le « TGSS ») nées des contrats de travail en vigueur à la date du transfert ou du prononcé de la décision.</w:t>
      </w:r>
      <w:r w:rsidRPr="002B58B4">
        <w:rPr>
          <w:rFonts w:ascii="Times New Roman" w:hAnsi="Times New Roman" w:cs="Times New Roman"/>
          <w:sz w:val="24"/>
          <w:szCs w:val="24"/>
        </w:rPr>
        <w:t xml:space="preserve"> </w:t>
      </w:r>
      <w:r w:rsidRPr="00DA2BFA">
        <w:rPr>
          <w:rFonts w:ascii="Times New Roman" w:hAnsi="Times New Roman" w:cs="Times New Roman"/>
          <w:sz w:val="24"/>
          <w:szCs w:val="24"/>
        </w:rPr>
        <w:t>Par conséquent, à l’époque, l’acquéreur n’assumait pas les dettes découlant de contrats qui n’étaient plus en vigueur à la date de la décision.</w:t>
      </w:r>
    </w:p>
    <w:p w:rsidR="005759EE" w:rsidRPr="002B58B4" w:rsidRDefault="005759EE" w:rsidP="005759EE">
      <w:pPr>
        <w:jc w:val="both"/>
        <w:rPr>
          <w:rFonts w:ascii="Times New Roman" w:hAnsi="Times New Roman" w:cs="Times New Roman"/>
          <w:sz w:val="24"/>
          <w:szCs w:val="24"/>
        </w:rPr>
      </w:pPr>
      <w:r w:rsidRPr="00DA2BFA">
        <w:rPr>
          <w:rFonts w:ascii="Times New Roman" w:hAnsi="Times New Roman" w:cs="Times New Roman"/>
          <w:sz w:val="24"/>
          <w:szCs w:val="24"/>
        </w:rPr>
        <w:t>Toutefois, cette interprétation</w:t>
      </w:r>
      <w:r>
        <w:rPr>
          <w:rFonts w:ascii="Times New Roman" w:hAnsi="Times New Roman" w:cs="Times New Roman"/>
          <w:sz w:val="24"/>
          <w:szCs w:val="24"/>
        </w:rPr>
        <w:t>,</w:t>
      </w:r>
      <w:r w:rsidRPr="00DA2BFA">
        <w:rPr>
          <w:rFonts w:ascii="Times New Roman" w:hAnsi="Times New Roman" w:cs="Times New Roman"/>
          <w:sz w:val="24"/>
          <w:szCs w:val="24"/>
        </w:rPr>
        <w:t xml:space="preserve"> auparavant partagée par la majorité des juges des tribunaux de commerce, a été contestée tant par </w:t>
      </w:r>
      <w:r>
        <w:rPr>
          <w:rFonts w:ascii="Times New Roman" w:hAnsi="Times New Roman" w:cs="Times New Roman"/>
          <w:sz w:val="24"/>
          <w:szCs w:val="24"/>
        </w:rPr>
        <w:t>d</w:t>
      </w:r>
      <w:r w:rsidRPr="00DA2BFA">
        <w:rPr>
          <w:rFonts w:ascii="Times New Roman" w:hAnsi="Times New Roman" w:cs="Times New Roman"/>
          <w:sz w:val="24"/>
          <w:szCs w:val="24"/>
        </w:rPr>
        <w:t xml:space="preserve">es salariés que par le TGSS, générant une très forte incertitude juridique, jusqu’à ce que les </w:t>
      </w:r>
      <w:r>
        <w:rPr>
          <w:rFonts w:ascii="Times New Roman" w:hAnsi="Times New Roman" w:cs="Times New Roman"/>
          <w:sz w:val="24"/>
          <w:szCs w:val="24"/>
        </w:rPr>
        <w:t>c</w:t>
      </w:r>
      <w:r w:rsidRPr="00DA2BFA">
        <w:rPr>
          <w:rFonts w:ascii="Times New Roman" w:hAnsi="Times New Roman" w:cs="Times New Roman"/>
          <w:sz w:val="24"/>
          <w:szCs w:val="24"/>
        </w:rPr>
        <w:t>hambres du travail de diverses cours d’appel régionales (</w:t>
      </w:r>
      <w:r w:rsidRPr="00DA2BFA">
        <w:rPr>
          <w:rFonts w:ascii="Times New Roman" w:hAnsi="Times New Roman" w:cs="Times New Roman"/>
          <w:i/>
          <w:sz w:val="24"/>
          <w:szCs w:val="24"/>
        </w:rPr>
        <w:t>Tribunales Superiores de Justicia</w:t>
      </w:r>
      <w:r w:rsidRPr="00DA2BFA">
        <w:rPr>
          <w:rFonts w:ascii="Times New Roman" w:hAnsi="Times New Roman" w:cs="Times New Roman"/>
          <w:sz w:val="24"/>
          <w:szCs w:val="24"/>
        </w:rPr>
        <w:t xml:space="preserve"> ou TSJ) </w:t>
      </w:r>
      <w:r>
        <w:rPr>
          <w:rFonts w:ascii="Times New Roman" w:hAnsi="Times New Roman" w:cs="Times New Roman"/>
          <w:sz w:val="24"/>
          <w:szCs w:val="24"/>
        </w:rPr>
        <w:t>rendent</w:t>
      </w:r>
      <w:r w:rsidRPr="00DA2BFA">
        <w:rPr>
          <w:rFonts w:ascii="Times New Roman" w:hAnsi="Times New Roman" w:cs="Times New Roman"/>
          <w:sz w:val="24"/>
          <w:szCs w:val="24"/>
        </w:rPr>
        <w:t xml:space="preserve"> plusieurs arrêts apportant des clarifications à cet égard.</w:t>
      </w:r>
    </w:p>
    <w:p w:rsidR="005759EE" w:rsidRPr="002B58B4" w:rsidRDefault="005759EE" w:rsidP="005759EE">
      <w:pPr>
        <w:jc w:val="both"/>
        <w:rPr>
          <w:rFonts w:ascii="Times New Roman" w:hAnsi="Times New Roman" w:cs="Times New Roman"/>
          <w:sz w:val="24"/>
          <w:szCs w:val="24"/>
        </w:rPr>
      </w:pPr>
      <w:r w:rsidRPr="00DA2BFA">
        <w:rPr>
          <w:rFonts w:ascii="Times New Roman" w:hAnsi="Times New Roman" w:cs="Times New Roman"/>
          <w:b/>
          <w:sz w:val="24"/>
          <w:szCs w:val="24"/>
        </w:rPr>
        <w:t>Consolidation de la succession d’employeurs en 2017</w:t>
      </w:r>
      <w:r w:rsidRPr="002B58B4">
        <w:rPr>
          <w:rFonts w:ascii="Times New Roman" w:hAnsi="Times New Roman" w:cs="Times New Roman"/>
          <w:sz w:val="24"/>
          <w:szCs w:val="24"/>
        </w:rPr>
        <w:t xml:space="preserve"> </w:t>
      </w:r>
    </w:p>
    <w:p w:rsidR="005759EE" w:rsidRPr="002B58B4" w:rsidRDefault="005759EE" w:rsidP="005759EE">
      <w:pPr>
        <w:jc w:val="both"/>
        <w:rPr>
          <w:rFonts w:ascii="Times New Roman" w:hAnsi="Times New Roman" w:cs="Times New Roman"/>
          <w:sz w:val="24"/>
          <w:szCs w:val="24"/>
        </w:rPr>
      </w:pPr>
      <w:r w:rsidRPr="00DA2BFA">
        <w:rPr>
          <w:rFonts w:ascii="Times New Roman" w:hAnsi="Times New Roman" w:cs="Times New Roman"/>
          <w:sz w:val="24"/>
          <w:szCs w:val="24"/>
        </w:rPr>
        <w:t>S’agissant de la question sous-jacente, en 2017, les Chambres du travail de diverses cours d’appel régionales ont affirmé que, dans les situations régies par la nouvelle loi (c’est-à-dire dans les cas où la phase de liquidation de la procédure d’insolvabilité a été ouverte à partir du 26 mai 2015), l’article 44 de la loi espagnole sur les salariés s’appliquera en cas de cession d’une unité de production.</w:t>
      </w:r>
      <w:r w:rsidRPr="002B58B4">
        <w:rPr>
          <w:rFonts w:ascii="Times New Roman" w:hAnsi="Times New Roman" w:cs="Times New Roman"/>
          <w:sz w:val="24"/>
          <w:szCs w:val="24"/>
        </w:rPr>
        <w:t xml:space="preserve"> </w:t>
      </w:r>
      <w:r w:rsidRPr="00DA2BFA">
        <w:rPr>
          <w:rFonts w:ascii="Times New Roman" w:hAnsi="Times New Roman" w:cs="Times New Roman"/>
          <w:sz w:val="24"/>
          <w:szCs w:val="24"/>
        </w:rPr>
        <w:t xml:space="preserve">Cela signifie qu’il y a succession d’employeurs et que l’acquéreur de l’unité de production, par conséquent, devient conjointement et </w:t>
      </w:r>
      <w:r>
        <w:rPr>
          <w:rFonts w:ascii="Times New Roman" w:hAnsi="Times New Roman" w:cs="Times New Roman"/>
          <w:sz w:val="24"/>
          <w:szCs w:val="24"/>
        </w:rPr>
        <w:t>solidairement</w:t>
      </w:r>
      <w:r w:rsidRPr="00DA2BFA">
        <w:rPr>
          <w:rFonts w:ascii="Times New Roman" w:hAnsi="Times New Roman" w:cs="Times New Roman"/>
          <w:sz w:val="24"/>
          <w:szCs w:val="24"/>
        </w:rPr>
        <w:t xml:space="preserve"> responsable des dettes salariales et de sécurité sociale de l</w:t>
      </w:r>
      <w:r>
        <w:rPr>
          <w:rFonts w:ascii="Times New Roman" w:hAnsi="Times New Roman" w:cs="Times New Roman"/>
          <w:sz w:val="24"/>
          <w:szCs w:val="24"/>
        </w:rPr>
        <w:t xml:space="preserve">’entreprise </w:t>
      </w:r>
      <w:r w:rsidRPr="00DA2BFA">
        <w:rPr>
          <w:rFonts w:ascii="Times New Roman" w:hAnsi="Times New Roman" w:cs="Times New Roman"/>
          <w:sz w:val="24"/>
          <w:szCs w:val="24"/>
        </w:rPr>
        <w:t>insolvable vis-à-vis de tous les salariés (y compris de ceux qui font l’objet d’une subrogation, et des autres), en vertu des articles 146 bis.4 et 149.4 de la LI.</w:t>
      </w:r>
    </w:p>
    <w:p w:rsidR="005759EE" w:rsidRPr="002B58B4" w:rsidRDefault="005759EE" w:rsidP="005759EE">
      <w:pPr>
        <w:jc w:val="both"/>
        <w:rPr>
          <w:rFonts w:ascii="Times New Roman" w:hAnsi="Times New Roman" w:cs="Times New Roman"/>
          <w:sz w:val="24"/>
          <w:szCs w:val="24"/>
        </w:rPr>
      </w:pPr>
      <w:r>
        <w:rPr>
          <w:rFonts w:ascii="Times New Roman" w:hAnsi="Times New Roman" w:cs="Times New Roman"/>
          <w:sz w:val="24"/>
          <w:szCs w:val="24"/>
        </w:rPr>
        <w:t xml:space="preserve">Cette </w:t>
      </w:r>
      <w:r w:rsidRPr="00DA2BFA">
        <w:rPr>
          <w:rFonts w:ascii="Times New Roman" w:hAnsi="Times New Roman" w:cs="Times New Roman"/>
          <w:sz w:val="24"/>
          <w:szCs w:val="24"/>
        </w:rPr>
        <w:t>même conclusion se retrouve dans les décisions de la Chambre du travail du TSJ de Galice du 16 juin 2017 (appel n° 325/2017), de la Chambre du travail du TSJ d’Andalousie (Séville) du 22 juin 2017 (appel n° 2581/2016) et de la Chambre du travail du TSJ de Catalogne du 18 octobre 2017 (appel n° 4177/2017).</w:t>
      </w:r>
    </w:p>
    <w:p w:rsidR="005759EE" w:rsidRPr="002B58B4" w:rsidRDefault="005759EE" w:rsidP="005759EE">
      <w:pPr>
        <w:jc w:val="both"/>
        <w:rPr>
          <w:rFonts w:ascii="Times New Roman" w:hAnsi="Times New Roman" w:cs="Times New Roman"/>
          <w:sz w:val="24"/>
          <w:szCs w:val="24"/>
        </w:rPr>
      </w:pPr>
      <w:r w:rsidRPr="00DD42B3">
        <w:rPr>
          <w:rFonts w:ascii="Times New Roman" w:hAnsi="Times New Roman" w:cs="Times New Roman"/>
          <w:sz w:val="24"/>
          <w:szCs w:val="24"/>
        </w:rPr>
        <w:t>Cette dernière décision revêt une importance particulière, car elle contient une analyse de la façon dont les modifications apportées aux articles 146</w:t>
      </w:r>
      <w:r>
        <w:rPr>
          <w:rFonts w:ascii="Times New Roman" w:hAnsi="Times New Roman" w:cs="Times New Roman"/>
          <w:sz w:val="24"/>
          <w:szCs w:val="24"/>
        </w:rPr>
        <w:t> </w:t>
      </w:r>
      <w:r w:rsidRPr="00DD42B3">
        <w:rPr>
          <w:rFonts w:ascii="Times New Roman" w:hAnsi="Times New Roman" w:cs="Times New Roman"/>
          <w:sz w:val="24"/>
          <w:szCs w:val="24"/>
        </w:rPr>
        <w:t>bis et 149.4 de la LI, dans le cadre des récentes réformes législatives, ont constitué un revirement à 360 degrés sur ce point : alors que les plans de liquidation pouvaient auparavant limiter la responsabilité de l’acquéreur d’une unité de production en termes de dettes vis-à-vis des salariés et du TGSS, cette limitation n’est plus possible, car l’article 149.4 de la LI est une disposition obligatoire qui établit expressément l’existence d’une succession d’employeurs pour les questions de salaires et de charges sociales.</w:t>
      </w:r>
    </w:p>
    <w:p w:rsidR="005759EE" w:rsidRPr="002B58B4" w:rsidRDefault="005759EE" w:rsidP="005759EE">
      <w:pPr>
        <w:jc w:val="both"/>
        <w:rPr>
          <w:rFonts w:ascii="Times New Roman" w:hAnsi="Times New Roman" w:cs="Times New Roman"/>
          <w:sz w:val="24"/>
          <w:szCs w:val="24"/>
        </w:rPr>
      </w:pPr>
      <w:r w:rsidRPr="00DD42B3">
        <w:rPr>
          <w:rFonts w:ascii="Times New Roman" w:hAnsi="Times New Roman" w:cs="Times New Roman"/>
          <w:sz w:val="24"/>
          <w:szCs w:val="24"/>
        </w:rPr>
        <w:t>Enfin, il convient de noter que la Cour suprême espagnole (</w:t>
      </w:r>
      <w:r w:rsidRPr="00DD42B3">
        <w:rPr>
          <w:rFonts w:ascii="Times New Roman" w:hAnsi="Times New Roman" w:cs="Times New Roman"/>
          <w:i/>
          <w:sz w:val="24"/>
          <w:szCs w:val="24"/>
        </w:rPr>
        <w:t>Tribunal Supremo</w:t>
      </w:r>
      <w:r w:rsidRPr="00DD42B3">
        <w:rPr>
          <w:rFonts w:ascii="Times New Roman" w:hAnsi="Times New Roman" w:cs="Times New Roman"/>
          <w:sz w:val="24"/>
          <w:szCs w:val="24"/>
        </w:rPr>
        <w:t xml:space="preserve">) a arrêté que les </w:t>
      </w:r>
      <w:r>
        <w:rPr>
          <w:rFonts w:ascii="Times New Roman" w:hAnsi="Times New Roman" w:cs="Times New Roman"/>
          <w:sz w:val="24"/>
          <w:szCs w:val="24"/>
        </w:rPr>
        <w:t>t</w:t>
      </w:r>
      <w:r w:rsidRPr="00DD42B3">
        <w:rPr>
          <w:rFonts w:ascii="Times New Roman" w:hAnsi="Times New Roman" w:cs="Times New Roman"/>
          <w:sz w:val="24"/>
          <w:szCs w:val="24"/>
        </w:rPr>
        <w:t>ribunaux du travail régionaux d’Espagne (</w:t>
      </w:r>
      <w:r w:rsidRPr="00DD42B3">
        <w:rPr>
          <w:rFonts w:ascii="Times New Roman" w:hAnsi="Times New Roman" w:cs="Times New Roman"/>
          <w:i/>
          <w:sz w:val="24"/>
          <w:szCs w:val="24"/>
        </w:rPr>
        <w:t>Juzgados de lo Social</w:t>
      </w:r>
      <w:r w:rsidRPr="00DD42B3">
        <w:rPr>
          <w:rFonts w:ascii="Times New Roman" w:hAnsi="Times New Roman" w:cs="Times New Roman"/>
          <w:sz w:val="24"/>
          <w:szCs w:val="24"/>
        </w:rPr>
        <w:t xml:space="preserve">) avaient compétence pour statuer </w:t>
      </w:r>
      <w:r w:rsidRPr="00DD42B3">
        <w:rPr>
          <w:rFonts w:ascii="Times New Roman" w:hAnsi="Times New Roman" w:cs="Times New Roman"/>
          <w:sz w:val="24"/>
          <w:szCs w:val="24"/>
        </w:rPr>
        <w:lastRenderedPageBreak/>
        <w:t>sur l’existence d’une succession d’employeurs dans des circonstances impliquant la cession d’unités de production dans le cadre d’une procédure d’insolvabilité.</w:t>
      </w:r>
    </w:p>
    <w:p w:rsidR="005759EE" w:rsidRPr="002B58B4" w:rsidRDefault="005759EE" w:rsidP="005759EE">
      <w:pPr>
        <w:jc w:val="both"/>
        <w:rPr>
          <w:rFonts w:ascii="Times New Roman" w:hAnsi="Times New Roman" w:cs="Times New Roman"/>
          <w:b/>
          <w:sz w:val="24"/>
          <w:szCs w:val="24"/>
        </w:rPr>
      </w:pPr>
      <w:r w:rsidRPr="00DD42B3">
        <w:rPr>
          <w:rFonts w:ascii="Times New Roman" w:hAnsi="Times New Roman" w:cs="Times New Roman"/>
          <w:b/>
          <w:sz w:val="24"/>
          <w:szCs w:val="24"/>
        </w:rPr>
        <w:t>Répercussions de la nouvelle loi et de sa réforme pratique</w:t>
      </w:r>
    </w:p>
    <w:p w:rsidR="005759EE" w:rsidRPr="002B58B4" w:rsidRDefault="005759EE" w:rsidP="005759EE">
      <w:pPr>
        <w:jc w:val="both"/>
        <w:rPr>
          <w:rFonts w:ascii="Times New Roman" w:hAnsi="Times New Roman" w:cs="Times New Roman"/>
          <w:sz w:val="24"/>
          <w:szCs w:val="24"/>
        </w:rPr>
      </w:pPr>
      <w:r w:rsidRPr="0056368F">
        <w:rPr>
          <w:rFonts w:ascii="Times New Roman" w:hAnsi="Times New Roman" w:cs="Times New Roman"/>
          <w:sz w:val="24"/>
          <w:szCs w:val="24"/>
        </w:rPr>
        <w:t>La réforme introduite par la loi espagnole 9/2015 du 25 mai concernant la modification de la loi sur l’insolvabilité et ses interprétations ultérieures ont renforcé la succession d’employeurs en cas de cession d’unités de production dans le cadre d’une procédure d’insolvabilité.</w:t>
      </w:r>
      <w:r w:rsidRPr="002B58B4">
        <w:rPr>
          <w:rFonts w:ascii="Times New Roman" w:hAnsi="Times New Roman" w:cs="Times New Roman"/>
          <w:sz w:val="24"/>
          <w:szCs w:val="24"/>
        </w:rPr>
        <w:t xml:space="preserve"> </w:t>
      </w:r>
      <w:r w:rsidRPr="0056368F">
        <w:rPr>
          <w:rFonts w:ascii="Times New Roman" w:hAnsi="Times New Roman" w:cs="Times New Roman"/>
          <w:sz w:val="24"/>
          <w:szCs w:val="24"/>
        </w:rPr>
        <w:t xml:space="preserve">Cette nouvelle loi correspond à l’attribution d’un statut privilégié — que la LI n’établit pas par principe — à toutes les dettes </w:t>
      </w:r>
      <w:r>
        <w:rPr>
          <w:rFonts w:ascii="Times New Roman" w:hAnsi="Times New Roman" w:cs="Times New Roman"/>
          <w:sz w:val="24"/>
          <w:szCs w:val="24"/>
        </w:rPr>
        <w:t>correspondant</w:t>
      </w:r>
      <w:r w:rsidRPr="0056368F">
        <w:rPr>
          <w:rFonts w:ascii="Times New Roman" w:hAnsi="Times New Roman" w:cs="Times New Roman"/>
          <w:sz w:val="24"/>
          <w:szCs w:val="24"/>
        </w:rPr>
        <w:t xml:space="preserve"> aux salaires et aux charges sociales, puisque l’acquéreur sera obligé de les payer.</w:t>
      </w:r>
    </w:p>
    <w:p w:rsidR="005759EE" w:rsidRPr="002B58B4" w:rsidRDefault="005759EE" w:rsidP="005759EE">
      <w:pPr>
        <w:jc w:val="both"/>
        <w:rPr>
          <w:rFonts w:ascii="Times New Roman" w:hAnsi="Times New Roman" w:cs="Times New Roman"/>
          <w:sz w:val="24"/>
          <w:szCs w:val="24"/>
        </w:rPr>
      </w:pPr>
      <w:r w:rsidRPr="0056368F">
        <w:rPr>
          <w:rFonts w:ascii="Times New Roman" w:hAnsi="Times New Roman" w:cs="Times New Roman"/>
          <w:sz w:val="24"/>
          <w:szCs w:val="24"/>
        </w:rPr>
        <w:t>Plus important, cette nouvelle loi pourrait mettre en échec la cession d’unités de production, puisque ces décisions augmentent le montant que les parties intéressées par l’acquisition d’unités de production devront investir et risquent d’effrayer les acquéreurs potentiels, entraînant la disparition de l’entreprise insolvable à laquelle l’unité de production en question appartenait, et don</w:t>
      </w:r>
      <w:r>
        <w:rPr>
          <w:rFonts w:ascii="Times New Roman" w:hAnsi="Times New Roman" w:cs="Times New Roman"/>
          <w:sz w:val="24"/>
          <w:szCs w:val="24"/>
        </w:rPr>
        <w:t>c</w:t>
      </w:r>
      <w:r w:rsidRPr="0056368F">
        <w:rPr>
          <w:rFonts w:ascii="Times New Roman" w:hAnsi="Times New Roman" w:cs="Times New Roman"/>
          <w:sz w:val="24"/>
          <w:szCs w:val="24"/>
        </w:rPr>
        <w:t xml:space="preserve"> la perte de tous les emplois.</w:t>
      </w:r>
    </w:p>
    <w:p w:rsidR="005759EE" w:rsidRPr="00EB1078" w:rsidRDefault="005759EE" w:rsidP="005759EE">
      <w:pPr>
        <w:jc w:val="both"/>
        <w:rPr>
          <w:sz w:val="24"/>
        </w:rPr>
      </w:pPr>
      <w:r w:rsidRPr="00EB1078">
        <w:rPr>
          <w:rFonts w:ascii="Times New Roman" w:hAnsi="Times New Roman" w:cs="Times New Roman"/>
          <w:sz w:val="24"/>
          <w:szCs w:val="24"/>
        </w:rPr>
        <w:t>Par conséquent, l’approbation de la loi espagnole n° 9/2015 et ses interprétations ultérieures ont largement réduit les possibilités d’acquisition d’unités de production, car les acquéreurs sont contraints d’hériter des dettes en cours et passées envers les salariés et la Sécurité sociale.</w:t>
      </w:r>
      <w:r w:rsidRPr="002B58B4">
        <w:rPr>
          <w:rFonts w:ascii="Times New Roman" w:hAnsi="Times New Roman" w:cs="Times New Roman"/>
          <w:sz w:val="24"/>
          <w:szCs w:val="24"/>
        </w:rPr>
        <w:t xml:space="preserve"> </w:t>
      </w:r>
      <w:r w:rsidRPr="00EB1078">
        <w:rPr>
          <w:rFonts w:ascii="Times New Roman" w:hAnsi="Times New Roman" w:cs="Times New Roman"/>
          <w:sz w:val="24"/>
          <w:szCs w:val="24"/>
        </w:rPr>
        <w:t xml:space="preserve">Ce qui </w:t>
      </w:r>
      <w:r>
        <w:rPr>
          <w:rFonts w:ascii="Times New Roman" w:hAnsi="Times New Roman" w:cs="Times New Roman"/>
          <w:sz w:val="24"/>
          <w:szCs w:val="24"/>
        </w:rPr>
        <w:t>serait</w:t>
      </w:r>
      <w:r w:rsidRPr="00EB1078">
        <w:rPr>
          <w:rFonts w:ascii="Times New Roman" w:hAnsi="Times New Roman" w:cs="Times New Roman"/>
          <w:sz w:val="24"/>
          <w:szCs w:val="24"/>
        </w:rPr>
        <w:t xml:space="preserve"> le plus souhaitable, désormais, </w:t>
      </w:r>
      <w:r>
        <w:rPr>
          <w:rFonts w:ascii="Times New Roman" w:hAnsi="Times New Roman" w:cs="Times New Roman"/>
          <w:sz w:val="24"/>
          <w:szCs w:val="24"/>
        </w:rPr>
        <w:t>serait</w:t>
      </w:r>
      <w:r w:rsidRPr="00EB1078">
        <w:rPr>
          <w:rFonts w:ascii="Times New Roman" w:hAnsi="Times New Roman" w:cs="Times New Roman"/>
          <w:sz w:val="24"/>
          <w:szCs w:val="24"/>
        </w:rPr>
        <w:t xml:space="preserve"> que les législateurs comprennent enfin que la seule façon de préserver le tissu industriel du pays et les emplois qui y sont associés </w:t>
      </w:r>
      <w:r>
        <w:rPr>
          <w:rFonts w:ascii="Times New Roman" w:hAnsi="Times New Roman" w:cs="Times New Roman"/>
          <w:sz w:val="24"/>
          <w:szCs w:val="24"/>
        </w:rPr>
        <w:t>consiste à</w:t>
      </w:r>
      <w:r w:rsidRPr="00EB1078">
        <w:rPr>
          <w:rFonts w:ascii="Times New Roman" w:hAnsi="Times New Roman" w:cs="Times New Roman"/>
          <w:sz w:val="24"/>
          <w:szCs w:val="24"/>
        </w:rPr>
        <w:t xml:space="preserve"> réformer </w:t>
      </w:r>
      <w:r>
        <w:rPr>
          <w:rFonts w:ascii="Times New Roman" w:hAnsi="Times New Roman" w:cs="Times New Roman"/>
          <w:sz w:val="24"/>
          <w:szCs w:val="24"/>
        </w:rPr>
        <w:t>de</w:t>
      </w:r>
      <w:r w:rsidRPr="00EB1078">
        <w:rPr>
          <w:rFonts w:ascii="Times New Roman" w:hAnsi="Times New Roman" w:cs="Times New Roman"/>
          <w:sz w:val="24"/>
          <w:szCs w:val="24"/>
        </w:rPr>
        <w:t xml:space="preserve"> nouveau les articles 146 bis.4 et 149.4 de la loi espagnole sur l’insolvabilité, afin d’exprimer clairement et expressément que lorsque le transfert d’une unité de production intervient dans le cadre d’une procédure d’insolvabilité, il n’y a pas de succession d’employeurs, puisque ce type de cession est supervisé par le juge de l’insolvabilité et intervient dans le but de maintenir la viabilité des pôles opérationnels.</w:t>
      </w:r>
    </w:p>
    <w:p w:rsidR="005759EE" w:rsidRPr="002B58B4" w:rsidRDefault="005759EE" w:rsidP="005759EE">
      <w:pPr>
        <w:jc w:val="both"/>
        <w:rPr>
          <w:rFonts w:ascii="Times New Roman" w:hAnsi="Times New Roman" w:cs="Times New Roman"/>
          <w:sz w:val="24"/>
          <w:szCs w:val="24"/>
        </w:rPr>
      </w:pPr>
      <w:r w:rsidRPr="00EB1078">
        <w:rPr>
          <w:rFonts w:ascii="Times New Roman" w:hAnsi="Times New Roman" w:cs="Times New Roman"/>
          <w:sz w:val="24"/>
          <w:szCs w:val="24"/>
        </w:rPr>
        <w:t>Bien que ces nouvelles réformes soient souhaitables, en attendant qu’elles soient effectuées, les parties qui souhaitent acquérir des unités de production devront analyser attentivement les dettes de l’entreprise insolvables correspondant aux salaires et aux charges sociales, de manière à adapter leurs offres à ces éventualités et éviter les mauvaises surprises après l’acquisition.</w:t>
      </w:r>
      <w:r w:rsidRPr="002B58B4">
        <w:rPr>
          <w:rFonts w:ascii="Times New Roman" w:hAnsi="Times New Roman" w:cs="Times New Roman"/>
          <w:sz w:val="24"/>
          <w:szCs w:val="24"/>
        </w:rPr>
        <w:t xml:space="preserve"> </w:t>
      </w:r>
    </w:p>
    <w:p w:rsidR="005759EE" w:rsidRPr="002B58B4" w:rsidRDefault="005759EE" w:rsidP="005759EE">
      <w:pPr>
        <w:jc w:val="both"/>
        <w:rPr>
          <w:rFonts w:ascii="Arial Narrow" w:hAnsi="Arial Narrow" w:cs="Times New Roman"/>
          <w:i/>
          <w:sz w:val="24"/>
          <w:szCs w:val="24"/>
        </w:rPr>
      </w:pPr>
      <w:r w:rsidRPr="00EB1078">
        <w:rPr>
          <w:rFonts w:ascii="Arial Narrow" w:hAnsi="Arial Narrow" w:cs="Times New Roman"/>
          <w:i/>
          <w:sz w:val="24"/>
          <w:szCs w:val="24"/>
        </w:rPr>
        <w:t>*Agustín Bou, associé, Jausus Legal (Espagne)</w:t>
      </w:r>
    </w:p>
    <w:p w:rsidR="003B5B5D" w:rsidRPr="003B5B5D" w:rsidRDefault="003B5B5D" w:rsidP="005759EE">
      <w:pPr>
        <w:suppressAutoHyphens/>
        <w:spacing w:after="0" w:line="240" w:lineRule="auto"/>
        <w:rPr>
          <w:rFonts w:ascii="Times New Roman" w:eastAsia="Times New Roman" w:hAnsi="Times New Roman" w:cs="Times New Roman"/>
          <w:sz w:val="24"/>
          <w:szCs w:val="24"/>
          <w:lang w:eastAsia="ar-SA"/>
        </w:rPr>
      </w:pPr>
    </w:p>
    <w:p w:rsidR="003B5B5D" w:rsidRPr="003B5B5D" w:rsidRDefault="003B5B5D" w:rsidP="003B5B5D">
      <w:pPr>
        <w:suppressAutoHyphens/>
        <w:spacing w:after="0" w:line="240" w:lineRule="auto"/>
        <w:jc w:val="center"/>
        <w:rPr>
          <w:rFonts w:ascii="Times New Roman" w:eastAsia="Times New Roman" w:hAnsi="Times New Roman" w:cs="Times New Roman"/>
          <w:sz w:val="24"/>
          <w:szCs w:val="24"/>
          <w:lang w:eastAsia="ar-SA"/>
        </w:rPr>
      </w:pPr>
      <w:r w:rsidRPr="003B5B5D">
        <w:rPr>
          <w:rFonts w:ascii="Times New Roman" w:eastAsia="Times New Roman" w:hAnsi="Times New Roman" w:cs="Times New Roman"/>
          <w:sz w:val="24"/>
          <w:szCs w:val="24"/>
          <w:lang w:eastAsia="ar-SA"/>
        </w:rPr>
        <w:t>x  x x</w:t>
      </w:r>
    </w:p>
    <w:p w:rsidR="003B5B5D" w:rsidRPr="003B5B5D" w:rsidRDefault="003B5B5D" w:rsidP="003B5B5D">
      <w:pPr>
        <w:suppressAutoHyphens/>
        <w:spacing w:after="0" w:line="240" w:lineRule="auto"/>
        <w:jc w:val="center"/>
        <w:rPr>
          <w:rFonts w:ascii="Times New Roman" w:eastAsia="Times New Roman" w:hAnsi="Times New Roman" w:cs="Times New Roman"/>
          <w:sz w:val="24"/>
          <w:szCs w:val="24"/>
          <w:lang w:eastAsia="ar-SA"/>
        </w:rPr>
      </w:pPr>
      <w:r w:rsidRPr="003B5B5D">
        <w:rPr>
          <w:rFonts w:ascii="Times New Roman" w:eastAsia="Times New Roman" w:hAnsi="Times New Roman" w:cs="Times New Roman"/>
          <w:sz w:val="24"/>
          <w:szCs w:val="24"/>
          <w:lang w:eastAsia="ar-SA"/>
        </w:rPr>
        <w:t>x</w:t>
      </w:r>
    </w:p>
    <w:p w:rsidR="003B5B5D" w:rsidRPr="003B5B5D" w:rsidRDefault="003B5B5D" w:rsidP="003B5B5D">
      <w:pPr>
        <w:suppressAutoHyphens/>
        <w:spacing w:after="0" w:line="240" w:lineRule="auto"/>
        <w:jc w:val="both"/>
        <w:rPr>
          <w:rFonts w:ascii="Arial Narrow" w:eastAsia="Times New Roman" w:hAnsi="Arial Narrow" w:cs="Times New Roman"/>
          <w:b/>
          <w:sz w:val="32"/>
          <w:szCs w:val="32"/>
          <w:lang w:eastAsia="ar-SA"/>
        </w:rPr>
      </w:pPr>
    </w:p>
    <w:p w:rsidR="00ED42FE" w:rsidRDefault="00ED42FE" w:rsidP="00C44D1B">
      <w:pPr>
        <w:spacing w:after="0" w:line="240" w:lineRule="auto"/>
        <w:jc w:val="both"/>
        <w:rPr>
          <w:rFonts w:ascii="Arial Narrow" w:hAnsi="Arial Narrow" w:cs="Times New Roman"/>
          <w:b/>
          <w:sz w:val="32"/>
          <w:szCs w:val="32"/>
        </w:rPr>
      </w:pPr>
    </w:p>
    <w:p w:rsidR="00ED42FE" w:rsidRDefault="00ED42FE" w:rsidP="00C44D1B">
      <w:pPr>
        <w:spacing w:after="0" w:line="240" w:lineRule="auto"/>
        <w:jc w:val="both"/>
        <w:rPr>
          <w:rFonts w:ascii="Arial Narrow" w:hAnsi="Arial Narrow" w:cs="Times New Roman"/>
          <w:b/>
          <w:sz w:val="32"/>
          <w:szCs w:val="32"/>
        </w:rPr>
      </w:pPr>
    </w:p>
    <w:p w:rsidR="00ED42FE" w:rsidRDefault="00ED42FE" w:rsidP="00C44D1B">
      <w:pPr>
        <w:spacing w:after="0" w:line="240" w:lineRule="auto"/>
        <w:jc w:val="both"/>
        <w:rPr>
          <w:rFonts w:ascii="Arial Narrow" w:hAnsi="Arial Narrow" w:cs="Times New Roman"/>
          <w:b/>
          <w:sz w:val="32"/>
          <w:szCs w:val="32"/>
        </w:rPr>
      </w:pPr>
    </w:p>
    <w:p w:rsidR="00C44D1B" w:rsidRPr="00405201" w:rsidRDefault="00C44D1B" w:rsidP="00C44D1B">
      <w:pPr>
        <w:spacing w:after="0" w:line="240" w:lineRule="auto"/>
        <w:jc w:val="both"/>
        <w:rPr>
          <w:rFonts w:ascii="Arial Narrow" w:hAnsi="Arial Narrow" w:cs="Times New Roman"/>
          <w:b/>
          <w:sz w:val="32"/>
          <w:szCs w:val="32"/>
        </w:rPr>
      </w:pPr>
      <w:r w:rsidRPr="00405201">
        <w:rPr>
          <w:rFonts w:ascii="Arial Narrow" w:hAnsi="Arial Narrow" w:cs="Times New Roman"/>
          <w:b/>
          <w:sz w:val="32"/>
          <w:szCs w:val="32"/>
        </w:rPr>
        <w:lastRenderedPageBreak/>
        <w:t>Finland</w:t>
      </w:r>
      <w:r w:rsidR="00377C4B">
        <w:rPr>
          <w:rFonts w:ascii="Arial Narrow" w:hAnsi="Arial Narrow" w:cs="Times New Roman"/>
          <w:b/>
          <w:sz w:val="32"/>
          <w:szCs w:val="32"/>
        </w:rPr>
        <w:t>e</w:t>
      </w:r>
    </w:p>
    <w:p w:rsidR="00C44D1B" w:rsidRPr="00405201" w:rsidRDefault="00C44D1B" w:rsidP="00C44D1B">
      <w:pPr>
        <w:spacing w:after="0" w:line="240" w:lineRule="auto"/>
        <w:jc w:val="center"/>
        <w:rPr>
          <w:rFonts w:ascii="Times New Roman" w:hAnsi="Times New Roman" w:cs="Times New Roman"/>
          <w:b/>
          <w:sz w:val="24"/>
          <w:szCs w:val="24"/>
        </w:rPr>
      </w:pPr>
    </w:p>
    <w:p w:rsidR="00C44D1B" w:rsidRPr="00405201" w:rsidRDefault="00C44D1B" w:rsidP="00C44D1B">
      <w:pPr>
        <w:spacing w:after="0" w:line="240" w:lineRule="auto"/>
        <w:jc w:val="center"/>
        <w:rPr>
          <w:rFonts w:ascii="Times New Roman" w:hAnsi="Times New Roman" w:cs="Times New Roman"/>
          <w:b/>
          <w:sz w:val="48"/>
          <w:szCs w:val="48"/>
        </w:rPr>
      </w:pPr>
      <w:r w:rsidRPr="00405201">
        <w:rPr>
          <w:rFonts w:ascii="Times New Roman" w:hAnsi="Times New Roman" w:cs="Times New Roman"/>
          <w:b/>
          <w:sz w:val="48"/>
          <w:szCs w:val="48"/>
        </w:rPr>
        <w:t>Finlande : Peaufinage d’un régime de l’insolvabilité déjà stable</w:t>
      </w:r>
    </w:p>
    <w:p w:rsidR="00C44D1B" w:rsidRPr="00405201" w:rsidRDefault="00C44D1B" w:rsidP="00C44D1B">
      <w:pPr>
        <w:jc w:val="center"/>
        <w:rPr>
          <w:rFonts w:ascii="Arial Narrow" w:hAnsi="Arial Narrow" w:cs="Times New Roman"/>
          <w:i/>
          <w:sz w:val="24"/>
          <w:szCs w:val="24"/>
        </w:rPr>
      </w:pPr>
      <w:r w:rsidRPr="004823FB">
        <w:rPr>
          <w:rFonts w:ascii="Arial Narrow" w:hAnsi="Arial Narrow" w:cs="Times New Roman"/>
          <w:i/>
          <w:sz w:val="24"/>
          <w:szCs w:val="24"/>
        </w:rPr>
        <w:t>Tuula Linna et Sami Uoti* nous présentent les récentes mises à jour et évolutions</w:t>
      </w:r>
    </w:p>
    <w:p w:rsidR="00C44D1B" w:rsidRPr="00AE58AA" w:rsidRDefault="00C44D1B" w:rsidP="00C44D1B">
      <w:pPr>
        <w:jc w:val="both"/>
        <w:rPr>
          <w:rFonts w:ascii="Times New Roman" w:hAnsi="Times New Roman" w:cs="Times New Roman"/>
          <w:b/>
          <w:sz w:val="24"/>
          <w:szCs w:val="24"/>
        </w:rPr>
      </w:pPr>
      <w:r w:rsidRPr="004823FB">
        <w:rPr>
          <w:rFonts w:ascii="Times New Roman" w:hAnsi="Times New Roman" w:cs="Times New Roman"/>
          <w:b/>
          <w:sz w:val="24"/>
          <w:szCs w:val="24"/>
        </w:rPr>
        <w:t>En Finlande, les procédures d’insolvabilité et d’exécution sont actuellement stables.</w:t>
      </w:r>
      <w:r w:rsidRPr="00AE58AA">
        <w:rPr>
          <w:rFonts w:ascii="Times New Roman" w:hAnsi="Times New Roman" w:cs="Times New Roman"/>
          <w:b/>
          <w:sz w:val="24"/>
          <w:szCs w:val="24"/>
        </w:rPr>
        <w:t xml:space="preserve"> </w:t>
      </w:r>
      <w:r w:rsidRPr="004823FB">
        <w:rPr>
          <w:rFonts w:ascii="Times New Roman" w:hAnsi="Times New Roman" w:cs="Times New Roman"/>
          <w:b/>
          <w:sz w:val="24"/>
          <w:szCs w:val="24"/>
        </w:rPr>
        <w:t xml:space="preserve">Dans l’ensemble, le régime de l’insolvabilité finlandais est </w:t>
      </w:r>
      <w:r>
        <w:rPr>
          <w:rFonts w:ascii="Times New Roman" w:hAnsi="Times New Roman" w:cs="Times New Roman"/>
          <w:b/>
          <w:sz w:val="24"/>
          <w:szCs w:val="24"/>
        </w:rPr>
        <w:t>très</w:t>
      </w:r>
      <w:r w:rsidRPr="004823FB">
        <w:rPr>
          <w:rFonts w:ascii="Times New Roman" w:hAnsi="Times New Roman" w:cs="Times New Roman"/>
          <w:b/>
          <w:sz w:val="24"/>
          <w:szCs w:val="24"/>
        </w:rPr>
        <w:t xml:space="preserve"> moderne, bien qu’il nécessite des ajustements mineurs.</w:t>
      </w:r>
    </w:p>
    <w:p w:rsidR="00C44D1B" w:rsidRPr="00AE58AA" w:rsidRDefault="00C44D1B" w:rsidP="00C44D1B">
      <w:pPr>
        <w:jc w:val="both"/>
        <w:rPr>
          <w:rFonts w:ascii="Times New Roman" w:hAnsi="Times New Roman" w:cs="Times New Roman"/>
          <w:sz w:val="24"/>
          <w:szCs w:val="24"/>
        </w:rPr>
      </w:pPr>
      <w:r w:rsidRPr="004823FB">
        <w:rPr>
          <w:rFonts w:ascii="Times New Roman" w:hAnsi="Times New Roman" w:cs="Times New Roman"/>
          <w:sz w:val="24"/>
          <w:szCs w:val="24"/>
        </w:rPr>
        <w:t xml:space="preserve">La législation sur l’insolvabilité regroupe trois </w:t>
      </w:r>
      <w:r>
        <w:rPr>
          <w:rFonts w:ascii="Times New Roman" w:hAnsi="Times New Roman" w:cs="Times New Roman"/>
          <w:sz w:val="24"/>
          <w:szCs w:val="24"/>
        </w:rPr>
        <w:t>textes</w:t>
      </w:r>
      <w:r w:rsidRPr="004823FB">
        <w:rPr>
          <w:rFonts w:ascii="Times New Roman" w:hAnsi="Times New Roman" w:cs="Times New Roman"/>
          <w:sz w:val="24"/>
          <w:szCs w:val="24"/>
        </w:rPr>
        <w:t> : la loi sur l’insolvabilité (120/2004), la loi sur la restructuration des entreprises (47/1993) et la loi sur l</w:t>
      </w:r>
      <w:r>
        <w:rPr>
          <w:rFonts w:ascii="Times New Roman" w:hAnsi="Times New Roman" w:cs="Times New Roman"/>
          <w:sz w:val="24"/>
          <w:szCs w:val="24"/>
        </w:rPr>
        <w:t xml:space="preserve">e désendettement des </w:t>
      </w:r>
      <w:r w:rsidRPr="004823FB">
        <w:rPr>
          <w:rFonts w:ascii="Times New Roman" w:hAnsi="Times New Roman" w:cs="Times New Roman"/>
          <w:sz w:val="24"/>
          <w:szCs w:val="24"/>
        </w:rPr>
        <w:t>particulier</w:t>
      </w:r>
      <w:r>
        <w:rPr>
          <w:rFonts w:ascii="Times New Roman" w:hAnsi="Times New Roman" w:cs="Times New Roman"/>
          <w:sz w:val="24"/>
          <w:szCs w:val="24"/>
        </w:rPr>
        <w:t>s</w:t>
      </w:r>
      <w:r w:rsidRPr="004823FB">
        <w:rPr>
          <w:rFonts w:ascii="Times New Roman" w:hAnsi="Times New Roman" w:cs="Times New Roman"/>
          <w:sz w:val="24"/>
          <w:szCs w:val="24"/>
        </w:rPr>
        <w:t xml:space="preserve"> (57/1993).</w:t>
      </w:r>
      <w:r w:rsidRPr="00AE58AA">
        <w:rPr>
          <w:rFonts w:ascii="Times New Roman" w:hAnsi="Times New Roman" w:cs="Times New Roman"/>
          <w:sz w:val="24"/>
          <w:szCs w:val="24"/>
        </w:rPr>
        <w:t xml:space="preserve"> </w:t>
      </w:r>
      <w:r w:rsidRPr="004823FB">
        <w:rPr>
          <w:rFonts w:ascii="Times New Roman" w:hAnsi="Times New Roman" w:cs="Times New Roman"/>
          <w:sz w:val="24"/>
          <w:szCs w:val="24"/>
        </w:rPr>
        <w:t xml:space="preserve">En outre, d’après le Code d’exécution (705/2007), les saisies et autres formes </w:t>
      </w:r>
      <w:r>
        <w:rPr>
          <w:rFonts w:ascii="Times New Roman" w:hAnsi="Times New Roman" w:cs="Times New Roman"/>
          <w:sz w:val="24"/>
          <w:szCs w:val="24"/>
        </w:rPr>
        <w:t xml:space="preserve">de mesures </w:t>
      </w:r>
      <w:r w:rsidRPr="004823FB">
        <w:rPr>
          <w:rFonts w:ascii="Times New Roman" w:hAnsi="Times New Roman" w:cs="Times New Roman"/>
          <w:sz w:val="24"/>
          <w:szCs w:val="24"/>
        </w:rPr>
        <w:t>d’exécution civile doivent être effectuées par des huissiers de justice.</w:t>
      </w:r>
    </w:p>
    <w:p w:rsidR="00C44D1B" w:rsidRPr="00AE58AA" w:rsidRDefault="00C44D1B" w:rsidP="00C44D1B">
      <w:pPr>
        <w:jc w:val="both"/>
        <w:rPr>
          <w:rFonts w:ascii="Times New Roman" w:hAnsi="Times New Roman" w:cs="Times New Roman"/>
          <w:sz w:val="24"/>
          <w:szCs w:val="24"/>
        </w:rPr>
      </w:pPr>
      <w:r w:rsidRPr="007F5A26">
        <w:rPr>
          <w:rFonts w:ascii="Times New Roman" w:hAnsi="Times New Roman" w:cs="Times New Roman"/>
          <w:sz w:val="24"/>
          <w:szCs w:val="24"/>
        </w:rPr>
        <w:t>Le régime de l’insolvabilité finlandais ne prévoit pas de procédures communes ; ainsi, la procédure d’insolvabilité la plus adaptée doit être choisie lors de l’étape d’ouverture, au cas par cas.</w:t>
      </w:r>
      <w:r w:rsidRPr="00AE58AA">
        <w:rPr>
          <w:rFonts w:ascii="Times New Roman" w:hAnsi="Times New Roman" w:cs="Times New Roman"/>
          <w:sz w:val="24"/>
          <w:szCs w:val="24"/>
        </w:rPr>
        <w:t xml:space="preserve"> </w:t>
      </w:r>
      <w:r w:rsidRPr="007F5A26">
        <w:rPr>
          <w:rFonts w:ascii="Times New Roman" w:hAnsi="Times New Roman" w:cs="Times New Roman"/>
          <w:sz w:val="24"/>
          <w:szCs w:val="24"/>
        </w:rPr>
        <w:t>Cela peut facilement entraîner des problèmes de cohérence et de coordination entre les différentes procédures (par ex., comment passer d’une liquidation à une restructuration et vice versa).</w:t>
      </w:r>
      <w:r w:rsidRPr="00AE58AA">
        <w:rPr>
          <w:rFonts w:ascii="Times New Roman" w:hAnsi="Times New Roman" w:cs="Times New Roman"/>
          <w:sz w:val="24"/>
          <w:szCs w:val="24"/>
        </w:rPr>
        <w:t xml:space="preserve"> </w:t>
      </w:r>
      <w:r w:rsidRPr="007F5A26">
        <w:rPr>
          <w:rFonts w:ascii="Times New Roman" w:hAnsi="Times New Roman" w:cs="Times New Roman"/>
          <w:sz w:val="24"/>
          <w:szCs w:val="24"/>
        </w:rPr>
        <w:t>En outre, le champ d’application de la loi sur le désendettement a été étendu aux entrepreneurs, ce qui devrait entraîner une augmentation du nombre de procédures.</w:t>
      </w:r>
    </w:p>
    <w:p w:rsidR="00C44D1B" w:rsidRPr="00AE58AA" w:rsidRDefault="00C44D1B" w:rsidP="00C44D1B">
      <w:pPr>
        <w:jc w:val="both"/>
        <w:rPr>
          <w:rFonts w:ascii="Times New Roman" w:hAnsi="Times New Roman" w:cs="Times New Roman"/>
          <w:sz w:val="24"/>
          <w:szCs w:val="24"/>
        </w:rPr>
      </w:pPr>
      <w:r w:rsidRPr="007F5A26">
        <w:rPr>
          <w:rFonts w:ascii="Times New Roman" w:hAnsi="Times New Roman" w:cs="Times New Roman"/>
          <w:sz w:val="24"/>
          <w:szCs w:val="24"/>
        </w:rPr>
        <w:t>En ce qui concerne la numérisation, les procédures d’exécution fonctionnent efficacement grâce à un système électronique national (ULJAS) et la majorité des biens saisis, biens immobiliers compris, sont vendus dans le cadre de ventes aux enchères en ligne.</w:t>
      </w:r>
      <w:r>
        <w:rPr>
          <w:rFonts w:ascii="Times New Roman" w:hAnsi="Times New Roman" w:cs="Times New Roman"/>
          <w:sz w:val="24"/>
          <w:szCs w:val="24"/>
        </w:rPr>
        <w:t xml:space="preserve"> De plus</w:t>
      </w:r>
      <w:r w:rsidRPr="007F5A26">
        <w:rPr>
          <w:rFonts w:ascii="Times New Roman" w:hAnsi="Times New Roman" w:cs="Times New Roman"/>
          <w:sz w:val="24"/>
          <w:szCs w:val="24"/>
        </w:rPr>
        <w:t>, un autre système électronique (KOSTI) a été lancé en 2015 pour aider les praticiens de l’insolvabilité et les créanciers dans le cadre des procédures d’insolvabilité et de restructuration.</w:t>
      </w:r>
      <w:r w:rsidRPr="00AE58AA">
        <w:rPr>
          <w:rFonts w:ascii="Times New Roman" w:hAnsi="Times New Roman" w:cs="Times New Roman"/>
          <w:sz w:val="24"/>
          <w:szCs w:val="24"/>
        </w:rPr>
        <w:t xml:space="preserve"> </w:t>
      </w:r>
      <w:r w:rsidRPr="007F5A26">
        <w:rPr>
          <w:rFonts w:ascii="Times New Roman" w:hAnsi="Times New Roman" w:cs="Times New Roman"/>
          <w:sz w:val="24"/>
          <w:szCs w:val="24"/>
        </w:rPr>
        <w:t>Toutefois, la numérisation n’a pas été mise en œuvre concernant le désendettement des particuliers.</w:t>
      </w:r>
      <w:r w:rsidRPr="00AE58AA">
        <w:rPr>
          <w:rFonts w:ascii="Times New Roman" w:hAnsi="Times New Roman" w:cs="Times New Roman"/>
          <w:sz w:val="24"/>
          <w:szCs w:val="24"/>
        </w:rPr>
        <w:t xml:space="preserve"> </w:t>
      </w:r>
      <w:r w:rsidRPr="007F5A26">
        <w:rPr>
          <w:rFonts w:ascii="Times New Roman" w:hAnsi="Times New Roman" w:cs="Times New Roman"/>
          <w:sz w:val="24"/>
          <w:szCs w:val="24"/>
        </w:rPr>
        <w:t xml:space="preserve">Des progrès devraient </w:t>
      </w:r>
      <w:r>
        <w:rPr>
          <w:rFonts w:ascii="Times New Roman" w:hAnsi="Times New Roman" w:cs="Times New Roman"/>
          <w:sz w:val="24"/>
          <w:szCs w:val="24"/>
        </w:rPr>
        <w:t>être faits</w:t>
      </w:r>
      <w:r w:rsidRPr="007F5A26">
        <w:rPr>
          <w:rFonts w:ascii="Times New Roman" w:hAnsi="Times New Roman" w:cs="Times New Roman"/>
          <w:sz w:val="24"/>
          <w:szCs w:val="24"/>
        </w:rPr>
        <w:t xml:space="preserve"> une fois que le service municipal de conseil en matière d’endettement passera sous la tute</w:t>
      </w:r>
      <w:r>
        <w:rPr>
          <w:rFonts w:ascii="Times New Roman" w:hAnsi="Times New Roman" w:cs="Times New Roman"/>
          <w:sz w:val="24"/>
          <w:szCs w:val="24"/>
        </w:rPr>
        <w:t>lle du m</w:t>
      </w:r>
      <w:r w:rsidRPr="007F5A26">
        <w:rPr>
          <w:rFonts w:ascii="Times New Roman" w:hAnsi="Times New Roman" w:cs="Times New Roman"/>
          <w:sz w:val="24"/>
          <w:szCs w:val="24"/>
        </w:rPr>
        <w:t>inistère de la Justice, début 2019.</w:t>
      </w:r>
    </w:p>
    <w:p w:rsidR="00C44D1B" w:rsidRPr="00AE58AA" w:rsidRDefault="00C44D1B" w:rsidP="00C44D1B">
      <w:pPr>
        <w:jc w:val="both"/>
        <w:rPr>
          <w:rFonts w:ascii="Times New Roman" w:hAnsi="Times New Roman" w:cs="Times New Roman"/>
          <w:sz w:val="24"/>
          <w:szCs w:val="24"/>
        </w:rPr>
      </w:pPr>
      <w:r w:rsidRPr="007F5A26">
        <w:rPr>
          <w:rFonts w:ascii="Times New Roman" w:hAnsi="Times New Roman" w:cs="Times New Roman"/>
          <w:b/>
          <w:sz w:val="24"/>
          <w:szCs w:val="24"/>
        </w:rPr>
        <w:t>Insolvabilité</w:t>
      </w:r>
      <w:r w:rsidRPr="00AE58AA">
        <w:rPr>
          <w:rFonts w:ascii="Times New Roman" w:hAnsi="Times New Roman" w:cs="Times New Roman"/>
          <w:sz w:val="24"/>
          <w:szCs w:val="24"/>
        </w:rPr>
        <w:t xml:space="preserve"> </w:t>
      </w:r>
    </w:p>
    <w:p w:rsidR="00C44D1B" w:rsidRPr="00AE58AA" w:rsidRDefault="00C44D1B" w:rsidP="00C44D1B">
      <w:pPr>
        <w:jc w:val="both"/>
        <w:rPr>
          <w:rFonts w:ascii="Times New Roman" w:hAnsi="Times New Roman" w:cs="Times New Roman"/>
          <w:sz w:val="24"/>
          <w:szCs w:val="24"/>
        </w:rPr>
      </w:pPr>
      <w:r w:rsidRPr="007F5A26">
        <w:rPr>
          <w:rFonts w:ascii="Times New Roman" w:hAnsi="Times New Roman" w:cs="Times New Roman"/>
          <w:sz w:val="24"/>
          <w:szCs w:val="24"/>
        </w:rPr>
        <w:t>Actuellement, sur délégation des ministères de la Justice et de l’Environnement, un groupe d’experts travaille sur le problème de l’« insolvabilité environnementale », pour savoir s</w:t>
      </w:r>
      <w:r>
        <w:rPr>
          <w:rFonts w:ascii="Times New Roman" w:hAnsi="Times New Roman" w:cs="Times New Roman"/>
          <w:sz w:val="24"/>
          <w:szCs w:val="24"/>
        </w:rPr>
        <w:t>’il incombe à</w:t>
      </w:r>
      <w:r w:rsidRPr="007F5A26">
        <w:rPr>
          <w:rFonts w:ascii="Times New Roman" w:hAnsi="Times New Roman" w:cs="Times New Roman"/>
          <w:sz w:val="24"/>
          <w:szCs w:val="24"/>
        </w:rPr>
        <w:t xml:space="preserve"> la masse de l’insolvabilité de nettoyer et d’éliminer la pollution environnementale.</w:t>
      </w:r>
      <w:r w:rsidRPr="00AE58AA">
        <w:rPr>
          <w:rFonts w:ascii="Times New Roman" w:hAnsi="Times New Roman" w:cs="Times New Roman"/>
          <w:sz w:val="24"/>
          <w:szCs w:val="24"/>
        </w:rPr>
        <w:t xml:space="preserve"> </w:t>
      </w:r>
      <w:r w:rsidRPr="007F5A26">
        <w:rPr>
          <w:rFonts w:ascii="Times New Roman" w:hAnsi="Times New Roman" w:cs="Times New Roman"/>
          <w:sz w:val="24"/>
          <w:szCs w:val="24"/>
        </w:rPr>
        <w:t xml:space="preserve">D’après </w:t>
      </w:r>
      <w:r>
        <w:rPr>
          <w:rFonts w:ascii="Times New Roman" w:hAnsi="Times New Roman" w:cs="Times New Roman"/>
          <w:sz w:val="24"/>
          <w:szCs w:val="24"/>
        </w:rPr>
        <w:t>l</w:t>
      </w:r>
      <w:r w:rsidRPr="007F5A26">
        <w:rPr>
          <w:rFonts w:ascii="Times New Roman" w:hAnsi="Times New Roman" w:cs="Times New Roman"/>
          <w:sz w:val="24"/>
          <w:szCs w:val="24"/>
        </w:rPr>
        <w:t>a lettre de mission (2015), l’une des tâches du groupe d’experts consiste à évaluer s’il conviendrait de légiférer sur les passifs environnementaux d’une masse de l’insolvabilité et, dans l’affirmative, sous quelle forme.</w:t>
      </w:r>
      <w:r w:rsidRPr="00AE58AA">
        <w:rPr>
          <w:rFonts w:ascii="Times New Roman" w:hAnsi="Times New Roman" w:cs="Times New Roman"/>
          <w:sz w:val="24"/>
          <w:szCs w:val="24"/>
        </w:rPr>
        <w:t xml:space="preserve"> </w:t>
      </w:r>
      <w:r w:rsidRPr="007F5A26">
        <w:rPr>
          <w:rFonts w:ascii="Times New Roman" w:hAnsi="Times New Roman" w:cs="Times New Roman"/>
          <w:sz w:val="24"/>
          <w:szCs w:val="24"/>
        </w:rPr>
        <w:t>Le groupe d’experts est aussi chargé d’étudier les différents types de risques environnementaux, ainsi que leur gravité et leur acuité.</w:t>
      </w:r>
    </w:p>
    <w:p w:rsidR="00C44D1B" w:rsidRPr="00AE58AA" w:rsidRDefault="00C44D1B" w:rsidP="00C44D1B">
      <w:pPr>
        <w:jc w:val="both"/>
        <w:rPr>
          <w:rFonts w:ascii="Times New Roman" w:hAnsi="Times New Roman" w:cs="Times New Roman"/>
          <w:sz w:val="24"/>
          <w:szCs w:val="24"/>
        </w:rPr>
      </w:pPr>
      <w:r w:rsidRPr="007F5A26">
        <w:rPr>
          <w:rFonts w:ascii="Times New Roman" w:hAnsi="Times New Roman" w:cs="Times New Roman"/>
          <w:sz w:val="24"/>
          <w:szCs w:val="24"/>
        </w:rPr>
        <w:lastRenderedPageBreak/>
        <w:t>De fait, soulignant le fait qu’il s’agit d’un problème d’actualité, la question de la responsabilité environnementale a récemment été soulevée dans une affaire dont avait été saisi</w:t>
      </w:r>
      <w:r>
        <w:rPr>
          <w:rFonts w:ascii="Times New Roman" w:hAnsi="Times New Roman" w:cs="Times New Roman"/>
          <w:sz w:val="24"/>
          <w:szCs w:val="24"/>
        </w:rPr>
        <w:t>e</w:t>
      </w:r>
      <w:r w:rsidRPr="007F5A26">
        <w:rPr>
          <w:rFonts w:ascii="Times New Roman" w:hAnsi="Times New Roman" w:cs="Times New Roman"/>
          <w:sz w:val="24"/>
          <w:szCs w:val="24"/>
        </w:rPr>
        <w:t xml:space="preserve"> la Cour administrative suprême de Finlande (KHO 2017:53), celle-ci ayant arrêté que la masse de l’insolvabilité </w:t>
      </w:r>
      <w:r>
        <w:rPr>
          <w:rFonts w:ascii="Times New Roman" w:hAnsi="Times New Roman" w:cs="Times New Roman"/>
          <w:sz w:val="24"/>
          <w:szCs w:val="24"/>
        </w:rPr>
        <w:t xml:space="preserve">était </w:t>
      </w:r>
      <w:r w:rsidRPr="007F5A26">
        <w:rPr>
          <w:rFonts w:ascii="Times New Roman" w:hAnsi="Times New Roman" w:cs="Times New Roman"/>
          <w:sz w:val="24"/>
          <w:szCs w:val="24"/>
        </w:rPr>
        <w:t>responsable du traitement des déchets dangereux, même si l’entreprise débitrice a</w:t>
      </w:r>
      <w:r>
        <w:rPr>
          <w:rFonts w:ascii="Times New Roman" w:hAnsi="Times New Roman" w:cs="Times New Roman"/>
          <w:sz w:val="24"/>
          <w:szCs w:val="24"/>
        </w:rPr>
        <w:t>vait</w:t>
      </w:r>
      <w:r w:rsidRPr="007F5A26">
        <w:rPr>
          <w:rFonts w:ascii="Times New Roman" w:hAnsi="Times New Roman" w:cs="Times New Roman"/>
          <w:sz w:val="24"/>
          <w:szCs w:val="24"/>
        </w:rPr>
        <w:t xml:space="preserve"> cessé ses activités.</w:t>
      </w:r>
      <w:r w:rsidRPr="00AE58AA">
        <w:rPr>
          <w:rFonts w:ascii="Times New Roman" w:hAnsi="Times New Roman" w:cs="Times New Roman"/>
          <w:sz w:val="24"/>
          <w:szCs w:val="24"/>
        </w:rPr>
        <w:t xml:space="preserve"> </w:t>
      </w:r>
      <w:r w:rsidRPr="007F5A26">
        <w:rPr>
          <w:rFonts w:ascii="Times New Roman" w:hAnsi="Times New Roman" w:cs="Times New Roman"/>
          <w:sz w:val="24"/>
          <w:szCs w:val="24"/>
        </w:rPr>
        <w:t xml:space="preserve">La </w:t>
      </w:r>
      <w:r>
        <w:rPr>
          <w:rFonts w:ascii="Times New Roman" w:hAnsi="Times New Roman" w:cs="Times New Roman"/>
          <w:sz w:val="24"/>
          <w:szCs w:val="24"/>
        </w:rPr>
        <w:t>C</w:t>
      </w:r>
      <w:r w:rsidRPr="007F5A26">
        <w:rPr>
          <w:rFonts w:ascii="Times New Roman" w:hAnsi="Times New Roman" w:cs="Times New Roman"/>
          <w:sz w:val="24"/>
          <w:szCs w:val="24"/>
        </w:rPr>
        <w:t>our a fait remarquer qu’il ne s’agissait pas d’une dette, mais d’une question de contrainte en vertu du droit administratif public.</w:t>
      </w:r>
    </w:p>
    <w:p w:rsidR="002275A1" w:rsidRPr="00ED42FE" w:rsidRDefault="00C44D1B" w:rsidP="00C44D1B">
      <w:pPr>
        <w:jc w:val="both"/>
        <w:rPr>
          <w:rFonts w:ascii="Times New Roman" w:hAnsi="Times New Roman" w:cs="Times New Roman"/>
          <w:sz w:val="24"/>
          <w:szCs w:val="24"/>
        </w:rPr>
      </w:pPr>
      <w:r w:rsidRPr="007F5A26">
        <w:rPr>
          <w:rFonts w:ascii="Times New Roman" w:hAnsi="Times New Roman" w:cs="Times New Roman"/>
          <w:sz w:val="24"/>
          <w:szCs w:val="24"/>
        </w:rPr>
        <w:t>Les travaux du groupe d’experts devraient se terminer fin mars 2018.</w:t>
      </w:r>
      <w:r w:rsidRPr="00AE58AA">
        <w:rPr>
          <w:rFonts w:ascii="Times New Roman" w:hAnsi="Times New Roman" w:cs="Times New Roman"/>
          <w:sz w:val="24"/>
          <w:szCs w:val="24"/>
        </w:rPr>
        <w:t xml:space="preserve"> </w:t>
      </w:r>
      <w:r w:rsidRPr="007F5A26">
        <w:rPr>
          <w:rFonts w:ascii="Times New Roman" w:hAnsi="Times New Roman" w:cs="Times New Roman"/>
          <w:sz w:val="24"/>
          <w:szCs w:val="24"/>
        </w:rPr>
        <w:t>S’ils donnent lieu à l’adoption d’une loi, la Finlande sera, à notre connaissance, l’un des seuls pays à s’être dotés d’une législation concernant les passifs environnementaux d’une masse de l’insolvabilité.</w:t>
      </w:r>
      <w:r w:rsidRPr="00AE58AA">
        <w:rPr>
          <w:rFonts w:ascii="Times New Roman" w:hAnsi="Times New Roman" w:cs="Times New Roman"/>
          <w:sz w:val="24"/>
          <w:szCs w:val="24"/>
        </w:rPr>
        <w:t xml:space="preserve"> </w:t>
      </w:r>
      <w:r w:rsidRPr="007F5A26">
        <w:rPr>
          <w:rFonts w:ascii="Times New Roman" w:hAnsi="Times New Roman" w:cs="Times New Roman"/>
          <w:sz w:val="24"/>
          <w:szCs w:val="24"/>
        </w:rPr>
        <w:t>En outre, le groupe d’experts évaluera l’efficacité des procédures d’insolvabilité.</w:t>
      </w:r>
      <w:r w:rsidRPr="00AE58AA">
        <w:rPr>
          <w:rFonts w:ascii="Times New Roman" w:hAnsi="Times New Roman" w:cs="Times New Roman"/>
          <w:sz w:val="24"/>
          <w:szCs w:val="24"/>
        </w:rPr>
        <w:t xml:space="preserve"> </w:t>
      </w:r>
      <w:r w:rsidRPr="007F5A26">
        <w:rPr>
          <w:rFonts w:ascii="Times New Roman" w:hAnsi="Times New Roman" w:cs="Times New Roman"/>
          <w:sz w:val="24"/>
          <w:szCs w:val="24"/>
        </w:rPr>
        <w:t xml:space="preserve">Actuellement, ces procédures sont considérées comme trop longues, particulièrement dans leurs étapes initiales, </w:t>
      </w:r>
      <w:r>
        <w:rPr>
          <w:rFonts w:ascii="Times New Roman" w:hAnsi="Times New Roman" w:cs="Times New Roman"/>
          <w:sz w:val="24"/>
          <w:szCs w:val="24"/>
        </w:rPr>
        <w:t>au cours desquelles</w:t>
      </w:r>
      <w:r w:rsidRPr="007F5A26">
        <w:rPr>
          <w:rFonts w:ascii="Times New Roman" w:hAnsi="Times New Roman" w:cs="Times New Roman"/>
          <w:sz w:val="24"/>
          <w:szCs w:val="24"/>
        </w:rPr>
        <w:t xml:space="preserve"> la charge de travail est considérée comme bien trop lourde, puisque près de 75 % des procédures d’insolvabilité ouvertes sont déchues en raison de l’insuffisance de fonds du débiteur.</w:t>
      </w:r>
    </w:p>
    <w:p w:rsidR="00C44D1B" w:rsidRPr="00AE58AA" w:rsidRDefault="00C44D1B" w:rsidP="00C44D1B">
      <w:pPr>
        <w:jc w:val="both"/>
        <w:rPr>
          <w:rFonts w:ascii="Times New Roman" w:hAnsi="Times New Roman" w:cs="Times New Roman"/>
          <w:sz w:val="24"/>
          <w:szCs w:val="24"/>
        </w:rPr>
      </w:pPr>
      <w:r w:rsidRPr="007F5A26">
        <w:rPr>
          <w:rFonts w:ascii="Times New Roman" w:hAnsi="Times New Roman" w:cs="Times New Roman"/>
          <w:b/>
          <w:sz w:val="24"/>
          <w:szCs w:val="24"/>
        </w:rPr>
        <w:t>Restructuration d’entreprises</w:t>
      </w:r>
      <w:r w:rsidRPr="00AE58AA">
        <w:rPr>
          <w:rFonts w:ascii="Times New Roman" w:hAnsi="Times New Roman" w:cs="Times New Roman"/>
          <w:b/>
          <w:sz w:val="24"/>
          <w:szCs w:val="24"/>
        </w:rPr>
        <w:t xml:space="preserve"> </w:t>
      </w:r>
    </w:p>
    <w:p w:rsidR="00C44D1B" w:rsidRPr="00AE58AA" w:rsidRDefault="00C44D1B" w:rsidP="00C44D1B">
      <w:pPr>
        <w:jc w:val="both"/>
        <w:rPr>
          <w:rFonts w:ascii="Times New Roman" w:hAnsi="Times New Roman" w:cs="Times New Roman"/>
          <w:sz w:val="24"/>
          <w:szCs w:val="24"/>
        </w:rPr>
      </w:pPr>
      <w:r w:rsidRPr="007F5A26">
        <w:rPr>
          <w:rFonts w:ascii="Times New Roman" w:hAnsi="Times New Roman" w:cs="Times New Roman"/>
          <w:sz w:val="24"/>
          <w:szCs w:val="24"/>
        </w:rPr>
        <w:t>La législation finlandaise en vigueur en matière de restructuration fonctionne assez efficacement.</w:t>
      </w:r>
      <w:r w:rsidRPr="00AE58AA">
        <w:rPr>
          <w:rFonts w:ascii="Times New Roman" w:hAnsi="Times New Roman" w:cs="Times New Roman"/>
          <w:sz w:val="24"/>
          <w:szCs w:val="24"/>
        </w:rPr>
        <w:t xml:space="preserve"> </w:t>
      </w:r>
      <w:r w:rsidRPr="007F5A26">
        <w:rPr>
          <w:rFonts w:ascii="Times New Roman" w:hAnsi="Times New Roman" w:cs="Times New Roman"/>
          <w:sz w:val="24"/>
          <w:szCs w:val="24"/>
        </w:rPr>
        <w:t>En Finlande, un pourcentage étonnamment haut de restructurations concerne des PME.</w:t>
      </w:r>
      <w:r w:rsidRPr="00AE58AA">
        <w:rPr>
          <w:rFonts w:ascii="Times New Roman" w:hAnsi="Times New Roman" w:cs="Times New Roman"/>
          <w:sz w:val="24"/>
          <w:szCs w:val="24"/>
        </w:rPr>
        <w:t xml:space="preserve"> </w:t>
      </w:r>
      <w:r w:rsidRPr="007F5A26">
        <w:rPr>
          <w:rFonts w:ascii="Times New Roman" w:hAnsi="Times New Roman" w:cs="Times New Roman"/>
          <w:sz w:val="24"/>
          <w:szCs w:val="24"/>
        </w:rPr>
        <w:t>Neuf tribunaux de district (sur vingt-sept) ont compétence pour statuer sur les affaires de restructuration.</w:t>
      </w:r>
      <w:r w:rsidRPr="00AE58AA">
        <w:rPr>
          <w:rFonts w:ascii="Times New Roman" w:hAnsi="Times New Roman" w:cs="Times New Roman"/>
          <w:sz w:val="24"/>
          <w:szCs w:val="24"/>
        </w:rPr>
        <w:t xml:space="preserve"> </w:t>
      </w:r>
      <w:r w:rsidRPr="007F5A26">
        <w:rPr>
          <w:rFonts w:ascii="Times New Roman" w:hAnsi="Times New Roman" w:cs="Times New Roman"/>
          <w:sz w:val="24"/>
          <w:szCs w:val="24"/>
        </w:rPr>
        <w:t>Toutefois, la capacité des juges de district à apprécier la viabilité d’une entreprise a parfois été remise en question.</w:t>
      </w:r>
    </w:p>
    <w:p w:rsidR="00C44D1B" w:rsidRPr="00AE58AA" w:rsidRDefault="00C44D1B" w:rsidP="00C44D1B">
      <w:pPr>
        <w:jc w:val="both"/>
        <w:rPr>
          <w:rFonts w:ascii="Times New Roman" w:hAnsi="Times New Roman" w:cs="Times New Roman"/>
          <w:sz w:val="24"/>
          <w:szCs w:val="24"/>
        </w:rPr>
      </w:pPr>
      <w:r w:rsidRPr="007F5A26">
        <w:rPr>
          <w:rFonts w:ascii="Times New Roman" w:hAnsi="Times New Roman" w:cs="Times New Roman"/>
          <w:sz w:val="24"/>
          <w:szCs w:val="24"/>
        </w:rPr>
        <w:t>Le ministère de la Justice a confié à un cabinet d’avocats la mission de préparer un rapport international sur les échanges de dettes contre des participations.</w:t>
      </w:r>
      <w:r w:rsidRPr="00AE58AA">
        <w:rPr>
          <w:rFonts w:ascii="Times New Roman" w:hAnsi="Times New Roman" w:cs="Times New Roman"/>
          <w:sz w:val="24"/>
          <w:szCs w:val="24"/>
        </w:rPr>
        <w:t xml:space="preserve"> </w:t>
      </w:r>
      <w:r w:rsidRPr="007F5A26">
        <w:rPr>
          <w:rFonts w:ascii="Times New Roman" w:hAnsi="Times New Roman" w:cs="Times New Roman"/>
          <w:sz w:val="24"/>
          <w:szCs w:val="24"/>
        </w:rPr>
        <w:t>Cette étude aura pour objet de fournir des informations aux décideurs politiques pour leur permettre d’estimer le besoin de réforme du régime finlandais concernant, d’une part, l’efficacité du marché obligataire et, d’autre part, la nécessité de protéger les intérêts des entreprises débitrices.</w:t>
      </w:r>
      <w:r w:rsidRPr="00AE58AA">
        <w:rPr>
          <w:rFonts w:ascii="Times New Roman" w:hAnsi="Times New Roman" w:cs="Times New Roman"/>
          <w:sz w:val="24"/>
          <w:szCs w:val="24"/>
        </w:rPr>
        <w:t xml:space="preserve"> </w:t>
      </w:r>
      <w:r w:rsidRPr="007F5A26">
        <w:rPr>
          <w:rFonts w:ascii="Times New Roman" w:hAnsi="Times New Roman" w:cs="Times New Roman"/>
          <w:sz w:val="24"/>
          <w:szCs w:val="24"/>
        </w:rPr>
        <w:t xml:space="preserve">Ces démarches vont de pair avec la proposition de directive de la Commission européenne concernant un cadre de restructuration préventif et </w:t>
      </w:r>
      <w:r>
        <w:rPr>
          <w:rFonts w:ascii="Times New Roman" w:hAnsi="Times New Roman" w:cs="Times New Roman"/>
          <w:sz w:val="24"/>
          <w:szCs w:val="24"/>
        </w:rPr>
        <w:t xml:space="preserve">avec </w:t>
      </w:r>
      <w:r w:rsidRPr="007F5A26">
        <w:rPr>
          <w:rFonts w:ascii="Times New Roman" w:hAnsi="Times New Roman" w:cs="Times New Roman"/>
          <w:sz w:val="24"/>
          <w:szCs w:val="24"/>
        </w:rPr>
        <w:t>les concordats.</w:t>
      </w:r>
    </w:p>
    <w:p w:rsidR="00C44D1B" w:rsidRPr="00AE58AA" w:rsidRDefault="00C44D1B" w:rsidP="00C44D1B">
      <w:pPr>
        <w:jc w:val="both"/>
        <w:rPr>
          <w:rFonts w:ascii="Times New Roman" w:hAnsi="Times New Roman" w:cs="Times New Roman"/>
          <w:sz w:val="24"/>
          <w:szCs w:val="24"/>
        </w:rPr>
      </w:pPr>
      <w:r w:rsidRPr="007F5A26">
        <w:rPr>
          <w:rFonts w:ascii="Times New Roman" w:hAnsi="Times New Roman" w:cs="Times New Roman"/>
          <w:sz w:val="24"/>
          <w:szCs w:val="24"/>
        </w:rPr>
        <w:t>Par ailleurs, le ministère de la Justice prépare lui-même une enquête internationale concernant l’endettement des entrepreneurs post-insolvabilité, qui cherchera à savoir s’il est nécessaire de faciliter l’effacement de dettes des anciens entrepreneurs dans le cadre d’une procédure de désendettement.</w:t>
      </w:r>
      <w:r w:rsidRPr="00AE58AA">
        <w:rPr>
          <w:rFonts w:ascii="Times New Roman" w:hAnsi="Times New Roman" w:cs="Times New Roman"/>
          <w:sz w:val="24"/>
          <w:szCs w:val="24"/>
        </w:rPr>
        <w:t xml:space="preserve"> </w:t>
      </w:r>
      <w:r w:rsidRPr="007F5A26">
        <w:rPr>
          <w:rFonts w:ascii="Times New Roman" w:hAnsi="Times New Roman" w:cs="Times New Roman"/>
          <w:sz w:val="24"/>
          <w:szCs w:val="24"/>
        </w:rPr>
        <w:t>La durée normale d’un plan de remboursement dans le cadre d’un désendettement est de trois ans ; toutefois, dans le cas où le débiteur ne peut pas effectuer de remboursements, sa durée est portée à cinq ans.</w:t>
      </w:r>
    </w:p>
    <w:p w:rsidR="00C44D1B" w:rsidRPr="00AE58AA" w:rsidRDefault="00C44D1B" w:rsidP="00C44D1B">
      <w:pPr>
        <w:jc w:val="both"/>
        <w:rPr>
          <w:rFonts w:ascii="Times New Roman" w:hAnsi="Times New Roman" w:cs="Times New Roman"/>
          <w:sz w:val="24"/>
          <w:szCs w:val="24"/>
        </w:rPr>
      </w:pPr>
      <w:r>
        <w:rPr>
          <w:rFonts w:ascii="Times New Roman" w:hAnsi="Times New Roman" w:cs="Times New Roman"/>
          <w:b/>
          <w:sz w:val="24"/>
          <w:szCs w:val="24"/>
        </w:rPr>
        <w:t>Système</w:t>
      </w:r>
      <w:r w:rsidRPr="007F5A26">
        <w:rPr>
          <w:rFonts w:ascii="Times New Roman" w:hAnsi="Times New Roman" w:cs="Times New Roman"/>
          <w:b/>
          <w:sz w:val="24"/>
          <w:szCs w:val="24"/>
        </w:rPr>
        <w:t xml:space="preserve"> d’exécution</w:t>
      </w:r>
      <w:r w:rsidRPr="00AE58AA">
        <w:rPr>
          <w:rFonts w:ascii="Times New Roman" w:hAnsi="Times New Roman" w:cs="Times New Roman"/>
          <w:sz w:val="24"/>
          <w:szCs w:val="24"/>
        </w:rPr>
        <w:t xml:space="preserve"> </w:t>
      </w:r>
    </w:p>
    <w:p w:rsidR="00C44D1B" w:rsidRPr="00AE58AA" w:rsidRDefault="00C44D1B" w:rsidP="00C44D1B">
      <w:pPr>
        <w:jc w:val="both"/>
        <w:rPr>
          <w:rFonts w:ascii="Times New Roman" w:hAnsi="Times New Roman" w:cs="Times New Roman"/>
          <w:sz w:val="24"/>
          <w:szCs w:val="24"/>
        </w:rPr>
      </w:pPr>
      <w:r w:rsidRPr="007F5A26">
        <w:rPr>
          <w:rFonts w:ascii="Times New Roman" w:hAnsi="Times New Roman" w:cs="Times New Roman"/>
          <w:sz w:val="24"/>
          <w:szCs w:val="24"/>
        </w:rPr>
        <w:t xml:space="preserve">Le </w:t>
      </w:r>
      <w:r>
        <w:rPr>
          <w:rFonts w:ascii="Times New Roman" w:hAnsi="Times New Roman" w:cs="Times New Roman"/>
          <w:sz w:val="24"/>
          <w:szCs w:val="24"/>
        </w:rPr>
        <w:t>système</w:t>
      </w:r>
      <w:r w:rsidRPr="007F5A26">
        <w:rPr>
          <w:rFonts w:ascii="Times New Roman" w:hAnsi="Times New Roman" w:cs="Times New Roman"/>
          <w:sz w:val="24"/>
          <w:szCs w:val="24"/>
        </w:rPr>
        <w:t xml:space="preserve"> d’exécution finlandais est considéré comme très effica</w:t>
      </w:r>
      <w:r>
        <w:rPr>
          <w:rFonts w:ascii="Times New Roman" w:hAnsi="Times New Roman" w:cs="Times New Roman"/>
          <w:sz w:val="24"/>
          <w:szCs w:val="24"/>
        </w:rPr>
        <w:t xml:space="preserve">ce, car il fonctionne comme un ensemble </w:t>
      </w:r>
      <w:r w:rsidRPr="007F5A26">
        <w:rPr>
          <w:rFonts w:ascii="Times New Roman" w:hAnsi="Times New Roman" w:cs="Times New Roman"/>
          <w:sz w:val="24"/>
          <w:szCs w:val="24"/>
        </w:rPr>
        <w:t>unique</w:t>
      </w:r>
      <w:r>
        <w:rPr>
          <w:rFonts w:ascii="Times New Roman" w:hAnsi="Times New Roman" w:cs="Times New Roman"/>
          <w:sz w:val="24"/>
          <w:szCs w:val="24"/>
        </w:rPr>
        <w:t>,</w:t>
      </w:r>
      <w:r w:rsidRPr="007F5A26">
        <w:rPr>
          <w:rFonts w:ascii="Times New Roman" w:hAnsi="Times New Roman" w:cs="Times New Roman"/>
          <w:sz w:val="24"/>
          <w:szCs w:val="24"/>
        </w:rPr>
        <w:t xml:space="preserve"> sur la base d’un système informatique commun.</w:t>
      </w:r>
      <w:r w:rsidRPr="00AE58AA">
        <w:rPr>
          <w:rFonts w:ascii="Times New Roman" w:hAnsi="Times New Roman" w:cs="Times New Roman"/>
          <w:sz w:val="24"/>
          <w:szCs w:val="24"/>
        </w:rPr>
        <w:t xml:space="preserve"> </w:t>
      </w:r>
      <w:r w:rsidRPr="007F5A26">
        <w:rPr>
          <w:rFonts w:ascii="Times New Roman" w:hAnsi="Times New Roman" w:cs="Times New Roman"/>
          <w:sz w:val="24"/>
          <w:szCs w:val="24"/>
        </w:rPr>
        <w:t xml:space="preserve">Les huissiers, agissant en qualité de mandataires, ont le pouvoir d’obtenir des informations sur la situation économique et les </w:t>
      </w:r>
      <w:r w:rsidRPr="007F5A26">
        <w:rPr>
          <w:rFonts w:ascii="Times New Roman" w:hAnsi="Times New Roman" w:cs="Times New Roman"/>
          <w:sz w:val="24"/>
          <w:szCs w:val="24"/>
        </w:rPr>
        <w:lastRenderedPageBreak/>
        <w:t>revenus des débiteurs, notamment en ayant accès à leurs comptes bancaires.</w:t>
      </w:r>
      <w:r w:rsidRPr="00AE58AA">
        <w:rPr>
          <w:rFonts w:ascii="Times New Roman" w:hAnsi="Times New Roman" w:cs="Times New Roman"/>
          <w:sz w:val="24"/>
          <w:szCs w:val="24"/>
        </w:rPr>
        <w:t xml:space="preserve"> </w:t>
      </w:r>
      <w:r w:rsidRPr="007F5A26">
        <w:rPr>
          <w:rFonts w:ascii="Times New Roman" w:hAnsi="Times New Roman" w:cs="Times New Roman"/>
          <w:sz w:val="24"/>
          <w:szCs w:val="24"/>
        </w:rPr>
        <w:t>Ils ont également le pouvoir d’annuler diverses constructions juridiques artificielles, notamment en « levant le voile de la personnalité juridique », surtout dans le cas où les débiteurs essaient de se soustraire aux mesures d’exécution.</w:t>
      </w:r>
    </w:p>
    <w:p w:rsidR="00C44D1B" w:rsidRPr="00AE58AA" w:rsidRDefault="00C44D1B" w:rsidP="00C44D1B">
      <w:pPr>
        <w:jc w:val="both"/>
        <w:rPr>
          <w:rFonts w:ascii="Times New Roman" w:hAnsi="Times New Roman" w:cs="Times New Roman"/>
          <w:sz w:val="24"/>
          <w:szCs w:val="24"/>
        </w:rPr>
      </w:pPr>
      <w:r w:rsidRPr="00D63DD0">
        <w:rPr>
          <w:rFonts w:ascii="Times New Roman" w:hAnsi="Times New Roman" w:cs="Times New Roman"/>
          <w:sz w:val="24"/>
          <w:szCs w:val="24"/>
        </w:rPr>
        <w:t>L’initiative de la Commission européenne, qui vise à développer des marchés secondaires pour les prêts non productifs et les actifs dévalorisés, ainsi qu’à protéger les créanciers gagistes contre la défaillance d’un emprunteur</w:t>
      </w:r>
      <w:r w:rsidRPr="00D63DD0">
        <w:rPr>
          <w:rStyle w:val="Appelnotedebasdep"/>
        </w:rPr>
        <w:footnoteReference w:id="36"/>
      </w:r>
      <w:r w:rsidRPr="00D63DD0">
        <w:rPr>
          <w:rFonts w:ascii="Times New Roman" w:hAnsi="Times New Roman" w:cs="Times New Roman"/>
          <w:sz w:val="24"/>
          <w:szCs w:val="24"/>
        </w:rPr>
        <w:t xml:space="preserve">, n’est pas pertinente pour la Finlande, puisque les huissiers ont normalement le pouvoir de vendre les gages et les biens immobiliers hypothéqués à un bon prix sans </w:t>
      </w:r>
      <w:r>
        <w:rPr>
          <w:rFonts w:ascii="Times New Roman" w:hAnsi="Times New Roman" w:cs="Times New Roman"/>
          <w:sz w:val="24"/>
          <w:szCs w:val="24"/>
        </w:rPr>
        <w:t>encourir</w:t>
      </w:r>
      <w:r w:rsidRPr="00D63DD0">
        <w:rPr>
          <w:rFonts w:ascii="Times New Roman" w:hAnsi="Times New Roman" w:cs="Times New Roman"/>
          <w:sz w:val="24"/>
          <w:szCs w:val="24"/>
        </w:rPr>
        <w:t xml:space="preserve"> de frais élevés.</w:t>
      </w:r>
      <w:r w:rsidRPr="00AE58AA">
        <w:rPr>
          <w:rFonts w:ascii="Times New Roman" w:hAnsi="Times New Roman" w:cs="Times New Roman"/>
          <w:sz w:val="24"/>
          <w:szCs w:val="24"/>
        </w:rPr>
        <w:t xml:space="preserve"> </w:t>
      </w:r>
      <w:r w:rsidRPr="00D63DD0">
        <w:rPr>
          <w:rFonts w:ascii="Times New Roman" w:hAnsi="Times New Roman" w:cs="Times New Roman"/>
          <w:sz w:val="24"/>
          <w:szCs w:val="24"/>
        </w:rPr>
        <w:t>À notre connaissance, les banques sont tout à fait satisfaites du système actuel.</w:t>
      </w:r>
    </w:p>
    <w:p w:rsidR="00C44D1B" w:rsidRPr="00AE58AA" w:rsidRDefault="00C44D1B" w:rsidP="00C44D1B">
      <w:pPr>
        <w:jc w:val="both"/>
        <w:rPr>
          <w:rFonts w:ascii="Times New Roman" w:hAnsi="Times New Roman" w:cs="Times New Roman"/>
          <w:sz w:val="24"/>
          <w:szCs w:val="24"/>
        </w:rPr>
      </w:pPr>
      <w:r w:rsidRPr="00D63DD0">
        <w:rPr>
          <w:rFonts w:ascii="Times New Roman" w:hAnsi="Times New Roman" w:cs="Times New Roman"/>
          <w:sz w:val="24"/>
          <w:szCs w:val="24"/>
        </w:rPr>
        <w:t xml:space="preserve">La Finlande prête une attention particulière à la protection des débiteurs, comme en témoignent les politiques concernant le </w:t>
      </w:r>
      <w:r w:rsidRPr="00D63DD0">
        <w:rPr>
          <w:rFonts w:ascii="Times New Roman" w:hAnsi="Times New Roman" w:cs="Times New Roman"/>
          <w:i/>
          <w:sz w:val="24"/>
          <w:szCs w:val="24"/>
        </w:rPr>
        <w:t>beneficium</w:t>
      </w:r>
      <w:r w:rsidRPr="00D63DD0">
        <w:rPr>
          <w:rFonts w:ascii="Times New Roman" w:hAnsi="Times New Roman" w:cs="Times New Roman"/>
          <w:sz w:val="24"/>
          <w:szCs w:val="24"/>
        </w:rPr>
        <w:t xml:space="preserve"> (biens exonérés du débiteur) et les mois d’exonération en cas de saisie des revenus.</w:t>
      </w:r>
      <w:r w:rsidRPr="00AE58AA">
        <w:rPr>
          <w:rFonts w:ascii="Times New Roman" w:hAnsi="Times New Roman" w:cs="Times New Roman"/>
          <w:sz w:val="24"/>
          <w:szCs w:val="24"/>
        </w:rPr>
        <w:t xml:space="preserve"> </w:t>
      </w:r>
      <w:r w:rsidRPr="00D63DD0">
        <w:rPr>
          <w:rFonts w:ascii="Times New Roman" w:hAnsi="Times New Roman" w:cs="Times New Roman"/>
          <w:sz w:val="24"/>
          <w:szCs w:val="24"/>
        </w:rPr>
        <w:t>En outre, une récente loi modificative a été promulguée pour promouvoir l’emploi des débiteurs en garantissant des « mois sans exécution » dans le cas où un débiteur obtient un emploi après une longue période de chômage.</w:t>
      </w:r>
    </w:p>
    <w:p w:rsidR="00C44D1B" w:rsidRPr="00AE58AA" w:rsidRDefault="00C44D1B" w:rsidP="00C44D1B">
      <w:pPr>
        <w:jc w:val="both"/>
        <w:rPr>
          <w:rFonts w:ascii="Times New Roman" w:hAnsi="Times New Roman" w:cs="Times New Roman"/>
          <w:sz w:val="24"/>
          <w:szCs w:val="24"/>
        </w:rPr>
      </w:pPr>
      <w:r w:rsidRPr="00D63DD0">
        <w:rPr>
          <w:rFonts w:ascii="Times New Roman" w:hAnsi="Times New Roman" w:cs="Times New Roman"/>
          <w:b/>
          <w:sz w:val="24"/>
          <w:szCs w:val="24"/>
        </w:rPr>
        <w:t>Conclusion</w:t>
      </w:r>
      <w:r w:rsidRPr="00AE58AA">
        <w:rPr>
          <w:rFonts w:ascii="Times New Roman" w:hAnsi="Times New Roman" w:cs="Times New Roman"/>
          <w:sz w:val="24"/>
          <w:szCs w:val="24"/>
        </w:rPr>
        <w:t xml:space="preserve"> </w:t>
      </w:r>
    </w:p>
    <w:p w:rsidR="00C44D1B" w:rsidRPr="00AE58AA" w:rsidRDefault="00C44D1B" w:rsidP="00C44D1B">
      <w:pPr>
        <w:jc w:val="both"/>
        <w:rPr>
          <w:rFonts w:ascii="Times New Roman" w:hAnsi="Times New Roman" w:cs="Times New Roman"/>
          <w:sz w:val="24"/>
          <w:szCs w:val="24"/>
        </w:rPr>
      </w:pPr>
      <w:r w:rsidRPr="00D63DD0">
        <w:rPr>
          <w:rFonts w:ascii="Times New Roman" w:hAnsi="Times New Roman" w:cs="Times New Roman"/>
          <w:sz w:val="24"/>
          <w:szCs w:val="24"/>
        </w:rPr>
        <w:t>Dans l’ensemble, le régime de l’insolvabilité finlandais fonctionne bien.</w:t>
      </w:r>
      <w:r w:rsidRPr="00AE58AA">
        <w:rPr>
          <w:rFonts w:ascii="Times New Roman" w:hAnsi="Times New Roman" w:cs="Times New Roman"/>
          <w:sz w:val="24"/>
          <w:szCs w:val="24"/>
        </w:rPr>
        <w:t xml:space="preserve"> </w:t>
      </w:r>
      <w:r w:rsidRPr="00D63DD0">
        <w:rPr>
          <w:rFonts w:ascii="Times New Roman" w:hAnsi="Times New Roman" w:cs="Times New Roman"/>
          <w:sz w:val="24"/>
          <w:szCs w:val="24"/>
        </w:rPr>
        <w:t xml:space="preserve">Toutefois, les cadres préventifs, tels que les procédures de pré-insolvabilité ou les concordats prévus par le droit des sociétés et de l’insolvabilité, ne sont pas aussi </w:t>
      </w:r>
      <w:r>
        <w:rPr>
          <w:rFonts w:ascii="Times New Roman" w:hAnsi="Times New Roman" w:cs="Times New Roman"/>
          <w:sz w:val="24"/>
          <w:szCs w:val="24"/>
        </w:rPr>
        <w:t>développés</w:t>
      </w:r>
      <w:r w:rsidRPr="00D63DD0">
        <w:rPr>
          <w:rFonts w:ascii="Times New Roman" w:hAnsi="Times New Roman" w:cs="Times New Roman"/>
          <w:sz w:val="24"/>
          <w:szCs w:val="24"/>
        </w:rPr>
        <w:t xml:space="preserve"> et nécessiteront une réforme.</w:t>
      </w:r>
      <w:r w:rsidRPr="00AE58AA">
        <w:rPr>
          <w:rFonts w:ascii="Times New Roman" w:hAnsi="Times New Roman" w:cs="Times New Roman"/>
          <w:sz w:val="24"/>
          <w:szCs w:val="24"/>
        </w:rPr>
        <w:t xml:space="preserve"> </w:t>
      </w:r>
      <w:r w:rsidRPr="00D63DD0">
        <w:rPr>
          <w:rFonts w:ascii="Times New Roman" w:hAnsi="Times New Roman" w:cs="Times New Roman"/>
          <w:sz w:val="24"/>
          <w:szCs w:val="24"/>
        </w:rPr>
        <w:t>Des débats concernant la responsabilité qui incombe aux dirigeants d’éviter l’insolvabilité d’une entreprise devraient également se tenir.</w:t>
      </w:r>
    </w:p>
    <w:p w:rsidR="00C44D1B" w:rsidRPr="00AE58AA" w:rsidRDefault="00C44D1B" w:rsidP="00C44D1B">
      <w:pPr>
        <w:jc w:val="both"/>
        <w:rPr>
          <w:rFonts w:ascii="Arial Narrow" w:hAnsi="Arial Narrow" w:cs="Times New Roman"/>
          <w:i/>
          <w:sz w:val="20"/>
          <w:szCs w:val="20"/>
        </w:rPr>
      </w:pPr>
      <w:r w:rsidRPr="00D63DD0">
        <w:rPr>
          <w:rFonts w:ascii="Arial Narrow" w:hAnsi="Arial Narrow" w:cs="Times New Roman"/>
          <w:i/>
          <w:sz w:val="20"/>
          <w:szCs w:val="20"/>
        </w:rPr>
        <w:t>*Tuula Linna est professeur de droit de la procédure à l’université de Helsinki et membre du groupe d’experts spécialistes de la restructuration et de l’insolvabilité mis en place par la Commission européenne ; Sami Uoti est associé au sein du cabinet HPP Attorneys Ltd et président du Conseil consultatif en matière d’insolvabilité.</w:t>
      </w:r>
    </w:p>
    <w:p w:rsidR="003B5B5D" w:rsidRPr="003B5B5D" w:rsidRDefault="003B5B5D" w:rsidP="003B5B5D">
      <w:pPr>
        <w:suppressAutoHyphens/>
        <w:spacing w:after="0" w:line="240" w:lineRule="auto"/>
        <w:jc w:val="both"/>
        <w:rPr>
          <w:rFonts w:ascii="Arial Narrow" w:eastAsia="Times New Roman" w:hAnsi="Arial Narrow" w:cs="Times New Roman"/>
          <w:b/>
          <w:sz w:val="32"/>
          <w:szCs w:val="32"/>
          <w:lang w:eastAsia="ar-SA"/>
        </w:rPr>
      </w:pPr>
    </w:p>
    <w:p w:rsidR="005759EE" w:rsidRPr="00C44D1B" w:rsidRDefault="00C44D1B" w:rsidP="00C44D1B">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x</w:t>
      </w:r>
      <w:r w:rsidRPr="00C44D1B">
        <w:rPr>
          <w:rFonts w:ascii="Times New Roman" w:eastAsia="Times New Roman" w:hAnsi="Times New Roman" w:cs="Times New Roman"/>
          <w:sz w:val="24"/>
          <w:szCs w:val="24"/>
          <w:lang w:eastAsia="ar-SA"/>
        </w:rPr>
        <w:t xml:space="preserve">  x  x</w:t>
      </w:r>
    </w:p>
    <w:p w:rsidR="00C44D1B" w:rsidRDefault="00C44D1B" w:rsidP="002275A1">
      <w:pPr>
        <w:suppressAutoHyphens/>
        <w:spacing w:after="0" w:line="240" w:lineRule="auto"/>
        <w:jc w:val="center"/>
        <w:rPr>
          <w:rFonts w:ascii="Arial Narrow" w:eastAsia="Times New Roman" w:hAnsi="Arial Narrow" w:cs="Times New Roman"/>
          <w:b/>
          <w:sz w:val="28"/>
          <w:szCs w:val="28"/>
          <w:lang w:eastAsia="ar-SA"/>
        </w:rPr>
      </w:pPr>
      <w:r w:rsidRPr="00C44D1B">
        <w:rPr>
          <w:rFonts w:ascii="Times New Roman" w:eastAsia="Times New Roman" w:hAnsi="Times New Roman" w:cs="Times New Roman"/>
          <w:sz w:val="24"/>
          <w:szCs w:val="24"/>
          <w:lang w:eastAsia="ar-SA"/>
        </w:rPr>
        <w:t>x</w:t>
      </w:r>
    </w:p>
    <w:p w:rsidR="002275A1" w:rsidRPr="002275A1" w:rsidRDefault="002275A1" w:rsidP="002275A1">
      <w:pPr>
        <w:suppressAutoHyphens/>
        <w:spacing w:after="0" w:line="240" w:lineRule="auto"/>
        <w:jc w:val="center"/>
        <w:rPr>
          <w:rFonts w:ascii="Arial Narrow" w:eastAsia="Times New Roman" w:hAnsi="Arial Narrow" w:cs="Times New Roman"/>
          <w:b/>
          <w:sz w:val="28"/>
          <w:szCs w:val="28"/>
          <w:lang w:eastAsia="ar-SA"/>
        </w:rPr>
      </w:pPr>
    </w:p>
    <w:p w:rsidR="00ED42FE" w:rsidRDefault="00ED42FE" w:rsidP="00C44D1B">
      <w:pPr>
        <w:jc w:val="both"/>
        <w:rPr>
          <w:rFonts w:ascii="Arial Narrow" w:hAnsi="Arial Narrow" w:cs="Times New Roman"/>
          <w:b/>
          <w:sz w:val="28"/>
          <w:szCs w:val="28"/>
        </w:rPr>
      </w:pPr>
    </w:p>
    <w:p w:rsidR="00ED42FE" w:rsidRDefault="00ED42FE" w:rsidP="00C44D1B">
      <w:pPr>
        <w:jc w:val="both"/>
        <w:rPr>
          <w:rFonts w:ascii="Arial Narrow" w:hAnsi="Arial Narrow" w:cs="Times New Roman"/>
          <w:b/>
          <w:sz w:val="28"/>
          <w:szCs w:val="28"/>
        </w:rPr>
      </w:pPr>
    </w:p>
    <w:p w:rsidR="00ED42FE" w:rsidRDefault="00ED42FE" w:rsidP="00C44D1B">
      <w:pPr>
        <w:jc w:val="both"/>
        <w:rPr>
          <w:rFonts w:ascii="Arial Narrow" w:hAnsi="Arial Narrow" w:cs="Times New Roman"/>
          <w:b/>
          <w:sz w:val="28"/>
          <w:szCs w:val="28"/>
        </w:rPr>
      </w:pPr>
    </w:p>
    <w:p w:rsidR="00ED42FE" w:rsidRDefault="00ED42FE" w:rsidP="00C44D1B">
      <w:pPr>
        <w:jc w:val="both"/>
        <w:rPr>
          <w:rFonts w:ascii="Arial Narrow" w:hAnsi="Arial Narrow" w:cs="Times New Roman"/>
          <w:b/>
          <w:sz w:val="28"/>
          <w:szCs w:val="28"/>
        </w:rPr>
      </w:pPr>
    </w:p>
    <w:p w:rsidR="00C44D1B" w:rsidRPr="003F1762" w:rsidRDefault="00C44D1B" w:rsidP="00C44D1B">
      <w:pPr>
        <w:jc w:val="both"/>
        <w:rPr>
          <w:rFonts w:ascii="Arial Narrow" w:hAnsi="Arial Narrow" w:cs="Times New Roman"/>
          <w:b/>
          <w:sz w:val="28"/>
          <w:szCs w:val="28"/>
        </w:rPr>
      </w:pPr>
      <w:r w:rsidRPr="003F1762">
        <w:rPr>
          <w:rFonts w:ascii="Arial Narrow" w:hAnsi="Arial Narrow" w:cs="Times New Roman"/>
          <w:b/>
          <w:sz w:val="28"/>
          <w:szCs w:val="28"/>
        </w:rPr>
        <w:lastRenderedPageBreak/>
        <w:t>Belgique</w:t>
      </w:r>
    </w:p>
    <w:p w:rsidR="00C44D1B" w:rsidRDefault="00C44D1B" w:rsidP="00C44D1B">
      <w:pPr>
        <w:spacing w:after="0" w:line="240" w:lineRule="auto"/>
        <w:jc w:val="center"/>
        <w:rPr>
          <w:rFonts w:ascii="Times New Roman" w:hAnsi="Times New Roman" w:cs="Times New Roman"/>
          <w:b/>
          <w:sz w:val="48"/>
          <w:szCs w:val="48"/>
        </w:rPr>
      </w:pPr>
      <w:r w:rsidRPr="003F1762">
        <w:rPr>
          <w:rFonts w:ascii="Times New Roman" w:hAnsi="Times New Roman" w:cs="Times New Roman"/>
          <w:b/>
          <w:sz w:val="48"/>
          <w:szCs w:val="48"/>
        </w:rPr>
        <w:t xml:space="preserve">Nouveau Code belge de l’insolvabilité : </w:t>
      </w:r>
    </w:p>
    <w:p w:rsidR="00C44D1B" w:rsidRPr="003F1762" w:rsidRDefault="00C44D1B" w:rsidP="00C44D1B">
      <w:pPr>
        <w:spacing w:after="0" w:line="240" w:lineRule="auto"/>
        <w:jc w:val="center"/>
        <w:rPr>
          <w:rFonts w:ascii="Times New Roman" w:hAnsi="Times New Roman" w:cs="Times New Roman"/>
          <w:b/>
          <w:sz w:val="32"/>
          <w:szCs w:val="32"/>
        </w:rPr>
      </w:pPr>
      <w:r w:rsidRPr="003F1762">
        <w:rPr>
          <w:rFonts w:ascii="Times New Roman" w:hAnsi="Times New Roman" w:cs="Times New Roman"/>
          <w:b/>
          <w:sz w:val="48"/>
          <w:szCs w:val="48"/>
        </w:rPr>
        <w:t>un pas vers le droit de</w:t>
      </w:r>
      <w:r w:rsidRPr="00020172">
        <w:rPr>
          <w:rFonts w:ascii="Times New Roman" w:hAnsi="Times New Roman" w:cs="Times New Roman"/>
          <w:b/>
          <w:sz w:val="32"/>
          <w:szCs w:val="32"/>
        </w:rPr>
        <w:t xml:space="preserve"> </w:t>
      </w:r>
      <w:r w:rsidRPr="003F1762">
        <w:rPr>
          <w:rFonts w:ascii="Times New Roman" w:hAnsi="Times New Roman" w:cs="Times New Roman"/>
          <w:b/>
          <w:sz w:val="48"/>
          <w:szCs w:val="48"/>
        </w:rPr>
        <w:t>demain</w:t>
      </w:r>
    </w:p>
    <w:p w:rsidR="00C44D1B" w:rsidRDefault="00C44D1B" w:rsidP="00C44D1B">
      <w:pPr>
        <w:spacing w:after="0" w:line="240" w:lineRule="auto"/>
        <w:jc w:val="center"/>
        <w:rPr>
          <w:rFonts w:ascii="Arial Narrow" w:hAnsi="Arial Narrow" w:cs="Times New Roman"/>
          <w:i/>
          <w:sz w:val="24"/>
        </w:rPr>
      </w:pPr>
      <w:r w:rsidRPr="00020172">
        <w:rPr>
          <w:rFonts w:ascii="Arial Narrow" w:hAnsi="Arial Narrow" w:cs="Times New Roman"/>
          <w:i/>
          <w:sz w:val="24"/>
        </w:rPr>
        <w:t xml:space="preserve">Réformes belges tendant à codifier et améliorer la législation en vigueur </w:t>
      </w:r>
    </w:p>
    <w:p w:rsidR="00C44D1B" w:rsidRDefault="00C44D1B" w:rsidP="00C44D1B">
      <w:pPr>
        <w:spacing w:after="0" w:line="240" w:lineRule="auto"/>
        <w:jc w:val="center"/>
        <w:rPr>
          <w:rFonts w:ascii="Arial Narrow" w:hAnsi="Arial Narrow" w:cs="Times New Roman"/>
          <w:i/>
          <w:sz w:val="24"/>
        </w:rPr>
      </w:pPr>
      <w:r w:rsidRPr="00020172">
        <w:rPr>
          <w:rFonts w:ascii="Arial Narrow" w:hAnsi="Arial Narrow" w:cs="Times New Roman"/>
          <w:i/>
          <w:sz w:val="24"/>
        </w:rPr>
        <w:t>conformément aux bonnes pratiques européennes</w:t>
      </w:r>
    </w:p>
    <w:p w:rsidR="00C44D1B" w:rsidRPr="00C44D1B" w:rsidRDefault="00C44D1B" w:rsidP="00C44D1B">
      <w:pPr>
        <w:spacing w:after="0" w:line="240" w:lineRule="auto"/>
        <w:jc w:val="center"/>
        <w:rPr>
          <w:rFonts w:ascii="Arial Narrow" w:hAnsi="Arial Narrow" w:cs="Times New Roman"/>
          <w:i/>
          <w:sz w:val="24"/>
        </w:rPr>
      </w:pPr>
    </w:p>
    <w:p w:rsidR="00C44D1B" w:rsidRPr="003F1762" w:rsidRDefault="00C44D1B" w:rsidP="00C44D1B">
      <w:pPr>
        <w:jc w:val="both"/>
        <w:rPr>
          <w:rFonts w:ascii="Times New Roman" w:hAnsi="Times New Roman" w:cs="Times New Roman"/>
          <w:b/>
          <w:sz w:val="24"/>
        </w:rPr>
      </w:pPr>
      <w:r w:rsidRPr="00020172">
        <w:rPr>
          <w:rFonts w:ascii="Times New Roman" w:hAnsi="Times New Roman" w:cs="Times New Roman"/>
          <w:b/>
          <w:sz w:val="24"/>
        </w:rPr>
        <w:t xml:space="preserve">Ces dernières années, les législateurs belges ont regroupé divers textes de loi régissant les entreprises </w:t>
      </w:r>
      <w:r>
        <w:rPr>
          <w:rFonts w:ascii="Times New Roman" w:hAnsi="Times New Roman" w:cs="Times New Roman"/>
          <w:b/>
          <w:sz w:val="24"/>
        </w:rPr>
        <w:t xml:space="preserve">en </w:t>
      </w:r>
      <w:r w:rsidRPr="00020172">
        <w:rPr>
          <w:rFonts w:ascii="Times New Roman" w:hAnsi="Times New Roman" w:cs="Times New Roman"/>
          <w:b/>
          <w:sz w:val="24"/>
        </w:rPr>
        <w:t>un instrument unique : le Code de droit économique (</w:t>
      </w:r>
      <w:r w:rsidRPr="00020172">
        <w:rPr>
          <w:rFonts w:ascii="Times New Roman" w:hAnsi="Times New Roman" w:cs="Times New Roman"/>
          <w:b/>
          <w:i/>
          <w:sz w:val="24"/>
        </w:rPr>
        <w:t>Wetboek van economisch recht</w:t>
      </w:r>
      <w:r w:rsidRPr="00020172">
        <w:rPr>
          <w:rFonts w:ascii="Times New Roman" w:hAnsi="Times New Roman" w:cs="Times New Roman"/>
          <w:b/>
          <w:sz w:val="24"/>
        </w:rPr>
        <w:t>).</w:t>
      </w:r>
      <w:r w:rsidRPr="003F1762">
        <w:rPr>
          <w:rFonts w:ascii="Times New Roman" w:hAnsi="Times New Roman" w:cs="Times New Roman"/>
          <w:b/>
          <w:sz w:val="24"/>
        </w:rPr>
        <w:t xml:space="preserve"> </w:t>
      </w:r>
      <w:r w:rsidRPr="00020172">
        <w:rPr>
          <w:rFonts w:ascii="Times New Roman" w:hAnsi="Times New Roman" w:cs="Times New Roman"/>
          <w:b/>
          <w:sz w:val="24"/>
        </w:rPr>
        <w:t>Le droit de l’insolvabilité n’a pas échappé à cette tendance.</w:t>
      </w:r>
    </w:p>
    <w:p w:rsidR="002275A1" w:rsidRPr="00ED42FE" w:rsidRDefault="00C44D1B" w:rsidP="00C44D1B">
      <w:pPr>
        <w:jc w:val="both"/>
        <w:rPr>
          <w:rFonts w:ascii="Times New Roman" w:hAnsi="Times New Roman" w:cs="Times New Roman"/>
          <w:sz w:val="24"/>
        </w:rPr>
      </w:pPr>
      <w:r w:rsidRPr="00020172">
        <w:rPr>
          <w:rFonts w:ascii="Times New Roman" w:hAnsi="Times New Roman" w:cs="Times New Roman"/>
          <w:sz w:val="24"/>
        </w:rPr>
        <w:t>À l’été 2017, le Parlement belge a promulgué le Livre XX du Code de droit économique, intitulé « Insolvabilité des entreprises » (le « Code de l’insolvabilité »).</w:t>
      </w:r>
      <w:r w:rsidRPr="003F1762">
        <w:rPr>
          <w:rFonts w:ascii="Times New Roman" w:hAnsi="Times New Roman" w:cs="Times New Roman"/>
          <w:sz w:val="24"/>
        </w:rPr>
        <w:t xml:space="preserve"> </w:t>
      </w:r>
      <w:r w:rsidRPr="00020172">
        <w:rPr>
          <w:rFonts w:ascii="Times New Roman" w:hAnsi="Times New Roman" w:cs="Times New Roman"/>
          <w:sz w:val="24"/>
        </w:rPr>
        <w:t>Ces nouvelles règles entreront en vigueur le 1</w:t>
      </w:r>
      <w:r w:rsidRPr="00020172">
        <w:rPr>
          <w:rFonts w:ascii="Times New Roman" w:hAnsi="Times New Roman" w:cs="Times New Roman"/>
          <w:sz w:val="24"/>
          <w:vertAlign w:val="superscript"/>
        </w:rPr>
        <w:t>er</w:t>
      </w:r>
      <w:r w:rsidRPr="00020172">
        <w:rPr>
          <w:rFonts w:ascii="Times New Roman" w:hAnsi="Times New Roman" w:cs="Times New Roman"/>
          <w:sz w:val="24"/>
        </w:rPr>
        <w:t xml:space="preserve"> mai 2018 et seront applicables aux procédures d’insolvabilité ouvertes après cette date.</w:t>
      </w:r>
      <w:r w:rsidRPr="003F1762">
        <w:rPr>
          <w:rFonts w:ascii="Times New Roman" w:hAnsi="Times New Roman" w:cs="Times New Roman"/>
          <w:sz w:val="24"/>
        </w:rPr>
        <w:t xml:space="preserve"> </w:t>
      </w:r>
      <w:r w:rsidRPr="00020172">
        <w:rPr>
          <w:rFonts w:ascii="Times New Roman" w:hAnsi="Times New Roman" w:cs="Times New Roman"/>
          <w:sz w:val="24"/>
        </w:rPr>
        <w:t>L’objectif premier du Code de l’insolvabilité est de centraliser et d’intégrer les règles existantes du droit belge de l’insolvabilité, qui se trouvaient auparavant dans la loi du 8 août 1997 sur les faillites et</w:t>
      </w:r>
      <w:r>
        <w:rPr>
          <w:rFonts w:ascii="Times New Roman" w:hAnsi="Times New Roman" w:cs="Times New Roman"/>
          <w:sz w:val="24"/>
        </w:rPr>
        <w:t xml:space="preserve"> dans</w:t>
      </w:r>
      <w:r w:rsidRPr="00020172">
        <w:rPr>
          <w:rFonts w:ascii="Times New Roman" w:hAnsi="Times New Roman" w:cs="Times New Roman"/>
          <w:sz w:val="24"/>
        </w:rPr>
        <w:t xml:space="preserve"> la loi du 31 janvier 2009 relative à la continuité des entreprises.</w:t>
      </w:r>
      <w:r w:rsidRPr="003F1762">
        <w:rPr>
          <w:rFonts w:ascii="Times New Roman" w:hAnsi="Times New Roman" w:cs="Times New Roman"/>
          <w:sz w:val="24"/>
        </w:rPr>
        <w:t xml:space="preserve"> </w:t>
      </w:r>
      <w:r>
        <w:rPr>
          <w:rFonts w:ascii="Times New Roman" w:hAnsi="Times New Roman" w:cs="Times New Roman"/>
          <w:sz w:val="24"/>
        </w:rPr>
        <w:t>Le second</w:t>
      </w:r>
      <w:r w:rsidRPr="00020172">
        <w:rPr>
          <w:rFonts w:ascii="Times New Roman" w:hAnsi="Times New Roman" w:cs="Times New Roman"/>
          <w:sz w:val="24"/>
        </w:rPr>
        <w:t xml:space="preserve"> objectif est de moderniser la procédure d’insolvabilité.</w:t>
      </w:r>
      <w:r w:rsidRPr="003F1762">
        <w:rPr>
          <w:rFonts w:ascii="Times New Roman" w:hAnsi="Times New Roman" w:cs="Times New Roman"/>
          <w:sz w:val="24"/>
        </w:rPr>
        <w:t xml:space="preserve"> </w:t>
      </w:r>
      <w:r w:rsidRPr="00020172">
        <w:rPr>
          <w:rFonts w:ascii="Times New Roman" w:hAnsi="Times New Roman" w:cs="Times New Roman"/>
          <w:sz w:val="24"/>
        </w:rPr>
        <w:t>Certaines des nouvelles dispositions du Code de l’insolvabilité sont présentées ci-dessous.</w:t>
      </w:r>
    </w:p>
    <w:p w:rsidR="00C44D1B" w:rsidRPr="003F1762" w:rsidRDefault="00C44D1B" w:rsidP="00C44D1B">
      <w:pPr>
        <w:jc w:val="both"/>
        <w:rPr>
          <w:rFonts w:ascii="Times New Roman" w:hAnsi="Times New Roman" w:cs="Times New Roman"/>
          <w:b/>
          <w:sz w:val="24"/>
        </w:rPr>
      </w:pPr>
      <w:r w:rsidRPr="00020172">
        <w:rPr>
          <w:rFonts w:ascii="Times New Roman" w:hAnsi="Times New Roman" w:cs="Times New Roman"/>
          <w:b/>
          <w:sz w:val="24"/>
        </w:rPr>
        <w:t>« Entreprise » plutôt que « commerçant »</w:t>
      </w:r>
    </w:p>
    <w:p w:rsidR="00C44D1B" w:rsidRPr="003F1762" w:rsidRDefault="00C44D1B" w:rsidP="00C44D1B">
      <w:pPr>
        <w:jc w:val="both"/>
        <w:rPr>
          <w:rFonts w:ascii="Times New Roman" w:hAnsi="Times New Roman" w:cs="Times New Roman"/>
          <w:sz w:val="24"/>
        </w:rPr>
      </w:pPr>
      <w:r w:rsidRPr="00020172">
        <w:rPr>
          <w:rFonts w:ascii="Times New Roman" w:hAnsi="Times New Roman" w:cs="Times New Roman"/>
          <w:sz w:val="24"/>
        </w:rPr>
        <w:t>Le changement le plus important introduit par le Code de l’insolvabilité est l’extension du champ d’application d</w:t>
      </w:r>
      <w:r>
        <w:rPr>
          <w:rFonts w:ascii="Times New Roman" w:hAnsi="Times New Roman" w:cs="Times New Roman"/>
          <w:sz w:val="24"/>
        </w:rPr>
        <w:t>es</w:t>
      </w:r>
      <w:r w:rsidRPr="00020172">
        <w:rPr>
          <w:rFonts w:ascii="Times New Roman" w:hAnsi="Times New Roman" w:cs="Times New Roman"/>
          <w:sz w:val="24"/>
        </w:rPr>
        <w:t xml:space="preserve"> procédure</w:t>
      </w:r>
      <w:r>
        <w:rPr>
          <w:rFonts w:ascii="Times New Roman" w:hAnsi="Times New Roman" w:cs="Times New Roman"/>
          <w:sz w:val="24"/>
        </w:rPr>
        <w:t>s</w:t>
      </w:r>
      <w:r w:rsidRPr="00020172">
        <w:rPr>
          <w:rFonts w:ascii="Times New Roman" w:hAnsi="Times New Roman" w:cs="Times New Roman"/>
          <w:sz w:val="24"/>
        </w:rPr>
        <w:t xml:space="preserve"> d’insolvabilité.</w:t>
      </w:r>
      <w:r w:rsidRPr="003F1762">
        <w:rPr>
          <w:rFonts w:ascii="Times New Roman" w:hAnsi="Times New Roman" w:cs="Times New Roman"/>
          <w:sz w:val="24"/>
        </w:rPr>
        <w:t xml:space="preserve"> </w:t>
      </w:r>
      <w:r w:rsidRPr="00020172">
        <w:rPr>
          <w:rFonts w:ascii="Times New Roman" w:hAnsi="Times New Roman" w:cs="Times New Roman"/>
          <w:sz w:val="24"/>
        </w:rPr>
        <w:t>Auparavant, ces procédures (plus particulièrement la faillite) n’étaient ouvertes qu’aux commerçants, concept juridique étroit datant du Code de commerce de 1807.</w:t>
      </w:r>
      <w:r w:rsidRPr="003F1762">
        <w:rPr>
          <w:rFonts w:ascii="Times New Roman" w:hAnsi="Times New Roman" w:cs="Times New Roman"/>
          <w:sz w:val="24"/>
        </w:rPr>
        <w:t xml:space="preserve"> </w:t>
      </w:r>
      <w:r w:rsidRPr="00020172">
        <w:rPr>
          <w:rFonts w:ascii="Times New Roman" w:hAnsi="Times New Roman" w:cs="Times New Roman"/>
          <w:sz w:val="24"/>
        </w:rPr>
        <w:t>Il était considéré que ce concept limité et à de nombreux égards obsolète ne reflétait plus les réalités commerciales et juridiques actuelles (</w:t>
      </w:r>
      <w:r>
        <w:rPr>
          <w:rFonts w:ascii="Times New Roman" w:hAnsi="Times New Roman" w:cs="Times New Roman"/>
          <w:sz w:val="24"/>
        </w:rPr>
        <w:t xml:space="preserve">tant </w:t>
      </w:r>
      <w:r w:rsidRPr="00020172">
        <w:rPr>
          <w:rFonts w:ascii="Times New Roman" w:hAnsi="Times New Roman" w:cs="Times New Roman"/>
          <w:sz w:val="24"/>
        </w:rPr>
        <w:t xml:space="preserve">belges </w:t>
      </w:r>
      <w:r>
        <w:rPr>
          <w:rFonts w:ascii="Times New Roman" w:hAnsi="Times New Roman" w:cs="Times New Roman"/>
          <w:sz w:val="24"/>
        </w:rPr>
        <w:t>qu’</w:t>
      </w:r>
      <w:r w:rsidRPr="00020172">
        <w:rPr>
          <w:rFonts w:ascii="Times New Roman" w:hAnsi="Times New Roman" w:cs="Times New Roman"/>
          <w:sz w:val="24"/>
        </w:rPr>
        <w:t>européennes).</w:t>
      </w:r>
      <w:r w:rsidRPr="003F1762">
        <w:rPr>
          <w:rFonts w:ascii="Times New Roman" w:hAnsi="Times New Roman" w:cs="Times New Roman"/>
          <w:sz w:val="24"/>
        </w:rPr>
        <w:t xml:space="preserve"> </w:t>
      </w:r>
      <w:r w:rsidRPr="00020172">
        <w:rPr>
          <w:rFonts w:ascii="Times New Roman" w:hAnsi="Times New Roman" w:cs="Times New Roman"/>
          <w:sz w:val="24"/>
        </w:rPr>
        <w:t>Le Code de l’insolvabilité remplace le concept de « commerçant » par celui d’« entreprise » (</w:t>
      </w:r>
      <w:r w:rsidRPr="00020172">
        <w:rPr>
          <w:rFonts w:ascii="Times New Roman" w:hAnsi="Times New Roman" w:cs="Times New Roman"/>
          <w:i/>
          <w:sz w:val="24"/>
        </w:rPr>
        <w:t>onderneming</w:t>
      </w:r>
      <w:r w:rsidRPr="00020172">
        <w:rPr>
          <w:rFonts w:ascii="Times New Roman" w:hAnsi="Times New Roman" w:cs="Times New Roman"/>
          <w:sz w:val="24"/>
        </w:rPr>
        <w:t>).</w:t>
      </w:r>
      <w:r w:rsidRPr="003F1762">
        <w:rPr>
          <w:rFonts w:ascii="Times New Roman" w:hAnsi="Times New Roman" w:cs="Times New Roman"/>
          <w:sz w:val="24"/>
        </w:rPr>
        <w:t xml:space="preserve"> </w:t>
      </w:r>
      <w:r w:rsidRPr="00020172">
        <w:rPr>
          <w:rFonts w:ascii="Times New Roman" w:hAnsi="Times New Roman" w:cs="Times New Roman"/>
          <w:sz w:val="24"/>
        </w:rPr>
        <w:t>Ce concept englobe la plupart des formes juridiques permettant d’exercer des activités économiques à titre indépendant.</w:t>
      </w:r>
      <w:r w:rsidRPr="003F1762">
        <w:rPr>
          <w:rFonts w:ascii="Times New Roman" w:hAnsi="Times New Roman" w:cs="Times New Roman"/>
          <w:sz w:val="24"/>
        </w:rPr>
        <w:t xml:space="preserve"> </w:t>
      </w:r>
      <w:r w:rsidRPr="00020172">
        <w:rPr>
          <w:rFonts w:ascii="Times New Roman" w:hAnsi="Times New Roman" w:cs="Times New Roman"/>
          <w:sz w:val="24"/>
        </w:rPr>
        <w:t>Ainsi, davantage d’opérateurs économiques seront soumis au droit de l’insolvabilité.</w:t>
      </w:r>
      <w:r w:rsidRPr="003F1762">
        <w:rPr>
          <w:rFonts w:ascii="Times New Roman" w:hAnsi="Times New Roman" w:cs="Times New Roman"/>
          <w:sz w:val="24"/>
        </w:rPr>
        <w:t xml:space="preserve"> </w:t>
      </w:r>
      <w:r w:rsidRPr="00020172">
        <w:rPr>
          <w:rFonts w:ascii="Times New Roman" w:hAnsi="Times New Roman" w:cs="Times New Roman"/>
          <w:sz w:val="24"/>
        </w:rPr>
        <w:t>Par exemple, les professions libérales (avocats</w:t>
      </w:r>
      <w:r>
        <w:rPr>
          <w:rFonts w:ascii="Times New Roman" w:hAnsi="Times New Roman" w:cs="Times New Roman"/>
          <w:sz w:val="24"/>
        </w:rPr>
        <w:t>,</w:t>
      </w:r>
      <w:r w:rsidRPr="00020172">
        <w:rPr>
          <w:rFonts w:ascii="Times New Roman" w:hAnsi="Times New Roman" w:cs="Times New Roman"/>
          <w:sz w:val="24"/>
        </w:rPr>
        <w:t xml:space="preserve"> architectes</w:t>
      </w:r>
      <w:r>
        <w:rPr>
          <w:rFonts w:ascii="Times New Roman" w:hAnsi="Times New Roman" w:cs="Times New Roman"/>
          <w:sz w:val="24"/>
        </w:rPr>
        <w:t>, etc.</w:t>
      </w:r>
      <w:r w:rsidRPr="00020172">
        <w:rPr>
          <w:rFonts w:ascii="Times New Roman" w:hAnsi="Times New Roman" w:cs="Times New Roman"/>
          <w:sz w:val="24"/>
        </w:rPr>
        <w:t>), les agriculteurs, les associations à but non lucratif et les organisations sans personnalité juridique (</w:t>
      </w:r>
      <w:r>
        <w:rPr>
          <w:rFonts w:ascii="Times New Roman" w:hAnsi="Times New Roman" w:cs="Times New Roman"/>
          <w:sz w:val="24"/>
        </w:rPr>
        <w:t>notamment</w:t>
      </w:r>
      <w:r w:rsidRPr="00020172">
        <w:rPr>
          <w:rFonts w:ascii="Times New Roman" w:hAnsi="Times New Roman" w:cs="Times New Roman"/>
          <w:sz w:val="24"/>
        </w:rPr>
        <w:t xml:space="preserve"> la société de droit commun / </w:t>
      </w:r>
      <w:r w:rsidRPr="00020172">
        <w:rPr>
          <w:rFonts w:ascii="Times New Roman" w:hAnsi="Times New Roman" w:cs="Times New Roman"/>
          <w:i/>
          <w:sz w:val="24"/>
        </w:rPr>
        <w:t>maatschap</w:t>
      </w:r>
      <w:r w:rsidRPr="00020172">
        <w:rPr>
          <w:rFonts w:ascii="Times New Roman" w:hAnsi="Times New Roman" w:cs="Times New Roman"/>
          <w:sz w:val="24"/>
        </w:rPr>
        <w:t>), qui étaient exclus de l’ancienne législation, entreront dans le champ d’application du nouveau code.</w:t>
      </w:r>
      <w:r w:rsidRPr="003F1762">
        <w:rPr>
          <w:rFonts w:ascii="Times New Roman" w:hAnsi="Times New Roman" w:cs="Times New Roman"/>
          <w:sz w:val="24"/>
        </w:rPr>
        <w:t xml:space="preserve"> </w:t>
      </w:r>
      <w:r w:rsidRPr="00020172">
        <w:rPr>
          <w:rFonts w:ascii="Times New Roman" w:hAnsi="Times New Roman" w:cs="Times New Roman"/>
          <w:sz w:val="24"/>
        </w:rPr>
        <w:t xml:space="preserve">Cela signifie qu’ils pourront être déclarés insolvables mais aussi qu’ils pourront </w:t>
      </w:r>
      <w:r>
        <w:rPr>
          <w:rFonts w:ascii="Times New Roman" w:hAnsi="Times New Roman" w:cs="Times New Roman"/>
          <w:sz w:val="24"/>
        </w:rPr>
        <w:t>faire l’objet</w:t>
      </w:r>
      <w:r w:rsidRPr="00020172">
        <w:rPr>
          <w:rFonts w:ascii="Times New Roman" w:hAnsi="Times New Roman" w:cs="Times New Roman"/>
          <w:sz w:val="24"/>
        </w:rPr>
        <w:t xml:space="preserve"> de procédures de réorganisation.</w:t>
      </w:r>
    </w:p>
    <w:p w:rsidR="00C44D1B" w:rsidRPr="003F1762" w:rsidRDefault="00C44D1B" w:rsidP="00C44D1B">
      <w:pPr>
        <w:jc w:val="both"/>
        <w:rPr>
          <w:rFonts w:ascii="Times New Roman" w:hAnsi="Times New Roman" w:cs="Times New Roman"/>
          <w:sz w:val="24"/>
        </w:rPr>
      </w:pPr>
      <w:r>
        <w:rPr>
          <w:rFonts w:ascii="Times New Roman" w:hAnsi="Times New Roman" w:cs="Times New Roman"/>
          <w:b/>
          <w:sz w:val="24"/>
        </w:rPr>
        <w:t>Informatisation</w:t>
      </w:r>
      <w:r w:rsidRPr="003F1762">
        <w:rPr>
          <w:rFonts w:ascii="Times New Roman" w:hAnsi="Times New Roman" w:cs="Times New Roman"/>
          <w:sz w:val="24"/>
        </w:rPr>
        <w:t xml:space="preserve"> </w:t>
      </w:r>
    </w:p>
    <w:p w:rsidR="00C44D1B" w:rsidRPr="003F1762" w:rsidRDefault="00C44D1B" w:rsidP="00C44D1B">
      <w:pPr>
        <w:jc w:val="both"/>
        <w:rPr>
          <w:rFonts w:ascii="Times New Roman" w:hAnsi="Times New Roman" w:cs="Times New Roman"/>
          <w:sz w:val="24"/>
        </w:rPr>
      </w:pPr>
      <w:r w:rsidRPr="00E71587">
        <w:rPr>
          <w:rFonts w:ascii="Times New Roman" w:hAnsi="Times New Roman" w:cs="Times New Roman"/>
          <w:sz w:val="24"/>
        </w:rPr>
        <w:t>Dans la continuité de l</w:t>
      </w:r>
      <w:r>
        <w:rPr>
          <w:rFonts w:ascii="Times New Roman" w:hAnsi="Times New Roman" w:cs="Times New Roman"/>
          <w:sz w:val="24"/>
        </w:rPr>
        <w:t>’informatisation</w:t>
      </w:r>
      <w:r w:rsidRPr="00E71587">
        <w:rPr>
          <w:rFonts w:ascii="Times New Roman" w:hAnsi="Times New Roman" w:cs="Times New Roman"/>
          <w:sz w:val="24"/>
        </w:rPr>
        <w:t xml:space="preserve"> en cours du corps judiciaire belge, le Code de l’insolvabilité vise à rendre les procédures d’insolvabilité entièrement numériques.</w:t>
      </w:r>
      <w:r w:rsidRPr="003F1762">
        <w:rPr>
          <w:rFonts w:ascii="Times New Roman" w:hAnsi="Times New Roman" w:cs="Times New Roman"/>
          <w:sz w:val="24"/>
        </w:rPr>
        <w:t xml:space="preserve"> </w:t>
      </w:r>
      <w:r w:rsidRPr="00E71587">
        <w:rPr>
          <w:rFonts w:ascii="Times New Roman" w:hAnsi="Times New Roman" w:cs="Times New Roman"/>
          <w:sz w:val="24"/>
        </w:rPr>
        <w:t xml:space="preserve">Dorénavant, toutes les informations relatives aux procédures d’insolvabilité seront regroupées dans un registre de solvabilité central en ligne, qui sera accessible aux magistrats, aux débiteurs, aux créanciers et à </w:t>
      </w:r>
      <w:r w:rsidRPr="00E71587">
        <w:rPr>
          <w:rFonts w:ascii="Times New Roman" w:hAnsi="Times New Roman" w:cs="Times New Roman"/>
          <w:sz w:val="24"/>
        </w:rPr>
        <w:lastRenderedPageBreak/>
        <w:t>leurs avocats.</w:t>
      </w:r>
      <w:r w:rsidRPr="003F1762">
        <w:rPr>
          <w:rFonts w:ascii="Times New Roman" w:hAnsi="Times New Roman" w:cs="Times New Roman"/>
          <w:sz w:val="24"/>
        </w:rPr>
        <w:t xml:space="preserve"> </w:t>
      </w:r>
      <w:r w:rsidRPr="00E71587">
        <w:rPr>
          <w:rFonts w:ascii="Times New Roman" w:hAnsi="Times New Roman" w:cs="Times New Roman"/>
          <w:sz w:val="24"/>
        </w:rPr>
        <w:t xml:space="preserve">Ce registre sera connecté aux registres des autres États membres, conformément à </w:t>
      </w:r>
      <w:r>
        <w:rPr>
          <w:rFonts w:ascii="Times New Roman" w:hAnsi="Times New Roman" w:cs="Times New Roman"/>
          <w:sz w:val="24"/>
        </w:rPr>
        <w:t xml:space="preserve">ce que prévoit </w:t>
      </w:r>
      <w:r w:rsidRPr="00E71587">
        <w:rPr>
          <w:rFonts w:ascii="Times New Roman" w:hAnsi="Times New Roman" w:cs="Times New Roman"/>
          <w:sz w:val="24"/>
        </w:rPr>
        <w:t>la refonte du règlement sur l’insolvabilité.</w:t>
      </w:r>
      <w:r w:rsidRPr="003F1762">
        <w:rPr>
          <w:rFonts w:ascii="Times New Roman" w:hAnsi="Times New Roman" w:cs="Times New Roman"/>
          <w:sz w:val="24"/>
        </w:rPr>
        <w:t xml:space="preserve"> </w:t>
      </w:r>
      <w:r w:rsidRPr="00E71587">
        <w:rPr>
          <w:rFonts w:ascii="Times New Roman" w:hAnsi="Times New Roman" w:cs="Times New Roman"/>
          <w:sz w:val="24"/>
        </w:rPr>
        <w:t>L’informatisation permettra non seulement de réduire le coût et la durée des procédures d’insolvabilité, mais également d’alléger la charge de travail du corps judiciaire et d’accroître la transparence.</w:t>
      </w:r>
    </w:p>
    <w:p w:rsidR="00C44D1B" w:rsidRPr="003F1762" w:rsidRDefault="00C44D1B" w:rsidP="00C44D1B">
      <w:pPr>
        <w:jc w:val="both"/>
        <w:rPr>
          <w:rFonts w:ascii="Times New Roman" w:hAnsi="Times New Roman" w:cs="Times New Roman"/>
          <w:b/>
          <w:sz w:val="24"/>
        </w:rPr>
      </w:pPr>
      <w:r w:rsidRPr="00E71587">
        <w:rPr>
          <w:rFonts w:ascii="Times New Roman" w:hAnsi="Times New Roman" w:cs="Times New Roman"/>
          <w:b/>
          <w:sz w:val="24"/>
        </w:rPr>
        <w:t>Renforcement des règles de « nouveau départ »</w:t>
      </w:r>
    </w:p>
    <w:p w:rsidR="002275A1" w:rsidRPr="00ED42FE" w:rsidRDefault="00C44D1B" w:rsidP="00C44D1B">
      <w:pPr>
        <w:jc w:val="both"/>
        <w:rPr>
          <w:rFonts w:ascii="Times New Roman" w:hAnsi="Times New Roman" w:cs="Times New Roman"/>
          <w:sz w:val="24"/>
        </w:rPr>
      </w:pPr>
      <w:r w:rsidRPr="00E71587">
        <w:rPr>
          <w:rFonts w:ascii="Times New Roman" w:hAnsi="Times New Roman" w:cs="Times New Roman"/>
          <w:sz w:val="24"/>
        </w:rPr>
        <w:t xml:space="preserve">Le Code de l’insolvabilité réforme </w:t>
      </w:r>
      <w:r>
        <w:rPr>
          <w:rFonts w:ascii="Times New Roman" w:hAnsi="Times New Roman" w:cs="Times New Roman"/>
          <w:sz w:val="24"/>
        </w:rPr>
        <w:t>par ailleurs</w:t>
      </w:r>
      <w:r w:rsidRPr="00E71587">
        <w:rPr>
          <w:rFonts w:ascii="Times New Roman" w:hAnsi="Times New Roman" w:cs="Times New Roman"/>
          <w:sz w:val="24"/>
        </w:rPr>
        <w:t xml:space="preserve"> les règles en matière de « nouveau départ ».</w:t>
      </w:r>
      <w:r w:rsidRPr="003F1762">
        <w:rPr>
          <w:rFonts w:ascii="Times New Roman" w:hAnsi="Times New Roman" w:cs="Times New Roman"/>
          <w:sz w:val="24"/>
        </w:rPr>
        <w:t xml:space="preserve"> </w:t>
      </w:r>
      <w:r w:rsidRPr="00E71587">
        <w:rPr>
          <w:rFonts w:ascii="Times New Roman" w:hAnsi="Times New Roman" w:cs="Times New Roman"/>
          <w:sz w:val="24"/>
        </w:rPr>
        <w:t>L’idée qui sous-tend ces règles est que l’insolvabilité ne devrait pas être un stigmate et que les personnes physiques endettées devraient bénéficier d’une vraie seconde chance pour recommencer à zéro.</w:t>
      </w:r>
      <w:r w:rsidRPr="003F1762">
        <w:rPr>
          <w:rFonts w:ascii="Times New Roman" w:hAnsi="Times New Roman" w:cs="Times New Roman"/>
          <w:sz w:val="24"/>
        </w:rPr>
        <w:t xml:space="preserve"> </w:t>
      </w:r>
      <w:r w:rsidRPr="00E71587">
        <w:rPr>
          <w:rFonts w:ascii="Times New Roman" w:hAnsi="Times New Roman" w:cs="Times New Roman"/>
          <w:sz w:val="24"/>
        </w:rPr>
        <w:t>À cet effet, le Code de l’insolvabilité remplace les règles plutôt complexes régissant l’excusabilité des dettes (</w:t>
      </w:r>
      <w:r w:rsidRPr="00E71587">
        <w:rPr>
          <w:rFonts w:ascii="Times New Roman" w:hAnsi="Times New Roman" w:cs="Times New Roman"/>
          <w:i/>
          <w:sz w:val="24"/>
        </w:rPr>
        <w:t>verschoonbaarheid</w:t>
      </w:r>
      <w:r w:rsidRPr="00E71587">
        <w:rPr>
          <w:rFonts w:ascii="Times New Roman" w:hAnsi="Times New Roman" w:cs="Times New Roman"/>
          <w:sz w:val="24"/>
        </w:rPr>
        <w:t>) par un nouveau régime sur l’effacement des dettes (</w:t>
      </w:r>
      <w:r w:rsidRPr="00E71587">
        <w:rPr>
          <w:rFonts w:ascii="Times New Roman" w:hAnsi="Times New Roman" w:cs="Times New Roman"/>
          <w:i/>
          <w:sz w:val="24"/>
        </w:rPr>
        <w:t>kwijtschelding</w:t>
      </w:r>
      <w:r w:rsidRPr="00E71587">
        <w:rPr>
          <w:rFonts w:ascii="Times New Roman" w:hAnsi="Times New Roman" w:cs="Times New Roman"/>
          <w:sz w:val="24"/>
        </w:rPr>
        <w:t>).</w:t>
      </w:r>
      <w:r w:rsidRPr="003F1762">
        <w:rPr>
          <w:rFonts w:ascii="Times New Roman" w:hAnsi="Times New Roman" w:cs="Times New Roman"/>
          <w:sz w:val="24"/>
        </w:rPr>
        <w:t xml:space="preserve"> </w:t>
      </w:r>
      <w:r w:rsidRPr="00E71587">
        <w:rPr>
          <w:rFonts w:ascii="Times New Roman" w:hAnsi="Times New Roman" w:cs="Times New Roman"/>
          <w:sz w:val="24"/>
        </w:rPr>
        <w:t>En vertu des nouvelles règles, les dettes restantes d’un entrepreneur seront effacées, sauf si une partie intéressée (par ex. un créancier ou l’administrateur de l’insolvabilité) s’y oppose activement en démontrant qu’une faute grave et caractérisée du débiteur a contribué à l’insolvabilité.</w:t>
      </w:r>
      <w:r w:rsidRPr="003F1762">
        <w:rPr>
          <w:rFonts w:ascii="Times New Roman" w:hAnsi="Times New Roman" w:cs="Times New Roman"/>
          <w:sz w:val="24"/>
        </w:rPr>
        <w:t xml:space="preserve"> </w:t>
      </w:r>
      <w:r w:rsidRPr="00E71587">
        <w:rPr>
          <w:rFonts w:ascii="Times New Roman" w:hAnsi="Times New Roman" w:cs="Times New Roman"/>
          <w:sz w:val="24"/>
        </w:rPr>
        <w:t>Pour renforcer ces règles sur le nouveau départ, les revenus d’une nouvelle activité perçus après le commencement de la procédure seront exclus de la masse de la faillite (</w:t>
      </w:r>
      <w:r w:rsidRPr="00E71587">
        <w:rPr>
          <w:rFonts w:ascii="Times New Roman" w:hAnsi="Times New Roman" w:cs="Times New Roman"/>
          <w:i/>
          <w:sz w:val="24"/>
        </w:rPr>
        <w:t>massa van het faillissement</w:t>
      </w:r>
      <w:r w:rsidRPr="00E71587">
        <w:rPr>
          <w:rFonts w:ascii="Times New Roman" w:hAnsi="Times New Roman" w:cs="Times New Roman"/>
          <w:sz w:val="24"/>
        </w:rPr>
        <w:t>), alors qu’actuellement, ils y sont inclus jusqu’à la clôture de la procédure.</w:t>
      </w:r>
    </w:p>
    <w:p w:rsidR="00C44D1B" w:rsidRPr="003F1762" w:rsidRDefault="00C44D1B" w:rsidP="00C44D1B">
      <w:pPr>
        <w:jc w:val="both"/>
        <w:rPr>
          <w:rFonts w:ascii="Times New Roman" w:hAnsi="Times New Roman" w:cs="Times New Roman"/>
          <w:sz w:val="24"/>
        </w:rPr>
      </w:pPr>
      <w:r w:rsidRPr="00E71587">
        <w:rPr>
          <w:rFonts w:ascii="Times New Roman" w:hAnsi="Times New Roman" w:cs="Times New Roman"/>
          <w:b/>
          <w:sz w:val="24"/>
        </w:rPr>
        <w:t>Possibilités de règlemen</w:t>
      </w:r>
      <w:r>
        <w:rPr>
          <w:rFonts w:ascii="Times New Roman" w:hAnsi="Times New Roman" w:cs="Times New Roman"/>
          <w:b/>
          <w:sz w:val="24"/>
        </w:rPr>
        <w:t>t amiable</w:t>
      </w:r>
      <w:r w:rsidRPr="003F1762">
        <w:rPr>
          <w:rFonts w:ascii="Times New Roman" w:hAnsi="Times New Roman" w:cs="Times New Roman"/>
          <w:sz w:val="24"/>
        </w:rPr>
        <w:t xml:space="preserve"> </w:t>
      </w:r>
    </w:p>
    <w:p w:rsidR="00C44D1B" w:rsidRPr="003F1762" w:rsidRDefault="00C44D1B" w:rsidP="00C44D1B">
      <w:pPr>
        <w:jc w:val="both"/>
        <w:rPr>
          <w:rFonts w:ascii="Times New Roman" w:hAnsi="Times New Roman" w:cs="Times New Roman"/>
          <w:sz w:val="24"/>
        </w:rPr>
      </w:pPr>
      <w:r w:rsidRPr="00E71587">
        <w:rPr>
          <w:rFonts w:ascii="Times New Roman" w:hAnsi="Times New Roman" w:cs="Times New Roman"/>
          <w:sz w:val="24"/>
        </w:rPr>
        <w:t xml:space="preserve">Conformément au souhait de l’Union européenne de promouvoir les </w:t>
      </w:r>
      <w:r>
        <w:rPr>
          <w:rFonts w:ascii="Times New Roman" w:hAnsi="Times New Roman" w:cs="Times New Roman"/>
          <w:sz w:val="24"/>
        </w:rPr>
        <w:t>règlements amiables</w:t>
      </w:r>
      <w:r w:rsidRPr="00E71587">
        <w:rPr>
          <w:rFonts w:ascii="Times New Roman" w:hAnsi="Times New Roman" w:cs="Times New Roman"/>
          <w:sz w:val="24"/>
        </w:rPr>
        <w:t xml:space="preserve"> à titre d’alternative aux procédures formelles d’insolvabilité, le Code de l’insolvabilité renforce les possibilités </w:t>
      </w:r>
      <w:r>
        <w:rPr>
          <w:rFonts w:ascii="Times New Roman" w:hAnsi="Times New Roman" w:cs="Times New Roman"/>
          <w:sz w:val="24"/>
        </w:rPr>
        <w:t>en la matière</w:t>
      </w:r>
      <w:r w:rsidRPr="00E71587">
        <w:rPr>
          <w:rFonts w:ascii="Times New Roman" w:hAnsi="Times New Roman" w:cs="Times New Roman"/>
          <w:sz w:val="24"/>
        </w:rPr>
        <w:t>.</w:t>
      </w:r>
      <w:r w:rsidRPr="003F1762">
        <w:rPr>
          <w:rFonts w:ascii="Times New Roman" w:hAnsi="Times New Roman" w:cs="Times New Roman"/>
          <w:sz w:val="24"/>
        </w:rPr>
        <w:t xml:space="preserve"> </w:t>
      </w:r>
      <w:r w:rsidRPr="00E71587">
        <w:rPr>
          <w:rFonts w:ascii="Times New Roman" w:hAnsi="Times New Roman" w:cs="Times New Roman"/>
          <w:sz w:val="24"/>
        </w:rPr>
        <w:t xml:space="preserve">Les parties </w:t>
      </w:r>
      <w:r>
        <w:rPr>
          <w:rFonts w:ascii="Times New Roman" w:hAnsi="Times New Roman" w:cs="Times New Roman"/>
          <w:sz w:val="24"/>
        </w:rPr>
        <w:t xml:space="preserve">arrivant </w:t>
      </w:r>
      <w:r w:rsidRPr="00E71587">
        <w:rPr>
          <w:rFonts w:ascii="Times New Roman" w:hAnsi="Times New Roman" w:cs="Times New Roman"/>
          <w:sz w:val="24"/>
        </w:rPr>
        <w:t xml:space="preserve">à un </w:t>
      </w:r>
      <w:r>
        <w:rPr>
          <w:rFonts w:ascii="Times New Roman" w:hAnsi="Times New Roman" w:cs="Times New Roman"/>
          <w:sz w:val="24"/>
        </w:rPr>
        <w:t>accord</w:t>
      </w:r>
      <w:r w:rsidRPr="00E71587">
        <w:rPr>
          <w:rFonts w:ascii="Times New Roman" w:hAnsi="Times New Roman" w:cs="Times New Roman"/>
          <w:sz w:val="24"/>
        </w:rPr>
        <w:t xml:space="preserve"> </w:t>
      </w:r>
      <w:r>
        <w:rPr>
          <w:rFonts w:ascii="Times New Roman" w:hAnsi="Times New Roman" w:cs="Times New Roman"/>
          <w:sz w:val="24"/>
        </w:rPr>
        <w:t xml:space="preserve">de règlement </w:t>
      </w:r>
      <w:r w:rsidRPr="00E71587">
        <w:rPr>
          <w:rFonts w:ascii="Times New Roman" w:hAnsi="Times New Roman" w:cs="Times New Roman"/>
          <w:sz w:val="24"/>
        </w:rPr>
        <w:t>confidentiel pourront désormais saisir le tribunal pour faire homologuer leur accord et/ou obtenir une décision exécutoire concernant les dettes couvertes par l’accord.</w:t>
      </w:r>
    </w:p>
    <w:p w:rsidR="00C44D1B" w:rsidRPr="003F1762" w:rsidRDefault="00C44D1B" w:rsidP="00C44D1B">
      <w:pPr>
        <w:jc w:val="both"/>
        <w:rPr>
          <w:rFonts w:ascii="Times New Roman" w:hAnsi="Times New Roman" w:cs="Times New Roman"/>
          <w:b/>
          <w:sz w:val="24"/>
        </w:rPr>
      </w:pPr>
      <w:r w:rsidRPr="00E71587">
        <w:rPr>
          <w:rFonts w:ascii="Times New Roman" w:hAnsi="Times New Roman" w:cs="Times New Roman"/>
          <w:b/>
          <w:sz w:val="24"/>
        </w:rPr>
        <w:t>Actions en responsabilité</w:t>
      </w:r>
      <w:r w:rsidRPr="003F1762">
        <w:rPr>
          <w:rFonts w:ascii="Times New Roman" w:hAnsi="Times New Roman" w:cs="Times New Roman"/>
          <w:b/>
          <w:sz w:val="24"/>
        </w:rPr>
        <w:t xml:space="preserve"> </w:t>
      </w:r>
    </w:p>
    <w:p w:rsidR="00C44D1B" w:rsidRPr="003F1762" w:rsidRDefault="00C44D1B" w:rsidP="00C44D1B">
      <w:pPr>
        <w:jc w:val="both"/>
        <w:rPr>
          <w:rFonts w:ascii="Times New Roman" w:hAnsi="Times New Roman" w:cs="Times New Roman"/>
          <w:sz w:val="24"/>
        </w:rPr>
      </w:pPr>
      <w:r w:rsidRPr="00E71587">
        <w:rPr>
          <w:rFonts w:ascii="Times New Roman" w:hAnsi="Times New Roman" w:cs="Times New Roman"/>
          <w:sz w:val="24"/>
        </w:rPr>
        <w:t xml:space="preserve">Les demandes en responsabilité présentées dans le contexte d’une procédure d’insolvabilité </w:t>
      </w:r>
      <w:r>
        <w:rPr>
          <w:rFonts w:ascii="Times New Roman" w:hAnsi="Times New Roman" w:cs="Times New Roman"/>
          <w:sz w:val="24"/>
        </w:rPr>
        <w:t>s</w:t>
      </w:r>
      <w:r w:rsidRPr="00E71587">
        <w:rPr>
          <w:rFonts w:ascii="Times New Roman" w:hAnsi="Times New Roman" w:cs="Times New Roman"/>
          <w:sz w:val="24"/>
        </w:rPr>
        <w:t xml:space="preserve">ont désormais </w:t>
      </w:r>
      <w:r>
        <w:rPr>
          <w:rFonts w:ascii="Times New Roman" w:hAnsi="Times New Roman" w:cs="Times New Roman"/>
          <w:sz w:val="24"/>
        </w:rPr>
        <w:t>couvertes par le</w:t>
      </w:r>
      <w:r w:rsidRPr="00E71587">
        <w:rPr>
          <w:rFonts w:ascii="Times New Roman" w:hAnsi="Times New Roman" w:cs="Times New Roman"/>
          <w:sz w:val="24"/>
        </w:rPr>
        <w:t xml:space="preserve"> Code de l’insolvabilité.</w:t>
      </w:r>
    </w:p>
    <w:p w:rsidR="00C44D1B" w:rsidRPr="003F1762" w:rsidRDefault="00C44D1B" w:rsidP="00C44D1B">
      <w:pPr>
        <w:jc w:val="both"/>
        <w:rPr>
          <w:rFonts w:ascii="Times New Roman" w:hAnsi="Times New Roman" w:cs="Times New Roman"/>
          <w:sz w:val="24"/>
        </w:rPr>
      </w:pPr>
      <w:r w:rsidRPr="00E71587">
        <w:rPr>
          <w:rFonts w:ascii="Times New Roman" w:hAnsi="Times New Roman" w:cs="Times New Roman"/>
          <w:sz w:val="24"/>
        </w:rPr>
        <w:t>Les règles régissant les demandes pour faute grave et caractérisée (</w:t>
      </w:r>
      <w:r w:rsidRPr="00E71587">
        <w:rPr>
          <w:rFonts w:ascii="Times New Roman" w:hAnsi="Times New Roman" w:cs="Times New Roman"/>
          <w:i/>
          <w:sz w:val="24"/>
        </w:rPr>
        <w:t>kennelijk grove fout</w:t>
      </w:r>
      <w:r w:rsidRPr="00E71587">
        <w:rPr>
          <w:rFonts w:ascii="Times New Roman" w:hAnsi="Times New Roman" w:cs="Times New Roman"/>
          <w:sz w:val="24"/>
        </w:rPr>
        <w:t>) ont été réformées.</w:t>
      </w:r>
      <w:r w:rsidRPr="003F1762">
        <w:rPr>
          <w:rFonts w:ascii="Times New Roman" w:hAnsi="Times New Roman" w:cs="Times New Roman"/>
          <w:sz w:val="24"/>
        </w:rPr>
        <w:t xml:space="preserve"> </w:t>
      </w:r>
      <w:r w:rsidRPr="00E71587">
        <w:rPr>
          <w:rFonts w:ascii="Times New Roman" w:hAnsi="Times New Roman" w:cs="Times New Roman"/>
          <w:sz w:val="24"/>
        </w:rPr>
        <w:t xml:space="preserve">En vertu des anciennes règles, seul l’administrateur de l’insolvabilité pouvait, dans la pratique, </w:t>
      </w:r>
      <w:r>
        <w:rPr>
          <w:rFonts w:ascii="Times New Roman" w:hAnsi="Times New Roman" w:cs="Times New Roman"/>
          <w:sz w:val="24"/>
        </w:rPr>
        <w:t>introduire</w:t>
      </w:r>
      <w:r w:rsidRPr="00E71587">
        <w:rPr>
          <w:rFonts w:ascii="Times New Roman" w:hAnsi="Times New Roman" w:cs="Times New Roman"/>
          <w:sz w:val="24"/>
        </w:rPr>
        <w:t xml:space="preserve"> cette action.</w:t>
      </w:r>
      <w:r w:rsidRPr="003F1762">
        <w:rPr>
          <w:rFonts w:ascii="Times New Roman" w:hAnsi="Times New Roman" w:cs="Times New Roman"/>
          <w:sz w:val="24"/>
        </w:rPr>
        <w:t xml:space="preserve"> </w:t>
      </w:r>
      <w:r w:rsidRPr="00E71587">
        <w:rPr>
          <w:rFonts w:ascii="Times New Roman" w:hAnsi="Times New Roman" w:cs="Times New Roman"/>
          <w:sz w:val="24"/>
        </w:rPr>
        <w:t>En vertu des nouvelles règles, si l’administrateur de l’insolvabilité ne le fait pas, un créancier individuel peut introduire une action pour le compte de la masse.</w:t>
      </w:r>
      <w:r w:rsidRPr="003F1762">
        <w:rPr>
          <w:rFonts w:ascii="Times New Roman" w:hAnsi="Times New Roman" w:cs="Times New Roman"/>
          <w:sz w:val="24"/>
        </w:rPr>
        <w:t xml:space="preserve"> </w:t>
      </w:r>
      <w:r w:rsidRPr="00E71587">
        <w:rPr>
          <w:rFonts w:ascii="Times New Roman" w:hAnsi="Times New Roman" w:cs="Times New Roman"/>
          <w:sz w:val="24"/>
        </w:rPr>
        <w:t>En outre, le créancier sera dédommagé d</w:t>
      </w:r>
      <w:r>
        <w:rPr>
          <w:rFonts w:ascii="Times New Roman" w:hAnsi="Times New Roman" w:cs="Times New Roman"/>
          <w:sz w:val="24"/>
        </w:rPr>
        <w:t>es frais de l’action</w:t>
      </w:r>
      <w:r w:rsidRPr="00E71587">
        <w:rPr>
          <w:rFonts w:ascii="Times New Roman" w:hAnsi="Times New Roman" w:cs="Times New Roman"/>
          <w:sz w:val="24"/>
        </w:rPr>
        <w:t> :</w:t>
      </w:r>
      <w:r w:rsidRPr="003F1762">
        <w:rPr>
          <w:rFonts w:ascii="Times New Roman" w:hAnsi="Times New Roman" w:cs="Times New Roman"/>
          <w:sz w:val="24"/>
        </w:rPr>
        <w:t xml:space="preserve"> </w:t>
      </w:r>
    </w:p>
    <w:p w:rsidR="00C44D1B" w:rsidRPr="003F1762" w:rsidRDefault="00C44D1B" w:rsidP="00C44D1B">
      <w:pPr>
        <w:pStyle w:val="Paragraphedeliste"/>
        <w:numPr>
          <w:ilvl w:val="0"/>
          <w:numId w:val="42"/>
        </w:numPr>
        <w:suppressAutoHyphens w:val="0"/>
        <w:spacing w:after="160" w:line="259" w:lineRule="auto"/>
        <w:contextualSpacing/>
        <w:jc w:val="both"/>
      </w:pPr>
      <w:r>
        <w:t xml:space="preserve">si </w:t>
      </w:r>
      <w:r w:rsidRPr="00E71587">
        <w:t xml:space="preserve">l’administrateur de l’insolvabilité </w:t>
      </w:r>
      <w:r>
        <w:t>poursuit l’action</w:t>
      </w:r>
      <w:r w:rsidRPr="00E71587">
        <w:t> ; ou</w:t>
      </w:r>
      <w:r w:rsidRPr="003F1762">
        <w:t xml:space="preserve"> </w:t>
      </w:r>
    </w:p>
    <w:p w:rsidR="00C44D1B" w:rsidRPr="003F1762" w:rsidRDefault="00C44D1B" w:rsidP="00C44D1B">
      <w:pPr>
        <w:pStyle w:val="Paragraphedeliste"/>
        <w:numPr>
          <w:ilvl w:val="0"/>
          <w:numId w:val="42"/>
        </w:numPr>
        <w:suppressAutoHyphens w:val="0"/>
        <w:spacing w:after="160" w:line="259" w:lineRule="auto"/>
        <w:contextualSpacing/>
        <w:jc w:val="both"/>
      </w:pPr>
      <w:r w:rsidRPr="00FC6974">
        <w:t>dans le cas contraire, si l’action a été bénéficiaire pour la masse.</w:t>
      </w:r>
    </w:p>
    <w:p w:rsidR="00C44D1B" w:rsidRPr="003F1762" w:rsidRDefault="00C44D1B" w:rsidP="00C44D1B">
      <w:pPr>
        <w:jc w:val="both"/>
        <w:rPr>
          <w:rFonts w:ascii="Times New Roman" w:hAnsi="Times New Roman" w:cs="Times New Roman"/>
          <w:sz w:val="24"/>
        </w:rPr>
      </w:pPr>
      <w:r w:rsidRPr="00FC6974">
        <w:rPr>
          <w:rFonts w:ascii="Times New Roman" w:hAnsi="Times New Roman" w:cs="Times New Roman"/>
          <w:sz w:val="24"/>
        </w:rPr>
        <w:t xml:space="preserve">En outre, dans certains cas, le boni de liquidation est distribué au prorata entre tous les créanciers, sans tenir compte de l’existence d’éventuels gages ou </w:t>
      </w:r>
      <w:r>
        <w:rPr>
          <w:rFonts w:ascii="Times New Roman" w:hAnsi="Times New Roman" w:cs="Times New Roman"/>
          <w:sz w:val="24"/>
        </w:rPr>
        <w:t>droits de rétention</w:t>
      </w:r>
      <w:r w:rsidRPr="00FC6974">
        <w:rPr>
          <w:rFonts w:ascii="Times New Roman" w:hAnsi="Times New Roman" w:cs="Times New Roman"/>
          <w:sz w:val="24"/>
        </w:rPr>
        <w:t xml:space="preserve"> statutaires.</w:t>
      </w:r>
    </w:p>
    <w:p w:rsidR="00C44D1B" w:rsidRPr="003F1762" w:rsidRDefault="00C44D1B" w:rsidP="00C44D1B">
      <w:pPr>
        <w:jc w:val="both"/>
        <w:rPr>
          <w:rFonts w:ascii="Times New Roman" w:hAnsi="Times New Roman" w:cs="Times New Roman"/>
          <w:sz w:val="24"/>
        </w:rPr>
      </w:pPr>
      <w:r w:rsidRPr="00FC6974">
        <w:rPr>
          <w:rFonts w:ascii="Times New Roman" w:hAnsi="Times New Roman" w:cs="Times New Roman"/>
          <w:sz w:val="24"/>
        </w:rPr>
        <w:lastRenderedPageBreak/>
        <w:t>En outre, une action en responsabilité distincte pour « négligence sanctionnable » a été introduite.</w:t>
      </w:r>
      <w:r w:rsidRPr="003F1762">
        <w:rPr>
          <w:rFonts w:ascii="Times New Roman" w:hAnsi="Times New Roman" w:cs="Times New Roman"/>
          <w:sz w:val="24"/>
        </w:rPr>
        <w:t xml:space="preserve"> </w:t>
      </w:r>
      <w:r w:rsidRPr="00FC6974">
        <w:rPr>
          <w:rFonts w:ascii="Times New Roman" w:hAnsi="Times New Roman" w:cs="Times New Roman"/>
          <w:sz w:val="24"/>
        </w:rPr>
        <w:t>Ce type d’action, qui existe déjà dans d’autre pays, peut être introduit à l’encontre d’un dirigeant qui savait ou aurait dû savoir qu’il n’y avait manifestement pas de perspective raisonnable pour préserver l’entreprise ou ses activités et éviter une faillite, sans pour autant agir comme l’aurait fait un administrateur normalement prudent et diligent placé dans les mêmes circonstances.</w:t>
      </w:r>
      <w:r w:rsidRPr="003F1762">
        <w:rPr>
          <w:rFonts w:ascii="Times New Roman" w:hAnsi="Times New Roman" w:cs="Times New Roman"/>
          <w:sz w:val="24"/>
        </w:rPr>
        <w:t xml:space="preserve"> </w:t>
      </w:r>
      <w:r w:rsidRPr="00FC6974">
        <w:rPr>
          <w:rFonts w:ascii="Times New Roman" w:hAnsi="Times New Roman" w:cs="Times New Roman"/>
          <w:sz w:val="24"/>
        </w:rPr>
        <w:t>L’objectif visé est de renforcer la diligence des dirigeants d’entreprises en difficulté.</w:t>
      </w:r>
    </w:p>
    <w:p w:rsidR="00C44D1B" w:rsidRPr="003F1762" w:rsidRDefault="00C44D1B" w:rsidP="00C44D1B">
      <w:pPr>
        <w:jc w:val="both"/>
        <w:rPr>
          <w:rFonts w:ascii="Times New Roman" w:hAnsi="Times New Roman" w:cs="Times New Roman"/>
          <w:sz w:val="24"/>
        </w:rPr>
      </w:pPr>
      <w:r w:rsidRPr="00FC6974">
        <w:rPr>
          <w:rFonts w:ascii="Times New Roman" w:hAnsi="Times New Roman" w:cs="Times New Roman"/>
          <w:b/>
          <w:sz w:val="24"/>
        </w:rPr>
        <w:t>Internationalisation</w:t>
      </w:r>
      <w:r w:rsidRPr="003F1762">
        <w:rPr>
          <w:rFonts w:ascii="Times New Roman" w:hAnsi="Times New Roman" w:cs="Times New Roman"/>
          <w:sz w:val="24"/>
        </w:rPr>
        <w:t xml:space="preserve"> </w:t>
      </w:r>
    </w:p>
    <w:p w:rsidR="00C44D1B" w:rsidRPr="003F1762" w:rsidRDefault="00C44D1B" w:rsidP="00C44D1B">
      <w:pPr>
        <w:jc w:val="both"/>
        <w:rPr>
          <w:rFonts w:ascii="Times New Roman" w:hAnsi="Times New Roman" w:cs="Times New Roman"/>
          <w:sz w:val="24"/>
        </w:rPr>
      </w:pPr>
      <w:r w:rsidRPr="00FC6974">
        <w:rPr>
          <w:rFonts w:ascii="Times New Roman" w:hAnsi="Times New Roman" w:cs="Times New Roman"/>
          <w:sz w:val="24"/>
        </w:rPr>
        <w:t xml:space="preserve">Le Code de l’insolvabilité prévoit un cadre rigoureux de règles pour </w:t>
      </w:r>
      <w:r>
        <w:rPr>
          <w:rFonts w:ascii="Times New Roman" w:hAnsi="Times New Roman" w:cs="Times New Roman"/>
          <w:sz w:val="24"/>
        </w:rPr>
        <w:t>faciliter</w:t>
      </w:r>
      <w:r w:rsidRPr="00FC6974">
        <w:rPr>
          <w:rFonts w:ascii="Times New Roman" w:hAnsi="Times New Roman" w:cs="Times New Roman"/>
          <w:sz w:val="24"/>
        </w:rPr>
        <w:t xml:space="preserve"> les procédures d’insolvabilité transfrontalières, conformément à la refonte du règlement sur l’insolvabilité.</w:t>
      </w:r>
      <w:r w:rsidRPr="003F1762">
        <w:rPr>
          <w:rFonts w:ascii="Times New Roman" w:hAnsi="Times New Roman" w:cs="Times New Roman"/>
          <w:sz w:val="24"/>
        </w:rPr>
        <w:t xml:space="preserve"> </w:t>
      </w:r>
      <w:r w:rsidRPr="00FC6974">
        <w:rPr>
          <w:rFonts w:ascii="Times New Roman" w:hAnsi="Times New Roman" w:cs="Times New Roman"/>
          <w:sz w:val="24"/>
        </w:rPr>
        <w:t>À cet égard, le Code de l’insolvabilité établit une distinction entre :</w:t>
      </w:r>
      <w:r w:rsidRPr="003F1762">
        <w:rPr>
          <w:rFonts w:ascii="Times New Roman" w:hAnsi="Times New Roman" w:cs="Times New Roman"/>
          <w:sz w:val="24"/>
        </w:rPr>
        <w:t xml:space="preserve"> </w:t>
      </w:r>
    </w:p>
    <w:p w:rsidR="00C44D1B" w:rsidRPr="00FC6974" w:rsidRDefault="00C44D1B" w:rsidP="00C44D1B">
      <w:pPr>
        <w:pStyle w:val="Paragraphedeliste"/>
        <w:numPr>
          <w:ilvl w:val="0"/>
          <w:numId w:val="43"/>
        </w:numPr>
        <w:suppressAutoHyphens w:val="0"/>
        <w:spacing w:after="160" w:line="259" w:lineRule="auto"/>
        <w:contextualSpacing/>
        <w:jc w:val="both"/>
        <w:rPr>
          <w:lang w:val="en-GB"/>
        </w:rPr>
      </w:pPr>
      <w:r w:rsidRPr="00FC6974">
        <w:t>les procédures d’insolvabilité européennes ; et</w:t>
      </w:r>
    </w:p>
    <w:p w:rsidR="00C44D1B" w:rsidRPr="003F1762" w:rsidRDefault="00C44D1B" w:rsidP="00C44D1B">
      <w:pPr>
        <w:pStyle w:val="Paragraphedeliste"/>
        <w:numPr>
          <w:ilvl w:val="0"/>
          <w:numId w:val="43"/>
        </w:numPr>
        <w:suppressAutoHyphens w:val="0"/>
        <w:spacing w:after="160" w:line="259" w:lineRule="auto"/>
        <w:contextualSpacing/>
        <w:jc w:val="both"/>
      </w:pPr>
      <w:r w:rsidRPr="00FC6974">
        <w:t>les autres procédures d’insolvabilité internationales.</w:t>
      </w:r>
    </w:p>
    <w:p w:rsidR="00C44D1B" w:rsidRPr="003F1762" w:rsidRDefault="00C44D1B" w:rsidP="00C44D1B">
      <w:pPr>
        <w:jc w:val="both"/>
        <w:rPr>
          <w:rFonts w:ascii="Times New Roman" w:hAnsi="Times New Roman" w:cs="Times New Roman"/>
          <w:sz w:val="24"/>
        </w:rPr>
      </w:pPr>
      <w:r w:rsidRPr="00FC6974">
        <w:rPr>
          <w:rFonts w:ascii="Times New Roman" w:hAnsi="Times New Roman" w:cs="Times New Roman"/>
          <w:sz w:val="24"/>
        </w:rPr>
        <w:t>En ce qui concerne les premières, le Code de l’insolvabilité prévoit des règles complémentaires à l’appui de la refonte du règlement sur l’insolvabilité.</w:t>
      </w:r>
      <w:r w:rsidRPr="003F1762">
        <w:rPr>
          <w:rFonts w:ascii="Times New Roman" w:hAnsi="Times New Roman" w:cs="Times New Roman"/>
          <w:sz w:val="24"/>
        </w:rPr>
        <w:t xml:space="preserve"> </w:t>
      </w:r>
      <w:r w:rsidRPr="00FC6974">
        <w:rPr>
          <w:rFonts w:ascii="Times New Roman" w:hAnsi="Times New Roman" w:cs="Times New Roman"/>
          <w:sz w:val="24"/>
        </w:rPr>
        <w:t>Pour ce qui est des dernières, les législateurs belges ont opté pour la cohérence et ont reproduit, dans la mesure du possible, les règles applicables aux procédures d’insolvabilité européennes.</w:t>
      </w:r>
    </w:p>
    <w:p w:rsidR="00C44D1B" w:rsidRPr="003F1762" w:rsidRDefault="00C44D1B" w:rsidP="002275A1">
      <w:pPr>
        <w:spacing w:after="0" w:line="240" w:lineRule="auto"/>
        <w:jc w:val="both"/>
        <w:rPr>
          <w:rFonts w:ascii="Times New Roman" w:hAnsi="Times New Roman" w:cs="Times New Roman"/>
          <w:sz w:val="24"/>
        </w:rPr>
      </w:pPr>
      <w:r w:rsidRPr="00FC6974">
        <w:rPr>
          <w:rFonts w:ascii="Times New Roman" w:hAnsi="Times New Roman" w:cs="Times New Roman"/>
          <w:b/>
          <w:sz w:val="24"/>
        </w:rPr>
        <w:t>Des mesures préventives renforcées, mais pas de « pré-pack »</w:t>
      </w:r>
      <w:r w:rsidRPr="003F1762">
        <w:rPr>
          <w:rFonts w:ascii="Times New Roman" w:hAnsi="Times New Roman" w:cs="Times New Roman"/>
          <w:b/>
          <w:sz w:val="24"/>
        </w:rPr>
        <w:t xml:space="preserve"> </w:t>
      </w:r>
    </w:p>
    <w:p w:rsidR="002275A1" w:rsidRDefault="002275A1" w:rsidP="002275A1">
      <w:pPr>
        <w:spacing w:after="0"/>
        <w:jc w:val="both"/>
        <w:rPr>
          <w:rFonts w:ascii="Times New Roman" w:hAnsi="Times New Roman" w:cs="Times New Roman"/>
          <w:sz w:val="24"/>
        </w:rPr>
      </w:pPr>
    </w:p>
    <w:p w:rsidR="00C44D1B" w:rsidRPr="003F1762" w:rsidRDefault="00C44D1B" w:rsidP="00C44D1B">
      <w:pPr>
        <w:jc w:val="both"/>
        <w:rPr>
          <w:rFonts w:ascii="Times New Roman" w:hAnsi="Times New Roman" w:cs="Times New Roman"/>
          <w:sz w:val="24"/>
        </w:rPr>
      </w:pPr>
      <w:r w:rsidRPr="00FC6974">
        <w:rPr>
          <w:rFonts w:ascii="Times New Roman" w:hAnsi="Times New Roman" w:cs="Times New Roman"/>
          <w:sz w:val="24"/>
        </w:rPr>
        <w:t>Le Code de l’insolvabilité modifie et améliore les règles existantes concernant les mesures préventives.</w:t>
      </w:r>
      <w:r w:rsidRPr="003F1762">
        <w:rPr>
          <w:rFonts w:ascii="Times New Roman" w:hAnsi="Times New Roman" w:cs="Times New Roman"/>
          <w:sz w:val="24"/>
        </w:rPr>
        <w:t xml:space="preserve"> </w:t>
      </w:r>
      <w:r w:rsidRPr="00FC6974">
        <w:rPr>
          <w:rFonts w:ascii="Times New Roman" w:hAnsi="Times New Roman" w:cs="Times New Roman"/>
          <w:sz w:val="24"/>
        </w:rPr>
        <w:t>Les pouvoirs des chambres des entreprises en difficulté (</w:t>
      </w:r>
      <w:r w:rsidRPr="00FC6974">
        <w:rPr>
          <w:rFonts w:ascii="Times New Roman" w:hAnsi="Times New Roman" w:cs="Times New Roman"/>
          <w:i/>
          <w:sz w:val="24"/>
        </w:rPr>
        <w:t>kamers voor ondernemingen in moeilijkheden</w:t>
      </w:r>
      <w:r w:rsidRPr="00FC6974">
        <w:rPr>
          <w:rFonts w:ascii="Times New Roman" w:hAnsi="Times New Roman" w:cs="Times New Roman"/>
          <w:sz w:val="24"/>
        </w:rPr>
        <w:t>) sont renforcés, surtout vis-à-vis des sociétés dormantes.</w:t>
      </w:r>
      <w:r w:rsidRPr="003F1762">
        <w:rPr>
          <w:rFonts w:ascii="Times New Roman" w:hAnsi="Times New Roman" w:cs="Times New Roman"/>
          <w:sz w:val="24"/>
        </w:rPr>
        <w:t xml:space="preserve"> </w:t>
      </w:r>
      <w:r w:rsidRPr="00FC6974">
        <w:rPr>
          <w:rFonts w:ascii="Times New Roman" w:hAnsi="Times New Roman" w:cs="Times New Roman"/>
          <w:sz w:val="24"/>
        </w:rPr>
        <w:t>Le projet de loi contenait au départ un cadre intéressant pour les transferts au titre d’un pré-pack.</w:t>
      </w:r>
      <w:r w:rsidRPr="003F1762">
        <w:rPr>
          <w:rFonts w:ascii="Times New Roman" w:hAnsi="Times New Roman" w:cs="Times New Roman"/>
          <w:sz w:val="24"/>
        </w:rPr>
        <w:t xml:space="preserve"> </w:t>
      </w:r>
      <w:r w:rsidRPr="00FC6974">
        <w:rPr>
          <w:rFonts w:ascii="Times New Roman" w:hAnsi="Times New Roman" w:cs="Times New Roman"/>
          <w:sz w:val="24"/>
        </w:rPr>
        <w:t xml:space="preserve">Cependant, à la fin du processus parlementaire, la Cour de justice de l’Union européenne a prononcé l’arrêt </w:t>
      </w:r>
      <w:r w:rsidRPr="005C67E0">
        <w:rPr>
          <w:rFonts w:ascii="Times New Roman" w:hAnsi="Times New Roman" w:cs="Times New Roman"/>
          <w:i/>
          <w:sz w:val="24"/>
        </w:rPr>
        <w:t>Estro</w:t>
      </w:r>
      <w:r w:rsidRPr="00FC6974">
        <w:rPr>
          <w:rFonts w:ascii="Times New Roman" w:hAnsi="Times New Roman" w:cs="Times New Roman"/>
          <w:sz w:val="24"/>
        </w:rPr>
        <w:t>, à la suite de quoi le Gouvernement a décidé d’abandonner, pour le moment, ce nouveau mécanisme et d’attendre de nouveaux développements au niveau européen.</w:t>
      </w:r>
    </w:p>
    <w:p w:rsidR="00C44D1B" w:rsidRPr="003F1762" w:rsidRDefault="00C44D1B" w:rsidP="00C44D1B">
      <w:pPr>
        <w:jc w:val="both"/>
        <w:rPr>
          <w:rFonts w:ascii="Times New Roman" w:hAnsi="Times New Roman" w:cs="Times New Roman"/>
          <w:sz w:val="24"/>
        </w:rPr>
      </w:pPr>
      <w:r w:rsidRPr="00FC6974">
        <w:rPr>
          <w:rFonts w:ascii="Times New Roman" w:hAnsi="Times New Roman" w:cs="Times New Roman"/>
          <w:b/>
          <w:sz w:val="24"/>
        </w:rPr>
        <w:t>Conclusion</w:t>
      </w:r>
      <w:r w:rsidRPr="003F1762">
        <w:rPr>
          <w:rFonts w:ascii="Times New Roman" w:hAnsi="Times New Roman" w:cs="Times New Roman"/>
          <w:sz w:val="24"/>
        </w:rPr>
        <w:t xml:space="preserve"> </w:t>
      </w:r>
    </w:p>
    <w:p w:rsidR="00C44D1B" w:rsidRPr="003F1762" w:rsidRDefault="00C44D1B" w:rsidP="00C44D1B">
      <w:pPr>
        <w:jc w:val="both"/>
        <w:rPr>
          <w:rFonts w:ascii="Times New Roman" w:hAnsi="Times New Roman" w:cs="Times New Roman"/>
          <w:sz w:val="24"/>
        </w:rPr>
      </w:pPr>
      <w:r w:rsidRPr="00FC6974">
        <w:rPr>
          <w:rFonts w:ascii="Times New Roman" w:hAnsi="Times New Roman" w:cs="Times New Roman"/>
          <w:sz w:val="24"/>
        </w:rPr>
        <w:t>Comme l’a dit le ministre de la Justice</w:t>
      </w:r>
      <w:r>
        <w:rPr>
          <w:rFonts w:ascii="Times New Roman" w:hAnsi="Times New Roman" w:cs="Times New Roman"/>
          <w:sz w:val="24"/>
        </w:rPr>
        <w:t>,</w:t>
      </w:r>
      <w:r w:rsidRPr="00FC6974">
        <w:rPr>
          <w:rFonts w:ascii="Times New Roman" w:hAnsi="Times New Roman" w:cs="Times New Roman"/>
          <w:sz w:val="24"/>
        </w:rPr>
        <w:t xml:space="preserve"> Koen Geens, la codification et la modernisation du droit de l’insolvabilité s’inscrivent dans une démarche visant « à avancer vers le droit de demain ».</w:t>
      </w:r>
      <w:r w:rsidRPr="003F1762">
        <w:rPr>
          <w:rFonts w:ascii="Times New Roman" w:hAnsi="Times New Roman" w:cs="Times New Roman"/>
          <w:sz w:val="24"/>
        </w:rPr>
        <w:t xml:space="preserve"> </w:t>
      </w:r>
      <w:r w:rsidRPr="00FC6974">
        <w:rPr>
          <w:rFonts w:ascii="Times New Roman" w:hAnsi="Times New Roman" w:cs="Times New Roman"/>
          <w:sz w:val="24"/>
        </w:rPr>
        <w:t>Même s’il n’est pas révolutionnaire, le nouveau Code de l’insolvabilité représente néanmoins un grand pas en avant.</w:t>
      </w:r>
      <w:r w:rsidRPr="003F1762">
        <w:rPr>
          <w:rFonts w:ascii="Times New Roman" w:hAnsi="Times New Roman" w:cs="Times New Roman"/>
          <w:sz w:val="24"/>
        </w:rPr>
        <w:t xml:space="preserve"> </w:t>
      </w:r>
      <w:r w:rsidRPr="00FC6974">
        <w:rPr>
          <w:rFonts w:ascii="Times New Roman" w:hAnsi="Times New Roman" w:cs="Times New Roman"/>
          <w:sz w:val="24"/>
        </w:rPr>
        <w:t xml:space="preserve">C’est un cadre réglementaire plus accessible et moderne, comportant des règles plus équilibrées en matière d’insolvabilité, </w:t>
      </w:r>
      <w:r>
        <w:rPr>
          <w:rFonts w:ascii="Times New Roman" w:hAnsi="Times New Roman" w:cs="Times New Roman"/>
          <w:sz w:val="24"/>
        </w:rPr>
        <w:t xml:space="preserve">qui </w:t>
      </w:r>
      <w:r w:rsidRPr="00FC6974">
        <w:rPr>
          <w:rFonts w:ascii="Times New Roman" w:hAnsi="Times New Roman" w:cs="Times New Roman"/>
          <w:sz w:val="24"/>
        </w:rPr>
        <w:t>permet de restructurer les entreprises de manière flexible et efficace, tout en tenant compte des préoccupations des créanciers et autre intéressés et en facilitant un nouveau départ pour les débiteurs.</w:t>
      </w:r>
      <w:r w:rsidRPr="003F1762">
        <w:rPr>
          <w:rFonts w:ascii="Times New Roman" w:hAnsi="Times New Roman" w:cs="Times New Roman"/>
          <w:sz w:val="24"/>
        </w:rPr>
        <w:t xml:space="preserve"> </w:t>
      </w:r>
    </w:p>
    <w:p w:rsidR="00C44D1B" w:rsidRPr="00681696" w:rsidRDefault="00C44D1B" w:rsidP="00C44D1B">
      <w:pPr>
        <w:jc w:val="both"/>
        <w:rPr>
          <w:rFonts w:ascii="Arial Narrow" w:hAnsi="Arial Narrow" w:cs="Times New Roman"/>
          <w:i/>
          <w:sz w:val="20"/>
          <w:szCs w:val="20"/>
        </w:rPr>
      </w:pPr>
      <w:r w:rsidRPr="00681696">
        <w:rPr>
          <w:rFonts w:ascii="Arial Narrow" w:hAnsi="Arial Narrow" w:cs="Times New Roman"/>
          <w:i/>
          <w:sz w:val="20"/>
          <w:szCs w:val="20"/>
        </w:rPr>
        <w:t>Par Sophie Jacmain, associée, Stan Brijs, associé, et Léonard Maistriaux, collaborateur junior, NautaDutilh</w:t>
      </w:r>
    </w:p>
    <w:p w:rsidR="00241560" w:rsidRDefault="00241560" w:rsidP="00241560">
      <w:pPr>
        <w:suppressAutoHyphens/>
        <w:spacing w:after="0" w:line="240" w:lineRule="auto"/>
        <w:jc w:val="center"/>
        <w:rPr>
          <w:rFonts w:ascii="Arial Narrow" w:eastAsia="Times New Roman" w:hAnsi="Arial Narrow" w:cs="Times New Roman"/>
          <w:b/>
          <w:sz w:val="28"/>
          <w:szCs w:val="28"/>
          <w:lang w:eastAsia="ar-SA"/>
        </w:rPr>
      </w:pPr>
    </w:p>
    <w:p w:rsidR="00C44D1B" w:rsidRDefault="00C44D1B" w:rsidP="003B5B5D">
      <w:pPr>
        <w:suppressAutoHyphens/>
        <w:spacing w:after="0" w:line="240" w:lineRule="auto"/>
        <w:jc w:val="both"/>
        <w:rPr>
          <w:rFonts w:ascii="Arial Narrow" w:eastAsia="Times New Roman" w:hAnsi="Arial Narrow" w:cs="Times New Roman"/>
          <w:b/>
          <w:sz w:val="28"/>
          <w:szCs w:val="28"/>
          <w:lang w:eastAsia="ar-SA"/>
        </w:rPr>
      </w:pPr>
    </w:p>
    <w:p w:rsidR="008A4AB2" w:rsidRPr="008A4AB2" w:rsidRDefault="008A4AB2" w:rsidP="008A4AB2">
      <w:pPr>
        <w:spacing w:after="160" w:line="259" w:lineRule="auto"/>
        <w:rPr>
          <w:rFonts w:ascii="Arial Narrow" w:hAnsi="Arial Narrow"/>
          <w:b/>
          <w:sz w:val="28"/>
          <w:szCs w:val="28"/>
        </w:rPr>
      </w:pPr>
      <w:r w:rsidRPr="008A4AB2">
        <w:rPr>
          <w:rFonts w:ascii="Arial Narrow" w:hAnsi="Arial Narrow"/>
          <w:b/>
          <w:sz w:val="28"/>
          <w:szCs w:val="28"/>
        </w:rPr>
        <w:t xml:space="preserve">Etats-Unis </w:t>
      </w:r>
    </w:p>
    <w:p w:rsidR="008A4AB2" w:rsidRPr="008A4AB2" w:rsidRDefault="008A4AB2" w:rsidP="008A4AB2">
      <w:pPr>
        <w:spacing w:after="0" w:line="240" w:lineRule="auto"/>
        <w:jc w:val="center"/>
        <w:rPr>
          <w:rFonts w:ascii="Times New Roman" w:hAnsi="Times New Roman" w:cs="Times New Roman"/>
          <w:b/>
          <w:sz w:val="48"/>
          <w:szCs w:val="48"/>
        </w:rPr>
      </w:pPr>
      <w:r w:rsidRPr="008A4AB2">
        <w:rPr>
          <w:rFonts w:ascii="Times New Roman" w:hAnsi="Times New Roman" w:cs="Times New Roman"/>
          <w:b/>
          <w:sz w:val="48"/>
          <w:szCs w:val="48"/>
        </w:rPr>
        <w:t xml:space="preserve">Gestion du risque de crédit </w:t>
      </w:r>
    </w:p>
    <w:p w:rsidR="008A4AB2" w:rsidRPr="008A4AB2" w:rsidRDefault="008A4AB2" w:rsidP="008A4AB2">
      <w:pPr>
        <w:spacing w:after="0" w:line="240" w:lineRule="auto"/>
        <w:jc w:val="center"/>
        <w:rPr>
          <w:rFonts w:ascii="Times New Roman" w:hAnsi="Times New Roman" w:cs="Times New Roman"/>
          <w:b/>
          <w:sz w:val="48"/>
          <w:szCs w:val="48"/>
        </w:rPr>
      </w:pPr>
      <w:r w:rsidRPr="008A4AB2">
        <w:rPr>
          <w:rFonts w:ascii="Times New Roman" w:hAnsi="Times New Roman" w:cs="Times New Roman"/>
          <w:b/>
          <w:sz w:val="48"/>
          <w:szCs w:val="48"/>
        </w:rPr>
        <w:t>dans la chaîne d’approvisionnement</w:t>
      </w:r>
    </w:p>
    <w:p w:rsidR="008A4AB2" w:rsidRPr="008A4AB2" w:rsidRDefault="008A4AB2" w:rsidP="008A4AB2">
      <w:pPr>
        <w:spacing w:after="160" w:line="259" w:lineRule="auto"/>
        <w:jc w:val="center"/>
        <w:rPr>
          <w:rFonts w:ascii="Times New Roman" w:hAnsi="Times New Roman" w:cs="Times New Roman"/>
          <w:i/>
          <w:sz w:val="24"/>
          <w:szCs w:val="24"/>
        </w:rPr>
      </w:pPr>
      <w:r w:rsidRPr="008A4AB2">
        <w:rPr>
          <w:rFonts w:ascii="Arial Narrow" w:hAnsi="Arial Narrow" w:cs="Times New Roman"/>
          <w:i/>
          <w:sz w:val="24"/>
          <w:szCs w:val="24"/>
        </w:rPr>
        <w:t>David Conaway* nous explique pourquoi les entreprises devraient appliquer une analyse du risque de crédit à leur chaîne d’approvisionnement</w:t>
      </w:r>
    </w:p>
    <w:p w:rsidR="008A4AB2" w:rsidRPr="008A4AB2" w:rsidRDefault="008A4AB2" w:rsidP="008A4AB2">
      <w:pPr>
        <w:spacing w:after="160" w:line="259" w:lineRule="auto"/>
        <w:jc w:val="both"/>
        <w:rPr>
          <w:rFonts w:ascii="Times New Roman" w:hAnsi="Times New Roman" w:cs="Times New Roman"/>
          <w:b/>
          <w:sz w:val="24"/>
          <w:szCs w:val="24"/>
        </w:rPr>
      </w:pPr>
      <w:r w:rsidRPr="008A4AB2">
        <w:rPr>
          <w:rFonts w:ascii="Times New Roman" w:hAnsi="Times New Roman" w:cs="Times New Roman"/>
          <w:b/>
          <w:sz w:val="24"/>
          <w:szCs w:val="24"/>
        </w:rPr>
        <w:t>Les entreprises consacrent des ressources importantes pour gérer le risque de crédit de leurs clients et protéger la valeur de leurs ventes. Pourtant, elles n’appliquent pas toujours l’analyse du risque de crédit à leur chaîne d’approvisionnement, préférant se focaliser sur des approvisionnements au plus bas prix et sur le respect d’une myriade de questions réglementaires.</w:t>
      </w:r>
    </w:p>
    <w:p w:rsidR="008A4AB2" w:rsidRPr="008A4AB2" w:rsidRDefault="008A4AB2" w:rsidP="008A4AB2">
      <w:pPr>
        <w:spacing w:after="160" w:line="259" w:lineRule="auto"/>
        <w:jc w:val="both"/>
        <w:rPr>
          <w:rFonts w:ascii="Times New Roman" w:hAnsi="Times New Roman" w:cs="Times New Roman"/>
          <w:sz w:val="24"/>
          <w:szCs w:val="24"/>
        </w:rPr>
      </w:pPr>
      <w:r w:rsidRPr="008A4AB2">
        <w:rPr>
          <w:rFonts w:ascii="Times New Roman" w:hAnsi="Times New Roman" w:cs="Times New Roman"/>
          <w:sz w:val="24"/>
          <w:szCs w:val="24"/>
        </w:rPr>
        <w:t>Toutefois, le risque de crédit dans la chaîne d’approvisionnement peut en réalité présenter un risque potentiel de perte plus élevé. Si un fournisseur ne fournit pas un produit dans les délais, le processus de fabrication peut être interrompu, mettant les sites de production à l’arrêt, ce qui représente des coûts journaliers importants pour l’entreprise.</w:t>
      </w:r>
    </w:p>
    <w:p w:rsidR="008A4AB2" w:rsidRPr="008A4AB2" w:rsidRDefault="008A4AB2" w:rsidP="008A4AB2">
      <w:pPr>
        <w:spacing w:after="160" w:line="259" w:lineRule="auto"/>
        <w:jc w:val="both"/>
        <w:rPr>
          <w:rFonts w:ascii="Times New Roman" w:hAnsi="Times New Roman" w:cs="Times New Roman"/>
          <w:sz w:val="24"/>
          <w:szCs w:val="24"/>
        </w:rPr>
      </w:pPr>
      <w:r w:rsidRPr="008A4AB2">
        <w:rPr>
          <w:rFonts w:ascii="Times New Roman" w:hAnsi="Times New Roman" w:cs="Times New Roman"/>
          <w:sz w:val="24"/>
          <w:szCs w:val="24"/>
        </w:rPr>
        <w:t>Outre la diversification de leur chaîne d’approvisionnement, les entreprises peuvent gérer le risque de « crédit » de leur chaîne d’approvisionnement, avant et après les difficultés financières ou l’insolvabilité d’un fournisseur clé.</w:t>
      </w:r>
    </w:p>
    <w:p w:rsidR="008A4AB2" w:rsidRPr="008A4AB2" w:rsidRDefault="008A4AB2" w:rsidP="008A4AB2">
      <w:pPr>
        <w:spacing w:after="160" w:line="259" w:lineRule="auto"/>
        <w:jc w:val="both"/>
        <w:rPr>
          <w:rFonts w:ascii="Times New Roman" w:hAnsi="Times New Roman" w:cs="Times New Roman"/>
          <w:sz w:val="24"/>
          <w:szCs w:val="24"/>
        </w:rPr>
      </w:pPr>
      <w:r w:rsidRPr="008A4AB2">
        <w:rPr>
          <w:rFonts w:ascii="Times New Roman" w:hAnsi="Times New Roman" w:cs="Times New Roman"/>
          <w:b/>
          <w:sz w:val="24"/>
          <w:szCs w:val="24"/>
        </w:rPr>
        <w:t>Signaux d’alerte précoces</w:t>
      </w:r>
      <w:r w:rsidRPr="008A4AB2">
        <w:rPr>
          <w:rFonts w:ascii="Times New Roman" w:hAnsi="Times New Roman" w:cs="Times New Roman"/>
          <w:sz w:val="24"/>
          <w:szCs w:val="24"/>
        </w:rPr>
        <w:t xml:space="preserve"> </w:t>
      </w:r>
    </w:p>
    <w:p w:rsidR="008A4AB2" w:rsidRPr="008A4AB2" w:rsidRDefault="008A4AB2" w:rsidP="008A4AB2">
      <w:pPr>
        <w:spacing w:after="160" w:line="259" w:lineRule="auto"/>
        <w:jc w:val="both"/>
        <w:rPr>
          <w:rFonts w:ascii="Times New Roman" w:hAnsi="Times New Roman" w:cs="Times New Roman"/>
          <w:sz w:val="24"/>
          <w:szCs w:val="24"/>
        </w:rPr>
      </w:pPr>
      <w:r w:rsidRPr="008A4AB2">
        <w:rPr>
          <w:rFonts w:ascii="Times New Roman" w:hAnsi="Times New Roman" w:cs="Times New Roman"/>
          <w:sz w:val="24"/>
          <w:szCs w:val="24"/>
        </w:rPr>
        <w:t>Pour éviter les risques, la recette consiste à identifier leurs principales sources, notamment les relations clés entre un fournisseur et des tiers. Le bailleur de fonds du fournisseur lui fournit-il des liquidités d’exploitation sous la forme de fonds de roulement ou de prêts à terme ? Le fournisseur est-il financé par un prêteur « sur actifs » de deuxième ou troisième rang, qui apporte un financement sur la base d’un inventaire fluctuant et de comptes débiteurs, dont les taux d’avance sont resserrés et largement discrétionnaires ? Le financement apporte-t-il suffisamment de liquidités pour que l’entreprise puisse fonctionner ? Il convient de noter que les prêteurs disposent d’un avantage contractuel sur le fournisseur : ils peuvent agir rapidement pour réduire le financement et recouvrer des garanties en cas de problèmes. Une entreprise dépendante d’un tel fournisseur doit être attentive aux signaux d’alerte précoces de violations d’engagements ou de défaillances au titre des conventions de prêt.</w:t>
      </w:r>
    </w:p>
    <w:p w:rsidR="008A4AB2" w:rsidRPr="008A4AB2" w:rsidRDefault="008A4AB2" w:rsidP="008A4AB2">
      <w:pPr>
        <w:spacing w:after="160" w:line="259" w:lineRule="auto"/>
        <w:jc w:val="both"/>
        <w:rPr>
          <w:rFonts w:ascii="Times New Roman" w:hAnsi="Times New Roman" w:cs="Times New Roman"/>
          <w:sz w:val="24"/>
          <w:szCs w:val="24"/>
        </w:rPr>
      </w:pPr>
      <w:r w:rsidRPr="008A4AB2">
        <w:rPr>
          <w:rFonts w:ascii="Times New Roman" w:hAnsi="Times New Roman" w:cs="Times New Roman"/>
          <w:sz w:val="24"/>
          <w:szCs w:val="24"/>
        </w:rPr>
        <w:t>Les entreprises doivent étudier les états financiers de leur fournisseur, notamment ses performances opérationnelles, ses budgets et ses bilans. Le fournisseur a-t-il conclu des contrats à long terme avec des fournisseurs de pièces détachées ? Le fournisseur est-il en règle vis-à-vis de ses propres fournisseurs ?</w:t>
      </w:r>
    </w:p>
    <w:p w:rsidR="008A4AB2" w:rsidRPr="008A4AB2" w:rsidRDefault="008A4AB2" w:rsidP="008A4AB2">
      <w:pPr>
        <w:spacing w:after="160" w:line="259" w:lineRule="auto"/>
        <w:jc w:val="both"/>
        <w:rPr>
          <w:rFonts w:ascii="Times New Roman" w:hAnsi="Times New Roman" w:cs="Times New Roman"/>
          <w:sz w:val="24"/>
          <w:szCs w:val="24"/>
        </w:rPr>
      </w:pPr>
      <w:r w:rsidRPr="008A4AB2">
        <w:rPr>
          <w:rFonts w:ascii="Times New Roman" w:hAnsi="Times New Roman" w:cs="Times New Roman"/>
          <w:sz w:val="24"/>
          <w:szCs w:val="24"/>
        </w:rPr>
        <w:t xml:space="preserve">Les fournisseurs peuvent également recevoir un financement d’obligataires qui disposent eux aussi d’un avantage contractuel sur le fournisseur et de privilèges de second rang sur l’inventaire et les comptes débiteurs du fournisseur. En outre, des nombreux fournisseurs sont financés par des </w:t>
      </w:r>
      <w:r w:rsidRPr="008A4AB2">
        <w:rPr>
          <w:rFonts w:ascii="Times New Roman" w:hAnsi="Times New Roman" w:cs="Times New Roman"/>
          <w:sz w:val="24"/>
          <w:szCs w:val="24"/>
        </w:rPr>
        <w:lastRenderedPageBreak/>
        <w:t>« capitaux » privés qui ressemblent de plus en plus à des prêts sur actifs ou à des titres convertibles, et qui impliquent habituellement une participation à la direction ou un contrôle de celle-ci par le biais d’une majorité des sièges au conseil d’administration ou de contrats de gérance. En lien avec la haute direction d’une entreprise, les capitaux privés offrent des avantages contractuels et juridiques sur le fournisseur.</w:t>
      </w:r>
    </w:p>
    <w:p w:rsidR="008A4AB2" w:rsidRPr="008A4AB2" w:rsidRDefault="008A4AB2" w:rsidP="008A4AB2">
      <w:pPr>
        <w:spacing w:after="160" w:line="259" w:lineRule="auto"/>
        <w:jc w:val="both"/>
        <w:rPr>
          <w:rFonts w:ascii="Times New Roman" w:hAnsi="Times New Roman" w:cs="Times New Roman"/>
          <w:sz w:val="24"/>
          <w:szCs w:val="24"/>
        </w:rPr>
      </w:pPr>
      <w:r w:rsidRPr="008A4AB2">
        <w:rPr>
          <w:rFonts w:ascii="Times New Roman" w:hAnsi="Times New Roman" w:cs="Times New Roman"/>
          <w:sz w:val="24"/>
          <w:szCs w:val="24"/>
        </w:rPr>
        <w:t>Un fabricant qui est un client important du fournisseur est en quelque sorte un co-entrepreneur aux côtés du fournisseur et de ses bailleurs de fonds. Une entreprise manufacturière doit affirmer sa position de négociation pour obtenir des informations sur la situation financière du fournisseur et pour que le fournisseur et ses bailleurs de fonds la préviennent en cas de manquement ou de violation d’engagements.</w:t>
      </w:r>
    </w:p>
    <w:p w:rsidR="008A4AB2" w:rsidRPr="008A4AB2" w:rsidRDefault="008A4AB2" w:rsidP="008A4AB2">
      <w:pPr>
        <w:spacing w:after="160" w:line="259" w:lineRule="auto"/>
        <w:jc w:val="both"/>
        <w:rPr>
          <w:rFonts w:ascii="Times New Roman" w:hAnsi="Times New Roman" w:cs="Times New Roman"/>
          <w:sz w:val="24"/>
          <w:szCs w:val="24"/>
        </w:rPr>
      </w:pPr>
      <w:r w:rsidRPr="008A4AB2">
        <w:rPr>
          <w:rFonts w:ascii="Times New Roman" w:hAnsi="Times New Roman" w:cs="Times New Roman"/>
          <w:b/>
          <w:sz w:val="24"/>
          <w:szCs w:val="24"/>
        </w:rPr>
        <w:t>Minimiser les risques en cas de défaillance</w:t>
      </w:r>
      <w:r w:rsidRPr="008A4AB2">
        <w:rPr>
          <w:rFonts w:ascii="Times New Roman" w:hAnsi="Times New Roman" w:cs="Times New Roman"/>
          <w:sz w:val="24"/>
          <w:szCs w:val="24"/>
        </w:rPr>
        <w:t xml:space="preserve"> </w:t>
      </w:r>
    </w:p>
    <w:p w:rsidR="008A4AB2" w:rsidRPr="008A4AB2" w:rsidRDefault="008A4AB2" w:rsidP="008A4AB2">
      <w:pPr>
        <w:spacing w:after="160" w:line="259" w:lineRule="auto"/>
        <w:jc w:val="both"/>
        <w:rPr>
          <w:rFonts w:ascii="Times New Roman" w:hAnsi="Times New Roman" w:cs="Times New Roman"/>
          <w:sz w:val="24"/>
          <w:szCs w:val="24"/>
        </w:rPr>
      </w:pPr>
      <w:r w:rsidRPr="008A4AB2">
        <w:rPr>
          <w:rFonts w:ascii="Times New Roman" w:hAnsi="Times New Roman" w:cs="Times New Roman"/>
          <w:sz w:val="24"/>
          <w:szCs w:val="24"/>
        </w:rPr>
        <w:t>Si un fournisseur ne livre pas des pièces ou des produits à l’entreprise manufacturière, celle-ci ne doit pas hésiter à faire valoir ses droits au titre du Code de commerce uniforme (« UCC »). En outre, les entreprises se doivent de connaître une voie de droit qui leur est ouverte en l’absence de défaillance du fournisseur, dans le cas où elles estiment que leur fournisseur risque de ne plus respecter ses engagements. L’article 2-609 de l’UCC, intitulé « </w:t>
      </w:r>
      <w:r w:rsidRPr="008A4AB2">
        <w:rPr>
          <w:rFonts w:ascii="Times New Roman" w:hAnsi="Times New Roman" w:cs="Times New Roman"/>
          <w:i/>
          <w:sz w:val="24"/>
          <w:szCs w:val="24"/>
        </w:rPr>
        <w:t>Right to Adequate Assurance of Performance</w:t>
      </w:r>
      <w:r w:rsidRPr="008A4AB2">
        <w:rPr>
          <w:rFonts w:ascii="Times New Roman" w:hAnsi="Times New Roman" w:cs="Times New Roman"/>
          <w:sz w:val="24"/>
          <w:szCs w:val="24"/>
        </w:rPr>
        <w:t> », portant en d’autres termes sur la « défaillance anticipée », permet à l’entreprise de suspendre l’exécution (ou le paiement des comptes débiteurs) si elle a des « motifs raisonnables d’inquiétude […] quand à l’exécution » des obligations du fournisseur. La société doit demander par écrit des garanties de bonne exécution et, dans l’attente de leur réception, peut suspendre l’exécution si elle l’estime commercialement justifié.</w:t>
      </w:r>
    </w:p>
    <w:p w:rsidR="008A4AB2" w:rsidRPr="008A4AB2" w:rsidRDefault="008A4AB2" w:rsidP="008A4AB2">
      <w:pPr>
        <w:spacing w:after="160" w:line="259" w:lineRule="auto"/>
        <w:jc w:val="both"/>
        <w:rPr>
          <w:rFonts w:ascii="Times New Roman" w:hAnsi="Times New Roman" w:cs="Times New Roman"/>
          <w:sz w:val="24"/>
          <w:szCs w:val="24"/>
        </w:rPr>
      </w:pPr>
      <w:r w:rsidRPr="008A4AB2">
        <w:rPr>
          <w:rFonts w:ascii="Times New Roman" w:hAnsi="Times New Roman" w:cs="Times New Roman"/>
          <w:b/>
          <w:i/>
          <w:sz w:val="24"/>
          <w:szCs w:val="24"/>
        </w:rPr>
        <w:t>Astuce contractuelle :</w:t>
      </w:r>
      <w:r w:rsidRPr="008A4AB2">
        <w:rPr>
          <w:rFonts w:ascii="Times New Roman" w:hAnsi="Times New Roman" w:cs="Times New Roman"/>
          <w:sz w:val="24"/>
          <w:szCs w:val="24"/>
        </w:rPr>
        <w:t xml:space="preserve"> Le contrat d’approvisionnement doit expressément citer l’article 2-609 de l’UCC (entre autres dispositions) au nombre des voies de droit et stipuler que l’entreprise peut suspendre le paiement des éventuels comptes débiteurs dus en cas de manquement du fournisseur à livrer les produits dans les délais.</w:t>
      </w:r>
    </w:p>
    <w:p w:rsidR="008A4AB2" w:rsidRPr="008A4AB2" w:rsidRDefault="008A4AB2" w:rsidP="008A4AB2">
      <w:pPr>
        <w:spacing w:after="160" w:line="259" w:lineRule="auto"/>
        <w:jc w:val="both"/>
        <w:rPr>
          <w:rFonts w:ascii="Times New Roman" w:hAnsi="Times New Roman" w:cs="Times New Roman"/>
          <w:sz w:val="24"/>
          <w:szCs w:val="24"/>
        </w:rPr>
      </w:pPr>
      <w:r w:rsidRPr="008A4AB2">
        <w:rPr>
          <w:rFonts w:ascii="Times New Roman" w:hAnsi="Times New Roman" w:cs="Times New Roman"/>
          <w:b/>
          <w:i/>
          <w:sz w:val="24"/>
          <w:szCs w:val="24"/>
        </w:rPr>
        <w:t>Astuce pratique :</w:t>
      </w:r>
      <w:r w:rsidRPr="008A4AB2">
        <w:rPr>
          <w:rFonts w:ascii="Times New Roman" w:hAnsi="Times New Roman" w:cs="Times New Roman"/>
          <w:sz w:val="24"/>
          <w:szCs w:val="24"/>
        </w:rPr>
        <w:t xml:space="preserve"> En l’absence d’urgence, il est conseillé de demander prospectivement des garanties et un avis de suspension d’exécution (cinq à dix jours).</w:t>
      </w:r>
    </w:p>
    <w:p w:rsidR="008A4AB2" w:rsidRPr="008A4AB2" w:rsidRDefault="008A4AB2" w:rsidP="008A4AB2">
      <w:pPr>
        <w:spacing w:after="160" w:line="259" w:lineRule="auto"/>
        <w:jc w:val="both"/>
        <w:rPr>
          <w:rFonts w:ascii="Times New Roman" w:hAnsi="Times New Roman" w:cs="Times New Roman"/>
          <w:sz w:val="24"/>
          <w:szCs w:val="24"/>
        </w:rPr>
      </w:pPr>
      <w:r w:rsidRPr="008A4AB2">
        <w:rPr>
          <w:rFonts w:ascii="Times New Roman" w:hAnsi="Times New Roman" w:cs="Times New Roman"/>
          <w:sz w:val="24"/>
          <w:szCs w:val="24"/>
        </w:rPr>
        <w:t>Il convient de noter que les comptes débiteurs dus par l’entreprise manufacturière à ses fournisseurs et les produits du fournisseur devant être vendus à l’entreprise servent également de garantie au prêteur du fournisseur. À défaut de signaux d’alerte précoce, le premier avis annonciateur d’un problème peut être celui que le prêteur envoie à l’entreprise pour lui demander que les produits achetés soient directement payés au prêteur. Cela est une indication claire du fait que le prêteur est passé au recouvrement de la garantie. Le prêteur pourrait essayer d’obtenir un paiement hors du cours normal des affaires de l’entreprise, afin de garantir l’absence d’interruption de livraison des produits.</w:t>
      </w:r>
    </w:p>
    <w:p w:rsidR="008A4AB2" w:rsidRPr="008A4AB2" w:rsidRDefault="008A4AB2" w:rsidP="008A4AB2">
      <w:pPr>
        <w:spacing w:after="160" w:line="259" w:lineRule="auto"/>
        <w:jc w:val="both"/>
        <w:rPr>
          <w:rFonts w:ascii="Times New Roman" w:hAnsi="Times New Roman" w:cs="Times New Roman"/>
          <w:sz w:val="24"/>
          <w:szCs w:val="24"/>
        </w:rPr>
      </w:pPr>
      <w:r w:rsidRPr="008A4AB2">
        <w:rPr>
          <w:rFonts w:ascii="Times New Roman" w:hAnsi="Times New Roman" w:cs="Times New Roman"/>
          <w:sz w:val="24"/>
          <w:szCs w:val="24"/>
        </w:rPr>
        <w:t xml:space="preserve">Dans la mesure où l’entreprise est propriétaire des produits ou dispose d’un autre droit de propriété à cet égard, ou qu’il a remis des outils, équipements ou autres actifs au titre d’un crédit-bail ou en consignation au fournisseur, le prêteur peut également essayer de faire valoir que son droit de rétention est de rang supérieur dans le cas où les droits de propriété des parties ne sont pas clairs. </w:t>
      </w:r>
      <w:r w:rsidRPr="008A4AB2">
        <w:rPr>
          <w:rFonts w:ascii="Times New Roman" w:hAnsi="Times New Roman" w:cs="Times New Roman"/>
          <w:sz w:val="24"/>
          <w:szCs w:val="24"/>
        </w:rPr>
        <w:lastRenderedPageBreak/>
        <w:t>L’entreprise peut devoir agir rapidement en faisant valoir en réponse des prétentions d’ingérence délictuelle dans un contrat ou de conversion d’actifs.</w:t>
      </w:r>
    </w:p>
    <w:p w:rsidR="008A4AB2" w:rsidRPr="008A4AB2" w:rsidRDefault="008A4AB2" w:rsidP="008A4AB2">
      <w:pPr>
        <w:spacing w:after="160" w:line="259" w:lineRule="auto"/>
        <w:jc w:val="both"/>
        <w:rPr>
          <w:rFonts w:ascii="Times New Roman" w:hAnsi="Times New Roman" w:cs="Times New Roman"/>
          <w:sz w:val="24"/>
          <w:szCs w:val="24"/>
        </w:rPr>
      </w:pPr>
      <w:r w:rsidRPr="008A4AB2">
        <w:rPr>
          <w:rFonts w:ascii="Times New Roman" w:hAnsi="Times New Roman" w:cs="Times New Roman"/>
          <w:b/>
          <w:i/>
          <w:sz w:val="24"/>
          <w:szCs w:val="24"/>
        </w:rPr>
        <w:t>Astuce pratique :</w:t>
      </w:r>
      <w:r w:rsidRPr="008A4AB2">
        <w:rPr>
          <w:rFonts w:ascii="Times New Roman" w:hAnsi="Times New Roman" w:cs="Times New Roman"/>
          <w:sz w:val="24"/>
          <w:szCs w:val="24"/>
        </w:rPr>
        <w:t xml:space="preserve"> Outre le respect des exigences de l’UCC, l’entreprise doit obtenir une reconnaissance écrite des prêteurs, mentionnant le droit de propriété supérieur de l’entreprise sur les biens possédés et l’accord entre l’entreprise et le fournisseur, ce qui devrait permettre de réduire ces risques.</w:t>
      </w:r>
    </w:p>
    <w:p w:rsidR="008A4AB2" w:rsidRPr="008A4AB2" w:rsidRDefault="008A4AB2" w:rsidP="008A4AB2">
      <w:pPr>
        <w:spacing w:after="160" w:line="259" w:lineRule="auto"/>
        <w:jc w:val="both"/>
        <w:rPr>
          <w:rFonts w:ascii="Times New Roman" w:hAnsi="Times New Roman" w:cs="Times New Roman"/>
          <w:sz w:val="24"/>
          <w:szCs w:val="24"/>
        </w:rPr>
      </w:pPr>
      <w:r w:rsidRPr="008A4AB2">
        <w:rPr>
          <w:rFonts w:ascii="Times New Roman" w:hAnsi="Times New Roman" w:cs="Times New Roman"/>
          <w:b/>
          <w:sz w:val="24"/>
          <w:szCs w:val="24"/>
        </w:rPr>
        <w:t>Risques fluctuants en cas d’insolvabilité d’un fournisseur</w:t>
      </w:r>
      <w:r w:rsidRPr="008A4AB2">
        <w:rPr>
          <w:rFonts w:ascii="Times New Roman" w:hAnsi="Times New Roman" w:cs="Times New Roman"/>
          <w:sz w:val="24"/>
          <w:szCs w:val="24"/>
        </w:rPr>
        <w:t xml:space="preserve"> </w:t>
      </w:r>
    </w:p>
    <w:p w:rsidR="008A4AB2" w:rsidRPr="008A4AB2" w:rsidRDefault="008A4AB2" w:rsidP="008A4AB2">
      <w:pPr>
        <w:spacing w:after="160" w:line="259" w:lineRule="auto"/>
        <w:jc w:val="both"/>
        <w:rPr>
          <w:rFonts w:ascii="Times New Roman" w:hAnsi="Times New Roman" w:cs="Times New Roman"/>
          <w:sz w:val="24"/>
          <w:szCs w:val="24"/>
        </w:rPr>
      </w:pPr>
      <w:r w:rsidRPr="008A4AB2">
        <w:rPr>
          <w:rFonts w:ascii="Times New Roman" w:hAnsi="Times New Roman" w:cs="Times New Roman"/>
          <w:sz w:val="24"/>
          <w:szCs w:val="24"/>
        </w:rPr>
        <w:t>Si le fournisseur demande l’ouverture d’une procédure fondée sur le Chapitre 11, l’entreprise sera confrontée à deux grandes questions. Premièrement, le fournisseur réussira-t-il sa réorganisation, ou liquidera-t-il ses actifs, peut-être sous la forme d’une cession de l’intégralité de ses actifs en vertu de l’article 363 ? Deuxièmement, quelles seront les répercussions du dépôt de la requête fondée sur le Chapitre 11 sur tout contrat de vente ou d’approvisionnement ?</w:t>
      </w:r>
    </w:p>
    <w:p w:rsidR="008A4AB2" w:rsidRPr="008A4AB2" w:rsidRDefault="008A4AB2" w:rsidP="008A4AB2">
      <w:pPr>
        <w:spacing w:after="160" w:line="259" w:lineRule="auto"/>
        <w:jc w:val="both"/>
        <w:rPr>
          <w:rFonts w:ascii="Times New Roman" w:hAnsi="Times New Roman" w:cs="Times New Roman"/>
          <w:sz w:val="24"/>
          <w:szCs w:val="24"/>
        </w:rPr>
      </w:pPr>
      <w:r w:rsidRPr="008A4AB2">
        <w:rPr>
          <w:rFonts w:ascii="Times New Roman" w:hAnsi="Times New Roman" w:cs="Times New Roman"/>
          <w:sz w:val="24"/>
          <w:szCs w:val="24"/>
        </w:rPr>
        <w:t>S’agissant du résultat final de la procédure fondée sur le Chapitre 11, les requêtes dites du « premier jour » déposées par le fournisseur sont un indice de l’éventuel résultat de la procédure. En particulier, il est habituel qu’un débiteur placé sous la protection du Chapitre 11 obtienne un financement du « débiteur non dessaisi », généralement auprès de ses prêteurs antérieurs. Si ce financement est à court terme (60 ou 90 jours) et que le budget associé s’avère très restreint, il est probable que le prêteur n’envisage pas de financer une réorganisation. En outre, si les étapes prévues par l’accord de financement incluent un « lièvre » et le dépôt d’une requête pour la vente des actifs, il est clair que le prêteur utilise la procédure fondée sur le Chapitre 11 pour liquider sa garantie.</w:t>
      </w:r>
    </w:p>
    <w:p w:rsidR="008A4AB2" w:rsidRPr="008A4AB2" w:rsidRDefault="008A4AB2" w:rsidP="008A4AB2">
      <w:pPr>
        <w:spacing w:after="160" w:line="259" w:lineRule="auto"/>
        <w:jc w:val="both"/>
        <w:rPr>
          <w:rFonts w:ascii="Times New Roman" w:hAnsi="Times New Roman" w:cs="Times New Roman"/>
          <w:sz w:val="24"/>
          <w:szCs w:val="24"/>
        </w:rPr>
      </w:pPr>
      <w:r w:rsidRPr="008A4AB2">
        <w:rPr>
          <w:rFonts w:ascii="Times New Roman" w:hAnsi="Times New Roman" w:cs="Times New Roman"/>
          <w:sz w:val="24"/>
          <w:szCs w:val="24"/>
        </w:rPr>
        <w:t>Par contre, si le financement est à long terme et que les étapes prévoient le dépôt d’un plan d’affaires ou d’un plan de réorganisation, il est plus probable que les parties visent la réussite du plan de réorganisation fondé sur le Chapitre 11. Dans l’un ou l’autre cas, il est important que l’entreprise établisse si la livraison des produits achetés se poursuivra sans interruption pendant la procédure et par la suite. Elle est en droit d’interpréter la procédure comme la capacité du débiteur à poursuivre l’approvisionnement dans des conditions normales. Il est recommandé que l’entreprise communique avec le fournisseur et les autres parties intéressées à la procédure fondée sur le Chapitre 11, afin d’obtenir le plus de renseignements possibles, notamment le budget prévu à ce titre par le fournisseur.</w:t>
      </w:r>
    </w:p>
    <w:p w:rsidR="008A4AB2" w:rsidRPr="008A4AB2" w:rsidRDefault="008A4AB2" w:rsidP="008A4AB2">
      <w:pPr>
        <w:spacing w:after="160" w:line="259" w:lineRule="auto"/>
        <w:jc w:val="both"/>
        <w:rPr>
          <w:rFonts w:ascii="Times New Roman" w:hAnsi="Times New Roman" w:cs="Times New Roman"/>
          <w:sz w:val="24"/>
          <w:szCs w:val="24"/>
        </w:rPr>
      </w:pPr>
      <w:r w:rsidRPr="008A4AB2">
        <w:rPr>
          <w:rFonts w:ascii="Times New Roman" w:hAnsi="Times New Roman" w:cs="Times New Roman"/>
          <w:sz w:val="24"/>
          <w:szCs w:val="24"/>
        </w:rPr>
        <w:t xml:space="preserve">Si les relations entre l’entreprise et le fournisseur reposent sur des bons de commande et factures, il est plus probable que les parties n’aient pas conclu de « contrat exécutoire », terme utilisé par le Code de la faillite pour désigner tout contrat au titre duquel les deux parties ont des obligations réciproques importantes. En l’absence de contrat exécutoire, l’entreprise est libre de s’adresser à d’autres fournisseurs pour couvrir ses risques dans le cas où le fournisseur ne réussirait pas sa réorganisation. D’autre part, si le fournisseur et l’entreprise collaborent au titre d’un contrat de vente ou d’approvisionnement écrit, le Code de la faillite dispose que le débiteur placé sous la protection du Chapitre 11 a le droit d’assumer ou de rejeter le contrat exécutoire, ce qui se passe généralement en lien avec le dépôt d’un plan de réorganisation à la fin de la procédure fondée sur le Chapitre 11. Dans l’attente de la décision, les parties sont tenues de poursuivre l’exécution du </w:t>
      </w:r>
      <w:r w:rsidRPr="008A4AB2">
        <w:rPr>
          <w:rFonts w:ascii="Times New Roman" w:hAnsi="Times New Roman" w:cs="Times New Roman"/>
          <w:sz w:val="24"/>
          <w:szCs w:val="24"/>
        </w:rPr>
        <w:lastRenderedPageBreak/>
        <w:t>contrat. Si le fournisseur assume le contrat, il est tenu de remédier à tous les manquement antérieurs à la demande d’ouverture de la procédure, et l’entreprise sera tenue de poursuivre ses relations avec le fournisseur. Toutefois, l’entreprise a le droit d’évaluer prospectivement la capacité du fournisseur à exécuter ses obligations et la faisabilité de tout plan de réorganisation, et de s’opposer à ce qu’il assume le contrat et tout plan de réorganisation proposé.</w:t>
      </w:r>
    </w:p>
    <w:p w:rsidR="008A4AB2" w:rsidRPr="008A4AB2" w:rsidRDefault="008A4AB2" w:rsidP="008A4AB2">
      <w:pPr>
        <w:spacing w:after="160" w:line="259" w:lineRule="auto"/>
        <w:jc w:val="both"/>
        <w:rPr>
          <w:rFonts w:ascii="Times New Roman" w:hAnsi="Times New Roman" w:cs="Times New Roman"/>
          <w:sz w:val="24"/>
          <w:szCs w:val="24"/>
        </w:rPr>
      </w:pPr>
      <w:r w:rsidRPr="008A4AB2">
        <w:rPr>
          <w:rFonts w:ascii="Times New Roman" w:hAnsi="Times New Roman" w:cs="Times New Roman"/>
          <w:sz w:val="24"/>
          <w:szCs w:val="24"/>
        </w:rPr>
        <w:t>Dans le cas où le fournisseur placé sous la protection du Chapitre 11 essaie de céder la quasi-totalité de ses actifs à un acquéreur tiers en vertu de l’article 363 du Code de la faillite, le débiteur a également droit d’« assumer et céder » les contrats exécutoires à l’acquéreur tiers. De la même manière, l’entreprise aura prospectivement la possibilité d’évaluer l’acquéreur tiers et d’obtenir des garanties quant à sa capacité à exécuter ses obligations. Par ailleurs, en fonction de la portée des droits de propriété intellectuelle de l’entreprise, le fournisseur peut être dans l’incapacité d’assumer et céder un contrat sans le consentement de l’entreprise.</w:t>
      </w:r>
    </w:p>
    <w:p w:rsidR="008A4AB2" w:rsidRPr="008A4AB2" w:rsidRDefault="008A4AB2" w:rsidP="008A4AB2">
      <w:pPr>
        <w:spacing w:after="160" w:line="259" w:lineRule="auto"/>
        <w:jc w:val="both"/>
        <w:rPr>
          <w:rFonts w:ascii="Times New Roman" w:hAnsi="Times New Roman" w:cs="Times New Roman"/>
          <w:sz w:val="24"/>
          <w:szCs w:val="24"/>
        </w:rPr>
      </w:pPr>
      <w:r w:rsidRPr="008A4AB2">
        <w:rPr>
          <w:rFonts w:ascii="Times New Roman" w:hAnsi="Times New Roman" w:cs="Times New Roman"/>
          <w:b/>
          <w:i/>
          <w:sz w:val="24"/>
          <w:szCs w:val="24"/>
        </w:rPr>
        <w:t>Astuce contractuelle :</w:t>
      </w:r>
      <w:r w:rsidRPr="008A4AB2">
        <w:rPr>
          <w:rFonts w:ascii="Times New Roman" w:hAnsi="Times New Roman" w:cs="Times New Roman"/>
          <w:sz w:val="24"/>
          <w:szCs w:val="24"/>
        </w:rPr>
        <w:t xml:space="preserve"> Le contrat de vente ou d’approvisionnement doit expressément prévoir la résiliation des licences ou de toute autre utilisation des droits de propriété intellectuelle de l’entreprise en cas de défaillance, de changement de contrôle ou de cession du contrat sans consentement. </w:t>
      </w:r>
    </w:p>
    <w:p w:rsidR="00C44D1B" w:rsidRPr="00241560" w:rsidRDefault="008A4AB2" w:rsidP="00241560">
      <w:pPr>
        <w:spacing w:after="160" w:line="259" w:lineRule="auto"/>
        <w:jc w:val="both"/>
        <w:rPr>
          <w:rFonts w:ascii="Arial Narrow" w:hAnsi="Arial Narrow" w:cs="Times New Roman"/>
          <w:i/>
          <w:sz w:val="20"/>
          <w:szCs w:val="20"/>
        </w:rPr>
      </w:pPr>
      <w:r w:rsidRPr="008A4AB2">
        <w:rPr>
          <w:rFonts w:ascii="Arial Narrow" w:hAnsi="Arial Narrow" w:cs="Times New Roman"/>
          <w:i/>
          <w:sz w:val="20"/>
          <w:szCs w:val="20"/>
        </w:rPr>
        <w:t>*David H. Conaway, du cabinet Shumaker, Loop &amp; Kendrick, LLP (États-Unis)</w:t>
      </w:r>
    </w:p>
    <w:p w:rsidR="00ED42FE" w:rsidRPr="00ED42FE" w:rsidRDefault="00ED42FE" w:rsidP="00ED42F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x</w:t>
      </w:r>
      <w:r w:rsidRPr="00ED42FE">
        <w:rPr>
          <w:rFonts w:ascii="Times New Roman" w:eastAsia="Times New Roman" w:hAnsi="Times New Roman" w:cs="Times New Roman"/>
          <w:sz w:val="24"/>
          <w:szCs w:val="24"/>
          <w:lang w:eastAsia="ar-SA"/>
        </w:rPr>
        <w:t xml:space="preserve">   x  x</w:t>
      </w:r>
    </w:p>
    <w:p w:rsidR="00ED42FE" w:rsidRPr="00ED42FE" w:rsidRDefault="00ED42FE" w:rsidP="00ED42FE">
      <w:pPr>
        <w:suppressAutoHyphens/>
        <w:spacing w:after="0" w:line="240" w:lineRule="auto"/>
        <w:jc w:val="center"/>
        <w:rPr>
          <w:rFonts w:ascii="Times New Roman" w:eastAsia="Times New Roman" w:hAnsi="Times New Roman" w:cs="Times New Roman"/>
          <w:sz w:val="24"/>
          <w:szCs w:val="24"/>
          <w:lang w:eastAsia="ar-SA"/>
        </w:rPr>
      </w:pPr>
      <w:r w:rsidRPr="00ED42FE">
        <w:rPr>
          <w:rFonts w:ascii="Times New Roman" w:eastAsia="Times New Roman" w:hAnsi="Times New Roman" w:cs="Times New Roman"/>
          <w:sz w:val="24"/>
          <w:szCs w:val="24"/>
          <w:lang w:eastAsia="ar-SA"/>
        </w:rPr>
        <w:t>x</w:t>
      </w:r>
    </w:p>
    <w:p w:rsidR="00ED42FE" w:rsidRDefault="00ED42FE" w:rsidP="0076748B">
      <w:pPr>
        <w:suppressAutoHyphens/>
        <w:spacing w:after="0" w:line="240" w:lineRule="auto"/>
        <w:jc w:val="both"/>
        <w:rPr>
          <w:rFonts w:ascii="Arial Narrow" w:eastAsia="Times New Roman" w:hAnsi="Arial Narrow" w:cs="Times New Roman"/>
          <w:b/>
          <w:sz w:val="28"/>
          <w:szCs w:val="28"/>
          <w:lang w:eastAsia="ar-SA"/>
        </w:rPr>
      </w:pPr>
    </w:p>
    <w:p w:rsidR="00ED42FE" w:rsidRDefault="00ED42FE" w:rsidP="0076748B">
      <w:pPr>
        <w:suppressAutoHyphens/>
        <w:spacing w:after="0" w:line="240" w:lineRule="auto"/>
        <w:jc w:val="both"/>
        <w:rPr>
          <w:rFonts w:ascii="Arial Narrow" w:eastAsia="Times New Roman" w:hAnsi="Arial Narrow" w:cs="Times New Roman"/>
          <w:b/>
          <w:sz w:val="28"/>
          <w:szCs w:val="28"/>
          <w:lang w:eastAsia="ar-SA"/>
        </w:rPr>
      </w:pPr>
    </w:p>
    <w:p w:rsidR="002B3085" w:rsidRDefault="002B3085" w:rsidP="0076748B">
      <w:pPr>
        <w:suppressAutoHyphens/>
        <w:spacing w:after="0" w:line="240" w:lineRule="auto"/>
        <w:jc w:val="both"/>
        <w:rPr>
          <w:rFonts w:ascii="Arial Narrow" w:eastAsia="Times New Roman" w:hAnsi="Arial Narrow" w:cs="Times New Roman"/>
          <w:b/>
          <w:sz w:val="28"/>
          <w:szCs w:val="28"/>
          <w:lang w:eastAsia="ar-SA"/>
        </w:rPr>
      </w:pPr>
    </w:p>
    <w:p w:rsidR="002B3085" w:rsidRDefault="002B3085" w:rsidP="0076748B">
      <w:pPr>
        <w:suppressAutoHyphens/>
        <w:spacing w:after="0" w:line="240" w:lineRule="auto"/>
        <w:jc w:val="both"/>
        <w:rPr>
          <w:rFonts w:ascii="Arial Narrow" w:eastAsia="Times New Roman" w:hAnsi="Arial Narrow" w:cs="Times New Roman"/>
          <w:b/>
          <w:sz w:val="28"/>
          <w:szCs w:val="28"/>
          <w:lang w:eastAsia="ar-SA"/>
        </w:rPr>
      </w:pPr>
    </w:p>
    <w:p w:rsidR="002B3085" w:rsidRDefault="002B3085" w:rsidP="0076748B">
      <w:pPr>
        <w:suppressAutoHyphens/>
        <w:spacing w:after="0" w:line="240" w:lineRule="auto"/>
        <w:jc w:val="both"/>
        <w:rPr>
          <w:rFonts w:ascii="Arial Narrow" w:eastAsia="Times New Roman" w:hAnsi="Arial Narrow" w:cs="Times New Roman"/>
          <w:b/>
          <w:sz w:val="28"/>
          <w:szCs w:val="28"/>
          <w:lang w:eastAsia="ar-SA"/>
        </w:rPr>
      </w:pPr>
    </w:p>
    <w:p w:rsidR="002B3085" w:rsidRDefault="002B3085" w:rsidP="0076748B">
      <w:pPr>
        <w:suppressAutoHyphens/>
        <w:spacing w:after="0" w:line="240" w:lineRule="auto"/>
        <w:jc w:val="both"/>
        <w:rPr>
          <w:rFonts w:ascii="Arial Narrow" w:eastAsia="Times New Roman" w:hAnsi="Arial Narrow" w:cs="Times New Roman"/>
          <w:b/>
          <w:sz w:val="28"/>
          <w:szCs w:val="28"/>
          <w:lang w:eastAsia="ar-SA"/>
        </w:rPr>
      </w:pPr>
    </w:p>
    <w:p w:rsidR="002B3085" w:rsidRDefault="002B3085" w:rsidP="0076748B">
      <w:pPr>
        <w:suppressAutoHyphens/>
        <w:spacing w:after="0" w:line="240" w:lineRule="auto"/>
        <w:jc w:val="both"/>
        <w:rPr>
          <w:rFonts w:ascii="Arial Narrow" w:eastAsia="Times New Roman" w:hAnsi="Arial Narrow" w:cs="Times New Roman"/>
          <w:b/>
          <w:sz w:val="28"/>
          <w:szCs w:val="28"/>
          <w:lang w:eastAsia="ar-SA"/>
        </w:rPr>
      </w:pPr>
    </w:p>
    <w:p w:rsidR="002B3085" w:rsidRDefault="002B3085" w:rsidP="0076748B">
      <w:pPr>
        <w:suppressAutoHyphens/>
        <w:spacing w:after="0" w:line="240" w:lineRule="auto"/>
        <w:jc w:val="both"/>
        <w:rPr>
          <w:rFonts w:ascii="Arial Narrow" w:eastAsia="Times New Roman" w:hAnsi="Arial Narrow" w:cs="Times New Roman"/>
          <w:b/>
          <w:sz w:val="28"/>
          <w:szCs w:val="28"/>
          <w:lang w:eastAsia="ar-SA"/>
        </w:rPr>
      </w:pPr>
    </w:p>
    <w:p w:rsidR="002B3085" w:rsidRDefault="002B3085" w:rsidP="0076748B">
      <w:pPr>
        <w:suppressAutoHyphens/>
        <w:spacing w:after="0" w:line="240" w:lineRule="auto"/>
        <w:jc w:val="both"/>
        <w:rPr>
          <w:rFonts w:ascii="Arial Narrow" w:eastAsia="Times New Roman" w:hAnsi="Arial Narrow" w:cs="Times New Roman"/>
          <w:b/>
          <w:sz w:val="28"/>
          <w:szCs w:val="28"/>
          <w:lang w:eastAsia="ar-SA"/>
        </w:rPr>
      </w:pPr>
    </w:p>
    <w:p w:rsidR="002B3085" w:rsidRDefault="002B3085" w:rsidP="0076748B">
      <w:pPr>
        <w:suppressAutoHyphens/>
        <w:spacing w:after="0" w:line="240" w:lineRule="auto"/>
        <w:jc w:val="both"/>
        <w:rPr>
          <w:rFonts w:ascii="Arial Narrow" w:eastAsia="Times New Roman" w:hAnsi="Arial Narrow" w:cs="Times New Roman"/>
          <w:b/>
          <w:sz w:val="28"/>
          <w:szCs w:val="28"/>
          <w:lang w:eastAsia="ar-SA"/>
        </w:rPr>
      </w:pPr>
    </w:p>
    <w:p w:rsidR="002B3085" w:rsidRDefault="002B3085" w:rsidP="0076748B">
      <w:pPr>
        <w:suppressAutoHyphens/>
        <w:spacing w:after="0" w:line="240" w:lineRule="auto"/>
        <w:jc w:val="both"/>
        <w:rPr>
          <w:rFonts w:ascii="Arial Narrow" w:eastAsia="Times New Roman" w:hAnsi="Arial Narrow" w:cs="Times New Roman"/>
          <w:b/>
          <w:sz w:val="28"/>
          <w:szCs w:val="28"/>
          <w:lang w:eastAsia="ar-SA"/>
        </w:rPr>
      </w:pPr>
    </w:p>
    <w:p w:rsidR="002B3085" w:rsidRDefault="002B3085" w:rsidP="0076748B">
      <w:pPr>
        <w:suppressAutoHyphens/>
        <w:spacing w:after="0" w:line="240" w:lineRule="auto"/>
        <w:jc w:val="both"/>
        <w:rPr>
          <w:rFonts w:ascii="Arial Narrow" w:eastAsia="Times New Roman" w:hAnsi="Arial Narrow" w:cs="Times New Roman"/>
          <w:b/>
          <w:sz w:val="28"/>
          <w:szCs w:val="28"/>
          <w:lang w:eastAsia="ar-SA"/>
        </w:rPr>
      </w:pPr>
    </w:p>
    <w:p w:rsidR="002B3085" w:rsidRDefault="002B3085" w:rsidP="0076748B">
      <w:pPr>
        <w:suppressAutoHyphens/>
        <w:spacing w:after="0" w:line="240" w:lineRule="auto"/>
        <w:jc w:val="both"/>
        <w:rPr>
          <w:rFonts w:ascii="Arial Narrow" w:eastAsia="Times New Roman" w:hAnsi="Arial Narrow" w:cs="Times New Roman"/>
          <w:b/>
          <w:sz w:val="28"/>
          <w:szCs w:val="28"/>
          <w:lang w:eastAsia="ar-SA"/>
        </w:rPr>
      </w:pPr>
    </w:p>
    <w:p w:rsidR="002B3085" w:rsidRDefault="002B3085" w:rsidP="0076748B">
      <w:pPr>
        <w:suppressAutoHyphens/>
        <w:spacing w:after="0" w:line="240" w:lineRule="auto"/>
        <w:jc w:val="both"/>
        <w:rPr>
          <w:rFonts w:ascii="Arial Narrow" w:eastAsia="Times New Roman" w:hAnsi="Arial Narrow" w:cs="Times New Roman"/>
          <w:b/>
          <w:sz w:val="28"/>
          <w:szCs w:val="28"/>
          <w:lang w:eastAsia="ar-SA"/>
        </w:rPr>
      </w:pPr>
    </w:p>
    <w:p w:rsidR="002B3085" w:rsidRDefault="002B3085" w:rsidP="0076748B">
      <w:pPr>
        <w:suppressAutoHyphens/>
        <w:spacing w:after="0" w:line="240" w:lineRule="auto"/>
        <w:jc w:val="both"/>
        <w:rPr>
          <w:rFonts w:ascii="Arial Narrow" w:eastAsia="Times New Roman" w:hAnsi="Arial Narrow" w:cs="Times New Roman"/>
          <w:b/>
          <w:sz w:val="28"/>
          <w:szCs w:val="28"/>
          <w:lang w:eastAsia="ar-SA"/>
        </w:rPr>
      </w:pPr>
    </w:p>
    <w:p w:rsidR="002B3085" w:rsidRDefault="002B3085" w:rsidP="0076748B">
      <w:pPr>
        <w:suppressAutoHyphens/>
        <w:spacing w:after="0" w:line="240" w:lineRule="auto"/>
        <w:jc w:val="both"/>
        <w:rPr>
          <w:rFonts w:ascii="Arial Narrow" w:eastAsia="Times New Roman" w:hAnsi="Arial Narrow" w:cs="Times New Roman"/>
          <w:b/>
          <w:sz w:val="28"/>
          <w:szCs w:val="28"/>
          <w:lang w:eastAsia="ar-SA"/>
        </w:rPr>
      </w:pPr>
    </w:p>
    <w:p w:rsidR="002B3085" w:rsidRDefault="002B3085" w:rsidP="0076748B">
      <w:pPr>
        <w:suppressAutoHyphens/>
        <w:spacing w:after="0" w:line="240" w:lineRule="auto"/>
        <w:jc w:val="both"/>
        <w:rPr>
          <w:rFonts w:ascii="Arial Narrow" w:eastAsia="Times New Roman" w:hAnsi="Arial Narrow" w:cs="Times New Roman"/>
          <w:b/>
          <w:sz w:val="28"/>
          <w:szCs w:val="28"/>
          <w:lang w:eastAsia="ar-SA"/>
        </w:rPr>
      </w:pPr>
    </w:p>
    <w:p w:rsidR="002B3085" w:rsidRDefault="002B3085" w:rsidP="0076748B">
      <w:pPr>
        <w:suppressAutoHyphens/>
        <w:spacing w:after="0" w:line="240" w:lineRule="auto"/>
        <w:jc w:val="both"/>
        <w:rPr>
          <w:rFonts w:ascii="Arial Narrow" w:eastAsia="Times New Roman" w:hAnsi="Arial Narrow" w:cs="Times New Roman"/>
          <w:b/>
          <w:sz w:val="28"/>
          <w:szCs w:val="28"/>
          <w:lang w:eastAsia="ar-SA"/>
        </w:rPr>
      </w:pPr>
    </w:p>
    <w:p w:rsidR="002B3085" w:rsidRDefault="002B3085" w:rsidP="0076748B">
      <w:pPr>
        <w:suppressAutoHyphens/>
        <w:spacing w:after="0" w:line="240" w:lineRule="auto"/>
        <w:jc w:val="both"/>
        <w:rPr>
          <w:rFonts w:ascii="Arial Narrow" w:eastAsia="Times New Roman" w:hAnsi="Arial Narrow" w:cs="Times New Roman"/>
          <w:b/>
          <w:sz w:val="28"/>
          <w:szCs w:val="28"/>
          <w:lang w:eastAsia="ar-SA"/>
        </w:rPr>
      </w:pPr>
    </w:p>
    <w:p w:rsidR="002B3085" w:rsidRDefault="002B3085" w:rsidP="0076748B">
      <w:pPr>
        <w:suppressAutoHyphens/>
        <w:spacing w:after="0" w:line="240" w:lineRule="auto"/>
        <w:jc w:val="both"/>
        <w:rPr>
          <w:rFonts w:ascii="Arial Narrow" w:eastAsia="Times New Roman" w:hAnsi="Arial Narrow" w:cs="Times New Roman"/>
          <w:b/>
          <w:sz w:val="28"/>
          <w:szCs w:val="28"/>
          <w:lang w:eastAsia="ar-SA"/>
        </w:rPr>
      </w:pPr>
    </w:p>
    <w:p w:rsidR="002B3085" w:rsidRDefault="002B3085" w:rsidP="0076748B">
      <w:pPr>
        <w:suppressAutoHyphens/>
        <w:spacing w:after="0" w:line="240" w:lineRule="auto"/>
        <w:jc w:val="both"/>
        <w:rPr>
          <w:rFonts w:ascii="Arial Narrow" w:eastAsia="Times New Roman" w:hAnsi="Arial Narrow" w:cs="Times New Roman"/>
          <w:b/>
          <w:sz w:val="28"/>
          <w:szCs w:val="28"/>
          <w:lang w:eastAsia="ar-SA"/>
        </w:rPr>
      </w:pPr>
    </w:p>
    <w:p w:rsidR="003B5B5D" w:rsidRPr="003B5B5D" w:rsidRDefault="003B5B5D" w:rsidP="0076748B">
      <w:pPr>
        <w:suppressAutoHyphens/>
        <w:spacing w:after="0" w:line="240" w:lineRule="auto"/>
        <w:jc w:val="both"/>
        <w:rPr>
          <w:rFonts w:ascii="Arial Narrow" w:eastAsia="Times New Roman" w:hAnsi="Arial Narrow" w:cs="Times New Roman"/>
          <w:b/>
          <w:sz w:val="28"/>
          <w:szCs w:val="28"/>
          <w:lang w:eastAsia="ar-SA"/>
        </w:rPr>
      </w:pPr>
      <w:r w:rsidRPr="003B5B5D">
        <w:rPr>
          <w:rFonts w:ascii="Arial Narrow" w:eastAsia="Times New Roman" w:hAnsi="Arial Narrow" w:cs="Times New Roman"/>
          <w:b/>
          <w:sz w:val="28"/>
          <w:szCs w:val="28"/>
          <w:lang w:eastAsia="ar-SA"/>
        </w:rPr>
        <w:lastRenderedPageBreak/>
        <w:t>Actualités par pays</w:t>
      </w:r>
    </w:p>
    <w:p w:rsidR="003B5B5D" w:rsidRPr="003B5B5D" w:rsidRDefault="003B5B5D" w:rsidP="0076748B">
      <w:pPr>
        <w:suppressAutoHyphens/>
        <w:spacing w:after="0" w:line="240" w:lineRule="auto"/>
        <w:rPr>
          <w:rFonts w:ascii="Arial Narrow" w:eastAsia="Courier 10cpi" w:hAnsi="Arial Narrow" w:cs="Courier 10cpi"/>
          <w:b/>
          <w:sz w:val="28"/>
          <w:szCs w:val="28"/>
          <w:lang w:eastAsia="ar-SA"/>
        </w:rPr>
      </w:pPr>
    </w:p>
    <w:p w:rsidR="0076748B" w:rsidRPr="009A1930" w:rsidRDefault="0076748B" w:rsidP="0076748B">
      <w:pPr>
        <w:spacing w:after="0" w:line="240" w:lineRule="auto"/>
        <w:jc w:val="center"/>
        <w:rPr>
          <w:rFonts w:ascii="Arial Narrow" w:hAnsi="Arial Narrow" w:cs="Times New Roman"/>
          <w:caps/>
          <w:sz w:val="24"/>
          <w:szCs w:val="24"/>
        </w:rPr>
      </w:pPr>
      <w:r>
        <w:rPr>
          <w:rFonts w:ascii="Times New Roman" w:eastAsia="Times New Roman" w:hAnsi="Times New Roman" w:cs="Times New Roman"/>
          <w:b/>
          <w:sz w:val="48"/>
          <w:szCs w:val="48"/>
          <w:lang w:eastAsia="ar-SA"/>
        </w:rPr>
        <w:t>Actualités par pays</w:t>
      </w:r>
    </w:p>
    <w:p w:rsidR="0076748B" w:rsidRPr="0076748B" w:rsidRDefault="0076748B" w:rsidP="0076748B">
      <w:pPr>
        <w:spacing w:after="0" w:line="240" w:lineRule="auto"/>
        <w:jc w:val="center"/>
        <w:rPr>
          <w:rFonts w:ascii="Times New Roman" w:hAnsi="Times New Roman" w:cs="Times New Roman"/>
          <w:b/>
          <w:sz w:val="48"/>
          <w:szCs w:val="48"/>
        </w:rPr>
      </w:pPr>
      <w:r w:rsidRPr="0076748B">
        <w:rPr>
          <w:rFonts w:ascii="Times New Roman" w:hAnsi="Times New Roman" w:cs="Times New Roman"/>
          <w:b/>
          <w:sz w:val="48"/>
          <w:szCs w:val="48"/>
        </w:rPr>
        <w:t>Printemps 2018</w:t>
      </w:r>
    </w:p>
    <w:p w:rsidR="0076748B" w:rsidRPr="00E564C8" w:rsidRDefault="0076748B" w:rsidP="0076748B">
      <w:pPr>
        <w:spacing w:after="0" w:line="240" w:lineRule="auto"/>
        <w:jc w:val="center"/>
        <w:rPr>
          <w:rFonts w:ascii="Times New Roman" w:hAnsi="Times New Roman" w:cs="Times New Roman"/>
          <w:b/>
          <w:sz w:val="32"/>
          <w:szCs w:val="32"/>
        </w:rPr>
      </w:pPr>
      <w:r w:rsidRPr="00551DA5">
        <w:rPr>
          <w:rFonts w:ascii="Times New Roman" w:hAnsi="Times New Roman" w:cs="Times New Roman"/>
          <w:b/>
          <w:sz w:val="32"/>
          <w:szCs w:val="32"/>
        </w:rPr>
        <w:t>France, Turquie, Italie, Lettonie</w:t>
      </w:r>
    </w:p>
    <w:p w:rsidR="0076748B" w:rsidRPr="00E564C8" w:rsidRDefault="0076748B" w:rsidP="0076748B">
      <w:pPr>
        <w:spacing w:after="0" w:line="240" w:lineRule="auto"/>
        <w:jc w:val="both"/>
        <w:rPr>
          <w:rFonts w:ascii="Times New Roman" w:hAnsi="Times New Roman" w:cs="Times New Roman"/>
          <w:sz w:val="24"/>
          <w:szCs w:val="24"/>
        </w:rPr>
      </w:pPr>
    </w:p>
    <w:p w:rsidR="0076748B" w:rsidRPr="00E564C8" w:rsidRDefault="0076748B" w:rsidP="0076748B">
      <w:pPr>
        <w:jc w:val="both"/>
        <w:rPr>
          <w:rFonts w:ascii="Arial Narrow" w:hAnsi="Arial Narrow" w:cs="Times New Roman"/>
          <w:sz w:val="24"/>
          <w:szCs w:val="24"/>
          <w:u w:val="single"/>
        </w:rPr>
      </w:pPr>
      <w:r w:rsidRPr="0076748B">
        <w:rPr>
          <w:rFonts w:ascii="Arial Narrow" w:hAnsi="Arial Narrow" w:cs="Times New Roman"/>
          <w:b/>
          <w:sz w:val="36"/>
          <w:szCs w:val="36"/>
          <w:u w:val="single"/>
        </w:rPr>
        <w:t>France</w:t>
      </w:r>
      <w:r w:rsidRPr="00551DA5">
        <w:rPr>
          <w:rFonts w:ascii="Arial Narrow" w:hAnsi="Arial Narrow" w:cs="Times New Roman"/>
          <w:sz w:val="24"/>
          <w:szCs w:val="24"/>
          <w:u w:val="single"/>
        </w:rPr>
        <w:t> :</w:t>
      </w:r>
      <w:r w:rsidRPr="00E564C8">
        <w:rPr>
          <w:rFonts w:ascii="Arial Narrow" w:hAnsi="Arial Narrow" w:cs="Times New Roman"/>
          <w:sz w:val="24"/>
          <w:szCs w:val="24"/>
          <w:u w:val="single"/>
        </w:rPr>
        <w:t xml:space="preserve"> </w:t>
      </w:r>
      <w:r w:rsidRPr="00551DA5">
        <w:rPr>
          <w:rFonts w:ascii="Arial Narrow" w:hAnsi="Arial Narrow" w:cs="Times New Roman"/>
          <w:sz w:val="24"/>
          <w:szCs w:val="24"/>
          <w:u w:val="single"/>
        </w:rPr>
        <w:t>La diminution du nombre de procédures collectives ouvertes par les tribunaux se confirme</w:t>
      </w:r>
    </w:p>
    <w:p w:rsidR="0076748B" w:rsidRPr="00E564C8" w:rsidRDefault="0076748B" w:rsidP="0076748B">
      <w:pPr>
        <w:jc w:val="both"/>
        <w:rPr>
          <w:rFonts w:ascii="Arial Narrow" w:hAnsi="Arial Narrow" w:cs="Times New Roman"/>
          <w:i/>
          <w:sz w:val="20"/>
          <w:szCs w:val="24"/>
        </w:rPr>
      </w:pPr>
      <w:r w:rsidRPr="00551DA5">
        <w:rPr>
          <w:rFonts w:ascii="Arial Narrow" w:hAnsi="Arial Narrow" w:cs="Times New Roman"/>
          <w:i/>
          <w:sz w:val="20"/>
          <w:szCs w:val="24"/>
        </w:rPr>
        <w:t>Par Catherine Ottaway, associée, et Marine-Océane Perrin-Terrin (HOCHE Avocats)</w:t>
      </w:r>
    </w:p>
    <w:p w:rsidR="0076748B" w:rsidRPr="00E564C8" w:rsidRDefault="0076748B" w:rsidP="0076748B">
      <w:pPr>
        <w:jc w:val="both"/>
        <w:rPr>
          <w:rFonts w:ascii="Times New Roman" w:hAnsi="Times New Roman" w:cs="Times New Roman"/>
          <w:b/>
          <w:sz w:val="24"/>
          <w:szCs w:val="24"/>
        </w:rPr>
      </w:pPr>
      <w:r w:rsidRPr="00551DA5">
        <w:rPr>
          <w:rFonts w:ascii="Times New Roman" w:hAnsi="Times New Roman" w:cs="Times New Roman"/>
          <w:b/>
          <w:sz w:val="24"/>
          <w:szCs w:val="24"/>
        </w:rPr>
        <w:t>Si</w:t>
      </w:r>
      <w:r>
        <w:rPr>
          <w:rFonts w:ascii="Times New Roman" w:hAnsi="Times New Roman" w:cs="Times New Roman"/>
          <w:b/>
          <w:sz w:val="24"/>
          <w:szCs w:val="24"/>
        </w:rPr>
        <w:t>,</w:t>
      </w:r>
      <w:r w:rsidRPr="00551DA5">
        <w:rPr>
          <w:rFonts w:ascii="Times New Roman" w:hAnsi="Times New Roman" w:cs="Times New Roman"/>
          <w:b/>
          <w:sz w:val="24"/>
          <w:szCs w:val="24"/>
        </w:rPr>
        <w:t xml:space="preserve"> en 2016, l’activité économique française a commencé à se redresser et le nombre de procédures collectives ouvertes a légèrement baissé, 2017 a marqué un</w:t>
      </w:r>
      <w:r>
        <w:rPr>
          <w:rFonts w:ascii="Times New Roman" w:hAnsi="Times New Roman" w:cs="Times New Roman"/>
          <w:b/>
          <w:sz w:val="24"/>
          <w:szCs w:val="24"/>
        </w:rPr>
        <w:t>e reprise</w:t>
      </w:r>
      <w:r w:rsidRPr="00551DA5">
        <w:rPr>
          <w:rFonts w:ascii="Times New Roman" w:hAnsi="Times New Roman" w:cs="Times New Roman"/>
          <w:b/>
          <w:sz w:val="24"/>
          <w:szCs w:val="24"/>
        </w:rPr>
        <w:t xml:space="preserve"> important</w:t>
      </w:r>
      <w:r>
        <w:rPr>
          <w:rFonts w:ascii="Times New Roman" w:hAnsi="Times New Roman" w:cs="Times New Roman"/>
          <w:b/>
          <w:sz w:val="24"/>
          <w:szCs w:val="24"/>
        </w:rPr>
        <w:t>e</w:t>
      </w:r>
      <w:r w:rsidRPr="00551DA5">
        <w:rPr>
          <w:rFonts w:ascii="Times New Roman" w:hAnsi="Times New Roman" w:cs="Times New Roman"/>
          <w:b/>
          <w:sz w:val="24"/>
          <w:szCs w:val="24"/>
        </w:rPr>
        <w:t>, avec des chiffres proches de ceux antérieurs à la crise de 2011.</w:t>
      </w:r>
      <w:r w:rsidRPr="00E564C8">
        <w:rPr>
          <w:rFonts w:ascii="Times New Roman" w:hAnsi="Times New Roman" w:cs="Times New Roman"/>
          <w:b/>
          <w:sz w:val="24"/>
          <w:szCs w:val="24"/>
        </w:rPr>
        <w:t xml:space="preserve"> </w:t>
      </w:r>
      <w:r w:rsidRPr="00551DA5">
        <w:rPr>
          <w:rFonts w:ascii="Times New Roman" w:hAnsi="Times New Roman" w:cs="Times New Roman"/>
          <w:b/>
          <w:sz w:val="24"/>
          <w:szCs w:val="24"/>
        </w:rPr>
        <w:t>En outre, le 30 janvier 2018, l’INSEE a annoncé une croissance de 1,9 % du PIB pour l’année 2017.</w:t>
      </w:r>
      <w:r w:rsidRPr="00E564C8">
        <w:rPr>
          <w:rFonts w:ascii="Times New Roman" w:hAnsi="Times New Roman" w:cs="Times New Roman"/>
          <w:b/>
          <w:sz w:val="24"/>
          <w:szCs w:val="24"/>
        </w:rPr>
        <w:t xml:space="preserve"> </w:t>
      </w:r>
      <w:r w:rsidRPr="00CC324D">
        <w:rPr>
          <w:rFonts w:ascii="Times New Roman" w:hAnsi="Times New Roman" w:cs="Times New Roman"/>
          <w:b/>
          <w:sz w:val="24"/>
          <w:szCs w:val="24"/>
        </w:rPr>
        <w:t>Applaudie de tous, certains économistes et journalistes ont même baptisé cette année « l’année du décollage »</w:t>
      </w:r>
      <w:r w:rsidRPr="00CC324D">
        <w:rPr>
          <w:rStyle w:val="Appelnotedebasdep"/>
        </w:rPr>
        <w:footnoteReference w:id="37"/>
      </w:r>
      <w:r w:rsidRPr="00CC324D">
        <w:rPr>
          <w:rFonts w:ascii="Times New Roman" w:hAnsi="Times New Roman" w:cs="Times New Roman"/>
          <w:b/>
          <w:sz w:val="24"/>
          <w:szCs w:val="24"/>
        </w:rPr>
        <w:t>.</w:t>
      </w:r>
    </w:p>
    <w:p w:rsidR="0076748B" w:rsidRPr="00E564C8" w:rsidRDefault="0076748B" w:rsidP="0076748B">
      <w:pPr>
        <w:jc w:val="both"/>
        <w:rPr>
          <w:rFonts w:ascii="Times New Roman" w:hAnsi="Times New Roman" w:cs="Times New Roman"/>
          <w:b/>
          <w:i/>
          <w:sz w:val="24"/>
          <w:szCs w:val="24"/>
        </w:rPr>
      </w:pPr>
      <w:r>
        <w:rPr>
          <w:rFonts w:ascii="Times New Roman" w:hAnsi="Times New Roman" w:cs="Times New Roman"/>
          <w:b/>
          <w:i/>
          <w:sz w:val="24"/>
          <w:szCs w:val="24"/>
        </w:rPr>
        <w:t>C</w:t>
      </w:r>
      <w:r w:rsidRPr="00CC324D">
        <w:rPr>
          <w:rFonts w:ascii="Times New Roman" w:hAnsi="Times New Roman" w:cs="Times New Roman"/>
          <w:b/>
          <w:i/>
          <w:sz w:val="24"/>
          <w:szCs w:val="24"/>
        </w:rPr>
        <w:t>hiffres</w:t>
      </w:r>
    </w:p>
    <w:p w:rsidR="0076748B" w:rsidRPr="00E564C8" w:rsidRDefault="0076748B" w:rsidP="0076748B">
      <w:pPr>
        <w:jc w:val="both"/>
        <w:rPr>
          <w:rFonts w:ascii="Times New Roman" w:hAnsi="Times New Roman" w:cs="Times New Roman"/>
          <w:sz w:val="24"/>
          <w:szCs w:val="24"/>
        </w:rPr>
      </w:pPr>
      <w:r w:rsidRPr="00CC324D">
        <w:rPr>
          <w:rFonts w:ascii="Times New Roman" w:hAnsi="Times New Roman" w:cs="Times New Roman"/>
          <w:sz w:val="24"/>
          <w:szCs w:val="24"/>
        </w:rPr>
        <w:t>Les procédures collectives reflètent clairement ce phénomène.</w:t>
      </w:r>
      <w:r w:rsidRPr="00E564C8">
        <w:rPr>
          <w:rFonts w:ascii="Times New Roman" w:hAnsi="Times New Roman" w:cs="Times New Roman"/>
          <w:sz w:val="24"/>
          <w:szCs w:val="24"/>
        </w:rPr>
        <w:t xml:space="preserve"> </w:t>
      </w:r>
      <w:r w:rsidRPr="00CC324D">
        <w:rPr>
          <w:rFonts w:ascii="Times New Roman" w:hAnsi="Times New Roman" w:cs="Times New Roman"/>
          <w:sz w:val="24"/>
          <w:szCs w:val="24"/>
        </w:rPr>
        <w:t>La France affiche une réduction totale de 5,8 %</w:t>
      </w:r>
      <w:r w:rsidRPr="00CC324D">
        <w:rPr>
          <w:rStyle w:val="Appelnotedebasdep"/>
        </w:rPr>
        <w:footnoteReference w:id="38"/>
      </w:r>
      <w:r w:rsidRPr="00CC324D">
        <w:rPr>
          <w:rFonts w:ascii="Times New Roman" w:hAnsi="Times New Roman" w:cs="Times New Roman"/>
          <w:sz w:val="24"/>
          <w:szCs w:val="24"/>
        </w:rPr>
        <w:t xml:space="preserve"> du nombre total de procédures collectives ouvertes (sauvegarde, administration et liquidation) au cours des douze mois de 2017 par rapport à 2016</w:t>
      </w:r>
      <w:r>
        <w:rPr>
          <w:rFonts w:ascii="Times New Roman" w:hAnsi="Times New Roman" w:cs="Times New Roman"/>
          <w:sz w:val="24"/>
          <w:szCs w:val="24"/>
        </w:rPr>
        <w:t>,</w:t>
      </w:r>
      <w:r w:rsidRPr="00E564C8">
        <w:rPr>
          <w:rFonts w:ascii="Times New Roman" w:hAnsi="Times New Roman" w:cs="Times New Roman"/>
          <w:sz w:val="24"/>
          <w:szCs w:val="24"/>
        </w:rPr>
        <w:t xml:space="preserve"> </w:t>
      </w:r>
      <w:r w:rsidRPr="00CC324D">
        <w:rPr>
          <w:rFonts w:ascii="Times New Roman" w:hAnsi="Times New Roman" w:cs="Times New Roman"/>
          <w:sz w:val="24"/>
          <w:szCs w:val="24"/>
        </w:rPr>
        <w:t>ce qui représente au total 54 572 procédures ouvertes en 2017 contre 57 947 en 2016.</w:t>
      </w:r>
    </w:p>
    <w:p w:rsidR="0076748B" w:rsidRPr="00E564C8" w:rsidRDefault="0076748B" w:rsidP="0076748B">
      <w:pPr>
        <w:jc w:val="both"/>
        <w:rPr>
          <w:rFonts w:ascii="Times New Roman" w:hAnsi="Times New Roman" w:cs="Times New Roman"/>
          <w:sz w:val="24"/>
          <w:szCs w:val="24"/>
        </w:rPr>
      </w:pPr>
      <w:r w:rsidRPr="00CC324D">
        <w:rPr>
          <w:rFonts w:ascii="Times New Roman" w:hAnsi="Times New Roman" w:cs="Times New Roman"/>
          <w:sz w:val="24"/>
          <w:szCs w:val="24"/>
        </w:rPr>
        <w:t>Si la diminution du nombre de procédures de liquidation et de redressement judiciaire a atteint 7 % en 2017, c’est la procédure de sauvegarde qui a connu le plus fort recul.</w:t>
      </w:r>
      <w:r w:rsidRPr="00E564C8">
        <w:rPr>
          <w:rFonts w:ascii="Times New Roman" w:hAnsi="Times New Roman" w:cs="Times New Roman"/>
          <w:sz w:val="24"/>
          <w:szCs w:val="24"/>
        </w:rPr>
        <w:t xml:space="preserve"> </w:t>
      </w:r>
      <w:r>
        <w:rPr>
          <w:rFonts w:ascii="Times New Roman" w:hAnsi="Times New Roman" w:cs="Times New Roman"/>
          <w:sz w:val="24"/>
          <w:szCs w:val="24"/>
        </w:rPr>
        <w:t>En effet, l</w:t>
      </w:r>
      <w:r w:rsidRPr="00CC324D">
        <w:rPr>
          <w:rFonts w:ascii="Times New Roman" w:hAnsi="Times New Roman" w:cs="Times New Roman"/>
          <w:sz w:val="24"/>
          <w:szCs w:val="24"/>
        </w:rPr>
        <w:t xml:space="preserve">es </w:t>
      </w:r>
      <w:r>
        <w:rPr>
          <w:rFonts w:ascii="Times New Roman" w:hAnsi="Times New Roman" w:cs="Times New Roman"/>
          <w:sz w:val="24"/>
          <w:szCs w:val="24"/>
        </w:rPr>
        <w:t>statistiques</w:t>
      </w:r>
      <w:r w:rsidRPr="00CC324D">
        <w:rPr>
          <w:rFonts w:ascii="Times New Roman" w:hAnsi="Times New Roman" w:cs="Times New Roman"/>
          <w:sz w:val="24"/>
          <w:szCs w:val="24"/>
        </w:rPr>
        <w:t xml:space="preserve"> indiquent une réduction de 10,5 % du nombre de décisions d’ouverture d’une procédure de sauvegarde prononcées par les tribunaux français.</w:t>
      </w:r>
    </w:p>
    <w:p w:rsidR="0076748B" w:rsidRPr="00E564C8" w:rsidRDefault="0076748B" w:rsidP="0076748B">
      <w:pPr>
        <w:jc w:val="both"/>
        <w:rPr>
          <w:rFonts w:ascii="Times New Roman" w:hAnsi="Times New Roman" w:cs="Times New Roman"/>
          <w:sz w:val="24"/>
          <w:szCs w:val="24"/>
        </w:rPr>
      </w:pPr>
      <w:r>
        <w:rPr>
          <w:rFonts w:ascii="Times New Roman" w:hAnsi="Times New Roman" w:cs="Times New Roman"/>
          <w:b/>
          <w:i/>
          <w:sz w:val="24"/>
          <w:szCs w:val="24"/>
        </w:rPr>
        <w:t>S</w:t>
      </w:r>
      <w:r w:rsidRPr="00CC324D">
        <w:rPr>
          <w:rFonts w:ascii="Times New Roman" w:hAnsi="Times New Roman" w:cs="Times New Roman"/>
          <w:b/>
          <w:i/>
          <w:sz w:val="24"/>
          <w:szCs w:val="24"/>
        </w:rPr>
        <w:t>ecteur</w:t>
      </w:r>
      <w:r>
        <w:rPr>
          <w:rFonts w:ascii="Times New Roman" w:hAnsi="Times New Roman" w:cs="Times New Roman"/>
          <w:b/>
          <w:i/>
          <w:sz w:val="24"/>
          <w:szCs w:val="24"/>
        </w:rPr>
        <w:t>s concerné</w:t>
      </w:r>
      <w:r w:rsidRPr="00CC324D">
        <w:rPr>
          <w:rFonts w:ascii="Times New Roman" w:hAnsi="Times New Roman" w:cs="Times New Roman"/>
          <w:b/>
          <w:i/>
          <w:sz w:val="24"/>
          <w:szCs w:val="24"/>
        </w:rPr>
        <w:t>s</w:t>
      </w:r>
      <w:r w:rsidRPr="00E564C8">
        <w:rPr>
          <w:rFonts w:ascii="Times New Roman" w:hAnsi="Times New Roman" w:cs="Times New Roman"/>
          <w:b/>
          <w:i/>
          <w:sz w:val="24"/>
          <w:szCs w:val="24"/>
        </w:rPr>
        <w:t xml:space="preserve"> </w:t>
      </w:r>
    </w:p>
    <w:p w:rsidR="00241560" w:rsidRPr="00ED42FE" w:rsidRDefault="0076748B" w:rsidP="0076748B">
      <w:pPr>
        <w:jc w:val="both"/>
        <w:rPr>
          <w:rFonts w:ascii="Times New Roman" w:hAnsi="Times New Roman" w:cs="Times New Roman"/>
          <w:sz w:val="24"/>
          <w:szCs w:val="24"/>
        </w:rPr>
      </w:pPr>
      <w:r w:rsidRPr="00CC324D">
        <w:rPr>
          <w:rFonts w:ascii="Times New Roman" w:hAnsi="Times New Roman" w:cs="Times New Roman"/>
          <w:sz w:val="24"/>
          <w:szCs w:val="24"/>
        </w:rPr>
        <w:t>Ce changement de conjoncture est manifeste dans tous les secteurs.</w:t>
      </w:r>
      <w:r w:rsidRPr="00E564C8">
        <w:rPr>
          <w:rFonts w:ascii="Times New Roman" w:hAnsi="Times New Roman" w:cs="Times New Roman"/>
          <w:sz w:val="24"/>
          <w:szCs w:val="24"/>
        </w:rPr>
        <w:t xml:space="preserve"> </w:t>
      </w:r>
      <w:r w:rsidRPr="00CC324D">
        <w:rPr>
          <w:rFonts w:ascii="Times New Roman" w:hAnsi="Times New Roman" w:cs="Times New Roman"/>
          <w:sz w:val="24"/>
          <w:szCs w:val="24"/>
        </w:rPr>
        <w:t>Seules les entreprises des secteurs de l’agriculture, des transports et de l’entreposage continuent de connaître une augmentation de leurs difficultés.</w:t>
      </w:r>
      <w:r w:rsidRPr="00E564C8">
        <w:rPr>
          <w:rFonts w:ascii="Times New Roman" w:hAnsi="Times New Roman" w:cs="Times New Roman"/>
          <w:sz w:val="24"/>
          <w:szCs w:val="24"/>
        </w:rPr>
        <w:t xml:space="preserve"> </w:t>
      </w:r>
      <w:r w:rsidRPr="00CC324D">
        <w:rPr>
          <w:rFonts w:ascii="Times New Roman" w:hAnsi="Times New Roman" w:cs="Times New Roman"/>
          <w:sz w:val="24"/>
          <w:szCs w:val="24"/>
        </w:rPr>
        <w:t>Les petites et moyennes entreprises sont également de moins en moins touchées par les procédures collectives (-6 %).</w:t>
      </w:r>
      <w:r w:rsidRPr="00E564C8">
        <w:rPr>
          <w:rFonts w:ascii="Times New Roman" w:hAnsi="Times New Roman" w:cs="Times New Roman"/>
          <w:sz w:val="24"/>
          <w:szCs w:val="24"/>
        </w:rPr>
        <w:t xml:space="preserve"> </w:t>
      </w:r>
      <w:r w:rsidRPr="00CC324D">
        <w:rPr>
          <w:rFonts w:ascii="Times New Roman" w:hAnsi="Times New Roman" w:cs="Times New Roman"/>
          <w:sz w:val="24"/>
          <w:szCs w:val="24"/>
        </w:rPr>
        <w:t>Toutes les jeunes entreprises (moins de trois ans</w:t>
      </w:r>
      <w:r>
        <w:rPr>
          <w:rFonts w:ascii="Times New Roman" w:hAnsi="Times New Roman" w:cs="Times New Roman"/>
          <w:sz w:val="24"/>
          <w:szCs w:val="24"/>
        </w:rPr>
        <w:t xml:space="preserve"> d’existence</w:t>
      </w:r>
      <w:r w:rsidRPr="00CC324D">
        <w:rPr>
          <w:rFonts w:ascii="Times New Roman" w:hAnsi="Times New Roman" w:cs="Times New Roman"/>
          <w:sz w:val="24"/>
          <w:szCs w:val="24"/>
        </w:rPr>
        <w:t xml:space="preserve">) semblent les plus privilégiées (-10 %) ; seuls les </w:t>
      </w:r>
      <w:r>
        <w:rPr>
          <w:rFonts w:ascii="Times New Roman" w:hAnsi="Times New Roman" w:cs="Times New Roman"/>
          <w:sz w:val="24"/>
          <w:szCs w:val="24"/>
        </w:rPr>
        <w:t xml:space="preserve">secteurs de l’hébergement et de la restauration </w:t>
      </w:r>
      <w:r w:rsidRPr="00CC324D">
        <w:rPr>
          <w:rFonts w:ascii="Times New Roman" w:hAnsi="Times New Roman" w:cs="Times New Roman"/>
          <w:sz w:val="24"/>
          <w:szCs w:val="24"/>
        </w:rPr>
        <w:t>ont encore du mal à se maintenir.</w:t>
      </w:r>
    </w:p>
    <w:p w:rsidR="0076748B" w:rsidRPr="00E564C8" w:rsidRDefault="0076748B" w:rsidP="0076748B">
      <w:pPr>
        <w:jc w:val="both"/>
        <w:rPr>
          <w:rFonts w:ascii="Times New Roman" w:hAnsi="Times New Roman" w:cs="Times New Roman"/>
          <w:sz w:val="24"/>
          <w:szCs w:val="24"/>
        </w:rPr>
      </w:pPr>
      <w:r>
        <w:rPr>
          <w:rFonts w:ascii="Times New Roman" w:hAnsi="Times New Roman" w:cs="Times New Roman"/>
          <w:b/>
          <w:i/>
          <w:sz w:val="24"/>
          <w:szCs w:val="24"/>
        </w:rPr>
        <w:t>Conséquences positive</w:t>
      </w:r>
      <w:r w:rsidRPr="00CC324D">
        <w:rPr>
          <w:rFonts w:ascii="Times New Roman" w:hAnsi="Times New Roman" w:cs="Times New Roman"/>
          <w:b/>
          <w:i/>
          <w:sz w:val="24"/>
          <w:szCs w:val="24"/>
        </w:rPr>
        <w:t>s</w:t>
      </w:r>
      <w:r w:rsidRPr="00E564C8">
        <w:rPr>
          <w:rFonts w:ascii="Times New Roman" w:hAnsi="Times New Roman" w:cs="Times New Roman"/>
          <w:sz w:val="24"/>
          <w:szCs w:val="24"/>
        </w:rPr>
        <w:t xml:space="preserve"> </w:t>
      </w:r>
    </w:p>
    <w:p w:rsidR="0076748B" w:rsidRPr="00E564C8" w:rsidRDefault="0076748B" w:rsidP="0076748B">
      <w:pPr>
        <w:jc w:val="both"/>
        <w:rPr>
          <w:rFonts w:ascii="Times New Roman" w:hAnsi="Times New Roman" w:cs="Times New Roman"/>
          <w:sz w:val="24"/>
          <w:szCs w:val="24"/>
        </w:rPr>
      </w:pPr>
      <w:r>
        <w:rPr>
          <w:rFonts w:ascii="Times New Roman" w:hAnsi="Times New Roman" w:cs="Times New Roman"/>
          <w:sz w:val="24"/>
          <w:szCs w:val="24"/>
        </w:rPr>
        <w:lastRenderedPageBreak/>
        <w:t>Résultat</w:t>
      </w:r>
      <w:r w:rsidRPr="00C16325">
        <w:rPr>
          <w:rFonts w:ascii="Times New Roman" w:hAnsi="Times New Roman" w:cs="Times New Roman"/>
          <w:sz w:val="24"/>
          <w:szCs w:val="24"/>
        </w:rPr>
        <w:t xml:space="preserve">, les problèmes liés </w:t>
      </w:r>
      <w:r>
        <w:rPr>
          <w:rFonts w:ascii="Times New Roman" w:hAnsi="Times New Roman" w:cs="Times New Roman"/>
          <w:sz w:val="24"/>
          <w:szCs w:val="24"/>
        </w:rPr>
        <w:t xml:space="preserve">aux salaires </w:t>
      </w:r>
      <w:r w:rsidRPr="00C16325">
        <w:rPr>
          <w:rFonts w:ascii="Times New Roman" w:hAnsi="Times New Roman" w:cs="Times New Roman"/>
          <w:sz w:val="24"/>
          <w:szCs w:val="24"/>
        </w:rPr>
        <w:t>ont fortement diminué.</w:t>
      </w:r>
    </w:p>
    <w:p w:rsidR="0076748B" w:rsidRPr="00E564C8" w:rsidRDefault="0076748B" w:rsidP="0076748B">
      <w:pPr>
        <w:jc w:val="both"/>
        <w:rPr>
          <w:rFonts w:ascii="Times New Roman" w:hAnsi="Times New Roman" w:cs="Times New Roman"/>
          <w:sz w:val="24"/>
          <w:szCs w:val="24"/>
        </w:rPr>
      </w:pPr>
      <w:r w:rsidRPr="00C16325">
        <w:rPr>
          <w:rFonts w:ascii="Times New Roman" w:hAnsi="Times New Roman" w:cs="Times New Roman"/>
          <w:sz w:val="24"/>
          <w:szCs w:val="24"/>
        </w:rPr>
        <w:t>D’une part, on observe une réduction du nombre d’emplois à risque. Ce phénomène est illustré par le nombre d’affaires créées au titre de la garantie des salaires et les activités de l’AGS (l’</w:t>
      </w:r>
      <w:r w:rsidRPr="00241560">
        <w:rPr>
          <w:rFonts w:ascii="Times New Roman" w:hAnsi="Times New Roman" w:cs="Times New Roman"/>
          <w:b/>
          <w:sz w:val="24"/>
          <w:szCs w:val="24"/>
        </w:rPr>
        <w:t>A</w:t>
      </w:r>
      <w:r w:rsidRPr="00C16325">
        <w:rPr>
          <w:rFonts w:ascii="Times New Roman" w:hAnsi="Times New Roman" w:cs="Times New Roman"/>
          <w:sz w:val="24"/>
          <w:szCs w:val="24"/>
        </w:rPr>
        <w:t xml:space="preserve">ssociation pour la gestion du régime de </w:t>
      </w:r>
      <w:r w:rsidRPr="00241560">
        <w:rPr>
          <w:rFonts w:ascii="Times New Roman" w:hAnsi="Times New Roman" w:cs="Times New Roman"/>
          <w:b/>
          <w:sz w:val="24"/>
          <w:szCs w:val="24"/>
        </w:rPr>
        <w:t>G</w:t>
      </w:r>
      <w:r w:rsidRPr="00C16325">
        <w:rPr>
          <w:rFonts w:ascii="Times New Roman" w:hAnsi="Times New Roman" w:cs="Times New Roman"/>
          <w:sz w:val="24"/>
          <w:szCs w:val="24"/>
        </w:rPr>
        <w:t xml:space="preserve">arantie des créances des </w:t>
      </w:r>
      <w:r w:rsidRPr="00241560">
        <w:rPr>
          <w:rFonts w:ascii="Times New Roman" w:hAnsi="Times New Roman" w:cs="Times New Roman"/>
          <w:b/>
          <w:sz w:val="24"/>
          <w:szCs w:val="24"/>
        </w:rPr>
        <w:t>S</w:t>
      </w:r>
      <w:r w:rsidRPr="00C16325">
        <w:rPr>
          <w:rFonts w:ascii="Times New Roman" w:hAnsi="Times New Roman" w:cs="Times New Roman"/>
          <w:sz w:val="24"/>
          <w:szCs w:val="24"/>
        </w:rPr>
        <w:t>alariés est un organisme patronal fondé sur la solidarité interprofessionnelle des employeurs et financé par leurs cotisations), qui a chuté de 9,2 % pour arriver à son niveau le plus bas en quinze ans</w:t>
      </w:r>
      <w:r w:rsidRPr="00C16325">
        <w:rPr>
          <w:rStyle w:val="Appelnotedebasdep"/>
        </w:rPr>
        <w:footnoteReference w:id="39"/>
      </w:r>
      <w:r w:rsidRPr="00C16325">
        <w:rPr>
          <w:rFonts w:ascii="Times New Roman" w:hAnsi="Times New Roman" w:cs="Times New Roman"/>
          <w:sz w:val="24"/>
          <w:szCs w:val="24"/>
        </w:rPr>
        <w:t>.</w:t>
      </w:r>
    </w:p>
    <w:p w:rsidR="0076748B" w:rsidRPr="00E564C8" w:rsidRDefault="0076748B" w:rsidP="0076748B">
      <w:pPr>
        <w:jc w:val="both"/>
        <w:rPr>
          <w:rFonts w:ascii="Times New Roman" w:hAnsi="Times New Roman" w:cs="Times New Roman"/>
          <w:sz w:val="24"/>
          <w:szCs w:val="24"/>
        </w:rPr>
      </w:pPr>
      <w:r w:rsidRPr="00C16325">
        <w:rPr>
          <w:rFonts w:ascii="Times New Roman" w:hAnsi="Times New Roman" w:cs="Times New Roman"/>
          <w:sz w:val="24"/>
          <w:szCs w:val="24"/>
        </w:rPr>
        <w:t xml:space="preserve">D’autre part, le nombre de licenciements a lui aussi diminué et de nombreux contrats de travail ont été </w:t>
      </w:r>
      <w:r>
        <w:rPr>
          <w:rFonts w:ascii="Times New Roman" w:hAnsi="Times New Roman" w:cs="Times New Roman"/>
          <w:sz w:val="24"/>
          <w:szCs w:val="24"/>
        </w:rPr>
        <w:t>maintenus</w:t>
      </w:r>
      <w:r w:rsidRPr="00C16325">
        <w:rPr>
          <w:rFonts w:ascii="Times New Roman" w:hAnsi="Times New Roman" w:cs="Times New Roman"/>
          <w:sz w:val="24"/>
          <w:szCs w:val="24"/>
        </w:rPr>
        <w:t xml:space="preserve"> après le jugement d’ouverture.</w:t>
      </w:r>
      <w:r w:rsidRPr="00E564C8">
        <w:rPr>
          <w:rFonts w:ascii="Times New Roman" w:hAnsi="Times New Roman" w:cs="Times New Roman"/>
          <w:sz w:val="24"/>
          <w:szCs w:val="24"/>
        </w:rPr>
        <w:t xml:space="preserve"> </w:t>
      </w:r>
      <w:r w:rsidRPr="00C16325">
        <w:rPr>
          <w:rFonts w:ascii="Times New Roman" w:hAnsi="Times New Roman" w:cs="Times New Roman"/>
          <w:sz w:val="24"/>
          <w:szCs w:val="24"/>
        </w:rPr>
        <w:t>Cela montre que les entreprises sont moins susceptibles de licencier les travailleurs pour survivre.</w:t>
      </w:r>
    </w:p>
    <w:p w:rsidR="0076748B" w:rsidRPr="00E564C8" w:rsidRDefault="0076748B" w:rsidP="0076748B">
      <w:pPr>
        <w:jc w:val="both"/>
        <w:rPr>
          <w:rFonts w:ascii="Times New Roman" w:eastAsia="Times New Roman" w:hAnsi="Times New Roman" w:cs="Times New Roman"/>
          <w:sz w:val="24"/>
          <w:szCs w:val="24"/>
        </w:rPr>
      </w:pPr>
      <w:r w:rsidRPr="00C16325">
        <w:rPr>
          <w:rFonts w:ascii="Times New Roman" w:hAnsi="Times New Roman" w:cs="Times New Roman"/>
          <w:sz w:val="24"/>
          <w:szCs w:val="24"/>
        </w:rPr>
        <w:t xml:space="preserve">Enfin, étant donné que les procédures alternatives ne montrent aucun signe de développement, </w:t>
      </w:r>
      <w:r>
        <w:rPr>
          <w:rFonts w:ascii="Times New Roman" w:hAnsi="Times New Roman" w:cs="Times New Roman"/>
          <w:sz w:val="24"/>
          <w:szCs w:val="24"/>
        </w:rPr>
        <w:t xml:space="preserve">on peut en conclure que </w:t>
      </w:r>
      <w:r w:rsidRPr="00C16325">
        <w:rPr>
          <w:rFonts w:ascii="Times New Roman" w:hAnsi="Times New Roman" w:cs="Times New Roman"/>
          <w:sz w:val="24"/>
          <w:szCs w:val="24"/>
        </w:rPr>
        <w:t>la croissance est la seule raison de cette évolution.</w:t>
      </w:r>
      <w:r w:rsidRPr="00E564C8">
        <w:rPr>
          <w:rFonts w:ascii="Times New Roman" w:hAnsi="Times New Roman" w:cs="Times New Roman"/>
          <w:sz w:val="24"/>
          <w:szCs w:val="24"/>
        </w:rPr>
        <w:t xml:space="preserve"> </w:t>
      </w:r>
      <w:r w:rsidRPr="00C16325">
        <w:rPr>
          <w:rFonts w:ascii="Times New Roman" w:hAnsi="Times New Roman" w:cs="Times New Roman"/>
          <w:sz w:val="24"/>
          <w:szCs w:val="24"/>
        </w:rPr>
        <w:t>La France semble revenir à des chiffres proches de ceux qu’on connaissait avant le dernier effondrement boursier de 2011.</w:t>
      </w:r>
      <w:r w:rsidRPr="00E564C8">
        <w:rPr>
          <w:rFonts w:ascii="Times New Roman" w:hAnsi="Times New Roman" w:cs="Times New Roman"/>
          <w:sz w:val="24"/>
          <w:szCs w:val="24"/>
        </w:rPr>
        <w:t xml:space="preserve"> </w:t>
      </w:r>
    </w:p>
    <w:p w:rsidR="0076748B" w:rsidRPr="00E564C8" w:rsidRDefault="0076748B" w:rsidP="0076748B">
      <w:pPr>
        <w:pBdr>
          <w:bottom w:val="single" w:sz="6" w:space="1" w:color="auto"/>
        </w:pBdr>
        <w:jc w:val="both"/>
        <w:rPr>
          <w:rFonts w:ascii="Times New Roman" w:hAnsi="Times New Roman" w:cs="Times New Roman"/>
          <w:sz w:val="24"/>
          <w:szCs w:val="24"/>
        </w:rPr>
      </w:pPr>
    </w:p>
    <w:p w:rsidR="0076748B" w:rsidRPr="00E564C8" w:rsidRDefault="0076748B" w:rsidP="0076748B">
      <w:pPr>
        <w:jc w:val="both"/>
        <w:rPr>
          <w:rFonts w:ascii="Arial Narrow" w:hAnsi="Arial Narrow" w:cs="Times New Roman"/>
          <w:sz w:val="24"/>
          <w:szCs w:val="24"/>
          <w:u w:val="single"/>
        </w:rPr>
      </w:pPr>
      <w:r w:rsidRPr="0076748B">
        <w:rPr>
          <w:rFonts w:ascii="Arial Narrow" w:hAnsi="Arial Narrow" w:cs="Times New Roman"/>
          <w:b/>
          <w:sz w:val="36"/>
          <w:szCs w:val="36"/>
          <w:u w:val="single"/>
        </w:rPr>
        <w:t>Turquie</w:t>
      </w:r>
      <w:r w:rsidRPr="00C16325">
        <w:rPr>
          <w:rFonts w:ascii="Arial Narrow" w:hAnsi="Arial Narrow" w:cs="Times New Roman"/>
          <w:sz w:val="24"/>
          <w:szCs w:val="24"/>
          <w:u w:val="single"/>
        </w:rPr>
        <w:t> :</w:t>
      </w:r>
      <w:r w:rsidRPr="00E564C8">
        <w:rPr>
          <w:rFonts w:ascii="Arial Narrow" w:hAnsi="Arial Narrow" w:cs="Times New Roman"/>
          <w:sz w:val="24"/>
          <w:szCs w:val="24"/>
          <w:u w:val="single"/>
        </w:rPr>
        <w:t xml:space="preserve"> </w:t>
      </w:r>
      <w:r w:rsidRPr="00C16325">
        <w:rPr>
          <w:rFonts w:ascii="Arial Narrow" w:hAnsi="Arial Narrow" w:cs="Times New Roman"/>
          <w:sz w:val="24"/>
          <w:szCs w:val="24"/>
          <w:u w:val="single"/>
        </w:rPr>
        <w:t>Le fait de tenir le représentant légal d’une entreprise responsable de dettes publiques impayées ne viole pas les droits de propriété</w:t>
      </w:r>
    </w:p>
    <w:p w:rsidR="0076748B" w:rsidRPr="00E564C8" w:rsidRDefault="0076748B" w:rsidP="0076748B">
      <w:pPr>
        <w:jc w:val="both"/>
        <w:rPr>
          <w:rFonts w:ascii="Arial Narrow" w:hAnsi="Arial Narrow" w:cs="Times New Roman"/>
          <w:i/>
          <w:sz w:val="20"/>
          <w:szCs w:val="20"/>
        </w:rPr>
      </w:pPr>
      <w:r w:rsidRPr="00C16325">
        <w:rPr>
          <w:rFonts w:ascii="Arial Narrow" w:hAnsi="Arial Narrow" w:cs="Times New Roman"/>
          <w:i/>
          <w:sz w:val="20"/>
          <w:szCs w:val="20"/>
        </w:rPr>
        <w:t>Par Orçun Çetinkaya, associé, et Burak Baydar, collaborateur senior, Moroğlu Arseven, Istanbul (Turquie)</w:t>
      </w:r>
    </w:p>
    <w:p w:rsidR="0076748B" w:rsidRPr="00E564C8" w:rsidRDefault="0076748B" w:rsidP="0076748B">
      <w:pPr>
        <w:jc w:val="both"/>
        <w:rPr>
          <w:rFonts w:ascii="Times New Roman" w:hAnsi="Times New Roman" w:cs="Times New Roman"/>
          <w:b/>
          <w:sz w:val="24"/>
          <w:szCs w:val="24"/>
        </w:rPr>
      </w:pPr>
      <w:r w:rsidRPr="00A8005C">
        <w:rPr>
          <w:rFonts w:ascii="Times New Roman" w:hAnsi="Times New Roman" w:cs="Times New Roman"/>
          <w:b/>
          <w:sz w:val="24"/>
          <w:szCs w:val="24"/>
        </w:rPr>
        <w:t xml:space="preserve">La Cour constitutionnelle de Turquie a récemment confirmé que les représentants légaux d’une entreprise sont conjointement responsables, avec la personne morale, de ses dettes publiques si celles-ci sont </w:t>
      </w:r>
      <w:r>
        <w:rPr>
          <w:rFonts w:ascii="Times New Roman" w:hAnsi="Times New Roman" w:cs="Times New Roman"/>
          <w:b/>
          <w:sz w:val="24"/>
          <w:szCs w:val="24"/>
        </w:rPr>
        <w:t xml:space="preserve">devenues exigibles </w:t>
      </w:r>
      <w:r w:rsidRPr="00A8005C">
        <w:rPr>
          <w:rFonts w:ascii="Times New Roman" w:hAnsi="Times New Roman" w:cs="Times New Roman"/>
          <w:b/>
          <w:sz w:val="24"/>
          <w:szCs w:val="24"/>
        </w:rPr>
        <w:t>pendant qu’ils exerçaient des fonctions au sein de l’entreprise.</w:t>
      </w:r>
      <w:r w:rsidRPr="00E564C8">
        <w:rPr>
          <w:rFonts w:ascii="Times New Roman" w:hAnsi="Times New Roman" w:cs="Times New Roman"/>
          <w:b/>
          <w:sz w:val="24"/>
          <w:szCs w:val="24"/>
        </w:rPr>
        <w:t xml:space="preserve"> </w:t>
      </w:r>
      <w:r w:rsidRPr="00A8005C">
        <w:rPr>
          <w:rFonts w:ascii="Times New Roman" w:hAnsi="Times New Roman" w:cs="Times New Roman"/>
          <w:b/>
          <w:sz w:val="24"/>
          <w:szCs w:val="24"/>
        </w:rPr>
        <w:t>La Cour a arrêté que cela ne troublait pas l’équilibre entre l’intérêt public et le droit constitutionnel à la propriété dont bénéficient les personnes physiques.</w:t>
      </w:r>
    </w:p>
    <w:p w:rsidR="0076748B" w:rsidRPr="00E564C8" w:rsidRDefault="0076748B" w:rsidP="0076748B">
      <w:pPr>
        <w:jc w:val="both"/>
        <w:rPr>
          <w:rFonts w:ascii="Times New Roman" w:hAnsi="Times New Roman" w:cs="Times New Roman"/>
          <w:sz w:val="24"/>
          <w:szCs w:val="24"/>
        </w:rPr>
      </w:pPr>
      <w:r w:rsidRPr="00A8005C">
        <w:rPr>
          <w:rFonts w:ascii="Times New Roman" w:hAnsi="Times New Roman" w:cs="Times New Roman"/>
          <w:sz w:val="24"/>
          <w:szCs w:val="24"/>
        </w:rPr>
        <w:t>Le demandeur (« Demandeur ») était membre du conseil d’administration d’une société (la « Société</w:t>
      </w:r>
      <w:r>
        <w:rPr>
          <w:rFonts w:ascii="Times New Roman" w:hAnsi="Times New Roman" w:cs="Times New Roman"/>
          <w:sz w:val="24"/>
          <w:szCs w:val="24"/>
        </w:rPr>
        <w:t> »</w:t>
      </w:r>
      <w:r w:rsidRPr="00A8005C">
        <w:rPr>
          <w:rFonts w:ascii="Times New Roman" w:hAnsi="Times New Roman" w:cs="Times New Roman"/>
          <w:sz w:val="24"/>
          <w:szCs w:val="24"/>
        </w:rPr>
        <w:t>) entre 1996 et 1999.</w:t>
      </w:r>
      <w:r w:rsidRPr="00E564C8">
        <w:rPr>
          <w:rFonts w:ascii="Times New Roman" w:hAnsi="Times New Roman" w:cs="Times New Roman"/>
          <w:sz w:val="24"/>
          <w:szCs w:val="24"/>
        </w:rPr>
        <w:t xml:space="preserve"> </w:t>
      </w:r>
      <w:r w:rsidRPr="00A8005C">
        <w:rPr>
          <w:rFonts w:ascii="Times New Roman" w:hAnsi="Times New Roman" w:cs="Times New Roman"/>
          <w:sz w:val="24"/>
          <w:szCs w:val="24"/>
        </w:rPr>
        <w:t>La Société a</w:t>
      </w:r>
      <w:r>
        <w:rPr>
          <w:rFonts w:ascii="Times New Roman" w:hAnsi="Times New Roman" w:cs="Times New Roman"/>
          <w:sz w:val="24"/>
          <w:szCs w:val="24"/>
        </w:rPr>
        <w:t>vait</w:t>
      </w:r>
      <w:r w:rsidRPr="00A8005C">
        <w:rPr>
          <w:rFonts w:ascii="Times New Roman" w:hAnsi="Times New Roman" w:cs="Times New Roman"/>
          <w:sz w:val="24"/>
          <w:szCs w:val="24"/>
        </w:rPr>
        <w:t xml:space="preserve"> souscrit trois prêts différents auprès de Yaşarbank A.Ş. (« Yaşarbank ») en 1994 et 1995, avant que la banque ne soit transférée au Fonds d’assurance des dépôts d’épargne (le « Fonds »)</w:t>
      </w:r>
      <w:r>
        <w:rPr>
          <w:rFonts w:ascii="Times New Roman" w:hAnsi="Times New Roman" w:cs="Times New Roman"/>
          <w:sz w:val="24"/>
          <w:szCs w:val="24"/>
        </w:rPr>
        <w:t>,</w:t>
      </w:r>
      <w:r w:rsidRPr="00A8005C">
        <w:rPr>
          <w:rFonts w:ascii="Times New Roman" w:hAnsi="Times New Roman" w:cs="Times New Roman"/>
          <w:sz w:val="24"/>
          <w:szCs w:val="24"/>
        </w:rPr>
        <w:t xml:space="preserve"> fin 1999.</w:t>
      </w:r>
      <w:r w:rsidRPr="00E564C8">
        <w:rPr>
          <w:rFonts w:ascii="Times New Roman" w:hAnsi="Times New Roman" w:cs="Times New Roman"/>
          <w:sz w:val="24"/>
          <w:szCs w:val="24"/>
        </w:rPr>
        <w:t xml:space="preserve"> </w:t>
      </w:r>
      <w:r w:rsidRPr="00A8005C">
        <w:rPr>
          <w:rFonts w:ascii="Times New Roman" w:hAnsi="Times New Roman" w:cs="Times New Roman"/>
          <w:sz w:val="24"/>
          <w:szCs w:val="24"/>
        </w:rPr>
        <w:t>Le Fonds a pour mission de protéger les droits des déposants, de renforcer les structures financières et de recouvrer les créances des banques qui ont été transférées au Fonds par l’Agence de réglementation et de supervision bancaires (l’« Agence »).</w:t>
      </w:r>
      <w:r w:rsidRPr="00E564C8">
        <w:rPr>
          <w:rFonts w:ascii="Times New Roman" w:hAnsi="Times New Roman" w:cs="Times New Roman"/>
          <w:sz w:val="24"/>
          <w:szCs w:val="24"/>
        </w:rPr>
        <w:t xml:space="preserve"> </w:t>
      </w:r>
      <w:r w:rsidRPr="00A8005C">
        <w:rPr>
          <w:rFonts w:ascii="Times New Roman" w:hAnsi="Times New Roman" w:cs="Times New Roman"/>
          <w:sz w:val="24"/>
          <w:szCs w:val="24"/>
        </w:rPr>
        <w:t>Dans ce cas, l’Agence a transféré Yaşarbank au Fonds à cause de sa mauvaise gestion.</w:t>
      </w:r>
      <w:r w:rsidRPr="00E564C8">
        <w:rPr>
          <w:rFonts w:ascii="Times New Roman" w:hAnsi="Times New Roman" w:cs="Times New Roman"/>
          <w:sz w:val="24"/>
          <w:szCs w:val="24"/>
        </w:rPr>
        <w:t xml:space="preserve"> </w:t>
      </w:r>
      <w:r w:rsidRPr="00A8005C">
        <w:rPr>
          <w:rFonts w:ascii="Times New Roman" w:hAnsi="Times New Roman" w:cs="Times New Roman"/>
          <w:sz w:val="24"/>
          <w:szCs w:val="24"/>
        </w:rPr>
        <w:t>Lors du transfert, les créances de Yaşarbank, notamment les prêts de la Société, sont devenues des dettes publiques.</w:t>
      </w:r>
    </w:p>
    <w:p w:rsidR="0076748B" w:rsidRPr="00E564C8" w:rsidRDefault="0076748B" w:rsidP="0076748B">
      <w:pPr>
        <w:jc w:val="both"/>
        <w:rPr>
          <w:rFonts w:ascii="Times New Roman" w:hAnsi="Times New Roman" w:cs="Times New Roman"/>
          <w:sz w:val="24"/>
          <w:szCs w:val="24"/>
        </w:rPr>
      </w:pPr>
      <w:r w:rsidRPr="00A8005C">
        <w:rPr>
          <w:rFonts w:ascii="Times New Roman" w:hAnsi="Times New Roman" w:cs="Times New Roman"/>
          <w:sz w:val="24"/>
          <w:szCs w:val="24"/>
        </w:rPr>
        <w:t xml:space="preserve">Le Fonds a signé </w:t>
      </w:r>
      <w:r>
        <w:rPr>
          <w:rFonts w:ascii="Times New Roman" w:hAnsi="Times New Roman" w:cs="Times New Roman"/>
          <w:sz w:val="24"/>
          <w:szCs w:val="24"/>
        </w:rPr>
        <w:t>des</w:t>
      </w:r>
      <w:r w:rsidRPr="00A8005C">
        <w:rPr>
          <w:rFonts w:ascii="Times New Roman" w:hAnsi="Times New Roman" w:cs="Times New Roman"/>
          <w:sz w:val="24"/>
          <w:szCs w:val="24"/>
        </w:rPr>
        <w:t xml:space="preserve"> protocole</w:t>
      </w:r>
      <w:r>
        <w:rPr>
          <w:rFonts w:ascii="Times New Roman" w:hAnsi="Times New Roman" w:cs="Times New Roman"/>
          <w:sz w:val="24"/>
          <w:szCs w:val="24"/>
        </w:rPr>
        <w:t>s</w:t>
      </w:r>
      <w:r w:rsidRPr="00A8005C">
        <w:rPr>
          <w:rFonts w:ascii="Times New Roman" w:hAnsi="Times New Roman" w:cs="Times New Roman"/>
          <w:sz w:val="24"/>
          <w:szCs w:val="24"/>
        </w:rPr>
        <w:t xml:space="preserve"> de règlement avec la Société concernant le paiement de ces dettes publiques.</w:t>
      </w:r>
      <w:r w:rsidRPr="00E564C8">
        <w:rPr>
          <w:rFonts w:ascii="Times New Roman" w:hAnsi="Times New Roman" w:cs="Times New Roman"/>
          <w:sz w:val="24"/>
          <w:szCs w:val="24"/>
        </w:rPr>
        <w:t xml:space="preserve"> </w:t>
      </w:r>
      <w:r w:rsidRPr="00A8005C">
        <w:rPr>
          <w:rFonts w:ascii="Times New Roman" w:hAnsi="Times New Roman" w:cs="Times New Roman"/>
          <w:sz w:val="24"/>
          <w:szCs w:val="24"/>
        </w:rPr>
        <w:t>Toutefois, la Société n</w:t>
      </w:r>
      <w:r>
        <w:rPr>
          <w:rFonts w:ascii="Times New Roman" w:hAnsi="Times New Roman" w:cs="Times New Roman"/>
          <w:sz w:val="24"/>
          <w:szCs w:val="24"/>
        </w:rPr>
        <w:t xml:space="preserve">e les </w:t>
      </w:r>
      <w:r w:rsidRPr="00A8005C">
        <w:rPr>
          <w:rFonts w:ascii="Times New Roman" w:hAnsi="Times New Roman" w:cs="Times New Roman"/>
          <w:sz w:val="24"/>
          <w:szCs w:val="24"/>
        </w:rPr>
        <w:t>a pas respecté</w:t>
      </w:r>
      <w:r>
        <w:rPr>
          <w:rFonts w:ascii="Times New Roman" w:hAnsi="Times New Roman" w:cs="Times New Roman"/>
          <w:sz w:val="24"/>
          <w:szCs w:val="24"/>
        </w:rPr>
        <w:t>s</w:t>
      </w:r>
      <w:r w:rsidRPr="00A8005C">
        <w:rPr>
          <w:rFonts w:ascii="Times New Roman" w:hAnsi="Times New Roman" w:cs="Times New Roman"/>
          <w:sz w:val="24"/>
          <w:szCs w:val="24"/>
        </w:rPr>
        <w:t>.</w:t>
      </w:r>
      <w:r w:rsidRPr="00E564C8">
        <w:rPr>
          <w:rFonts w:ascii="Times New Roman" w:hAnsi="Times New Roman" w:cs="Times New Roman"/>
          <w:sz w:val="24"/>
          <w:szCs w:val="24"/>
        </w:rPr>
        <w:t xml:space="preserve"> </w:t>
      </w:r>
      <w:r w:rsidRPr="00A8005C">
        <w:rPr>
          <w:rFonts w:ascii="Times New Roman" w:hAnsi="Times New Roman" w:cs="Times New Roman"/>
          <w:sz w:val="24"/>
          <w:szCs w:val="24"/>
        </w:rPr>
        <w:t>Par conséquent, en mai 2008, le Fonds a introduit une procédure d’exécution</w:t>
      </w:r>
      <w:r>
        <w:rPr>
          <w:rFonts w:ascii="Times New Roman" w:hAnsi="Times New Roman" w:cs="Times New Roman"/>
          <w:sz w:val="24"/>
          <w:szCs w:val="24"/>
        </w:rPr>
        <w:t xml:space="preserve"> pour recouvrer les</w:t>
      </w:r>
      <w:r w:rsidRPr="00A8005C">
        <w:rPr>
          <w:rFonts w:ascii="Times New Roman" w:hAnsi="Times New Roman" w:cs="Times New Roman"/>
          <w:sz w:val="24"/>
          <w:szCs w:val="24"/>
        </w:rPr>
        <w:t xml:space="preserve"> dettes publiques impayées auprès du </w:t>
      </w:r>
      <w:r w:rsidRPr="00A8005C">
        <w:rPr>
          <w:rFonts w:ascii="Times New Roman" w:hAnsi="Times New Roman" w:cs="Times New Roman"/>
          <w:sz w:val="24"/>
          <w:szCs w:val="24"/>
        </w:rPr>
        <w:lastRenderedPageBreak/>
        <w:t>Demandeur, conformément à l’article</w:t>
      </w:r>
      <w:r>
        <w:rPr>
          <w:rFonts w:ascii="Times New Roman" w:hAnsi="Times New Roman" w:cs="Times New Roman"/>
          <w:sz w:val="24"/>
          <w:szCs w:val="24"/>
        </w:rPr>
        <w:t xml:space="preserve"> répétitif</w:t>
      </w:r>
      <w:r w:rsidRPr="00A8005C">
        <w:rPr>
          <w:rFonts w:ascii="Times New Roman" w:hAnsi="Times New Roman" w:cs="Times New Roman"/>
          <w:sz w:val="24"/>
          <w:szCs w:val="24"/>
        </w:rPr>
        <w:t> 35 de la Loi n° 6183 sur la procédure de recouvrement des créances publiques (la « Loi »).</w:t>
      </w:r>
      <w:r w:rsidRPr="00E564C8">
        <w:rPr>
          <w:rFonts w:ascii="Times New Roman" w:hAnsi="Times New Roman" w:cs="Times New Roman"/>
          <w:sz w:val="24"/>
          <w:szCs w:val="24"/>
        </w:rPr>
        <w:t xml:space="preserve"> </w:t>
      </w:r>
      <w:r w:rsidRPr="00A8005C">
        <w:rPr>
          <w:rFonts w:ascii="Times New Roman" w:hAnsi="Times New Roman" w:cs="Times New Roman"/>
          <w:sz w:val="24"/>
          <w:szCs w:val="24"/>
        </w:rPr>
        <w:t>Cet article dispose que les représentants légaux d’une personne morale seront personnellement responsables des dettes publiques qui ne peuvent être recouvrées auprès de la personne morale.</w:t>
      </w:r>
    </w:p>
    <w:p w:rsidR="0076748B" w:rsidRPr="00E564C8" w:rsidRDefault="0076748B" w:rsidP="0076748B">
      <w:pPr>
        <w:jc w:val="both"/>
        <w:rPr>
          <w:rFonts w:ascii="Times New Roman" w:hAnsi="Times New Roman" w:cs="Times New Roman"/>
          <w:sz w:val="24"/>
          <w:szCs w:val="24"/>
        </w:rPr>
      </w:pPr>
      <w:r w:rsidRPr="00A8005C">
        <w:rPr>
          <w:rFonts w:ascii="Times New Roman" w:hAnsi="Times New Roman" w:cs="Times New Roman"/>
          <w:sz w:val="24"/>
          <w:szCs w:val="24"/>
        </w:rPr>
        <w:t>Le Demandeur a introduit une action pour demander que l’injonction de payer du Fonds soit annulée.</w:t>
      </w:r>
      <w:r w:rsidRPr="00E564C8">
        <w:rPr>
          <w:rFonts w:ascii="Times New Roman" w:hAnsi="Times New Roman" w:cs="Times New Roman"/>
          <w:sz w:val="24"/>
          <w:szCs w:val="24"/>
        </w:rPr>
        <w:t xml:space="preserve"> </w:t>
      </w:r>
      <w:r w:rsidRPr="00A8005C">
        <w:rPr>
          <w:rFonts w:ascii="Times New Roman" w:hAnsi="Times New Roman" w:cs="Times New Roman"/>
          <w:sz w:val="24"/>
          <w:szCs w:val="24"/>
        </w:rPr>
        <w:t>Le Demandeur a affirmé qu’il n’était pas responsable pour les raisons suivantes :</w:t>
      </w:r>
      <w:r w:rsidRPr="00E564C8">
        <w:rPr>
          <w:rFonts w:ascii="Times New Roman" w:hAnsi="Times New Roman" w:cs="Times New Roman"/>
          <w:sz w:val="24"/>
          <w:szCs w:val="24"/>
        </w:rPr>
        <w:t xml:space="preserve"> </w:t>
      </w:r>
    </w:p>
    <w:p w:rsidR="0076748B" w:rsidRPr="00E564C8" w:rsidRDefault="0076748B" w:rsidP="0076748B">
      <w:pPr>
        <w:pStyle w:val="Paragraphedeliste"/>
        <w:numPr>
          <w:ilvl w:val="0"/>
          <w:numId w:val="44"/>
        </w:numPr>
        <w:suppressAutoHyphens w:val="0"/>
        <w:spacing w:after="160" w:line="259" w:lineRule="auto"/>
        <w:contextualSpacing/>
        <w:jc w:val="both"/>
      </w:pPr>
      <w:r w:rsidRPr="00A8005C">
        <w:t xml:space="preserve">Les dettes de la Société sont devenues des créances publiques en août 2001, une fois qu’il </w:t>
      </w:r>
      <w:r>
        <w:t>ne siégeait plus a</w:t>
      </w:r>
      <w:r w:rsidRPr="00A8005C">
        <w:t>u conseil d’administration ;</w:t>
      </w:r>
    </w:p>
    <w:p w:rsidR="0076748B" w:rsidRPr="00E564C8" w:rsidRDefault="0076748B" w:rsidP="0076748B">
      <w:pPr>
        <w:pStyle w:val="Paragraphedeliste"/>
        <w:numPr>
          <w:ilvl w:val="0"/>
          <w:numId w:val="44"/>
        </w:numPr>
        <w:suppressAutoHyphens w:val="0"/>
        <w:spacing w:after="160" w:line="259" w:lineRule="auto"/>
        <w:contextualSpacing/>
        <w:jc w:val="both"/>
      </w:pPr>
      <w:r w:rsidRPr="00A8005C">
        <w:t>L’Article 35(5) de la Loi ne s’appliqu</w:t>
      </w:r>
      <w:r>
        <w:t>ait</w:t>
      </w:r>
      <w:r w:rsidRPr="00A8005C">
        <w:t xml:space="preserve"> pas, parce que la Cour constitutionnelle avait supprimé un élément exécutoire important de l’article (article 35(5)) pour les affaires en instance, ainsi que l’</w:t>
      </w:r>
      <w:r>
        <w:t>a</w:t>
      </w:r>
      <w:r w:rsidRPr="00A8005C">
        <w:t>rticle 35(5) lui-même.</w:t>
      </w:r>
    </w:p>
    <w:p w:rsidR="0076748B" w:rsidRPr="00E564C8" w:rsidRDefault="0076748B" w:rsidP="0076748B">
      <w:pPr>
        <w:jc w:val="both"/>
        <w:rPr>
          <w:rFonts w:ascii="Times New Roman" w:hAnsi="Times New Roman" w:cs="Times New Roman"/>
          <w:sz w:val="24"/>
          <w:szCs w:val="24"/>
        </w:rPr>
      </w:pPr>
      <w:r w:rsidRPr="00A8005C">
        <w:rPr>
          <w:rFonts w:ascii="Times New Roman" w:hAnsi="Times New Roman" w:cs="Times New Roman"/>
          <w:sz w:val="24"/>
          <w:szCs w:val="24"/>
        </w:rPr>
        <w:t>Toutefois, le 8</w:t>
      </w:r>
      <w:r w:rsidRPr="00A8005C">
        <w:rPr>
          <w:rFonts w:ascii="Times New Roman" w:hAnsi="Times New Roman" w:cs="Times New Roman"/>
          <w:sz w:val="24"/>
          <w:szCs w:val="24"/>
          <w:vertAlign w:val="superscript"/>
        </w:rPr>
        <w:t>e</w:t>
      </w:r>
      <w:r w:rsidRPr="00A8005C">
        <w:rPr>
          <w:rFonts w:ascii="Times New Roman" w:hAnsi="Times New Roman" w:cs="Times New Roman"/>
          <w:sz w:val="24"/>
          <w:szCs w:val="24"/>
        </w:rPr>
        <w:t xml:space="preserve"> tribunal administratif d’Istanbul a rejeté la demande d’annulation et sa décision est devenue définitive après avoir été examinée par la Cour suprême.</w:t>
      </w:r>
    </w:p>
    <w:p w:rsidR="0076748B" w:rsidRPr="00E564C8" w:rsidRDefault="0076748B" w:rsidP="0076748B">
      <w:pPr>
        <w:jc w:val="both"/>
        <w:rPr>
          <w:rFonts w:ascii="Times New Roman" w:hAnsi="Times New Roman" w:cs="Times New Roman"/>
          <w:sz w:val="24"/>
          <w:szCs w:val="24"/>
        </w:rPr>
      </w:pPr>
      <w:r w:rsidRPr="00CC184F">
        <w:rPr>
          <w:rFonts w:ascii="Times New Roman" w:hAnsi="Times New Roman" w:cs="Times New Roman"/>
          <w:sz w:val="24"/>
          <w:szCs w:val="24"/>
        </w:rPr>
        <w:t>Le Demandeur a ensuite saisi la Cour constitutionnelle au motif que ses droits de propriété avaient été violés lorsqu’il avait été tenu responsable des dettes de la Société, qui étaient devenues des dettes publiques après qu’il ait démissionné de ses fonctions de représentant de la Société, bien que la Cour constitutionnelle ait abrogé l’article répétitif 35(5).</w:t>
      </w:r>
    </w:p>
    <w:p w:rsidR="0076748B" w:rsidRPr="00E564C8" w:rsidRDefault="0076748B" w:rsidP="0076748B">
      <w:pPr>
        <w:jc w:val="both"/>
        <w:rPr>
          <w:rFonts w:ascii="Times New Roman" w:hAnsi="Times New Roman" w:cs="Times New Roman"/>
          <w:sz w:val="24"/>
          <w:szCs w:val="24"/>
        </w:rPr>
      </w:pPr>
      <w:r w:rsidRPr="00CC184F">
        <w:rPr>
          <w:rFonts w:ascii="Times New Roman" w:hAnsi="Times New Roman" w:cs="Times New Roman"/>
          <w:sz w:val="24"/>
          <w:szCs w:val="24"/>
        </w:rPr>
        <w:t>La Cour constitutionnelle a fait remarquer que l’article répétitif 35(5) avait été abrogé pour supprimer la responsabilité des représentants légaux concernant des dettes qui n’étaient pas dues lorsqu’ils étaient en fonctions.</w:t>
      </w:r>
    </w:p>
    <w:p w:rsidR="0076748B" w:rsidRPr="00E564C8" w:rsidRDefault="0076748B" w:rsidP="0076748B">
      <w:pPr>
        <w:jc w:val="both"/>
        <w:rPr>
          <w:rFonts w:ascii="Times New Roman" w:hAnsi="Times New Roman" w:cs="Times New Roman"/>
          <w:sz w:val="24"/>
          <w:szCs w:val="24"/>
        </w:rPr>
      </w:pPr>
      <w:r w:rsidRPr="00CC184F">
        <w:rPr>
          <w:rFonts w:ascii="Times New Roman" w:hAnsi="Times New Roman" w:cs="Times New Roman"/>
          <w:sz w:val="24"/>
          <w:szCs w:val="24"/>
        </w:rPr>
        <w:t>Dans ces circonstances, la Cour constitutionnelle a arrêté que la responsabilité du Demandeur n’était pas affectée par l’abrogation de l’article exécutoire.</w:t>
      </w:r>
      <w:r w:rsidRPr="00E564C8">
        <w:rPr>
          <w:rFonts w:ascii="Times New Roman" w:hAnsi="Times New Roman" w:cs="Times New Roman"/>
          <w:sz w:val="24"/>
          <w:szCs w:val="24"/>
        </w:rPr>
        <w:t xml:space="preserve"> </w:t>
      </w:r>
      <w:r w:rsidRPr="00CC184F">
        <w:rPr>
          <w:rFonts w:ascii="Times New Roman" w:hAnsi="Times New Roman" w:cs="Times New Roman"/>
          <w:sz w:val="24"/>
          <w:szCs w:val="24"/>
        </w:rPr>
        <w:t>La Cour constitutionnelle a souligné que l’article 35(5) avait été abrogé parce qu’il avait pour effet que les représentants étaient tenus responsables de dettes publiques nées d’opérations dans lesquelles ils n’avaient pas pu intervenir.</w:t>
      </w:r>
    </w:p>
    <w:p w:rsidR="0076748B" w:rsidRPr="00E564C8" w:rsidRDefault="0076748B" w:rsidP="0076748B">
      <w:pPr>
        <w:jc w:val="both"/>
        <w:rPr>
          <w:rFonts w:ascii="Times New Roman" w:hAnsi="Times New Roman" w:cs="Times New Roman"/>
          <w:sz w:val="24"/>
          <w:szCs w:val="24"/>
        </w:rPr>
      </w:pPr>
      <w:r>
        <w:rPr>
          <w:rFonts w:ascii="Times New Roman" w:hAnsi="Times New Roman" w:cs="Times New Roman"/>
          <w:sz w:val="24"/>
          <w:szCs w:val="24"/>
        </w:rPr>
        <w:t>Toutefois</w:t>
      </w:r>
      <w:r w:rsidRPr="00CC184F">
        <w:rPr>
          <w:rFonts w:ascii="Times New Roman" w:hAnsi="Times New Roman" w:cs="Times New Roman"/>
          <w:sz w:val="24"/>
          <w:szCs w:val="24"/>
        </w:rPr>
        <w:t>, la Cour constitutionnelle a arrêté qu’en l’espèce, les dettes impayées étaient exigibles pendant le mandat du Demandeur.</w:t>
      </w:r>
      <w:r w:rsidRPr="00E564C8">
        <w:rPr>
          <w:rFonts w:ascii="Times New Roman" w:hAnsi="Times New Roman" w:cs="Times New Roman"/>
          <w:sz w:val="24"/>
          <w:szCs w:val="24"/>
        </w:rPr>
        <w:t xml:space="preserve"> </w:t>
      </w:r>
      <w:r w:rsidRPr="00CC184F">
        <w:rPr>
          <w:rFonts w:ascii="Times New Roman" w:hAnsi="Times New Roman" w:cs="Times New Roman"/>
          <w:sz w:val="24"/>
          <w:szCs w:val="24"/>
        </w:rPr>
        <w:t>Ainsi, il avait eu la possibilité d’intervenir.</w:t>
      </w:r>
      <w:r w:rsidRPr="00E564C8">
        <w:rPr>
          <w:rFonts w:ascii="Times New Roman" w:hAnsi="Times New Roman" w:cs="Times New Roman"/>
          <w:sz w:val="24"/>
          <w:szCs w:val="24"/>
        </w:rPr>
        <w:t xml:space="preserve"> </w:t>
      </w:r>
      <w:r w:rsidRPr="00CC184F">
        <w:rPr>
          <w:rFonts w:ascii="Times New Roman" w:hAnsi="Times New Roman" w:cs="Times New Roman"/>
          <w:sz w:val="24"/>
          <w:szCs w:val="24"/>
        </w:rPr>
        <w:t xml:space="preserve">La Cour constitutionnelle a donc arrêté que le fait de tenir le Demandeur responsable, dans des circonstances où il avait négligé son obligation de payer les dettes à partir des ressources de la Société, n’était </w:t>
      </w:r>
      <w:r>
        <w:rPr>
          <w:rFonts w:ascii="Times New Roman" w:hAnsi="Times New Roman" w:cs="Times New Roman"/>
          <w:sz w:val="24"/>
          <w:szCs w:val="24"/>
        </w:rPr>
        <w:t>ni</w:t>
      </w:r>
      <w:r w:rsidRPr="00CC184F">
        <w:rPr>
          <w:rFonts w:ascii="Times New Roman" w:hAnsi="Times New Roman" w:cs="Times New Roman"/>
          <w:sz w:val="24"/>
          <w:szCs w:val="24"/>
        </w:rPr>
        <w:t xml:space="preserve"> excessif ni disproportionné.</w:t>
      </w:r>
      <w:r w:rsidRPr="00E564C8">
        <w:rPr>
          <w:rFonts w:ascii="Times New Roman" w:hAnsi="Times New Roman" w:cs="Times New Roman"/>
          <w:sz w:val="24"/>
          <w:szCs w:val="24"/>
        </w:rPr>
        <w:t xml:space="preserve"> </w:t>
      </w:r>
      <w:r w:rsidRPr="00CC184F">
        <w:rPr>
          <w:rFonts w:ascii="Times New Roman" w:hAnsi="Times New Roman" w:cs="Times New Roman"/>
          <w:sz w:val="24"/>
          <w:szCs w:val="24"/>
        </w:rPr>
        <w:t>La Cour a arrêté que cela ne troublait pas l’équilibre essentiel entre l’intérêt public et le droit constitutionnel à la propriété dont bénéficient les personnes physiques.</w:t>
      </w:r>
    </w:p>
    <w:p w:rsidR="0076748B" w:rsidRPr="00E564C8" w:rsidRDefault="0076748B" w:rsidP="0076748B">
      <w:pPr>
        <w:jc w:val="both"/>
        <w:rPr>
          <w:rFonts w:ascii="Times New Roman" w:hAnsi="Times New Roman" w:cs="Times New Roman"/>
          <w:sz w:val="24"/>
          <w:szCs w:val="24"/>
        </w:rPr>
      </w:pPr>
      <w:r w:rsidRPr="00CC184F">
        <w:rPr>
          <w:rFonts w:ascii="Times New Roman" w:hAnsi="Times New Roman" w:cs="Times New Roman"/>
          <w:sz w:val="24"/>
          <w:szCs w:val="24"/>
        </w:rPr>
        <w:t xml:space="preserve">Par conséquent, la Cour constitutionnelle a arrêté que les représentants légaux sont conjointement responsables, avec la personne morale, à compter de la date à laquelle les dettes publiques </w:t>
      </w:r>
      <w:r>
        <w:rPr>
          <w:rFonts w:ascii="Times New Roman" w:hAnsi="Times New Roman" w:cs="Times New Roman"/>
          <w:sz w:val="24"/>
          <w:szCs w:val="24"/>
        </w:rPr>
        <w:t>deviennent</w:t>
      </w:r>
      <w:r w:rsidRPr="00CC184F">
        <w:rPr>
          <w:rFonts w:ascii="Times New Roman" w:hAnsi="Times New Roman" w:cs="Times New Roman"/>
          <w:sz w:val="24"/>
          <w:szCs w:val="24"/>
        </w:rPr>
        <w:t xml:space="preserve"> exigibles.</w:t>
      </w:r>
    </w:p>
    <w:p w:rsidR="0076748B" w:rsidRPr="00E564C8" w:rsidRDefault="0076748B" w:rsidP="0076748B">
      <w:pPr>
        <w:jc w:val="both"/>
        <w:rPr>
          <w:rFonts w:ascii="Times New Roman" w:hAnsi="Times New Roman" w:cs="Times New Roman"/>
          <w:sz w:val="24"/>
          <w:szCs w:val="24"/>
        </w:rPr>
      </w:pPr>
      <w:r w:rsidRPr="00CC184F">
        <w:rPr>
          <w:rFonts w:ascii="Times New Roman" w:hAnsi="Times New Roman" w:cs="Times New Roman"/>
          <w:sz w:val="24"/>
          <w:szCs w:val="24"/>
        </w:rPr>
        <w:lastRenderedPageBreak/>
        <w:t>Cet arrêt est important, car il établit un cadre distinct concernant la responsabilité des représentants d’entreprises à la lumière des droits de propriété protégés tant par la Constitution turque que par la Convention européenne des droits de l’homme.</w:t>
      </w:r>
      <w:r w:rsidRPr="00E564C8">
        <w:rPr>
          <w:rFonts w:ascii="Times New Roman" w:hAnsi="Times New Roman" w:cs="Times New Roman"/>
          <w:sz w:val="24"/>
          <w:szCs w:val="24"/>
        </w:rPr>
        <w:t xml:space="preserve"> </w:t>
      </w:r>
      <w:r w:rsidRPr="00CC184F">
        <w:rPr>
          <w:rFonts w:ascii="Times New Roman" w:hAnsi="Times New Roman" w:cs="Times New Roman"/>
          <w:sz w:val="24"/>
          <w:szCs w:val="24"/>
        </w:rPr>
        <w:t>Il est désormais parfaitement clair que la responsabilité personnelle des représentants d’entreprises peut être engagée s’ils ne respectent pas leur obligation de payer des dettes publiques à partir des ressources de l’entreprise.</w:t>
      </w:r>
    </w:p>
    <w:p w:rsidR="0076748B" w:rsidRPr="00E564C8" w:rsidRDefault="0076748B" w:rsidP="0076748B">
      <w:pPr>
        <w:pBdr>
          <w:bottom w:val="single" w:sz="6" w:space="1" w:color="auto"/>
        </w:pBdr>
        <w:jc w:val="both"/>
        <w:rPr>
          <w:rFonts w:ascii="Times New Roman" w:hAnsi="Times New Roman" w:cs="Times New Roman"/>
          <w:sz w:val="24"/>
          <w:szCs w:val="24"/>
        </w:rPr>
      </w:pPr>
    </w:p>
    <w:p w:rsidR="0076748B" w:rsidRPr="00E564C8" w:rsidRDefault="0076748B" w:rsidP="0076748B">
      <w:pPr>
        <w:jc w:val="both"/>
        <w:rPr>
          <w:rFonts w:ascii="Arial Narrow" w:hAnsi="Arial Narrow" w:cs="Times New Roman"/>
          <w:sz w:val="24"/>
          <w:szCs w:val="24"/>
          <w:u w:val="single"/>
        </w:rPr>
      </w:pPr>
      <w:r w:rsidRPr="0076748B">
        <w:rPr>
          <w:rFonts w:ascii="Arial Narrow" w:hAnsi="Arial Narrow" w:cs="Times New Roman"/>
          <w:b/>
          <w:sz w:val="36"/>
          <w:szCs w:val="36"/>
          <w:u w:val="single"/>
        </w:rPr>
        <w:t>Italie </w:t>
      </w:r>
      <w:r w:rsidRPr="00CC184F">
        <w:rPr>
          <w:rFonts w:ascii="Arial Narrow" w:hAnsi="Arial Narrow" w:cs="Times New Roman"/>
          <w:sz w:val="24"/>
          <w:szCs w:val="24"/>
          <w:u w:val="single"/>
        </w:rPr>
        <w:t>:</w:t>
      </w:r>
      <w:r w:rsidRPr="00E564C8">
        <w:rPr>
          <w:rFonts w:ascii="Arial Narrow" w:hAnsi="Arial Narrow" w:cs="Times New Roman"/>
          <w:sz w:val="24"/>
          <w:szCs w:val="24"/>
          <w:u w:val="single"/>
        </w:rPr>
        <w:t xml:space="preserve"> </w:t>
      </w:r>
      <w:r w:rsidRPr="00CC184F">
        <w:rPr>
          <w:rFonts w:ascii="Arial Narrow" w:hAnsi="Arial Narrow" w:cs="Times New Roman"/>
          <w:sz w:val="24"/>
          <w:szCs w:val="24"/>
          <w:u w:val="single"/>
        </w:rPr>
        <w:t>Réformes systémiques</w:t>
      </w:r>
    </w:p>
    <w:p w:rsidR="0076748B" w:rsidRPr="0076748B" w:rsidRDefault="0076748B" w:rsidP="0076748B">
      <w:pPr>
        <w:jc w:val="both"/>
        <w:rPr>
          <w:rFonts w:ascii="Arial Narrow" w:hAnsi="Arial Narrow" w:cs="Times New Roman"/>
          <w:i/>
          <w:sz w:val="20"/>
          <w:szCs w:val="20"/>
        </w:rPr>
      </w:pPr>
      <w:r w:rsidRPr="00CC184F">
        <w:rPr>
          <w:rFonts w:ascii="Arial Narrow" w:hAnsi="Arial Narrow" w:cs="Times New Roman"/>
          <w:i/>
          <w:sz w:val="20"/>
          <w:szCs w:val="20"/>
        </w:rPr>
        <w:t>Par Eugenio Vaccari, doctorant à City</w:t>
      </w:r>
      <w:r>
        <w:rPr>
          <w:rFonts w:ascii="Arial Narrow" w:hAnsi="Arial Narrow" w:cs="Times New Roman"/>
          <w:i/>
          <w:sz w:val="20"/>
          <w:szCs w:val="20"/>
        </w:rPr>
        <w:t>,</w:t>
      </w:r>
      <w:r w:rsidRPr="00CC184F">
        <w:rPr>
          <w:rFonts w:ascii="Arial Narrow" w:hAnsi="Arial Narrow" w:cs="Times New Roman"/>
          <w:i/>
          <w:sz w:val="20"/>
          <w:szCs w:val="20"/>
        </w:rPr>
        <w:t xml:space="preserve"> University of London</w:t>
      </w:r>
    </w:p>
    <w:p w:rsidR="0076748B" w:rsidRPr="00E564C8" w:rsidRDefault="0076748B" w:rsidP="0076748B">
      <w:pPr>
        <w:jc w:val="both"/>
        <w:rPr>
          <w:rFonts w:ascii="Times New Roman" w:hAnsi="Times New Roman" w:cs="Times New Roman"/>
          <w:b/>
          <w:sz w:val="24"/>
          <w:szCs w:val="24"/>
        </w:rPr>
      </w:pPr>
      <w:r w:rsidRPr="00341C8E">
        <w:rPr>
          <w:rFonts w:ascii="Times New Roman" w:hAnsi="Times New Roman" w:cs="Times New Roman"/>
          <w:b/>
          <w:sz w:val="24"/>
          <w:szCs w:val="24"/>
        </w:rPr>
        <w:t xml:space="preserve">Le 11 octobre 2017, le </w:t>
      </w:r>
      <w:r w:rsidRPr="0048257F">
        <w:rPr>
          <w:rFonts w:ascii="Times New Roman" w:hAnsi="Times New Roman" w:cs="Times New Roman"/>
          <w:b/>
          <w:i/>
          <w:sz w:val="24"/>
          <w:szCs w:val="24"/>
        </w:rPr>
        <w:t>Senato della Repubblica</w:t>
      </w:r>
      <w:r w:rsidRPr="00341C8E">
        <w:rPr>
          <w:rFonts w:ascii="Times New Roman" w:hAnsi="Times New Roman" w:cs="Times New Roman"/>
          <w:b/>
          <w:sz w:val="24"/>
          <w:szCs w:val="24"/>
        </w:rPr>
        <w:t xml:space="preserve"> a approuvé la version définitive d’une loi visant à réformer le droit de l’insolvabilité italien de manière systémique. Ses éléments fondamentaux remontent à 1942.</w:t>
      </w:r>
      <w:r w:rsidRPr="00E564C8">
        <w:rPr>
          <w:rFonts w:ascii="Times New Roman" w:hAnsi="Times New Roman" w:cs="Times New Roman"/>
          <w:b/>
          <w:sz w:val="24"/>
          <w:szCs w:val="24"/>
        </w:rPr>
        <w:t xml:space="preserve"> </w:t>
      </w:r>
      <w:r w:rsidRPr="00341C8E">
        <w:rPr>
          <w:rFonts w:ascii="Times New Roman" w:hAnsi="Times New Roman" w:cs="Times New Roman"/>
          <w:b/>
          <w:sz w:val="24"/>
          <w:szCs w:val="24"/>
        </w:rPr>
        <w:t>La loi n° 155/2017 (la « loi ») a été publiée au Journal officiel le 30 octobre 2017 et est entrée en vigueur le 14 novembre 2017 (année 158, n° 254).</w:t>
      </w:r>
    </w:p>
    <w:p w:rsidR="0076748B" w:rsidRPr="00E564C8" w:rsidRDefault="0076748B" w:rsidP="0076748B">
      <w:pPr>
        <w:jc w:val="both"/>
        <w:rPr>
          <w:rFonts w:ascii="Times New Roman" w:hAnsi="Times New Roman" w:cs="Times New Roman"/>
          <w:sz w:val="24"/>
          <w:szCs w:val="24"/>
        </w:rPr>
      </w:pPr>
      <w:r w:rsidRPr="00341C8E">
        <w:rPr>
          <w:rFonts w:ascii="Times New Roman" w:hAnsi="Times New Roman" w:cs="Times New Roman"/>
          <w:sz w:val="24"/>
          <w:szCs w:val="24"/>
        </w:rPr>
        <w:t xml:space="preserve">Cette réforme </w:t>
      </w:r>
      <w:r>
        <w:rPr>
          <w:rFonts w:ascii="Times New Roman" w:hAnsi="Times New Roman" w:cs="Times New Roman"/>
          <w:sz w:val="24"/>
          <w:szCs w:val="24"/>
        </w:rPr>
        <w:t>repose sur les</w:t>
      </w:r>
      <w:r w:rsidRPr="00341C8E">
        <w:rPr>
          <w:rFonts w:ascii="Times New Roman" w:hAnsi="Times New Roman" w:cs="Times New Roman"/>
          <w:sz w:val="24"/>
          <w:szCs w:val="24"/>
        </w:rPr>
        <w:t xml:space="preserve"> travaux préparatoires de la Commission Rordorf, groupe d’experts que le ministère de la Justice a chargé</w:t>
      </w:r>
      <w:r>
        <w:rPr>
          <w:rFonts w:ascii="Times New Roman" w:hAnsi="Times New Roman" w:cs="Times New Roman"/>
          <w:sz w:val="24"/>
          <w:szCs w:val="24"/>
        </w:rPr>
        <w:t xml:space="preserve">, </w:t>
      </w:r>
      <w:r w:rsidRPr="00341C8E">
        <w:rPr>
          <w:rFonts w:ascii="Times New Roman" w:hAnsi="Times New Roman" w:cs="Times New Roman"/>
          <w:sz w:val="24"/>
          <w:szCs w:val="24"/>
        </w:rPr>
        <w:t>en janvier 2015</w:t>
      </w:r>
      <w:r>
        <w:rPr>
          <w:rFonts w:ascii="Times New Roman" w:hAnsi="Times New Roman" w:cs="Times New Roman"/>
          <w:sz w:val="24"/>
          <w:szCs w:val="24"/>
        </w:rPr>
        <w:t>,</w:t>
      </w:r>
      <w:r w:rsidRPr="00341C8E">
        <w:rPr>
          <w:rFonts w:ascii="Times New Roman" w:hAnsi="Times New Roman" w:cs="Times New Roman"/>
          <w:sz w:val="24"/>
          <w:szCs w:val="24"/>
        </w:rPr>
        <w:t xml:space="preserve"> de préparer un</w:t>
      </w:r>
      <w:r>
        <w:rPr>
          <w:rFonts w:ascii="Times New Roman" w:hAnsi="Times New Roman" w:cs="Times New Roman"/>
          <w:sz w:val="24"/>
          <w:szCs w:val="24"/>
        </w:rPr>
        <w:t>e</w:t>
      </w:r>
      <w:r w:rsidRPr="00341C8E">
        <w:rPr>
          <w:rFonts w:ascii="Times New Roman" w:hAnsi="Times New Roman" w:cs="Times New Roman"/>
          <w:sz w:val="24"/>
          <w:szCs w:val="24"/>
        </w:rPr>
        <w:t xml:space="preserve"> proposition de réforme pour modernise</w:t>
      </w:r>
      <w:r>
        <w:rPr>
          <w:rFonts w:ascii="Times New Roman" w:hAnsi="Times New Roman" w:cs="Times New Roman"/>
          <w:sz w:val="24"/>
          <w:szCs w:val="24"/>
        </w:rPr>
        <w:t>r</w:t>
      </w:r>
      <w:r w:rsidRPr="00341C8E">
        <w:rPr>
          <w:rFonts w:ascii="Times New Roman" w:hAnsi="Times New Roman" w:cs="Times New Roman"/>
          <w:sz w:val="24"/>
          <w:szCs w:val="24"/>
        </w:rPr>
        <w:t xml:space="preserve"> l</w:t>
      </w:r>
      <w:r>
        <w:rPr>
          <w:rFonts w:ascii="Times New Roman" w:hAnsi="Times New Roman" w:cs="Times New Roman"/>
          <w:sz w:val="24"/>
          <w:szCs w:val="24"/>
        </w:rPr>
        <w:t xml:space="preserve">a législation </w:t>
      </w:r>
      <w:r w:rsidRPr="00341C8E">
        <w:rPr>
          <w:rFonts w:ascii="Times New Roman" w:hAnsi="Times New Roman" w:cs="Times New Roman"/>
          <w:sz w:val="24"/>
          <w:szCs w:val="24"/>
        </w:rPr>
        <w:t>sur l’insolvabilité.</w:t>
      </w:r>
      <w:r w:rsidRPr="00E564C8">
        <w:rPr>
          <w:rFonts w:ascii="Times New Roman" w:hAnsi="Times New Roman" w:cs="Times New Roman"/>
          <w:sz w:val="24"/>
          <w:szCs w:val="24"/>
        </w:rPr>
        <w:t xml:space="preserve"> </w:t>
      </w:r>
      <w:r w:rsidRPr="00341C8E">
        <w:rPr>
          <w:rFonts w:ascii="Times New Roman" w:hAnsi="Times New Roman" w:cs="Times New Roman"/>
          <w:sz w:val="24"/>
          <w:szCs w:val="24"/>
        </w:rPr>
        <w:t>La Commission et le Gouvernement ont été inspirés par le souhait d’introduire et de respecter les bonnes pratiques internationales énoncées par la CNUDCI et l’UE (bien que, de manière surprenante, il ne soit pas fait mention de la proposition de 2016 de directive sur l’insolvabilité, la restructuration et la seconde chance).</w:t>
      </w:r>
    </w:p>
    <w:p w:rsidR="0076748B" w:rsidRPr="00E564C8" w:rsidRDefault="0076748B" w:rsidP="0076748B">
      <w:pPr>
        <w:jc w:val="both"/>
        <w:rPr>
          <w:rFonts w:ascii="Times New Roman" w:hAnsi="Times New Roman" w:cs="Times New Roman"/>
          <w:sz w:val="24"/>
          <w:szCs w:val="24"/>
        </w:rPr>
      </w:pPr>
      <w:r w:rsidRPr="00341C8E">
        <w:rPr>
          <w:rFonts w:ascii="Times New Roman" w:hAnsi="Times New Roman" w:cs="Times New Roman"/>
          <w:sz w:val="24"/>
          <w:szCs w:val="24"/>
        </w:rPr>
        <w:t xml:space="preserve">Cette loi ne </w:t>
      </w:r>
      <w:r>
        <w:rPr>
          <w:rFonts w:ascii="Times New Roman" w:hAnsi="Times New Roman" w:cs="Times New Roman"/>
          <w:sz w:val="24"/>
          <w:szCs w:val="24"/>
        </w:rPr>
        <w:t>modifie</w:t>
      </w:r>
      <w:r w:rsidRPr="00341C8E">
        <w:rPr>
          <w:rFonts w:ascii="Times New Roman" w:hAnsi="Times New Roman" w:cs="Times New Roman"/>
          <w:sz w:val="24"/>
          <w:szCs w:val="24"/>
        </w:rPr>
        <w:t xml:space="preserve"> pas </w:t>
      </w:r>
      <w:r>
        <w:rPr>
          <w:rFonts w:ascii="Times New Roman" w:hAnsi="Times New Roman" w:cs="Times New Roman"/>
          <w:i/>
          <w:sz w:val="24"/>
          <w:szCs w:val="24"/>
        </w:rPr>
        <w:t>fondamentalement</w:t>
      </w:r>
      <w:r w:rsidRPr="00341C8E">
        <w:rPr>
          <w:rFonts w:ascii="Times New Roman" w:hAnsi="Times New Roman" w:cs="Times New Roman"/>
          <w:sz w:val="24"/>
          <w:szCs w:val="24"/>
        </w:rPr>
        <w:t xml:space="preserve"> la législation actuelle.</w:t>
      </w:r>
      <w:r w:rsidRPr="00E564C8">
        <w:rPr>
          <w:rFonts w:ascii="Times New Roman" w:hAnsi="Times New Roman" w:cs="Times New Roman"/>
          <w:sz w:val="24"/>
          <w:szCs w:val="24"/>
        </w:rPr>
        <w:t xml:space="preserve"> </w:t>
      </w:r>
      <w:r w:rsidRPr="00341C8E">
        <w:rPr>
          <w:rFonts w:ascii="Times New Roman" w:hAnsi="Times New Roman" w:cs="Times New Roman"/>
          <w:sz w:val="24"/>
          <w:szCs w:val="24"/>
        </w:rPr>
        <w:t>Elle donne au Gouvernement le pouvoir (et un délai de douze mois) de modifier la loi au moyen d’un ou de plusieurs décrets, qui doivent se conformer aux lignes directrices décrites ci-dessous.</w:t>
      </w:r>
      <w:r w:rsidRPr="00E564C8">
        <w:rPr>
          <w:rFonts w:ascii="Times New Roman" w:hAnsi="Times New Roman" w:cs="Times New Roman"/>
          <w:sz w:val="24"/>
          <w:szCs w:val="24"/>
        </w:rPr>
        <w:t xml:space="preserve"> </w:t>
      </w:r>
      <w:r w:rsidRPr="00341C8E">
        <w:rPr>
          <w:rFonts w:ascii="Times New Roman" w:hAnsi="Times New Roman" w:cs="Times New Roman"/>
          <w:sz w:val="24"/>
          <w:szCs w:val="24"/>
        </w:rPr>
        <w:t>Leur promulgation déterminera une modification de la loi applicable.</w:t>
      </w:r>
    </w:p>
    <w:p w:rsidR="0076748B" w:rsidRPr="00E564C8" w:rsidRDefault="0076748B" w:rsidP="0076748B">
      <w:pPr>
        <w:jc w:val="both"/>
        <w:rPr>
          <w:rFonts w:ascii="Times New Roman" w:hAnsi="Times New Roman" w:cs="Times New Roman"/>
          <w:sz w:val="24"/>
          <w:szCs w:val="24"/>
        </w:rPr>
      </w:pPr>
      <w:r w:rsidRPr="00341C8E">
        <w:rPr>
          <w:rFonts w:ascii="Times New Roman" w:hAnsi="Times New Roman" w:cs="Times New Roman"/>
          <w:sz w:val="24"/>
          <w:szCs w:val="24"/>
        </w:rPr>
        <w:t>La loi privilégie la sauvegarde par rapport à la liquidation et vise à réduire la durée et le coût des procédures d’insolvabilité judiciaires.</w:t>
      </w:r>
      <w:r w:rsidRPr="00E564C8">
        <w:rPr>
          <w:rFonts w:ascii="Times New Roman" w:hAnsi="Times New Roman" w:cs="Times New Roman"/>
          <w:sz w:val="24"/>
          <w:szCs w:val="24"/>
        </w:rPr>
        <w:t xml:space="preserve"> </w:t>
      </w:r>
      <w:r w:rsidRPr="00341C8E">
        <w:rPr>
          <w:rFonts w:ascii="Times New Roman" w:hAnsi="Times New Roman" w:cs="Times New Roman"/>
          <w:sz w:val="24"/>
          <w:szCs w:val="24"/>
        </w:rPr>
        <w:t>Elle plaide pour l’introduction de la notion de « situation de crise » en plus de l’« insolvabilité », et pour l’adoption d’un modèle procédural unique pour toutes les procédures judiciaires, quelle que soit la nature du débiteur (à l’unique exception des entités publiques).</w:t>
      </w:r>
    </w:p>
    <w:p w:rsidR="0076748B" w:rsidRPr="00E564C8" w:rsidRDefault="0076748B" w:rsidP="0076748B">
      <w:pPr>
        <w:jc w:val="both"/>
        <w:rPr>
          <w:rFonts w:ascii="Times New Roman" w:hAnsi="Times New Roman" w:cs="Times New Roman"/>
          <w:sz w:val="24"/>
          <w:szCs w:val="24"/>
        </w:rPr>
      </w:pPr>
      <w:r w:rsidRPr="00341C8E">
        <w:rPr>
          <w:rFonts w:ascii="Times New Roman" w:hAnsi="Times New Roman" w:cs="Times New Roman"/>
          <w:sz w:val="24"/>
          <w:szCs w:val="24"/>
        </w:rPr>
        <w:t>Elle propose de remplacer le terme « défaillance » par « liquidation » afin de réduire les stigmates liés à l’insolvabilité.</w:t>
      </w:r>
      <w:r w:rsidRPr="00E564C8">
        <w:rPr>
          <w:rFonts w:ascii="Times New Roman" w:hAnsi="Times New Roman" w:cs="Times New Roman"/>
          <w:sz w:val="24"/>
          <w:szCs w:val="24"/>
        </w:rPr>
        <w:t xml:space="preserve"> </w:t>
      </w:r>
      <w:r w:rsidRPr="00341C8E">
        <w:rPr>
          <w:rFonts w:ascii="Times New Roman" w:hAnsi="Times New Roman" w:cs="Times New Roman"/>
          <w:sz w:val="24"/>
          <w:szCs w:val="24"/>
        </w:rPr>
        <w:t>Par ailleurs, elle augmente notablement les pouvoirs du curateur dans les affaires de liquidation.</w:t>
      </w:r>
      <w:r w:rsidRPr="00E564C8">
        <w:rPr>
          <w:rFonts w:ascii="Times New Roman" w:hAnsi="Times New Roman" w:cs="Times New Roman"/>
          <w:sz w:val="24"/>
          <w:szCs w:val="24"/>
        </w:rPr>
        <w:t xml:space="preserve"> </w:t>
      </w:r>
      <w:r w:rsidRPr="00341C8E">
        <w:rPr>
          <w:rFonts w:ascii="Times New Roman" w:hAnsi="Times New Roman" w:cs="Times New Roman"/>
          <w:sz w:val="24"/>
          <w:szCs w:val="24"/>
        </w:rPr>
        <w:t xml:space="preserve">Cela représente un changement radical </w:t>
      </w:r>
      <w:r>
        <w:rPr>
          <w:rFonts w:ascii="Times New Roman" w:hAnsi="Times New Roman" w:cs="Times New Roman"/>
          <w:sz w:val="24"/>
          <w:szCs w:val="24"/>
        </w:rPr>
        <w:t>par rapport à</w:t>
      </w:r>
      <w:r w:rsidRPr="00341C8E">
        <w:rPr>
          <w:rFonts w:ascii="Times New Roman" w:hAnsi="Times New Roman" w:cs="Times New Roman"/>
          <w:sz w:val="24"/>
          <w:szCs w:val="24"/>
        </w:rPr>
        <w:t xml:space="preserve"> la tradition italienne, car le pays a toujours préféré s’appuyer sur des procédures qui privilégient l’équité et la transparence (par le biais du contrôle judiciaire) plutôt que </w:t>
      </w:r>
      <w:r>
        <w:rPr>
          <w:rFonts w:ascii="Times New Roman" w:hAnsi="Times New Roman" w:cs="Times New Roman"/>
          <w:sz w:val="24"/>
          <w:szCs w:val="24"/>
        </w:rPr>
        <w:t>la maximisation du résultat pour les</w:t>
      </w:r>
      <w:r w:rsidRPr="00341C8E">
        <w:rPr>
          <w:rFonts w:ascii="Times New Roman" w:hAnsi="Times New Roman" w:cs="Times New Roman"/>
          <w:sz w:val="24"/>
          <w:szCs w:val="24"/>
        </w:rPr>
        <w:t xml:space="preserve"> créanciers.</w:t>
      </w:r>
    </w:p>
    <w:p w:rsidR="0076748B" w:rsidRPr="00E564C8" w:rsidRDefault="0076748B" w:rsidP="0076748B">
      <w:pPr>
        <w:jc w:val="both"/>
        <w:rPr>
          <w:rFonts w:ascii="Times New Roman" w:hAnsi="Times New Roman" w:cs="Times New Roman"/>
          <w:sz w:val="24"/>
          <w:szCs w:val="24"/>
        </w:rPr>
      </w:pPr>
      <w:r w:rsidRPr="00341C8E">
        <w:rPr>
          <w:rFonts w:ascii="Times New Roman" w:hAnsi="Times New Roman" w:cs="Times New Roman"/>
          <w:sz w:val="24"/>
          <w:szCs w:val="24"/>
        </w:rPr>
        <w:lastRenderedPageBreak/>
        <w:t>La loi recommande de créer une procédure de groupe pour les entités soumises à la compétence des juridictions italiennes.</w:t>
      </w:r>
      <w:r w:rsidRPr="00E564C8">
        <w:rPr>
          <w:rFonts w:ascii="Times New Roman" w:hAnsi="Times New Roman" w:cs="Times New Roman"/>
          <w:sz w:val="24"/>
          <w:szCs w:val="24"/>
        </w:rPr>
        <w:t xml:space="preserve"> </w:t>
      </w:r>
      <w:r w:rsidRPr="00341C8E">
        <w:rPr>
          <w:rFonts w:ascii="Times New Roman" w:hAnsi="Times New Roman" w:cs="Times New Roman"/>
          <w:sz w:val="24"/>
          <w:szCs w:val="24"/>
        </w:rPr>
        <w:t>Si les parties optent pour des procédures distinctes, la loi prévoit la mise en œuvre de pratiques de coordination.</w:t>
      </w:r>
    </w:p>
    <w:p w:rsidR="0076748B" w:rsidRPr="00E564C8" w:rsidRDefault="0076748B" w:rsidP="0076748B">
      <w:pPr>
        <w:jc w:val="both"/>
        <w:rPr>
          <w:rFonts w:ascii="Times New Roman" w:hAnsi="Times New Roman" w:cs="Times New Roman"/>
          <w:sz w:val="24"/>
          <w:szCs w:val="24"/>
        </w:rPr>
      </w:pPr>
      <w:r w:rsidRPr="00341C8E">
        <w:rPr>
          <w:rFonts w:ascii="Times New Roman" w:hAnsi="Times New Roman" w:cs="Times New Roman"/>
          <w:sz w:val="24"/>
          <w:szCs w:val="24"/>
        </w:rPr>
        <w:t>Autre point fort, l’introduction de la « procédure d’alerte et de concordat », c’est-à-dire une procédure confidentielle amiable qui se déroule sous le contrôle de la Chambre de commerce.</w:t>
      </w:r>
      <w:r w:rsidRPr="00E564C8">
        <w:rPr>
          <w:rFonts w:ascii="Times New Roman" w:hAnsi="Times New Roman" w:cs="Times New Roman"/>
          <w:sz w:val="24"/>
          <w:szCs w:val="24"/>
        </w:rPr>
        <w:t xml:space="preserve"> </w:t>
      </w:r>
      <w:r w:rsidRPr="00341C8E">
        <w:rPr>
          <w:rFonts w:ascii="Times New Roman" w:hAnsi="Times New Roman" w:cs="Times New Roman"/>
          <w:sz w:val="24"/>
          <w:szCs w:val="24"/>
        </w:rPr>
        <w:t>Une telle procédure devrait permettre de sortir plus tôt d’une crise, car le débiteur est assisté par un organisme professionnel dans le but de redresser son entreprise et d’aboutir à un accord avec ses créanciers.</w:t>
      </w:r>
      <w:r w:rsidRPr="00E564C8">
        <w:rPr>
          <w:rFonts w:ascii="Times New Roman" w:hAnsi="Times New Roman" w:cs="Times New Roman"/>
          <w:sz w:val="24"/>
          <w:szCs w:val="24"/>
        </w:rPr>
        <w:t xml:space="preserve"> </w:t>
      </w:r>
      <w:r w:rsidRPr="00341C8E">
        <w:rPr>
          <w:rFonts w:ascii="Times New Roman" w:hAnsi="Times New Roman" w:cs="Times New Roman"/>
          <w:sz w:val="24"/>
          <w:szCs w:val="24"/>
        </w:rPr>
        <w:t>Le débiteur peut également demander certaines protections au tribunal, notamment une suspension des mesures d’exécution.</w:t>
      </w:r>
    </w:p>
    <w:p w:rsidR="0076748B" w:rsidRPr="00E564C8" w:rsidRDefault="0076748B" w:rsidP="0076748B">
      <w:pPr>
        <w:jc w:val="both"/>
        <w:rPr>
          <w:rFonts w:ascii="Times New Roman" w:hAnsi="Times New Roman" w:cs="Times New Roman"/>
          <w:sz w:val="24"/>
          <w:szCs w:val="24"/>
        </w:rPr>
      </w:pPr>
      <w:r w:rsidRPr="00341C8E">
        <w:rPr>
          <w:rFonts w:ascii="Times New Roman" w:hAnsi="Times New Roman" w:cs="Times New Roman"/>
          <w:sz w:val="24"/>
          <w:szCs w:val="24"/>
        </w:rPr>
        <w:t>Toutefois, certains éléments militent contre l’utilisation préventive de cette procédure.</w:t>
      </w:r>
      <w:r w:rsidRPr="00E564C8">
        <w:rPr>
          <w:rFonts w:ascii="Times New Roman" w:hAnsi="Times New Roman" w:cs="Times New Roman"/>
          <w:sz w:val="24"/>
          <w:szCs w:val="24"/>
        </w:rPr>
        <w:t xml:space="preserve"> </w:t>
      </w:r>
      <w:r w:rsidRPr="00341C8E">
        <w:rPr>
          <w:rFonts w:ascii="Times New Roman" w:hAnsi="Times New Roman" w:cs="Times New Roman"/>
          <w:sz w:val="24"/>
          <w:szCs w:val="24"/>
        </w:rPr>
        <w:t>En particulier, la procédure d’alerte et de concordat peut être déclenchée par certaines entités publique</w:t>
      </w:r>
      <w:r>
        <w:rPr>
          <w:rFonts w:ascii="Times New Roman" w:hAnsi="Times New Roman" w:cs="Times New Roman"/>
          <w:sz w:val="24"/>
          <w:szCs w:val="24"/>
        </w:rPr>
        <w:t>s</w:t>
      </w:r>
      <w:r w:rsidRPr="00341C8E">
        <w:rPr>
          <w:rFonts w:ascii="Times New Roman" w:hAnsi="Times New Roman" w:cs="Times New Roman"/>
          <w:sz w:val="24"/>
          <w:szCs w:val="24"/>
        </w:rPr>
        <w:t xml:space="preserve"> sans le consentement du débiteur.</w:t>
      </w:r>
      <w:r w:rsidRPr="00E564C8">
        <w:rPr>
          <w:rFonts w:ascii="Times New Roman" w:hAnsi="Times New Roman" w:cs="Times New Roman"/>
          <w:sz w:val="24"/>
          <w:szCs w:val="24"/>
        </w:rPr>
        <w:t xml:space="preserve"> </w:t>
      </w:r>
      <w:r w:rsidRPr="00341C8E">
        <w:rPr>
          <w:rFonts w:ascii="Times New Roman" w:hAnsi="Times New Roman" w:cs="Times New Roman"/>
          <w:sz w:val="24"/>
          <w:szCs w:val="24"/>
        </w:rPr>
        <w:t xml:space="preserve">En outre, si les parties ne parviennent pas à s’entendre, ce fait sera rendu public par la Chambre de commerce, annihilant ainsi les éventuels avantages pouvant découler de </w:t>
      </w:r>
      <w:r>
        <w:rPr>
          <w:rFonts w:ascii="Times New Roman" w:hAnsi="Times New Roman" w:cs="Times New Roman"/>
          <w:sz w:val="24"/>
          <w:szCs w:val="24"/>
        </w:rPr>
        <w:t>la</w:t>
      </w:r>
      <w:r w:rsidRPr="00341C8E">
        <w:rPr>
          <w:rFonts w:ascii="Times New Roman" w:hAnsi="Times New Roman" w:cs="Times New Roman"/>
          <w:sz w:val="24"/>
          <w:szCs w:val="24"/>
        </w:rPr>
        <w:t xml:space="preserve"> nature confidentielle</w:t>
      </w:r>
      <w:r>
        <w:rPr>
          <w:rFonts w:ascii="Times New Roman" w:hAnsi="Times New Roman" w:cs="Times New Roman"/>
          <w:sz w:val="24"/>
          <w:szCs w:val="24"/>
        </w:rPr>
        <w:t xml:space="preserve"> de la procédure</w:t>
      </w:r>
      <w:r w:rsidRPr="00341C8E">
        <w:rPr>
          <w:rFonts w:ascii="Times New Roman" w:hAnsi="Times New Roman" w:cs="Times New Roman"/>
          <w:sz w:val="24"/>
          <w:szCs w:val="24"/>
        </w:rPr>
        <w:t>.</w:t>
      </w:r>
      <w:r w:rsidRPr="00E564C8">
        <w:rPr>
          <w:rFonts w:ascii="Times New Roman" w:hAnsi="Times New Roman" w:cs="Times New Roman"/>
          <w:sz w:val="24"/>
          <w:szCs w:val="24"/>
        </w:rPr>
        <w:t xml:space="preserve"> </w:t>
      </w:r>
      <w:r w:rsidRPr="00341C8E">
        <w:rPr>
          <w:rFonts w:ascii="Times New Roman" w:hAnsi="Times New Roman" w:cs="Times New Roman"/>
          <w:sz w:val="24"/>
          <w:szCs w:val="24"/>
        </w:rPr>
        <w:t>Enfin, si l’insolvabilité est constatée à la fin de la procédure infructueuse, le procureur de la République est dans l’obligation de déposer une demande de liquidation.</w:t>
      </w:r>
    </w:p>
    <w:p w:rsidR="0076748B" w:rsidRPr="00E564C8" w:rsidRDefault="0076748B" w:rsidP="0076748B">
      <w:pPr>
        <w:jc w:val="both"/>
        <w:rPr>
          <w:rFonts w:ascii="Times New Roman" w:hAnsi="Times New Roman" w:cs="Times New Roman"/>
          <w:sz w:val="24"/>
          <w:szCs w:val="24"/>
        </w:rPr>
      </w:pPr>
      <w:r w:rsidRPr="00341C8E">
        <w:rPr>
          <w:rFonts w:ascii="Times New Roman" w:hAnsi="Times New Roman" w:cs="Times New Roman"/>
          <w:sz w:val="24"/>
          <w:szCs w:val="24"/>
        </w:rPr>
        <w:t>Comme on le voit, cette loi n’est pas parfaite ;</w:t>
      </w:r>
      <w:r w:rsidRPr="00E564C8">
        <w:rPr>
          <w:rFonts w:ascii="Times New Roman" w:hAnsi="Times New Roman" w:cs="Times New Roman"/>
          <w:sz w:val="24"/>
          <w:szCs w:val="24"/>
        </w:rPr>
        <w:t xml:space="preserve"> </w:t>
      </w:r>
      <w:r w:rsidRPr="00E726D4">
        <w:rPr>
          <w:rFonts w:ascii="Times New Roman" w:hAnsi="Times New Roman" w:cs="Times New Roman"/>
          <w:sz w:val="24"/>
          <w:szCs w:val="24"/>
        </w:rPr>
        <w:t>toutefois, elle constitue une amélioration fort nécessaire.</w:t>
      </w:r>
      <w:r w:rsidRPr="00E564C8">
        <w:rPr>
          <w:rFonts w:ascii="Times New Roman" w:hAnsi="Times New Roman" w:cs="Times New Roman"/>
          <w:sz w:val="24"/>
          <w:szCs w:val="24"/>
        </w:rPr>
        <w:t xml:space="preserve"> </w:t>
      </w:r>
      <w:r w:rsidRPr="00E726D4">
        <w:rPr>
          <w:rFonts w:ascii="Times New Roman" w:hAnsi="Times New Roman" w:cs="Times New Roman"/>
          <w:sz w:val="24"/>
          <w:szCs w:val="24"/>
        </w:rPr>
        <w:t xml:space="preserve">Les douze prochains mois nous diront si la première réforme organique du droit de l’insolvabilité </w:t>
      </w:r>
      <w:r>
        <w:rPr>
          <w:rFonts w:ascii="Times New Roman" w:hAnsi="Times New Roman" w:cs="Times New Roman"/>
          <w:sz w:val="24"/>
          <w:szCs w:val="24"/>
        </w:rPr>
        <w:t xml:space="preserve">italien </w:t>
      </w:r>
      <w:r w:rsidRPr="00E726D4">
        <w:rPr>
          <w:rFonts w:ascii="Times New Roman" w:hAnsi="Times New Roman" w:cs="Times New Roman"/>
          <w:sz w:val="24"/>
          <w:szCs w:val="24"/>
        </w:rPr>
        <w:t>depuis l’époque mussolinienne recevra le feu vert.</w:t>
      </w:r>
    </w:p>
    <w:p w:rsidR="0076748B" w:rsidRPr="00E564C8" w:rsidRDefault="0076748B" w:rsidP="0076748B">
      <w:pPr>
        <w:pBdr>
          <w:bottom w:val="single" w:sz="6" w:space="1" w:color="auto"/>
        </w:pBdr>
        <w:jc w:val="both"/>
        <w:rPr>
          <w:rFonts w:ascii="Times New Roman" w:hAnsi="Times New Roman" w:cs="Times New Roman"/>
          <w:sz w:val="24"/>
          <w:szCs w:val="24"/>
        </w:rPr>
      </w:pPr>
    </w:p>
    <w:p w:rsidR="0076748B" w:rsidRPr="00E564C8" w:rsidRDefault="0076748B" w:rsidP="0076748B">
      <w:pPr>
        <w:jc w:val="both"/>
        <w:rPr>
          <w:rFonts w:ascii="Arial Narrow" w:hAnsi="Arial Narrow" w:cs="Times New Roman"/>
          <w:sz w:val="24"/>
          <w:szCs w:val="24"/>
          <w:u w:val="single"/>
        </w:rPr>
      </w:pPr>
      <w:r w:rsidRPr="0076748B">
        <w:rPr>
          <w:rFonts w:ascii="Arial Narrow" w:hAnsi="Arial Narrow" w:cs="Times New Roman"/>
          <w:b/>
          <w:sz w:val="36"/>
          <w:szCs w:val="36"/>
          <w:u w:val="single"/>
        </w:rPr>
        <w:t>Lettonie</w:t>
      </w:r>
      <w:r w:rsidRPr="00E726D4">
        <w:rPr>
          <w:rFonts w:ascii="Arial Narrow" w:hAnsi="Arial Narrow" w:cs="Times New Roman"/>
          <w:sz w:val="24"/>
          <w:szCs w:val="24"/>
          <w:u w:val="single"/>
        </w:rPr>
        <w:t xml:space="preserve"> : Disparition des administrateurs </w:t>
      </w:r>
      <w:r>
        <w:rPr>
          <w:rFonts w:ascii="Arial Narrow" w:hAnsi="Arial Narrow" w:cs="Times New Roman"/>
          <w:sz w:val="24"/>
          <w:szCs w:val="24"/>
          <w:u w:val="single"/>
        </w:rPr>
        <w:t xml:space="preserve">en cas de </w:t>
      </w:r>
      <w:r w:rsidRPr="00E726D4">
        <w:rPr>
          <w:rFonts w:ascii="Arial Narrow" w:hAnsi="Arial Narrow" w:cs="Times New Roman"/>
          <w:sz w:val="24"/>
          <w:szCs w:val="24"/>
          <w:u w:val="single"/>
        </w:rPr>
        <w:t>restructuration</w:t>
      </w:r>
      <w:r>
        <w:rPr>
          <w:rFonts w:ascii="Arial Narrow" w:hAnsi="Arial Narrow" w:cs="Times New Roman"/>
          <w:sz w:val="24"/>
          <w:szCs w:val="24"/>
          <w:u w:val="single"/>
        </w:rPr>
        <w:t xml:space="preserve"> —</w:t>
      </w:r>
      <w:r w:rsidRPr="00E726D4">
        <w:rPr>
          <w:rFonts w:ascii="Arial Narrow" w:hAnsi="Arial Narrow" w:cs="Times New Roman"/>
          <w:sz w:val="24"/>
          <w:szCs w:val="24"/>
          <w:u w:val="single"/>
        </w:rPr>
        <w:t xml:space="preserve"> </w:t>
      </w:r>
      <w:r>
        <w:rPr>
          <w:rFonts w:ascii="Arial Narrow" w:hAnsi="Arial Narrow" w:cs="Times New Roman"/>
          <w:sz w:val="24"/>
          <w:szCs w:val="24"/>
          <w:u w:val="single"/>
        </w:rPr>
        <w:t>la</w:t>
      </w:r>
      <w:r w:rsidRPr="00E726D4">
        <w:rPr>
          <w:rFonts w:ascii="Arial Narrow" w:hAnsi="Arial Narrow" w:cs="Times New Roman"/>
          <w:sz w:val="24"/>
          <w:szCs w:val="24"/>
          <w:u w:val="single"/>
        </w:rPr>
        <w:t xml:space="preserve"> faibles</w:t>
      </w:r>
      <w:r>
        <w:rPr>
          <w:rFonts w:ascii="Arial Narrow" w:hAnsi="Arial Narrow" w:cs="Times New Roman"/>
          <w:sz w:val="24"/>
          <w:szCs w:val="24"/>
          <w:u w:val="single"/>
        </w:rPr>
        <w:t xml:space="preserve">se des </w:t>
      </w:r>
      <w:r w:rsidRPr="00E726D4">
        <w:rPr>
          <w:rFonts w:ascii="Arial Narrow" w:hAnsi="Arial Narrow" w:cs="Times New Roman"/>
          <w:sz w:val="24"/>
          <w:szCs w:val="24"/>
          <w:u w:val="single"/>
        </w:rPr>
        <w:t xml:space="preserve">exigences </w:t>
      </w:r>
      <w:r>
        <w:rPr>
          <w:rFonts w:ascii="Arial Narrow" w:hAnsi="Arial Narrow" w:cs="Times New Roman"/>
          <w:sz w:val="24"/>
          <w:szCs w:val="24"/>
          <w:u w:val="single"/>
        </w:rPr>
        <w:t xml:space="preserve">législatives </w:t>
      </w:r>
      <w:r w:rsidRPr="00E726D4">
        <w:rPr>
          <w:rFonts w:ascii="Arial Narrow" w:hAnsi="Arial Narrow" w:cs="Times New Roman"/>
          <w:sz w:val="24"/>
          <w:szCs w:val="24"/>
          <w:u w:val="single"/>
        </w:rPr>
        <w:t>favoriserait-elle de manière disproportionnée les intérêts des créanciers ?</w:t>
      </w:r>
    </w:p>
    <w:p w:rsidR="0076748B" w:rsidRPr="00E726D4" w:rsidRDefault="0076748B" w:rsidP="0076748B">
      <w:pPr>
        <w:jc w:val="both"/>
        <w:rPr>
          <w:rFonts w:ascii="Arial Narrow" w:hAnsi="Arial Narrow" w:cs="Times New Roman"/>
          <w:i/>
          <w:sz w:val="20"/>
          <w:szCs w:val="20"/>
          <w:lang w:val="en-GB"/>
        </w:rPr>
      </w:pPr>
      <w:r w:rsidRPr="00E564C8">
        <w:rPr>
          <w:rFonts w:ascii="Arial Narrow" w:hAnsi="Arial Narrow" w:cs="Times New Roman"/>
          <w:i/>
          <w:sz w:val="20"/>
          <w:szCs w:val="20"/>
          <w:lang w:val="en-US"/>
        </w:rPr>
        <w:t>Par Niklāvs Zieds, avocat, collaborateur junior, bnt attorneys in CEE, Riga (Lettonie)</w:t>
      </w:r>
    </w:p>
    <w:p w:rsidR="0076748B" w:rsidRPr="00E564C8" w:rsidRDefault="0076748B" w:rsidP="0076748B">
      <w:pPr>
        <w:jc w:val="both"/>
        <w:rPr>
          <w:rFonts w:ascii="Times New Roman" w:hAnsi="Times New Roman" w:cs="Times New Roman"/>
          <w:b/>
          <w:sz w:val="24"/>
          <w:szCs w:val="24"/>
        </w:rPr>
      </w:pPr>
      <w:r w:rsidRPr="00AB2049">
        <w:rPr>
          <w:rFonts w:ascii="Times New Roman" w:hAnsi="Times New Roman" w:cs="Times New Roman"/>
          <w:b/>
          <w:sz w:val="24"/>
          <w:szCs w:val="24"/>
        </w:rPr>
        <w:t xml:space="preserve">À la suite des amendements à la loi sur l’insolvabilité, entrés en vigueur le 6 janvier 2017, </w:t>
      </w:r>
      <w:r>
        <w:rPr>
          <w:rFonts w:ascii="Times New Roman" w:hAnsi="Times New Roman" w:cs="Times New Roman"/>
          <w:b/>
          <w:sz w:val="24"/>
          <w:szCs w:val="24"/>
        </w:rPr>
        <w:t>la</w:t>
      </w:r>
      <w:r w:rsidRPr="00AB2049">
        <w:rPr>
          <w:rFonts w:ascii="Times New Roman" w:hAnsi="Times New Roman" w:cs="Times New Roman"/>
          <w:b/>
          <w:sz w:val="24"/>
          <w:szCs w:val="24"/>
        </w:rPr>
        <w:t xml:space="preserve"> procédure de restructuration ne f</w:t>
      </w:r>
      <w:r>
        <w:rPr>
          <w:rFonts w:ascii="Times New Roman" w:hAnsi="Times New Roman" w:cs="Times New Roman"/>
          <w:b/>
          <w:sz w:val="24"/>
          <w:szCs w:val="24"/>
        </w:rPr>
        <w:t>ait</w:t>
      </w:r>
      <w:r w:rsidRPr="00AB2049">
        <w:rPr>
          <w:rFonts w:ascii="Times New Roman" w:hAnsi="Times New Roman" w:cs="Times New Roman"/>
          <w:b/>
          <w:sz w:val="24"/>
          <w:szCs w:val="24"/>
        </w:rPr>
        <w:t xml:space="preserve"> plus intervenir d’administrateur de l’insolvabilité, puisque cette fonction a été remplacée par celle de « superviseur de la restructuration ».</w:t>
      </w:r>
    </w:p>
    <w:p w:rsidR="0076748B" w:rsidRPr="00E564C8" w:rsidRDefault="0076748B" w:rsidP="0076748B">
      <w:pPr>
        <w:jc w:val="both"/>
        <w:rPr>
          <w:rFonts w:ascii="Times New Roman" w:hAnsi="Times New Roman" w:cs="Times New Roman"/>
          <w:sz w:val="24"/>
          <w:szCs w:val="24"/>
        </w:rPr>
      </w:pPr>
      <w:r w:rsidRPr="00AB2049">
        <w:rPr>
          <w:rFonts w:ascii="Times New Roman" w:hAnsi="Times New Roman" w:cs="Times New Roman"/>
          <w:sz w:val="24"/>
          <w:szCs w:val="24"/>
        </w:rPr>
        <w:t>Alors que les procédures de restructuration étaient jusqu’à présent contrôlées par des administrateurs de l’insolvabilité certifiés qui devaient satisfaire des exigences strictes en termes de formation et de respect des normes légales, ce contrôle sera désormais exercé par des superviseurs de la restructuration, ayant pour seule obligation d’être une personne physique ayant pleine capacité juridique.</w:t>
      </w:r>
    </w:p>
    <w:p w:rsidR="0076748B" w:rsidRPr="00E564C8" w:rsidRDefault="0076748B" w:rsidP="0076748B">
      <w:pPr>
        <w:jc w:val="both"/>
        <w:rPr>
          <w:rFonts w:ascii="Times New Roman" w:hAnsi="Times New Roman" w:cs="Times New Roman"/>
          <w:sz w:val="24"/>
          <w:szCs w:val="24"/>
        </w:rPr>
      </w:pPr>
      <w:r w:rsidRPr="00AB2049">
        <w:rPr>
          <w:rFonts w:ascii="Times New Roman" w:hAnsi="Times New Roman" w:cs="Times New Roman"/>
          <w:sz w:val="24"/>
          <w:szCs w:val="24"/>
        </w:rPr>
        <w:t>Au vu de la prévalence des activités de restructuration présentant un élément international, et compte tenu de la liberté d’établissement et de la liberté de fournir des services, les superviseurs de la restructuration doivent avoir la possibilité de résider et de travailler légalement en Lettonie pendant la durée de la procédure de restructuration.</w:t>
      </w:r>
      <w:r w:rsidRPr="00E564C8">
        <w:rPr>
          <w:rFonts w:ascii="Times New Roman" w:hAnsi="Times New Roman" w:cs="Times New Roman"/>
          <w:sz w:val="24"/>
          <w:szCs w:val="24"/>
        </w:rPr>
        <w:t xml:space="preserve"> </w:t>
      </w:r>
      <w:r w:rsidRPr="00AB2049">
        <w:rPr>
          <w:rFonts w:ascii="Times New Roman" w:hAnsi="Times New Roman" w:cs="Times New Roman"/>
          <w:sz w:val="24"/>
          <w:szCs w:val="24"/>
        </w:rPr>
        <w:t xml:space="preserve">Ainsi, les experts étrangers en matière de </w:t>
      </w:r>
      <w:r w:rsidRPr="00AB2049">
        <w:rPr>
          <w:rFonts w:ascii="Times New Roman" w:hAnsi="Times New Roman" w:cs="Times New Roman"/>
          <w:sz w:val="24"/>
          <w:szCs w:val="24"/>
        </w:rPr>
        <w:lastRenderedPageBreak/>
        <w:t>restructuration représentent également un choix viable pour les créanciers lorsqu’ils choisissent leur candidat préféré.</w:t>
      </w:r>
      <w:r w:rsidRPr="00E564C8">
        <w:rPr>
          <w:rFonts w:ascii="Times New Roman" w:hAnsi="Times New Roman" w:cs="Times New Roman"/>
          <w:sz w:val="24"/>
          <w:szCs w:val="24"/>
        </w:rPr>
        <w:t xml:space="preserve"> </w:t>
      </w:r>
      <w:r w:rsidRPr="00AB2049">
        <w:rPr>
          <w:rFonts w:ascii="Times New Roman" w:hAnsi="Times New Roman" w:cs="Times New Roman"/>
          <w:sz w:val="24"/>
          <w:szCs w:val="24"/>
        </w:rPr>
        <w:t>Il convient de noter que les superviseurs de la restructuration étrangers sont tenus de respecter les normes nationales applicables à des fonctions équivalentes à celles de superviseur de la restructuration, conformément aux normes légales de leur pays de résidence.</w:t>
      </w:r>
    </w:p>
    <w:p w:rsidR="0076748B" w:rsidRPr="00E564C8" w:rsidRDefault="0076748B" w:rsidP="0076748B">
      <w:pPr>
        <w:jc w:val="both"/>
        <w:rPr>
          <w:rFonts w:ascii="Times New Roman" w:hAnsi="Times New Roman" w:cs="Times New Roman"/>
          <w:sz w:val="24"/>
          <w:szCs w:val="24"/>
        </w:rPr>
      </w:pPr>
      <w:r w:rsidRPr="00AB2049">
        <w:rPr>
          <w:rFonts w:ascii="Times New Roman" w:hAnsi="Times New Roman" w:cs="Times New Roman"/>
          <w:sz w:val="24"/>
          <w:szCs w:val="24"/>
        </w:rPr>
        <w:t>En outre, les superviseurs de la restructuration ne doivent pas avoir été condamnés pour un délit intentionnel, ne doivent pas avoir fait l’objet d’une procédure d’insolvabilité au cours des cinq années précédentes et ne doivent pas avoir causé l’insolvabilité d’une personne morale.</w:t>
      </w:r>
      <w:r w:rsidRPr="00E564C8">
        <w:rPr>
          <w:rFonts w:ascii="Times New Roman" w:hAnsi="Times New Roman" w:cs="Times New Roman"/>
          <w:sz w:val="24"/>
          <w:szCs w:val="24"/>
        </w:rPr>
        <w:t xml:space="preserve"> </w:t>
      </w:r>
      <w:r w:rsidRPr="00AB2049">
        <w:rPr>
          <w:rFonts w:ascii="Times New Roman" w:hAnsi="Times New Roman" w:cs="Times New Roman"/>
          <w:sz w:val="24"/>
          <w:szCs w:val="24"/>
        </w:rPr>
        <w:t>De la même manière, au cours des cinq dernières années, le superviseur de l’insolvabilité proposé ne doit pas avoir été licencié ni suspendu de ses fonctions publiques, ni révoqué de ses fonctions de supervision d’une procédure de restructuration pour abus d’autorité.</w:t>
      </w:r>
    </w:p>
    <w:p w:rsidR="0076748B" w:rsidRPr="00E564C8" w:rsidRDefault="0076748B" w:rsidP="0076748B">
      <w:pPr>
        <w:jc w:val="both"/>
        <w:rPr>
          <w:rFonts w:ascii="Times New Roman" w:hAnsi="Times New Roman" w:cs="Times New Roman"/>
          <w:sz w:val="24"/>
          <w:szCs w:val="24"/>
        </w:rPr>
      </w:pPr>
      <w:r w:rsidRPr="00AB2049">
        <w:rPr>
          <w:rFonts w:ascii="Times New Roman" w:hAnsi="Times New Roman" w:cs="Times New Roman"/>
          <w:sz w:val="24"/>
          <w:szCs w:val="24"/>
        </w:rPr>
        <w:t>La restriction la plus notable, cependant, reste l’interdiction imposée aux personnes impliquées dans la préparation d’un plan de restructuration, puisqu’il leur est interdit de devenir superviseurs de la restructuration dans l’affaire en question.</w:t>
      </w:r>
      <w:r w:rsidRPr="00E564C8">
        <w:rPr>
          <w:rFonts w:ascii="Times New Roman" w:hAnsi="Times New Roman" w:cs="Times New Roman"/>
          <w:sz w:val="24"/>
          <w:szCs w:val="24"/>
        </w:rPr>
        <w:t xml:space="preserve"> </w:t>
      </w:r>
      <w:r w:rsidRPr="00AB2049">
        <w:rPr>
          <w:rFonts w:ascii="Times New Roman" w:hAnsi="Times New Roman" w:cs="Times New Roman"/>
          <w:sz w:val="24"/>
          <w:szCs w:val="24"/>
        </w:rPr>
        <w:t>Étant donné que les plans de restructuration doivent être approuvés par le superviseur délégué par les créanciers, il semble quelque peu contestable que les législateurs soient parvenus à réaliser leur intention de trouver un équilibre relativement proportionné entre les intérêts des créanciers et ceux des débiteurs.</w:t>
      </w:r>
    </w:p>
    <w:p w:rsidR="0076748B" w:rsidRPr="00E564C8" w:rsidRDefault="0076748B" w:rsidP="0076748B">
      <w:pPr>
        <w:jc w:val="both"/>
        <w:rPr>
          <w:rFonts w:ascii="Times New Roman" w:hAnsi="Times New Roman" w:cs="Times New Roman"/>
          <w:sz w:val="24"/>
          <w:szCs w:val="24"/>
        </w:rPr>
      </w:pPr>
      <w:r w:rsidRPr="00AB2049">
        <w:rPr>
          <w:rFonts w:ascii="Times New Roman" w:hAnsi="Times New Roman" w:cs="Times New Roman"/>
          <w:sz w:val="24"/>
          <w:szCs w:val="24"/>
        </w:rPr>
        <w:t>Néanmoins, pour ce qui est des autres exigences, les superviseurs de la restructuration ne sont pas tenus de respecter les conditions préalables de certification et de formation traditionnellement imposées aux administrateurs de l’insolvabilité.</w:t>
      </w:r>
    </w:p>
    <w:p w:rsidR="0076748B" w:rsidRPr="00E564C8" w:rsidRDefault="0076748B" w:rsidP="0076748B">
      <w:pPr>
        <w:jc w:val="both"/>
        <w:rPr>
          <w:rFonts w:ascii="Times New Roman" w:hAnsi="Times New Roman" w:cs="Times New Roman"/>
          <w:sz w:val="24"/>
          <w:szCs w:val="24"/>
        </w:rPr>
      </w:pPr>
      <w:r w:rsidRPr="00AB2049">
        <w:rPr>
          <w:rFonts w:ascii="Times New Roman" w:hAnsi="Times New Roman" w:cs="Times New Roman"/>
          <w:sz w:val="24"/>
          <w:szCs w:val="24"/>
        </w:rPr>
        <w:t>Les superviseurs de la restructuration sont désignés par les tribunaux sur proposition des créanciers gagistes dont les créances principales représentent les deux tiers des créances garanties totales, et des créanciers chirographaires dont les créances représentent la moitié des créances non garanties totales.</w:t>
      </w:r>
      <w:r w:rsidRPr="00E564C8">
        <w:rPr>
          <w:rFonts w:ascii="Times New Roman" w:hAnsi="Times New Roman" w:cs="Times New Roman"/>
          <w:sz w:val="24"/>
          <w:szCs w:val="24"/>
        </w:rPr>
        <w:t xml:space="preserve"> </w:t>
      </w:r>
      <w:r w:rsidRPr="00AB2049">
        <w:rPr>
          <w:rFonts w:ascii="Times New Roman" w:hAnsi="Times New Roman" w:cs="Times New Roman"/>
          <w:sz w:val="24"/>
          <w:szCs w:val="24"/>
        </w:rPr>
        <w:t>Toutefois, le consentement du débiteur doit également être obtenu.</w:t>
      </w:r>
    </w:p>
    <w:p w:rsidR="0076748B" w:rsidRPr="00E564C8" w:rsidRDefault="0076748B" w:rsidP="0076748B">
      <w:pPr>
        <w:jc w:val="both"/>
        <w:rPr>
          <w:rFonts w:ascii="Times New Roman" w:hAnsi="Times New Roman" w:cs="Times New Roman"/>
          <w:sz w:val="24"/>
          <w:szCs w:val="24"/>
        </w:rPr>
      </w:pPr>
      <w:r w:rsidRPr="00AB2049">
        <w:rPr>
          <w:rFonts w:ascii="Times New Roman" w:hAnsi="Times New Roman" w:cs="Times New Roman"/>
          <w:sz w:val="24"/>
          <w:szCs w:val="24"/>
        </w:rPr>
        <w:t xml:space="preserve">Nonobstant, ces amendements sont perçus comme fortement favorables aux intérêts des créanciers, </w:t>
      </w:r>
      <w:r>
        <w:rPr>
          <w:rFonts w:ascii="Times New Roman" w:hAnsi="Times New Roman" w:cs="Times New Roman"/>
          <w:sz w:val="24"/>
          <w:szCs w:val="24"/>
        </w:rPr>
        <w:t xml:space="preserve">car ils </w:t>
      </w:r>
      <w:r w:rsidRPr="00AB2049">
        <w:rPr>
          <w:rFonts w:ascii="Times New Roman" w:hAnsi="Times New Roman" w:cs="Times New Roman"/>
          <w:sz w:val="24"/>
          <w:szCs w:val="24"/>
        </w:rPr>
        <w:t>leur permett</w:t>
      </w:r>
      <w:r>
        <w:rPr>
          <w:rFonts w:ascii="Times New Roman" w:hAnsi="Times New Roman" w:cs="Times New Roman"/>
          <w:sz w:val="24"/>
          <w:szCs w:val="24"/>
        </w:rPr>
        <w:t>e</w:t>
      </w:r>
      <w:r w:rsidRPr="00AB2049">
        <w:rPr>
          <w:rFonts w:ascii="Times New Roman" w:hAnsi="Times New Roman" w:cs="Times New Roman"/>
          <w:sz w:val="24"/>
          <w:szCs w:val="24"/>
        </w:rPr>
        <w:t>nt d’exercer une influence importante sur la personne qui contrôle la procédure de restructuration.</w:t>
      </w:r>
    </w:p>
    <w:p w:rsidR="0076748B" w:rsidRPr="00E564C8" w:rsidRDefault="0076748B" w:rsidP="0076748B">
      <w:pPr>
        <w:jc w:val="both"/>
        <w:rPr>
          <w:rFonts w:ascii="Times New Roman" w:hAnsi="Times New Roman" w:cs="Times New Roman"/>
          <w:sz w:val="24"/>
          <w:szCs w:val="24"/>
        </w:rPr>
      </w:pPr>
      <w:r w:rsidRPr="003A2007">
        <w:rPr>
          <w:rFonts w:ascii="Times New Roman" w:hAnsi="Times New Roman" w:cs="Times New Roman"/>
          <w:sz w:val="24"/>
          <w:szCs w:val="24"/>
        </w:rPr>
        <w:t>Tant que le superviseur proposé respecte les exigences ci-dessus, le tribunal n’a pas besoin d’évaluer le candidat, puisqu’il doit respecter le vote de la majorité des créanciers.</w:t>
      </w:r>
      <w:r w:rsidRPr="00E564C8">
        <w:rPr>
          <w:rFonts w:ascii="Times New Roman" w:hAnsi="Times New Roman" w:cs="Times New Roman"/>
          <w:sz w:val="24"/>
          <w:szCs w:val="24"/>
        </w:rPr>
        <w:t xml:space="preserve"> </w:t>
      </w:r>
      <w:r w:rsidRPr="003A2007">
        <w:rPr>
          <w:rFonts w:ascii="Times New Roman" w:hAnsi="Times New Roman" w:cs="Times New Roman"/>
          <w:sz w:val="24"/>
          <w:szCs w:val="24"/>
        </w:rPr>
        <w:t>Toutefois, si les choses tournent mal, outre le droit de proposer des candidats, les créanciers ont le droit de révoquer le superviseur à tout moment et de proposer un remplaçant.</w:t>
      </w:r>
    </w:p>
    <w:p w:rsidR="0076748B" w:rsidRPr="00E564C8" w:rsidRDefault="0076748B" w:rsidP="0076748B">
      <w:pPr>
        <w:jc w:val="both"/>
        <w:rPr>
          <w:rFonts w:ascii="Times New Roman" w:hAnsi="Times New Roman" w:cs="Times New Roman"/>
          <w:sz w:val="24"/>
          <w:szCs w:val="24"/>
        </w:rPr>
      </w:pPr>
      <w:r w:rsidRPr="003A2007">
        <w:rPr>
          <w:rFonts w:ascii="Times New Roman" w:hAnsi="Times New Roman" w:cs="Times New Roman"/>
          <w:sz w:val="24"/>
          <w:szCs w:val="24"/>
        </w:rPr>
        <w:t xml:space="preserve">En l’absence de désignation d’un superviseur, la procédure de restructuration est close et aucune nouvelle demande de restructuration ne peut être déposée </w:t>
      </w:r>
      <w:r>
        <w:rPr>
          <w:rFonts w:ascii="Times New Roman" w:hAnsi="Times New Roman" w:cs="Times New Roman"/>
          <w:sz w:val="24"/>
          <w:szCs w:val="24"/>
        </w:rPr>
        <w:t>au cours des</w:t>
      </w:r>
      <w:r w:rsidRPr="003A2007">
        <w:rPr>
          <w:rFonts w:ascii="Times New Roman" w:hAnsi="Times New Roman" w:cs="Times New Roman"/>
          <w:sz w:val="24"/>
          <w:szCs w:val="24"/>
        </w:rPr>
        <w:t xml:space="preserve"> quatre mois suivants.</w:t>
      </w:r>
      <w:r w:rsidRPr="00E564C8">
        <w:rPr>
          <w:rFonts w:ascii="Times New Roman" w:hAnsi="Times New Roman" w:cs="Times New Roman"/>
          <w:sz w:val="24"/>
          <w:szCs w:val="24"/>
        </w:rPr>
        <w:t xml:space="preserve"> </w:t>
      </w:r>
      <w:r w:rsidRPr="003A2007">
        <w:rPr>
          <w:rFonts w:ascii="Times New Roman" w:hAnsi="Times New Roman" w:cs="Times New Roman"/>
          <w:sz w:val="24"/>
          <w:szCs w:val="24"/>
        </w:rPr>
        <w:t>Si cette situation se répète, une procédure d’insolvabilité est ouverte de plein droit.</w:t>
      </w:r>
    </w:p>
    <w:p w:rsidR="0076748B" w:rsidRPr="00E564C8" w:rsidRDefault="0076748B" w:rsidP="0076748B">
      <w:pPr>
        <w:jc w:val="both"/>
        <w:rPr>
          <w:rFonts w:ascii="Times New Roman" w:hAnsi="Times New Roman" w:cs="Times New Roman"/>
          <w:sz w:val="24"/>
          <w:szCs w:val="24"/>
        </w:rPr>
      </w:pPr>
      <w:r>
        <w:rPr>
          <w:rFonts w:ascii="Times New Roman" w:hAnsi="Times New Roman" w:cs="Times New Roman"/>
          <w:sz w:val="24"/>
          <w:szCs w:val="24"/>
        </w:rPr>
        <w:t>Par ailleurs</w:t>
      </w:r>
      <w:r w:rsidRPr="003A2007">
        <w:rPr>
          <w:rFonts w:ascii="Times New Roman" w:hAnsi="Times New Roman" w:cs="Times New Roman"/>
          <w:sz w:val="24"/>
          <w:szCs w:val="24"/>
        </w:rPr>
        <w:t xml:space="preserve">, contrairement aux administrateurs de la restructuration, les superviseurs de la restructuration sont rémunérés par les créanciers majoritaires ayant approuvé le plan de </w:t>
      </w:r>
      <w:r w:rsidRPr="003A2007">
        <w:rPr>
          <w:rFonts w:ascii="Times New Roman" w:hAnsi="Times New Roman" w:cs="Times New Roman"/>
          <w:sz w:val="24"/>
          <w:szCs w:val="24"/>
        </w:rPr>
        <w:lastRenderedPageBreak/>
        <w:t xml:space="preserve">restructuration, </w:t>
      </w:r>
      <w:r>
        <w:rPr>
          <w:rFonts w:ascii="Times New Roman" w:hAnsi="Times New Roman" w:cs="Times New Roman"/>
          <w:sz w:val="24"/>
          <w:szCs w:val="24"/>
        </w:rPr>
        <w:t>pour un</w:t>
      </w:r>
      <w:r w:rsidRPr="003A2007">
        <w:rPr>
          <w:rFonts w:ascii="Times New Roman" w:hAnsi="Times New Roman" w:cs="Times New Roman"/>
          <w:sz w:val="24"/>
          <w:szCs w:val="24"/>
        </w:rPr>
        <w:t xml:space="preserve"> montant laissé à la générosité des créanciers, ce qui suscite également des doutes en matière d’impartialité.</w:t>
      </w:r>
    </w:p>
    <w:p w:rsidR="0076748B" w:rsidRPr="0076748B" w:rsidRDefault="0076748B" w:rsidP="0076748B">
      <w:pPr>
        <w:jc w:val="both"/>
        <w:rPr>
          <w:rFonts w:ascii="Times New Roman" w:hAnsi="Times New Roman" w:cs="Times New Roman"/>
          <w:sz w:val="24"/>
          <w:szCs w:val="24"/>
        </w:rPr>
      </w:pPr>
      <w:r w:rsidRPr="003A2007">
        <w:rPr>
          <w:rFonts w:ascii="Times New Roman" w:hAnsi="Times New Roman" w:cs="Times New Roman"/>
          <w:sz w:val="24"/>
          <w:szCs w:val="24"/>
        </w:rPr>
        <w:t>Les amendements ont été par ailleurs critiqués parce qu’ils ne couvrent pas les cas où les autorités fiscales disposent d</w:t>
      </w:r>
      <w:r>
        <w:rPr>
          <w:rFonts w:ascii="Times New Roman" w:hAnsi="Times New Roman" w:cs="Times New Roman"/>
          <w:sz w:val="24"/>
          <w:szCs w:val="24"/>
        </w:rPr>
        <w:t>’un</w:t>
      </w:r>
      <w:r w:rsidRPr="003A2007">
        <w:rPr>
          <w:rFonts w:ascii="Times New Roman" w:hAnsi="Times New Roman" w:cs="Times New Roman"/>
          <w:sz w:val="24"/>
          <w:szCs w:val="24"/>
        </w:rPr>
        <w:t xml:space="preserve"> vote prépondérant parmi les créanciers majoritaires, car elles ne participent pas au plan de rémunération du superviseur ; pour autant, </w:t>
      </w:r>
      <w:r>
        <w:rPr>
          <w:rFonts w:ascii="Times New Roman" w:hAnsi="Times New Roman" w:cs="Times New Roman"/>
          <w:sz w:val="24"/>
          <w:szCs w:val="24"/>
        </w:rPr>
        <w:t>leurs</w:t>
      </w:r>
      <w:r w:rsidRPr="003A2007">
        <w:rPr>
          <w:rFonts w:ascii="Times New Roman" w:hAnsi="Times New Roman" w:cs="Times New Roman"/>
          <w:sz w:val="24"/>
          <w:szCs w:val="24"/>
        </w:rPr>
        <w:t xml:space="preserve"> droits de vote restent inchangés.</w:t>
      </w:r>
      <w:r w:rsidRPr="00E564C8">
        <w:rPr>
          <w:rFonts w:ascii="Times New Roman" w:hAnsi="Times New Roman" w:cs="Times New Roman"/>
          <w:sz w:val="24"/>
          <w:szCs w:val="24"/>
        </w:rPr>
        <w:t xml:space="preserve"> </w:t>
      </w:r>
      <w:r w:rsidRPr="003A2007">
        <w:rPr>
          <w:rFonts w:ascii="Times New Roman" w:hAnsi="Times New Roman" w:cs="Times New Roman"/>
          <w:sz w:val="24"/>
          <w:szCs w:val="24"/>
        </w:rPr>
        <w:t>Par conséquent, la restructuration pourrait devenir irréalisable à cause de l’implication des autorités fiscales.</w:t>
      </w:r>
      <w:r w:rsidRPr="00E564C8">
        <w:rPr>
          <w:rFonts w:ascii="Times New Roman" w:hAnsi="Times New Roman" w:cs="Times New Roman"/>
          <w:sz w:val="24"/>
          <w:szCs w:val="24"/>
        </w:rPr>
        <w:t xml:space="preserve"> </w:t>
      </w:r>
    </w:p>
    <w:p w:rsidR="003B5B5D" w:rsidRPr="003B5B5D" w:rsidRDefault="003B5B5D" w:rsidP="003B5B5D">
      <w:pPr>
        <w:suppressAutoHyphens/>
        <w:spacing w:after="0" w:line="260" w:lineRule="auto"/>
        <w:jc w:val="center"/>
        <w:rPr>
          <w:rFonts w:ascii="Times New Roman" w:eastAsia="Courier 10cpi" w:hAnsi="Times New Roman" w:cs="Times New Roman"/>
          <w:sz w:val="24"/>
          <w:szCs w:val="24"/>
          <w:lang w:eastAsia="ar-SA"/>
        </w:rPr>
      </w:pPr>
      <w:r w:rsidRPr="003B5B5D">
        <w:rPr>
          <w:rFonts w:ascii="Times New Roman" w:eastAsia="Courier 10cpi" w:hAnsi="Times New Roman" w:cs="Times New Roman"/>
          <w:sz w:val="24"/>
          <w:szCs w:val="24"/>
          <w:lang w:eastAsia="ar-SA"/>
        </w:rPr>
        <w:t>x  x  x</w:t>
      </w:r>
    </w:p>
    <w:p w:rsidR="003B5B5D" w:rsidRPr="003B5B5D" w:rsidRDefault="003B5B5D" w:rsidP="003B5B5D">
      <w:pPr>
        <w:suppressAutoHyphens/>
        <w:spacing w:after="0" w:line="260" w:lineRule="auto"/>
        <w:jc w:val="center"/>
        <w:rPr>
          <w:rFonts w:ascii="Arial Narrow" w:eastAsia="Courier 10cpi" w:hAnsi="Arial Narrow" w:cs="Courier 10cpi"/>
          <w:b/>
          <w:sz w:val="28"/>
          <w:szCs w:val="28"/>
          <w:lang w:eastAsia="ar-SA"/>
        </w:rPr>
      </w:pPr>
      <w:r w:rsidRPr="003B5B5D">
        <w:rPr>
          <w:rFonts w:ascii="Times New Roman" w:eastAsia="Courier 10cpi" w:hAnsi="Times New Roman" w:cs="Times New Roman"/>
          <w:sz w:val="24"/>
          <w:szCs w:val="24"/>
          <w:lang w:eastAsia="ar-SA"/>
        </w:rPr>
        <w:t>x</w:t>
      </w:r>
    </w:p>
    <w:p w:rsidR="00CE3674" w:rsidRPr="000F5BC7" w:rsidRDefault="000F5BC7" w:rsidP="000F5BC7">
      <w:pPr>
        <w:spacing w:after="0" w:line="240" w:lineRule="auto"/>
        <w:jc w:val="both"/>
        <w:rPr>
          <w:rFonts w:ascii="Arial Narrow" w:hAnsi="Arial Narrow" w:cs="Times New Roman"/>
          <w:b/>
          <w:sz w:val="32"/>
          <w:szCs w:val="32"/>
        </w:rPr>
      </w:pPr>
      <w:r w:rsidRPr="000F5BC7">
        <w:rPr>
          <w:rFonts w:ascii="Arial Narrow" w:hAnsi="Arial Narrow" w:cs="Times New Roman"/>
          <w:b/>
          <w:sz w:val="32"/>
          <w:szCs w:val="32"/>
        </w:rPr>
        <w:t>REI</w:t>
      </w:r>
    </w:p>
    <w:p w:rsidR="000F5BC7" w:rsidRPr="000F5BC7" w:rsidRDefault="000F5BC7" w:rsidP="000F5BC7">
      <w:pPr>
        <w:spacing w:after="0" w:line="240" w:lineRule="auto"/>
        <w:jc w:val="center"/>
        <w:rPr>
          <w:rFonts w:ascii="Times New Roman" w:hAnsi="Times New Roman" w:cs="Times New Roman"/>
          <w:b/>
          <w:sz w:val="24"/>
          <w:szCs w:val="24"/>
        </w:rPr>
      </w:pPr>
    </w:p>
    <w:p w:rsidR="00CE3674" w:rsidRPr="000F5BC7" w:rsidRDefault="00CE3674" w:rsidP="000F5BC7">
      <w:pPr>
        <w:spacing w:after="0" w:line="240" w:lineRule="auto"/>
        <w:jc w:val="center"/>
        <w:rPr>
          <w:rFonts w:ascii="Times New Roman" w:hAnsi="Times New Roman" w:cs="Times New Roman"/>
          <w:b/>
          <w:sz w:val="48"/>
          <w:szCs w:val="48"/>
        </w:rPr>
      </w:pPr>
      <w:r w:rsidRPr="000F5BC7">
        <w:rPr>
          <w:rFonts w:ascii="Times New Roman" w:hAnsi="Times New Roman" w:cs="Times New Roman"/>
          <w:b/>
          <w:sz w:val="48"/>
          <w:szCs w:val="48"/>
        </w:rPr>
        <w:t>Trouvez votre affaire : le « Registre d’affaires fondées sur le règlement européen sur l’insolvabilité » d’INSOL Europe</w:t>
      </w:r>
    </w:p>
    <w:p w:rsidR="00CE3674" w:rsidRPr="00CE3674" w:rsidRDefault="00CE3674" w:rsidP="000F5BC7">
      <w:pPr>
        <w:spacing w:after="0" w:line="240" w:lineRule="auto"/>
        <w:jc w:val="center"/>
        <w:rPr>
          <w:rFonts w:ascii="Arial Narrow" w:hAnsi="Arial Narrow" w:cs="Times New Roman"/>
          <w:i/>
          <w:sz w:val="24"/>
          <w:szCs w:val="24"/>
        </w:rPr>
      </w:pPr>
      <w:r w:rsidRPr="005F7A26">
        <w:rPr>
          <w:rFonts w:ascii="Arial Narrow" w:hAnsi="Arial Narrow" w:cs="Times New Roman"/>
          <w:i/>
          <w:sz w:val="24"/>
          <w:szCs w:val="24"/>
        </w:rPr>
        <w:t>Le professeur Reinhard Bork* nous explique l’historique et la finalité du Registre, et comment y contribuer</w:t>
      </w:r>
    </w:p>
    <w:p w:rsidR="00CE3674" w:rsidRPr="00CE3674" w:rsidRDefault="00CE3674" w:rsidP="000F5BC7">
      <w:pPr>
        <w:spacing w:after="0" w:line="240" w:lineRule="auto"/>
        <w:jc w:val="both"/>
        <w:rPr>
          <w:rFonts w:ascii="Times New Roman" w:hAnsi="Times New Roman" w:cs="Times New Roman"/>
          <w:sz w:val="24"/>
          <w:szCs w:val="24"/>
        </w:rPr>
      </w:pPr>
    </w:p>
    <w:p w:rsidR="00CE3674" w:rsidRPr="00CE3674" w:rsidRDefault="00CE3674" w:rsidP="00CE3674">
      <w:pPr>
        <w:jc w:val="both"/>
        <w:rPr>
          <w:rFonts w:ascii="Times New Roman" w:hAnsi="Times New Roman" w:cs="Times New Roman"/>
          <w:b/>
          <w:sz w:val="24"/>
          <w:szCs w:val="24"/>
        </w:rPr>
      </w:pPr>
      <w:r w:rsidRPr="00EB45E7">
        <w:rPr>
          <w:rFonts w:ascii="Times New Roman" w:hAnsi="Times New Roman" w:cs="Times New Roman"/>
          <w:b/>
          <w:sz w:val="24"/>
          <w:szCs w:val="24"/>
        </w:rPr>
        <w:t>Lancé en 2011 lors de la conférence annuelle d’INSOL Europe, le registre d’affaires fondées sur le règlement européen sur l’insolvabilité d’INSOL Europe est une base de données qui résume les affaires des tribunaux de première instance et cours d’appel des États membres de l’Union européenne, ainsi que de la CJUE, qui traitent d’un point important en lien avec le règlement européen sur l’insolvabilité (règlements CE 1346/2000 et UE 2015/848).</w:t>
      </w:r>
    </w:p>
    <w:p w:rsidR="00CE3674" w:rsidRPr="00CE3674" w:rsidRDefault="00CE3674" w:rsidP="00CE3674">
      <w:pPr>
        <w:jc w:val="both"/>
        <w:rPr>
          <w:rFonts w:ascii="Times New Roman" w:hAnsi="Times New Roman" w:cs="Times New Roman"/>
          <w:sz w:val="24"/>
          <w:szCs w:val="24"/>
        </w:rPr>
      </w:pPr>
      <w:r w:rsidRPr="00EB45E7">
        <w:rPr>
          <w:rFonts w:ascii="Times New Roman" w:hAnsi="Times New Roman" w:cs="Times New Roman"/>
          <w:sz w:val="24"/>
          <w:szCs w:val="24"/>
        </w:rPr>
        <w:t>C’est un système en ligne qui recueille et diffuse des informations sur les décisions de justice et jugements liés au règlement européen sur l’insolvabilité (« REI »).</w:t>
      </w:r>
      <w:r w:rsidRPr="00CE3674">
        <w:rPr>
          <w:rFonts w:ascii="Times New Roman" w:hAnsi="Times New Roman" w:cs="Times New Roman"/>
          <w:sz w:val="24"/>
          <w:szCs w:val="24"/>
        </w:rPr>
        <w:t xml:space="preserve"> </w:t>
      </w:r>
      <w:r w:rsidRPr="00EB45E7">
        <w:rPr>
          <w:rFonts w:ascii="Times New Roman" w:hAnsi="Times New Roman" w:cs="Times New Roman"/>
          <w:sz w:val="24"/>
          <w:szCs w:val="24"/>
        </w:rPr>
        <w:t xml:space="preserve">Depuis 2014, le registre </w:t>
      </w:r>
      <w:r>
        <w:rPr>
          <w:rFonts w:ascii="Times New Roman" w:hAnsi="Times New Roman" w:cs="Times New Roman"/>
          <w:sz w:val="24"/>
          <w:szCs w:val="24"/>
        </w:rPr>
        <w:t>d’</w:t>
      </w:r>
      <w:r w:rsidRPr="00EB45E7">
        <w:rPr>
          <w:rFonts w:ascii="Times New Roman" w:hAnsi="Times New Roman" w:cs="Times New Roman"/>
          <w:sz w:val="24"/>
          <w:szCs w:val="24"/>
        </w:rPr>
        <w:t>affaires est hébergé par LexisNexis.</w:t>
      </w:r>
    </w:p>
    <w:p w:rsidR="00CE3674" w:rsidRPr="00CE3674" w:rsidRDefault="00CE3674" w:rsidP="00CE3674">
      <w:pPr>
        <w:jc w:val="both"/>
        <w:rPr>
          <w:rFonts w:ascii="Times New Roman" w:hAnsi="Times New Roman" w:cs="Times New Roman"/>
          <w:sz w:val="24"/>
          <w:szCs w:val="24"/>
        </w:rPr>
      </w:pPr>
      <w:r w:rsidRPr="00EB45E7">
        <w:rPr>
          <w:rFonts w:ascii="Times New Roman" w:hAnsi="Times New Roman" w:cs="Times New Roman"/>
          <w:sz w:val="24"/>
          <w:szCs w:val="24"/>
        </w:rPr>
        <w:t>Ses objectifs sont triples.</w:t>
      </w:r>
      <w:r w:rsidRPr="00CE3674">
        <w:rPr>
          <w:rFonts w:ascii="Times New Roman" w:hAnsi="Times New Roman" w:cs="Times New Roman"/>
          <w:sz w:val="24"/>
          <w:szCs w:val="24"/>
        </w:rPr>
        <w:t xml:space="preserve"> </w:t>
      </w:r>
      <w:r w:rsidRPr="00EB45E7">
        <w:rPr>
          <w:rFonts w:ascii="Times New Roman" w:hAnsi="Times New Roman" w:cs="Times New Roman"/>
          <w:sz w:val="24"/>
          <w:szCs w:val="24"/>
        </w:rPr>
        <w:t>P</w:t>
      </w:r>
      <w:r>
        <w:rPr>
          <w:rFonts w:ascii="Times New Roman" w:hAnsi="Times New Roman" w:cs="Times New Roman"/>
          <w:sz w:val="24"/>
          <w:szCs w:val="24"/>
        </w:rPr>
        <w:t>our commencer</w:t>
      </w:r>
      <w:r w:rsidRPr="00EB45E7">
        <w:rPr>
          <w:rFonts w:ascii="Times New Roman" w:hAnsi="Times New Roman" w:cs="Times New Roman"/>
          <w:sz w:val="24"/>
          <w:szCs w:val="24"/>
        </w:rPr>
        <w:t>, le registre vise à permettre aux praticiens, mandataires de l’insolvabilité, juges et universitaires de prendre en compte des décisions pertinentes d’autres États membres lorsqu’ils traitent de questions liées au REI.</w:t>
      </w:r>
      <w:r w:rsidRPr="00CE3674">
        <w:rPr>
          <w:rFonts w:ascii="Times New Roman" w:hAnsi="Times New Roman" w:cs="Times New Roman"/>
          <w:sz w:val="24"/>
          <w:szCs w:val="24"/>
        </w:rPr>
        <w:t xml:space="preserve"> </w:t>
      </w:r>
      <w:r>
        <w:rPr>
          <w:rFonts w:ascii="Times New Roman" w:hAnsi="Times New Roman" w:cs="Times New Roman"/>
          <w:sz w:val="24"/>
          <w:szCs w:val="24"/>
        </w:rPr>
        <w:t>Ensuite</w:t>
      </w:r>
      <w:r w:rsidRPr="00EB45E7">
        <w:rPr>
          <w:rFonts w:ascii="Times New Roman" w:hAnsi="Times New Roman" w:cs="Times New Roman"/>
          <w:sz w:val="24"/>
          <w:szCs w:val="24"/>
        </w:rPr>
        <w:t>, il vise à promouvoir et faciliter une interprétation et une application uniformes du REI.</w:t>
      </w:r>
      <w:r w:rsidRPr="00CE3674">
        <w:rPr>
          <w:rFonts w:ascii="Times New Roman" w:hAnsi="Times New Roman" w:cs="Times New Roman"/>
          <w:sz w:val="24"/>
          <w:szCs w:val="24"/>
        </w:rPr>
        <w:t xml:space="preserve"> </w:t>
      </w:r>
      <w:r w:rsidRPr="00EB45E7">
        <w:rPr>
          <w:rFonts w:ascii="Times New Roman" w:hAnsi="Times New Roman" w:cs="Times New Roman"/>
          <w:sz w:val="24"/>
          <w:szCs w:val="24"/>
        </w:rPr>
        <w:t>Son dernier objectif, et le plus important des trois, est de promouvoir et faciliter la connaissance du REI dans le monde entier.</w:t>
      </w:r>
    </w:p>
    <w:p w:rsidR="00CE3674" w:rsidRPr="00CE3674" w:rsidRDefault="00CE3674" w:rsidP="00CE3674">
      <w:pPr>
        <w:jc w:val="both"/>
        <w:rPr>
          <w:rFonts w:ascii="Times New Roman" w:hAnsi="Times New Roman" w:cs="Times New Roman"/>
          <w:sz w:val="24"/>
          <w:szCs w:val="24"/>
        </w:rPr>
      </w:pPr>
      <w:r w:rsidRPr="00EB45E7">
        <w:rPr>
          <w:rFonts w:ascii="Times New Roman" w:hAnsi="Times New Roman" w:cs="Times New Roman"/>
          <w:sz w:val="24"/>
          <w:szCs w:val="24"/>
        </w:rPr>
        <w:t xml:space="preserve">Le registre d’affaires fondées sur le REI </w:t>
      </w:r>
      <w:r>
        <w:rPr>
          <w:rFonts w:ascii="Times New Roman" w:hAnsi="Times New Roman" w:cs="Times New Roman"/>
          <w:sz w:val="24"/>
          <w:szCs w:val="24"/>
        </w:rPr>
        <w:t>prend la forme d’</w:t>
      </w:r>
      <w:r w:rsidRPr="00EB45E7">
        <w:rPr>
          <w:rFonts w:ascii="Times New Roman" w:hAnsi="Times New Roman" w:cs="Times New Roman"/>
          <w:sz w:val="24"/>
          <w:szCs w:val="24"/>
        </w:rPr>
        <w:t xml:space="preserve">une plateforme unique qui réunit les décisions de justice pertinentes fondées sur le REI </w:t>
      </w:r>
      <w:r>
        <w:rPr>
          <w:rFonts w:ascii="Times New Roman" w:hAnsi="Times New Roman" w:cs="Times New Roman"/>
          <w:sz w:val="24"/>
          <w:szCs w:val="24"/>
        </w:rPr>
        <w:t>de</w:t>
      </w:r>
      <w:r w:rsidRPr="00EB45E7">
        <w:rPr>
          <w:rFonts w:ascii="Times New Roman" w:hAnsi="Times New Roman" w:cs="Times New Roman"/>
          <w:sz w:val="24"/>
          <w:szCs w:val="24"/>
        </w:rPr>
        <w:t xml:space="preserve"> toute l’Union européenne.</w:t>
      </w:r>
      <w:r w:rsidRPr="00CE3674">
        <w:rPr>
          <w:rFonts w:ascii="Times New Roman" w:hAnsi="Times New Roman" w:cs="Times New Roman"/>
          <w:sz w:val="24"/>
          <w:szCs w:val="24"/>
        </w:rPr>
        <w:t xml:space="preserve"> </w:t>
      </w:r>
      <w:r>
        <w:rPr>
          <w:rFonts w:ascii="Times New Roman" w:hAnsi="Times New Roman" w:cs="Times New Roman"/>
          <w:sz w:val="24"/>
          <w:szCs w:val="24"/>
        </w:rPr>
        <w:t>Réunissant</w:t>
      </w:r>
      <w:r w:rsidRPr="00EB45E7">
        <w:rPr>
          <w:rFonts w:ascii="Times New Roman" w:hAnsi="Times New Roman" w:cs="Times New Roman"/>
          <w:sz w:val="24"/>
          <w:szCs w:val="24"/>
        </w:rPr>
        <w:t xml:space="preserve"> des résumés d’affaires </w:t>
      </w:r>
      <w:r>
        <w:rPr>
          <w:rFonts w:ascii="Times New Roman" w:hAnsi="Times New Roman" w:cs="Times New Roman"/>
          <w:sz w:val="24"/>
          <w:szCs w:val="24"/>
        </w:rPr>
        <w:t>remontant jusqu’à</w:t>
      </w:r>
      <w:r w:rsidRPr="00EB45E7">
        <w:rPr>
          <w:rFonts w:ascii="Times New Roman" w:hAnsi="Times New Roman" w:cs="Times New Roman"/>
          <w:sz w:val="24"/>
          <w:szCs w:val="24"/>
        </w:rPr>
        <w:t xml:space="preserve"> 2001 et plus de 600 résumés d’affaires appliquant le REI de tous les États membres, le registre est une ressource unique pour toute personne </w:t>
      </w:r>
      <w:r>
        <w:rPr>
          <w:rFonts w:ascii="Times New Roman" w:hAnsi="Times New Roman" w:cs="Times New Roman"/>
          <w:sz w:val="24"/>
          <w:szCs w:val="24"/>
        </w:rPr>
        <w:t xml:space="preserve">qui </w:t>
      </w:r>
      <w:r w:rsidRPr="00EB45E7">
        <w:rPr>
          <w:rFonts w:ascii="Times New Roman" w:hAnsi="Times New Roman" w:cs="Times New Roman"/>
          <w:sz w:val="24"/>
          <w:szCs w:val="24"/>
        </w:rPr>
        <w:t>s’intéress</w:t>
      </w:r>
      <w:r>
        <w:rPr>
          <w:rFonts w:ascii="Times New Roman" w:hAnsi="Times New Roman" w:cs="Times New Roman"/>
          <w:sz w:val="24"/>
          <w:szCs w:val="24"/>
        </w:rPr>
        <w:t>e</w:t>
      </w:r>
      <w:r w:rsidRPr="00EB45E7">
        <w:rPr>
          <w:rFonts w:ascii="Times New Roman" w:hAnsi="Times New Roman" w:cs="Times New Roman"/>
          <w:sz w:val="24"/>
          <w:szCs w:val="24"/>
        </w:rPr>
        <w:t xml:space="preserve"> du point de vue pratique ou </w:t>
      </w:r>
      <w:r>
        <w:rPr>
          <w:rFonts w:ascii="Times New Roman" w:hAnsi="Times New Roman" w:cs="Times New Roman"/>
          <w:sz w:val="24"/>
          <w:szCs w:val="24"/>
        </w:rPr>
        <w:t>théorique</w:t>
      </w:r>
      <w:r w:rsidRPr="00EB45E7">
        <w:rPr>
          <w:rFonts w:ascii="Times New Roman" w:hAnsi="Times New Roman" w:cs="Times New Roman"/>
          <w:sz w:val="24"/>
          <w:szCs w:val="24"/>
        </w:rPr>
        <w:t xml:space="preserve"> aux jugements qui tiennent compte du REI.</w:t>
      </w:r>
    </w:p>
    <w:p w:rsidR="00F52D53" w:rsidRDefault="00F52D53" w:rsidP="00CE3674">
      <w:pPr>
        <w:jc w:val="both"/>
        <w:rPr>
          <w:rFonts w:ascii="Times New Roman" w:hAnsi="Times New Roman" w:cs="Times New Roman"/>
          <w:b/>
          <w:sz w:val="24"/>
          <w:szCs w:val="24"/>
        </w:rPr>
      </w:pPr>
    </w:p>
    <w:p w:rsidR="00CE3674" w:rsidRPr="00CE3674" w:rsidRDefault="00CE3674" w:rsidP="00CE3674">
      <w:pPr>
        <w:jc w:val="both"/>
        <w:rPr>
          <w:rFonts w:ascii="Times New Roman" w:hAnsi="Times New Roman" w:cs="Times New Roman"/>
          <w:b/>
          <w:sz w:val="24"/>
          <w:szCs w:val="24"/>
        </w:rPr>
      </w:pPr>
      <w:r w:rsidRPr="00EB45E7">
        <w:rPr>
          <w:rFonts w:ascii="Times New Roman" w:hAnsi="Times New Roman" w:cs="Times New Roman"/>
          <w:b/>
          <w:sz w:val="24"/>
          <w:szCs w:val="24"/>
        </w:rPr>
        <w:lastRenderedPageBreak/>
        <w:t>Comment le registre d’affaires évolue-t-il ?</w:t>
      </w:r>
    </w:p>
    <w:p w:rsidR="00CE3674" w:rsidRPr="00CE3674" w:rsidRDefault="00CE3674" w:rsidP="00CE3674">
      <w:pPr>
        <w:jc w:val="both"/>
        <w:rPr>
          <w:rFonts w:ascii="Times New Roman" w:hAnsi="Times New Roman" w:cs="Times New Roman"/>
          <w:sz w:val="24"/>
          <w:szCs w:val="24"/>
        </w:rPr>
      </w:pPr>
      <w:r w:rsidRPr="00EB45E7">
        <w:rPr>
          <w:rFonts w:ascii="Times New Roman" w:hAnsi="Times New Roman" w:cs="Times New Roman"/>
          <w:sz w:val="24"/>
          <w:szCs w:val="24"/>
        </w:rPr>
        <w:t>Le registre d’affaires fondées sur le REI repose sur un réseau de correspondants nationaux qui travaillent en étroite collaboration avec le comité de direction du registre.</w:t>
      </w:r>
      <w:r w:rsidRPr="00CE3674">
        <w:rPr>
          <w:rFonts w:ascii="Times New Roman" w:hAnsi="Times New Roman" w:cs="Times New Roman"/>
          <w:sz w:val="24"/>
          <w:szCs w:val="24"/>
        </w:rPr>
        <w:t xml:space="preserve"> </w:t>
      </w:r>
      <w:r w:rsidRPr="00EB45E7">
        <w:rPr>
          <w:rFonts w:ascii="Times New Roman" w:hAnsi="Times New Roman" w:cs="Times New Roman"/>
          <w:sz w:val="24"/>
          <w:szCs w:val="24"/>
        </w:rPr>
        <w:t>Ces correspondants sont des praticiens et universitaires spécialistes du droit de l’insolvabilité, situés dans tous les États membres de l’Union européenne.</w:t>
      </w:r>
      <w:r w:rsidRPr="00CE3674">
        <w:rPr>
          <w:rFonts w:ascii="Times New Roman" w:hAnsi="Times New Roman" w:cs="Times New Roman"/>
          <w:sz w:val="24"/>
          <w:szCs w:val="24"/>
        </w:rPr>
        <w:t xml:space="preserve"> </w:t>
      </w:r>
      <w:r w:rsidRPr="00EB45E7">
        <w:rPr>
          <w:rFonts w:ascii="Times New Roman" w:hAnsi="Times New Roman" w:cs="Times New Roman"/>
          <w:sz w:val="24"/>
          <w:szCs w:val="24"/>
        </w:rPr>
        <w:t xml:space="preserve">Les correspondants nationaux ont pour mission </w:t>
      </w:r>
      <w:r>
        <w:rPr>
          <w:rFonts w:ascii="Times New Roman" w:hAnsi="Times New Roman" w:cs="Times New Roman"/>
          <w:sz w:val="24"/>
          <w:szCs w:val="24"/>
        </w:rPr>
        <w:t xml:space="preserve">générale d’assurer une veille juridique et de </w:t>
      </w:r>
      <w:r w:rsidRPr="00EB45E7">
        <w:rPr>
          <w:rFonts w:ascii="Times New Roman" w:hAnsi="Times New Roman" w:cs="Times New Roman"/>
          <w:sz w:val="24"/>
          <w:szCs w:val="24"/>
        </w:rPr>
        <w:t>recueillir les jugements et décisions de leur pays, de déterminer ceux qu’ils estiment pertinents et enfin de préparer des résumés (extraits) en anglais.</w:t>
      </w:r>
      <w:r w:rsidRPr="00CE3674">
        <w:rPr>
          <w:rFonts w:ascii="Times New Roman" w:hAnsi="Times New Roman" w:cs="Times New Roman"/>
          <w:sz w:val="24"/>
          <w:szCs w:val="24"/>
        </w:rPr>
        <w:t xml:space="preserve"> </w:t>
      </w:r>
      <w:r w:rsidRPr="00EB45E7">
        <w:rPr>
          <w:rFonts w:ascii="Times New Roman" w:hAnsi="Times New Roman" w:cs="Times New Roman"/>
          <w:sz w:val="24"/>
          <w:szCs w:val="24"/>
        </w:rPr>
        <w:t>Le fait qu’ils soient répartis dans toute l’Union européenne, ainsi que leur proximité avec les développements juridiques les plus récents, leur permet d’évaluer rapidement et précisément les affaires récentes.</w:t>
      </w:r>
      <w:r w:rsidRPr="00CE3674">
        <w:rPr>
          <w:rFonts w:ascii="Times New Roman" w:hAnsi="Times New Roman" w:cs="Times New Roman"/>
          <w:sz w:val="24"/>
          <w:szCs w:val="24"/>
        </w:rPr>
        <w:t xml:space="preserve"> </w:t>
      </w:r>
      <w:r w:rsidRPr="00EB45E7">
        <w:rPr>
          <w:rFonts w:ascii="Times New Roman" w:hAnsi="Times New Roman" w:cs="Times New Roman"/>
          <w:sz w:val="24"/>
          <w:szCs w:val="24"/>
        </w:rPr>
        <w:t>Celles-ci sont ensuite téléchargées dans le registre d’affaires, ce qui permet de garantir qu’il contient toujours les résumés les plus récents et pertinents.</w:t>
      </w:r>
      <w:r w:rsidRPr="00CE3674">
        <w:rPr>
          <w:rFonts w:ascii="Times New Roman" w:hAnsi="Times New Roman" w:cs="Times New Roman"/>
          <w:sz w:val="24"/>
          <w:szCs w:val="24"/>
        </w:rPr>
        <w:t xml:space="preserve"> </w:t>
      </w:r>
      <w:r w:rsidRPr="00EB45E7">
        <w:rPr>
          <w:rFonts w:ascii="Times New Roman" w:hAnsi="Times New Roman" w:cs="Times New Roman"/>
          <w:sz w:val="24"/>
          <w:szCs w:val="24"/>
        </w:rPr>
        <w:t>Le comité de direction est actuellement composé de Chris Laughton, Stefan Ramel et Reinhard Bork.</w:t>
      </w:r>
      <w:r w:rsidRPr="00CE3674">
        <w:rPr>
          <w:rFonts w:ascii="Times New Roman" w:hAnsi="Times New Roman" w:cs="Times New Roman"/>
          <w:sz w:val="24"/>
          <w:szCs w:val="24"/>
        </w:rPr>
        <w:t xml:space="preserve"> </w:t>
      </w:r>
      <w:r w:rsidRPr="00EB45E7">
        <w:rPr>
          <w:rFonts w:ascii="Times New Roman" w:hAnsi="Times New Roman" w:cs="Times New Roman"/>
          <w:sz w:val="24"/>
          <w:szCs w:val="24"/>
        </w:rPr>
        <w:t>Le comité de direction, ainsi que les autres modérateurs nationaux (Reinhard Bork, Hambourg, et Kristin van Zwieten, Oxford, qui assurent l’homogénéité linguistique et la clarté) et le modérateur des affaires de la CJUE (Stefan Ramel, Londres) sont assistés par les responsables techniques d’INSOL Europe.</w:t>
      </w:r>
    </w:p>
    <w:p w:rsidR="00CE3674" w:rsidRPr="00CE3674" w:rsidRDefault="00CE3674" w:rsidP="00CE3674">
      <w:pPr>
        <w:jc w:val="both"/>
        <w:rPr>
          <w:rFonts w:ascii="Times New Roman" w:hAnsi="Times New Roman" w:cs="Times New Roman"/>
          <w:sz w:val="24"/>
          <w:szCs w:val="24"/>
        </w:rPr>
      </w:pPr>
      <w:r w:rsidRPr="00EB45E7">
        <w:rPr>
          <w:rFonts w:ascii="Times New Roman" w:hAnsi="Times New Roman" w:cs="Times New Roman"/>
          <w:sz w:val="24"/>
          <w:szCs w:val="24"/>
        </w:rPr>
        <w:t>Le travail intensif des correspondants nationaux et du comité de direction permet au registre d’affaires de se développer continuellement, puisque de nouveaux résumés sont fournis par les correspondants nationaux et intégrés au registre en permanence, afin de garantir que les informations qu’il contient sont pertinentes et à jour.</w:t>
      </w:r>
      <w:r w:rsidRPr="00CE3674">
        <w:rPr>
          <w:rFonts w:ascii="Times New Roman" w:hAnsi="Times New Roman" w:cs="Times New Roman"/>
          <w:sz w:val="24"/>
          <w:szCs w:val="24"/>
        </w:rPr>
        <w:t xml:space="preserve"> </w:t>
      </w:r>
      <w:r>
        <w:rPr>
          <w:rFonts w:ascii="Times New Roman" w:hAnsi="Times New Roman" w:cs="Times New Roman"/>
          <w:sz w:val="24"/>
          <w:szCs w:val="24"/>
        </w:rPr>
        <w:t>Ainsi</w:t>
      </w:r>
      <w:r w:rsidRPr="00EB45E7">
        <w:rPr>
          <w:rFonts w:ascii="Times New Roman" w:hAnsi="Times New Roman" w:cs="Times New Roman"/>
          <w:sz w:val="24"/>
          <w:szCs w:val="24"/>
        </w:rPr>
        <w:t>, en 2017, le nombre de résumés figurant dans le registre dépass</w:t>
      </w:r>
      <w:r>
        <w:rPr>
          <w:rFonts w:ascii="Times New Roman" w:hAnsi="Times New Roman" w:cs="Times New Roman"/>
          <w:sz w:val="24"/>
          <w:szCs w:val="24"/>
        </w:rPr>
        <w:t>ait</w:t>
      </w:r>
      <w:r w:rsidRPr="00EB45E7">
        <w:rPr>
          <w:rFonts w:ascii="Times New Roman" w:hAnsi="Times New Roman" w:cs="Times New Roman"/>
          <w:sz w:val="24"/>
          <w:szCs w:val="24"/>
        </w:rPr>
        <w:t xml:space="preserve"> les six cents.</w:t>
      </w:r>
      <w:r w:rsidRPr="00CE3674">
        <w:rPr>
          <w:rFonts w:ascii="Times New Roman" w:hAnsi="Times New Roman" w:cs="Times New Roman"/>
          <w:sz w:val="24"/>
          <w:szCs w:val="24"/>
        </w:rPr>
        <w:t xml:space="preserve"> </w:t>
      </w:r>
      <w:r w:rsidRPr="00EB45E7">
        <w:rPr>
          <w:rFonts w:ascii="Times New Roman" w:hAnsi="Times New Roman" w:cs="Times New Roman"/>
          <w:sz w:val="24"/>
          <w:szCs w:val="24"/>
        </w:rPr>
        <w:t xml:space="preserve">En outre, </w:t>
      </w:r>
      <w:r>
        <w:rPr>
          <w:rFonts w:ascii="Times New Roman" w:hAnsi="Times New Roman" w:cs="Times New Roman"/>
          <w:sz w:val="24"/>
          <w:szCs w:val="24"/>
        </w:rPr>
        <w:t>ne serait-ce</w:t>
      </w:r>
      <w:r w:rsidRPr="00EB45E7">
        <w:rPr>
          <w:rFonts w:ascii="Times New Roman" w:hAnsi="Times New Roman" w:cs="Times New Roman"/>
          <w:sz w:val="24"/>
          <w:szCs w:val="24"/>
        </w:rPr>
        <w:t xml:space="preserve"> qu’en janvier 2018, quinze nouvelles affaires ont été ajoutées.</w:t>
      </w:r>
    </w:p>
    <w:p w:rsidR="00CE3674" w:rsidRPr="00CE3674" w:rsidRDefault="00CE3674" w:rsidP="00CE3674">
      <w:pPr>
        <w:jc w:val="both"/>
        <w:rPr>
          <w:rFonts w:ascii="Times New Roman" w:hAnsi="Times New Roman" w:cs="Times New Roman"/>
          <w:b/>
          <w:sz w:val="24"/>
          <w:szCs w:val="24"/>
        </w:rPr>
      </w:pPr>
      <w:r w:rsidRPr="00EB45E7">
        <w:rPr>
          <w:rFonts w:ascii="Times New Roman" w:hAnsi="Times New Roman" w:cs="Times New Roman"/>
          <w:b/>
          <w:sz w:val="24"/>
          <w:szCs w:val="24"/>
        </w:rPr>
        <w:t>Comment les résumés sont-ils présentés ?</w:t>
      </w:r>
    </w:p>
    <w:p w:rsidR="00CE3674" w:rsidRPr="00CE3674" w:rsidRDefault="00CE3674" w:rsidP="00CE3674">
      <w:pPr>
        <w:jc w:val="both"/>
        <w:rPr>
          <w:rFonts w:ascii="Times New Roman" w:hAnsi="Times New Roman" w:cs="Times New Roman"/>
          <w:sz w:val="24"/>
          <w:szCs w:val="24"/>
        </w:rPr>
      </w:pPr>
      <w:r w:rsidRPr="00EB45E7">
        <w:rPr>
          <w:rFonts w:ascii="Times New Roman" w:hAnsi="Times New Roman" w:cs="Times New Roman"/>
          <w:sz w:val="24"/>
          <w:szCs w:val="24"/>
        </w:rPr>
        <w:t>Comptant entre deux cents et cinq cents mots, et ne dépassant jamais deux pages, les résumés figurant dans le registre ne donnent que les points les plus remarquables et pertinents pris en compte dans les décisions judiciaires qui appliquent le REI ou en tiennent compte.</w:t>
      </w:r>
    </w:p>
    <w:p w:rsidR="00CE3674" w:rsidRPr="00CE3674" w:rsidRDefault="00CE3674" w:rsidP="00CE3674">
      <w:pPr>
        <w:jc w:val="both"/>
        <w:rPr>
          <w:rFonts w:ascii="Times New Roman" w:hAnsi="Times New Roman" w:cs="Times New Roman"/>
          <w:sz w:val="24"/>
          <w:szCs w:val="24"/>
        </w:rPr>
      </w:pPr>
      <w:r w:rsidRPr="00EB45E7">
        <w:rPr>
          <w:rFonts w:ascii="Times New Roman" w:hAnsi="Times New Roman" w:cs="Times New Roman"/>
          <w:sz w:val="24"/>
          <w:szCs w:val="24"/>
        </w:rPr>
        <w:t xml:space="preserve">Les correspondants nationaux reçoivent </w:t>
      </w:r>
      <w:r>
        <w:rPr>
          <w:rFonts w:ascii="Times New Roman" w:hAnsi="Times New Roman" w:cs="Times New Roman"/>
          <w:sz w:val="24"/>
          <w:szCs w:val="24"/>
        </w:rPr>
        <w:t xml:space="preserve">tous </w:t>
      </w:r>
      <w:r w:rsidRPr="00EB45E7">
        <w:rPr>
          <w:rFonts w:ascii="Times New Roman" w:hAnsi="Times New Roman" w:cs="Times New Roman"/>
          <w:sz w:val="24"/>
          <w:szCs w:val="24"/>
        </w:rPr>
        <w:t>un modèle de présentation à partir duquel ils travaillent. Ce modèle prévoit un ensemble de données objectives détaillées, ainsi que des règles spécifiques, ce qui permet de garantir l’accessibilité et la compréhensibilité des résumés.</w:t>
      </w:r>
      <w:r w:rsidRPr="00CE3674">
        <w:rPr>
          <w:rFonts w:ascii="Times New Roman" w:hAnsi="Times New Roman" w:cs="Times New Roman"/>
          <w:sz w:val="24"/>
          <w:szCs w:val="24"/>
        </w:rPr>
        <w:t xml:space="preserve"> </w:t>
      </w:r>
      <w:r w:rsidRPr="00EB45E7">
        <w:rPr>
          <w:rFonts w:ascii="Times New Roman" w:hAnsi="Times New Roman" w:cs="Times New Roman"/>
          <w:sz w:val="24"/>
          <w:szCs w:val="24"/>
        </w:rPr>
        <w:t>Ainsi, chaque résumé présente un format identique, quelle que soit son origine.</w:t>
      </w:r>
      <w:r w:rsidRPr="00CE3674">
        <w:rPr>
          <w:rFonts w:ascii="Times New Roman" w:hAnsi="Times New Roman" w:cs="Times New Roman"/>
          <w:sz w:val="24"/>
          <w:szCs w:val="24"/>
        </w:rPr>
        <w:t xml:space="preserve"> </w:t>
      </w:r>
      <w:r w:rsidRPr="00EB45E7">
        <w:rPr>
          <w:rFonts w:ascii="Times New Roman" w:hAnsi="Times New Roman" w:cs="Times New Roman"/>
          <w:sz w:val="24"/>
          <w:szCs w:val="24"/>
        </w:rPr>
        <w:t xml:space="preserve">Par ailleurs, les correspondants nationaux </w:t>
      </w:r>
      <w:r>
        <w:rPr>
          <w:rFonts w:ascii="Times New Roman" w:hAnsi="Times New Roman" w:cs="Times New Roman"/>
          <w:sz w:val="24"/>
          <w:szCs w:val="24"/>
        </w:rPr>
        <w:t>utilisent</w:t>
      </w:r>
      <w:r w:rsidRPr="00EB45E7">
        <w:rPr>
          <w:rFonts w:ascii="Times New Roman" w:hAnsi="Times New Roman" w:cs="Times New Roman"/>
          <w:sz w:val="24"/>
          <w:szCs w:val="24"/>
        </w:rPr>
        <w:t xml:space="preserve"> une liste de thèmes qui </w:t>
      </w:r>
      <w:r>
        <w:rPr>
          <w:rFonts w:ascii="Times New Roman" w:hAnsi="Times New Roman" w:cs="Times New Roman"/>
          <w:sz w:val="24"/>
          <w:szCs w:val="24"/>
        </w:rPr>
        <w:t>servent à</w:t>
      </w:r>
      <w:r w:rsidRPr="00EB45E7">
        <w:rPr>
          <w:rFonts w:ascii="Times New Roman" w:hAnsi="Times New Roman" w:cs="Times New Roman"/>
          <w:sz w:val="24"/>
          <w:szCs w:val="24"/>
        </w:rPr>
        <w:t xml:space="preserve"> fournir des mots clés et reflètent </w:t>
      </w:r>
      <w:r>
        <w:rPr>
          <w:rFonts w:ascii="Times New Roman" w:hAnsi="Times New Roman" w:cs="Times New Roman"/>
          <w:sz w:val="24"/>
          <w:szCs w:val="24"/>
        </w:rPr>
        <w:t>l</w:t>
      </w:r>
      <w:r w:rsidRPr="00EB45E7">
        <w:rPr>
          <w:rFonts w:ascii="Times New Roman" w:hAnsi="Times New Roman" w:cs="Times New Roman"/>
          <w:sz w:val="24"/>
          <w:szCs w:val="24"/>
        </w:rPr>
        <w:t xml:space="preserve">es détails techniques et juridiques nécessaires pour permettre </w:t>
      </w:r>
      <w:r>
        <w:rPr>
          <w:rFonts w:ascii="Times New Roman" w:hAnsi="Times New Roman" w:cs="Times New Roman"/>
          <w:sz w:val="24"/>
          <w:szCs w:val="24"/>
        </w:rPr>
        <w:t xml:space="preserve">le </w:t>
      </w:r>
      <w:r w:rsidRPr="00EB45E7">
        <w:rPr>
          <w:rFonts w:ascii="Times New Roman" w:hAnsi="Times New Roman" w:cs="Times New Roman"/>
          <w:sz w:val="24"/>
          <w:szCs w:val="24"/>
        </w:rPr>
        <w:t xml:space="preserve">fonctionnement optimal du </w:t>
      </w:r>
      <w:r>
        <w:rPr>
          <w:rFonts w:ascii="Times New Roman" w:hAnsi="Times New Roman" w:cs="Times New Roman"/>
          <w:sz w:val="24"/>
          <w:szCs w:val="24"/>
        </w:rPr>
        <w:t>r</w:t>
      </w:r>
      <w:r w:rsidRPr="00EB45E7">
        <w:rPr>
          <w:rFonts w:ascii="Times New Roman" w:hAnsi="Times New Roman" w:cs="Times New Roman"/>
          <w:sz w:val="24"/>
          <w:szCs w:val="24"/>
        </w:rPr>
        <w:t>egistre.</w:t>
      </w:r>
    </w:p>
    <w:p w:rsidR="00CE3674" w:rsidRPr="00CE3674" w:rsidRDefault="00CE3674" w:rsidP="00CE3674">
      <w:pPr>
        <w:jc w:val="both"/>
        <w:rPr>
          <w:rFonts w:ascii="Times New Roman" w:hAnsi="Times New Roman" w:cs="Times New Roman"/>
          <w:sz w:val="24"/>
          <w:szCs w:val="24"/>
        </w:rPr>
      </w:pPr>
      <w:r w:rsidRPr="00FF3CEA">
        <w:rPr>
          <w:rFonts w:ascii="Times New Roman" w:hAnsi="Times New Roman" w:cs="Times New Roman"/>
          <w:sz w:val="24"/>
          <w:szCs w:val="24"/>
        </w:rPr>
        <w:t>Pour aller plus loin et permettre des recherches plus approfondies et plus détaillées, les résumés figurant dans le registre contiennent des informations telles que la source publique d’origine du jugement intégral dans l’État membre concerné, la jurisprudence pertinente de la CJUE et, dans de nombreux cas, un commentaire sur l’affaire.</w:t>
      </w:r>
    </w:p>
    <w:p w:rsidR="00CE3674" w:rsidRPr="00CE3674" w:rsidRDefault="00CE3674" w:rsidP="00CE3674">
      <w:pPr>
        <w:jc w:val="both"/>
        <w:rPr>
          <w:rFonts w:ascii="Times New Roman" w:hAnsi="Times New Roman" w:cs="Times New Roman"/>
          <w:b/>
          <w:sz w:val="24"/>
          <w:szCs w:val="24"/>
        </w:rPr>
      </w:pPr>
      <w:r w:rsidRPr="00FF3CEA">
        <w:rPr>
          <w:rFonts w:ascii="Times New Roman" w:hAnsi="Times New Roman" w:cs="Times New Roman"/>
          <w:b/>
          <w:sz w:val="24"/>
          <w:szCs w:val="24"/>
        </w:rPr>
        <w:lastRenderedPageBreak/>
        <w:t>À quoi sert le registre ?</w:t>
      </w:r>
    </w:p>
    <w:p w:rsidR="00CE3674" w:rsidRPr="00CE3674" w:rsidRDefault="00CE3674" w:rsidP="00CE3674">
      <w:pPr>
        <w:jc w:val="both"/>
        <w:rPr>
          <w:rFonts w:ascii="Times New Roman" w:hAnsi="Times New Roman" w:cs="Times New Roman"/>
          <w:sz w:val="24"/>
          <w:szCs w:val="24"/>
        </w:rPr>
      </w:pPr>
      <w:r w:rsidRPr="00FF3CEA">
        <w:rPr>
          <w:rFonts w:ascii="Times New Roman" w:hAnsi="Times New Roman" w:cs="Times New Roman"/>
          <w:sz w:val="24"/>
          <w:szCs w:val="24"/>
        </w:rPr>
        <w:t>Le champ d’application large et sans égal du registre en fait un outil particulièrement utile qui permet aux praticiens tout comme aux universitaires d’avoir accès à la jurisprudence concernant le REI dans l’Union européenne.</w:t>
      </w:r>
    </w:p>
    <w:p w:rsidR="00CE3674" w:rsidRPr="00CE3674" w:rsidRDefault="00CE3674" w:rsidP="00CE3674">
      <w:pPr>
        <w:jc w:val="both"/>
        <w:rPr>
          <w:rFonts w:ascii="Times New Roman" w:hAnsi="Times New Roman" w:cs="Times New Roman"/>
          <w:sz w:val="24"/>
          <w:szCs w:val="24"/>
        </w:rPr>
      </w:pPr>
      <w:r w:rsidRPr="00FF3CEA">
        <w:rPr>
          <w:rFonts w:ascii="Times New Roman" w:hAnsi="Times New Roman" w:cs="Times New Roman"/>
          <w:sz w:val="24"/>
          <w:szCs w:val="24"/>
        </w:rPr>
        <w:t>La jurisprudence de la CJUE est contraignante pour les États membres de l’UE.</w:t>
      </w:r>
      <w:r w:rsidRPr="00CE3674">
        <w:rPr>
          <w:rFonts w:ascii="Times New Roman" w:hAnsi="Times New Roman" w:cs="Times New Roman"/>
          <w:sz w:val="24"/>
          <w:szCs w:val="24"/>
        </w:rPr>
        <w:t xml:space="preserve"> </w:t>
      </w:r>
      <w:r w:rsidRPr="00FF3CEA">
        <w:rPr>
          <w:rFonts w:ascii="Times New Roman" w:hAnsi="Times New Roman" w:cs="Times New Roman"/>
          <w:sz w:val="24"/>
          <w:szCs w:val="24"/>
        </w:rPr>
        <w:t>Pourtant peu de précédents ou de conseils sont disponibles.</w:t>
      </w:r>
      <w:r w:rsidRPr="00CE3674">
        <w:rPr>
          <w:rFonts w:ascii="Times New Roman" w:hAnsi="Times New Roman" w:cs="Times New Roman"/>
          <w:sz w:val="24"/>
          <w:szCs w:val="24"/>
        </w:rPr>
        <w:t xml:space="preserve"> </w:t>
      </w:r>
      <w:r w:rsidRPr="00F47BB0">
        <w:rPr>
          <w:rFonts w:ascii="Times New Roman" w:hAnsi="Times New Roman" w:cs="Times New Roman"/>
          <w:sz w:val="24"/>
          <w:szCs w:val="24"/>
        </w:rPr>
        <w:t>Par conséquent, le traitement du REI par les tribunaux nationaux d’autres États membres prend toute son importance en tant que ligne directrice dans les affaires pour lesquelles l’État membre concerné ne dispose que de peu, voire d’aucune jurisprudence traitant une question particulière.</w:t>
      </w:r>
      <w:r w:rsidRPr="00CE3674">
        <w:rPr>
          <w:rFonts w:ascii="Times New Roman" w:hAnsi="Times New Roman" w:cs="Times New Roman"/>
          <w:sz w:val="24"/>
          <w:szCs w:val="24"/>
        </w:rPr>
        <w:t xml:space="preserve"> </w:t>
      </w:r>
      <w:r w:rsidRPr="00F47BB0">
        <w:rPr>
          <w:rFonts w:ascii="Times New Roman" w:hAnsi="Times New Roman" w:cs="Times New Roman"/>
          <w:sz w:val="24"/>
          <w:szCs w:val="24"/>
        </w:rPr>
        <w:t xml:space="preserve">Bien que les </w:t>
      </w:r>
      <w:r>
        <w:rPr>
          <w:rFonts w:ascii="Times New Roman" w:hAnsi="Times New Roman" w:cs="Times New Roman"/>
          <w:sz w:val="24"/>
          <w:szCs w:val="24"/>
        </w:rPr>
        <w:t>décisions</w:t>
      </w:r>
      <w:r w:rsidRPr="00F47BB0">
        <w:rPr>
          <w:rFonts w:ascii="Times New Roman" w:hAnsi="Times New Roman" w:cs="Times New Roman"/>
          <w:sz w:val="24"/>
          <w:szCs w:val="24"/>
        </w:rPr>
        <w:t xml:space="preserve"> des tribunaux de première instance ou cours d’appel d’autres États membres ne sont pas contraignantes, elles peuvent être d’une grande utilité lorsque l’on étudie comment le REI peut être appliqué dans d’autres États membres.</w:t>
      </w:r>
      <w:r w:rsidRPr="00CE3674">
        <w:rPr>
          <w:rFonts w:ascii="Times New Roman" w:hAnsi="Times New Roman" w:cs="Times New Roman"/>
          <w:sz w:val="24"/>
          <w:szCs w:val="24"/>
        </w:rPr>
        <w:t xml:space="preserve"> </w:t>
      </w:r>
      <w:r w:rsidRPr="00F47BB0">
        <w:rPr>
          <w:rFonts w:ascii="Times New Roman" w:hAnsi="Times New Roman" w:cs="Times New Roman"/>
          <w:sz w:val="24"/>
          <w:szCs w:val="24"/>
        </w:rPr>
        <w:t>Toutefois, un grand nombre de ces décisions sont prononcées par des tribunaux de première instance ou cours d’appel des différents États membres</w:t>
      </w:r>
      <w:r>
        <w:rPr>
          <w:rFonts w:ascii="Times New Roman" w:hAnsi="Times New Roman" w:cs="Times New Roman"/>
          <w:sz w:val="24"/>
          <w:szCs w:val="24"/>
        </w:rPr>
        <w:t>,</w:t>
      </w:r>
      <w:r w:rsidRPr="00CE3674">
        <w:rPr>
          <w:rFonts w:ascii="Times New Roman" w:hAnsi="Times New Roman" w:cs="Times New Roman"/>
          <w:sz w:val="24"/>
          <w:szCs w:val="24"/>
        </w:rPr>
        <w:t xml:space="preserve"> </w:t>
      </w:r>
      <w:r>
        <w:rPr>
          <w:rFonts w:ascii="Times New Roman" w:hAnsi="Times New Roman" w:cs="Times New Roman"/>
          <w:sz w:val="24"/>
          <w:szCs w:val="24"/>
        </w:rPr>
        <w:t>ce qui</w:t>
      </w:r>
      <w:r w:rsidRPr="00F47BB0">
        <w:rPr>
          <w:rFonts w:ascii="Times New Roman" w:hAnsi="Times New Roman" w:cs="Times New Roman"/>
          <w:sz w:val="24"/>
          <w:szCs w:val="24"/>
        </w:rPr>
        <w:t xml:space="preserve"> signifie qu’elles ne sont généralement publiées que dans la langue officielle de l’État membre en question et, par conséquent, qu’elles sont souvent inaccessibles ou accessibles uniquement par le biais de divers sites payants, et présentent le risque d’être mal traduites.</w:t>
      </w:r>
    </w:p>
    <w:p w:rsidR="00CE3674" w:rsidRPr="00CE3674" w:rsidRDefault="00CE3674" w:rsidP="00CE3674">
      <w:pPr>
        <w:jc w:val="both"/>
        <w:rPr>
          <w:rFonts w:ascii="Times New Roman" w:hAnsi="Times New Roman" w:cs="Times New Roman"/>
          <w:sz w:val="24"/>
          <w:szCs w:val="24"/>
        </w:rPr>
      </w:pPr>
      <w:r w:rsidRPr="00F47BB0">
        <w:rPr>
          <w:rFonts w:ascii="Times New Roman" w:hAnsi="Times New Roman" w:cs="Times New Roman"/>
          <w:sz w:val="24"/>
          <w:szCs w:val="24"/>
        </w:rPr>
        <w:t>Les résumés d’affaires figurant dans le registre, puisqu’ils sont établis par des praticiens et universitaires natifs de chaque État membre de l’Union européenne, remédient à ce problème.</w:t>
      </w:r>
      <w:r w:rsidRPr="00CE3674">
        <w:rPr>
          <w:rFonts w:ascii="Times New Roman" w:hAnsi="Times New Roman" w:cs="Times New Roman"/>
          <w:sz w:val="24"/>
          <w:szCs w:val="24"/>
        </w:rPr>
        <w:t xml:space="preserve"> </w:t>
      </w:r>
      <w:r w:rsidRPr="00F47BB0">
        <w:rPr>
          <w:rFonts w:ascii="Times New Roman" w:hAnsi="Times New Roman" w:cs="Times New Roman"/>
          <w:sz w:val="24"/>
          <w:szCs w:val="24"/>
        </w:rPr>
        <w:t>Les résumés d’affaires sont tous rédigés et publiés en anglais pour garantir l’accessibilité et la cohérence du registre, mais ils proviennent du pays où le jugement a été prononcé à l’origine.</w:t>
      </w:r>
      <w:r w:rsidRPr="00CE3674">
        <w:rPr>
          <w:rFonts w:ascii="Times New Roman" w:hAnsi="Times New Roman" w:cs="Times New Roman"/>
          <w:sz w:val="24"/>
          <w:szCs w:val="24"/>
        </w:rPr>
        <w:t xml:space="preserve"> </w:t>
      </w:r>
      <w:r w:rsidRPr="00F47BB0">
        <w:rPr>
          <w:rFonts w:ascii="Times New Roman" w:hAnsi="Times New Roman" w:cs="Times New Roman"/>
          <w:sz w:val="24"/>
          <w:szCs w:val="24"/>
        </w:rPr>
        <w:t>Sans pour autant être contraignants, ils permettent aux praticiens et universitaires de tenir compte de diverses interprétations d’articles potentiellement problématiques du REI auxquelles ils n’auraient autrement pas accès et qui pourraient s’avérer convaincantes dans leur pays.</w:t>
      </w:r>
    </w:p>
    <w:p w:rsidR="00CE3674" w:rsidRPr="00CE3674" w:rsidRDefault="00CE3674" w:rsidP="00CE3674">
      <w:pPr>
        <w:jc w:val="both"/>
        <w:rPr>
          <w:rFonts w:ascii="Times New Roman" w:hAnsi="Times New Roman" w:cs="Times New Roman"/>
          <w:sz w:val="24"/>
          <w:szCs w:val="24"/>
        </w:rPr>
      </w:pPr>
      <w:r w:rsidRPr="00F47BB0">
        <w:rPr>
          <w:rFonts w:ascii="Times New Roman" w:hAnsi="Times New Roman" w:cs="Times New Roman"/>
          <w:b/>
          <w:sz w:val="24"/>
          <w:szCs w:val="24"/>
        </w:rPr>
        <w:t>Intégration de la refonte du REI au registre</w:t>
      </w:r>
      <w:r w:rsidRPr="00CE3674">
        <w:rPr>
          <w:rFonts w:ascii="Times New Roman" w:hAnsi="Times New Roman" w:cs="Times New Roman"/>
          <w:sz w:val="24"/>
          <w:szCs w:val="24"/>
        </w:rPr>
        <w:t xml:space="preserve"> </w:t>
      </w:r>
    </w:p>
    <w:p w:rsidR="00CE3674" w:rsidRPr="00CE3674" w:rsidRDefault="00CE3674" w:rsidP="00CE3674">
      <w:pPr>
        <w:jc w:val="both"/>
        <w:rPr>
          <w:rFonts w:ascii="Times New Roman" w:hAnsi="Times New Roman" w:cs="Times New Roman"/>
          <w:sz w:val="24"/>
          <w:szCs w:val="24"/>
        </w:rPr>
      </w:pPr>
      <w:r w:rsidRPr="00F47BB0">
        <w:rPr>
          <w:rFonts w:ascii="Times New Roman" w:hAnsi="Times New Roman" w:cs="Times New Roman"/>
          <w:sz w:val="24"/>
          <w:szCs w:val="24"/>
        </w:rPr>
        <w:t>À la suite de l’entrée en vigueur de la refonte du REI 2015/848, la présentation standard susmentionnée a été révisée pour que les affaires appliquant la refonte du REI soient facilement identifiables, ainsi que pour permettre leur intégration immédiate dans le registre.</w:t>
      </w:r>
    </w:p>
    <w:p w:rsidR="00CE3674" w:rsidRPr="00CE3674" w:rsidRDefault="00CE3674" w:rsidP="00CE3674">
      <w:pPr>
        <w:jc w:val="both"/>
        <w:rPr>
          <w:rFonts w:ascii="Times New Roman" w:hAnsi="Times New Roman" w:cs="Times New Roman"/>
          <w:sz w:val="24"/>
          <w:szCs w:val="24"/>
        </w:rPr>
      </w:pPr>
      <w:r w:rsidRPr="00F47BB0">
        <w:rPr>
          <w:rFonts w:ascii="Times New Roman" w:hAnsi="Times New Roman" w:cs="Times New Roman"/>
          <w:sz w:val="24"/>
          <w:szCs w:val="24"/>
        </w:rPr>
        <w:t>Depuis le 26 juin 2017, les résumés d’affaires appliquant la refonte du REI sont intégrés au registre.</w:t>
      </w:r>
      <w:r w:rsidRPr="00CE3674">
        <w:rPr>
          <w:rFonts w:ascii="Times New Roman" w:hAnsi="Times New Roman" w:cs="Times New Roman"/>
          <w:sz w:val="24"/>
          <w:szCs w:val="24"/>
        </w:rPr>
        <w:t xml:space="preserve"> </w:t>
      </w:r>
      <w:r w:rsidRPr="00F47BB0">
        <w:rPr>
          <w:rFonts w:ascii="Times New Roman" w:hAnsi="Times New Roman" w:cs="Times New Roman"/>
          <w:sz w:val="24"/>
          <w:szCs w:val="24"/>
        </w:rPr>
        <w:t xml:space="preserve">Début février 2018, six résumés d’affaires appliquant la refonte du REI </w:t>
      </w:r>
      <w:r>
        <w:rPr>
          <w:rFonts w:ascii="Times New Roman" w:hAnsi="Times New Roman" w:cs="Times New Roman"/>
          <w:sz w:val="24"/>
          <w:szCs w:val="24"/>
        </w:rPr>
        <w:t>avaient</w:t>
      </w:r>
      <w:r w:rsidRPr="00F47BB0">
        <w:rPr>
          <w:rFonts w:ascii="Times New Roman" w:hAnsi="Times New Roman" w:cs="Times New Roman"/>
          <w:sz w:val="24"/>
          <w:szCs w:val="24"/>
        </w:rPr>
        <w:t xml:space="preserve"> été préparés et téléchargés dans le registre ; d’autres sont en cours de préparation.</w:t>
      </w:r>
    </w:p>
    <w:p w:rsidR="00CE3674" w:rsidRPr="00CE3674" w:rsidRDefault="00CE3674" w:rsidP="00CE3674">
      <w:pPr>
        <w:jc w:val="both"/>
        <w:rPr>
          <w:rFonts w:ascii="Times New Roman" w:hAnsi="Times New Roman" w:cs="Times New Roman"/>
          <w:sz w:val="24"/>
          <w:szCs w:val="24"/>
        </w:rPr>
      </w:pPr>
      <w:r w:rsidRPr="00F47BB0">
        <w:rPr>
          <w:rFonts w:ascii="Times New Roman" w:hAnsi="Times New Roman" w:cs="Times New Roman"/>
          <w:sz w:val="24"/>
          <w:szCs w:val="24"/>
        </w:rPr>
        <w:t>Cette nouvelle évolution fait que le registre d’affaires reste en première ligne du développement judiciaire et permet à ceux qui l’utilisent de ne pas courir le risque de se fonder sur des informations obsolètes.</w:t>
      </w:r>
    </w:p>
    <w:p w:rsidR="00F52D53" w:rsidRDefault="00F52D53" w:rsidP="00CE3674">
      <w:pPr>
        <w:jc w:val="both"/>
        <w:rPr>
          <w:rFonts w:ascii="Times New Roman" w:hAnsi="Times New Roman" w:cs="Times New Roman"/>
          <w:b/>
          <w:sz w:val="24"/>
          <w:szCs w:val="24"/>
        </w:rPr>
      </w:pPr>
    </w:p>
    <w:p w:rsidR="00F52D53" w:rsidRDefault="00F52D53" w:rsidP="00CE3674">
      <w:pPr>
        <w:jc w:val="both"/>
        <w:rPr>
          <w:rFonts w:ascii="Times New Roman" w:hAnsi="Times New Roman" w:cs="Times New Roman"/>
          <w:b/>
          <w:sz w:val="24"/>
          <w:szCs w:val="24"/>
        </w:rPr>
      </w:pPr>
    </w:p>
    <w:p w:rsidR="00CE3674" w:rsidRPr="00CE3674" w:rsidRDefault="00CE3674" w:rsidP="00CE3674">
      <w:pPr>
        <w:jc w:val="both"/>
        <w:rPr>
          <w:rFonts w:ascii="Times New Roman" w:hAnsi="Times New Roman" w:cs="Times New Roman"/>
          <w:b/>
          <w:sz w:val="24"/>
          <w:szCs w:val="24"/>
        </w:rPr>
      </w:pPr>
      <w:r w:rsidRPr="00F47BB0">
        <w:rPr>
          <w:rFonts w:ascii="Times New Roman" w:hAnsi="Times New Roman" w:cs="Times New Roman"/>
          <w:b/>
          <w:sz w:val="24"/>
          <w:szCs w:val="24"/>
        </w:rPr>
        <w:lastRenderedPageBreak/>
        <w:t>Illustration concrète de l’utilisation du registre</w:t>
      </w:r>
    </w:p>
    <w:p w:rsidR="00CE3674" w:rsidRPr="00CE3674" w:rsidRDefault="00CE3674" w:rsidP="00CE3674">
      <w:pPr>
        <w:jc w:val="both"/>
        <w:rPr>
          <w:rFonts w:ascii="Times New Roman" w:hAnsi="Times New Roman" w:cs="Times New Roman"/>
          <w:sz w:val="24"/>
          <w:szCs w:val="24"/>
        </w:rPr>
      </w:pPr>
      <w:r w:rsidRPr="00F47BB0">
        <w:rPr>
          <w:rFonts w:ascii="Times New Roman" w:hAnsi="Times New Roman" w:cs="Times New Roman"/>
          <w:sz w:val="24"/>
          <w:szCs w:val="24"/>
        </w:rPr>
        <w:t>Une fois qu’un résumé a été rédigé et soumis par un correspondant national, révisé par le comité de direction et ajouté au registre, il est disponible pour les personnes qui disposent d’un accès au registre.</w:t>
      </w:r>
    </w:p>
    <w:p w:rsidR="002C5EDC" w:rsidRPr="00CE3674" w:rsidRDefault="00CE3674" w:rsidP="00CE3674">
      <w:pPr>
        <w:jc w:val="both"/>
        <w:rPr>
          <w:rFonts w:ascii="Times New Roman" w:hAnsi="Times New Roman" w:cs="Times New Roman"/>
          <w:sz w:val="24"/>
          <w:szCs w:val="24"/>
        </w:rPr>
      </w:pPr>
      <w:r w:rsidRPr="00F47BB0">
        <w:rPr>
          <w:rFonts w:ascii="Times New Roman" w:hAnsi="Times New Roman" w:cs="Times New Roman"/>
          <w:sz w:val="24"/>
          <w:szCs w:val="24"/>
        </w:rPr>
        <w:t>Ensuite, il est facile d’avoir accès aux résumés.</w:t>
      </w:r>
      <w:r w:rsidRPr="00CE3674">
        <w:rPr>
          <w:rFonts w:ascii="Times New Roman" w:hAnsi="Times New Roman" w:cs="Times New Roman"/>
          <w:sz w:val="24"/>
          <w:szCs w:val="24"/>
        </w:rPr>
        <w:t xml:space="preserve"> </w:t>
      </w:r>
      <w:r w:rsidRPr="00F47BB0">
        <w:rPr>
          <w:rFonts w:ascii="Times New Roman" w:hAnsi="Times New Roman" w:cs="Times New Roman"/>
          <w:sz w:val="24"/>
          <w:szCs w:val="24"/>
        </w:rPr>
        <w:t>Il est possible de faire une recherche par mots clés et d’utiliser des critères pertinents tels que le nom de l’affaire, ses références, la date du jugement, le tribunal (le nom doit être exact), l’article pertinent du REI de 2000 ou de la refonte du REI.</w:t>
      </w:r>
      <w:r w:rsidRPr="00CE3674">
        <w:rPr>
          <w:rFonts w:ascii="Times New Roman" w:hAnsi="Times New Roman" w:cs="Times New Roman"/>
          <w:sz w:val="24"/>
          <w:szCs w:val="24"/>
        </w:rPr>
        <w:t xml:space="preserve"> </w:t>
      </w:r>
      <w:r w:rsidRPr="00F47BB0">
        <w:rPr>
          <w:rFonts w:ascii="Times New Roman" w:hAnsi="Times New Roman" w:cs="Times New Roman"/>
          <w:sz w:val="24"/>
          <w:szCs w:val="24"/>
        </w:rPr>
        <w:t>Sinon, une recherche par catégories est possible : elle permet de naviguer dans les résumés présentés par pays ou dans tous les résumés pour un pays donné.</w:t>
      </w:r>
    </w:p>
    <w:p w:rsidR="00CE3674" w:rsidRPr="00CE3674" w:rsidRDefault="00CE3674" w:rsidP="00CE367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F47BB0">
        <w:rPr>
          <w:rFonts w:ascii="Times New Roman" w:hAnsi="Times New Roman" w:cs="Times New Roman"/>
          <w:b/>
          <w:sz w:val="24"/>
          <w:szCs w:val="24"/>
        </w:rPr>
        <w:t>Comment accéder au registre d’affaires ?</w:t>
      </w:r>
    </w:p>
    <w:p w:rsidR="00CE3674" w:rsidRPr="00CE3674" w:rsidRDefault="00CE3674" w:rsidP="00CE3674">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F47BB0">
        <w:rPr>
          <w:rFonts w:ascii="Times New Roman" w:hAnsi="Times New Roman" w:cs="Times New Roman"/>
          <w:sz w:val="24"/>
          <w:szCs w:val="24"/>
        </w:rPr>
        <w:t>Bien que la gestion et la modération du registre relèvent de la responsabilité d’INSOL Europe, depuis 2014, le registre des affaires est hébergé par LexisNexis. Par conséquent, il est disponible à l’adresse http://tinyurl.com/y7tf2zc4.</w:t>
      </w:r>
      <w:r w:rsidRPr="00CE3674">
        <w:rPr>
          <w:rFonts w:ascii="Times New Roman" w:hAnsi="Times New Roman" w:cs="Times New Roman"/>
          <w:sz w:val="24"/>
          <w:szCs w:val="24"/>
        </w:rPr>
        <w:t xml:space="preserve"> </w:t>
      </w:r>
    </w:p>
    <w:p w:rsidR="00CE3674" w:rsidRPr="00CE3674" w:rsidRDefault="00CE3674" w:rsidP="00CE3674">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F47BB0">
        <w:rPr>
          <w:rFonts w:ascii="Times New Roman" w:hAnsi="Times New Roman" w:cs="Times New Roman"/>
          <w:sz w:val="24"/>
          <w:szCs w:val="24"/>
        </w:rPr>
        <w:t>Les membres d’INSOL Europe devraient avoir reçu un message électronique contenant leur identifiant de connexion (nom d’utilisateur) et leur mot de passe.</w:t>
      </w:r>
      <w:r w:rsidRPr="00CE3674">
        <w:rPr>
          <w:rFonts w:ascii="Times New Roman" w:hAnsi="Times New Roman" w:cs="Times New Roman"/>
          <w:sz w:val="24"/>
          <w:szCs w:val="24"/>
        </w:rPr>
        <w:t xml:space="preserve"> </w:t>
      </w:r>
      <w:r w:rsidRPr="00F47BB0">
        <w:rPr>
          <w:rFonts w:ascii="Times New Roman" w:hAnsi="Times New Roman" w:cs="Times New Roman"/>
          <w:sz w:val="24"/>
          <w:szCs w:val="24"/>
        </w:rPr>
        <w:t xml:space="preserve">En cas d’oubli ou de perte </w:t>
      </w:r>
      <w:r>
        <w:rPr>
          <w:rFonts w:ascii="Times New Roman" w:hAnsi="Times New Roman" w:cs="Times New Roman"/>
          <w:sz w:val="24"/>
          <w:szCs w:val="24"/>
        </w:rPr>
        <w:t>de ce</w:t>
      </w:r>
      <w:r w:rsidRPr="00F47BB0">
        <w:rPr>
          <w:rFonts w:ascii="Times New Roman" w:hAnsi="Times New Roman" w:cs="Times New Roman"/>
          <w:sz w:val="24"/>
          <w:szCs w:val="24"/>
        </w:rPr>
        <w:t xml:space="preserve"> message, LexisNexis a mis en place une boîte aux lettre</w:t>
      </w:r>
      <w:r w:rsidR="00224EEF">
        <w:rPr>
          <w:rFonts w:ascii="Times New Roman" w:hAnsi="Times New Roman" w:cs="Times New Roman"/>
          <w:sz w:val="24"/>
          <w:szCs w:val="24"/>
        </w:rPr>
        <w:t>s</w:t>
      </w:r>
      <w:r w:rsidRPr="00F47BB0">
        <w:rPr>
          <w:rFonts w:ascii="Times New Roman" w:hAnsi="Times New Roman" w:cs="Times New Roman"/>
          <w:sz w:val="24"/>
          <w:szCs w:val="24"/>
        </w:rPr>
        <w:t xml:space="preserve"> réservée aux utilisateurs d’INSOL (INSOL-Users@lexisnexis.co.uk) qui peut être contactée pour obtenir un rappel.</w:t>
      </w:r>
    </w:p>
    <w:p w:rsidR="00CE3674" w:rsidRPr="00CE3674" w:rsidRDefault="00CE3674" w:rsidP="00CE3674">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F47BB0">
        <w:rPr>
          <w:rFonts w:ascii="Times New Roman" w:hAnsi="Times New Roman" w:cs="Times New Roman"/>
          <w:sz w:val="24"/>
          <w:szCs w:val="24"/>
        </w:rPr>
        <w:t>Les personnes qui ne sont pas membres d’INSOL Europe peuvent contacter les responsables techniques d’INSOL Europe (technical@insol-europe.org), qui prendront les dispositions nécessaires pour organiser l’accès à LexisLibrary et pour que l’équipe de Lexis leur envoie de</w:t>
      </w:r>
      <w:r>
        <w:rPr>
          <w:rFonts w:ascii="Times New Roman" w:hAnsi="Times New Roman" w:cs="Times New Roman"/>
          <w:sz w:val="24"/>
          <w:szCs w:val="24"/>
        </w:rPr>
        <w:t xml:space="preserve"> nouveaux</w:t>
      </w:r>
      <w:r w:rsidRPr="00F47BB0">
        <w:rPr>
          <w:rFonts w:ascii="Times New Roman" w:hAnsi="Times New Roman" w:cs="Times New Roman"/>
          <w:sz w:val="24"/>
          <w:szCs w:val="24"/>
        </w:rPr>
        <w:t xml:space="preserve"> identifiants.</w:t>
      </w:r>
    </w:p>
    <w:p w:rsidR="00CE3674" w:rsidRPr="00CE3674" w:rsidRDefault="00CE3674" w:rsidP="00224EEF">
      <w:pPr>
        <w:ind w:left="4248"/>
        <w:jc w:val="both"/>
        <w:rPr>
          <w:rFonts w:ascii="Arial Narrow" w:hAnsi="Arial Narrow" w:cs="Times New Roman"/>
          <w:i/>
          <w:sz w:val="20"/>
          <w:szCs w:val="24"/>
        </w:rPr>
      </w:pPr>
      <w:r w:rsidRPr="00F47BB0">
        <w:rPr>
          <w:rFonts w:ascii="Arial Narrow" w:hAnsi="Arial Narrow" w:cs="Times New Roman"/>
          <w:i/>
          <w:sz w:val="20"/>
          <w:szCs w:val="24"/>
        </w:rPr>
        <w:t>*Professeur Reinhard Bork, université de Hambourg (Allemagne)</w:t>
      </w:r>
    </w:p>
    <w:p w:rsidR="00CE3674" w:rsidRDefault="00CE3674" w:rsidP="003B5B5D">
      <w:pPr>
        <w:suppressAutoHyphens/>
        <w:spacing w:after="0" w:line="240" w:lineRule="auto"/>
        <w:jc w:val="both"/>
        <w:rPr>
          <w:rFonts w:ascii="Arial Narrow" w:eastAsia="Times New Roman" w:hAnsi="Arial Narrow" w:cs="Times New Roman"/>
          <w:b/>
          <w:sz w:val="32"/>
          <w:szCs w:val="32"/>
          <w:lang w:eastAsia="ar-SA"/>
        </w:rPr>
      </w:pPr>
    </w:p>
    <w:p w:rsidR="00CE3674" w:rsidRPr="00CE3674" w:rsidRDefault="00CE3674" w:rsidP="00CE367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x</w:t>
      </w:r>
      <w:r w:rsidRPr="00CE3674">
        <w:rPr>
          <w:rFonts w:ascii="Times New Roman" w:eastAsia="Times New Roman" w:hAnsi="Times New Roman" w:cs="Times New Roman"/>
          <w:sz w:val="24"/>
          <w:szCs w:val="24"/>
          <w:lang w:eastAsia="ar-SA"/>
        </w:rPr>
        <w:t xml:space="preserve">  x  x</w:t>
      </w:r>
    </w:p>
    <w:p w:rsidR="00CE3674" w:rsidRDefault="00CE3674" w:rsidP="00CE3674">
      <w:pPr>
        <w:suppressAutoHyphens/>
        <w:spacing w:after="0" w:line="240" w:lineRule="auto"/>
        <w:jc w:val="center"/>
        <w:rPr>
          <w:rFonts w:ascii="Arial Narrow" w:eastAsia="Times New Roman" w:hAnsi="Arial Narrow" w:cs="Times New Roman"/>
          <w:b/>
          <w:sz w:val="32"/>
          <w:szCs w:val="32"/>
          <w:lang w:eastAsia="ar-SA"/>
        </w:rPr>
      </w:pPr>
      <w:r w:rsidRPr="00CE3674">
        <w:rPr>
          <w:rFonts w:ascii="Times New Roman" w:eastAsia="Times New Roman" w:hAnsi="Times New Roman" w:cs="Times New Roman"/>
          <w:sz w:val="24"/>
          <w:szCs w:val="24"/>
          <w:lang w:eastAsia="ar-SA"/>
        </w:rPr>
        <w:t>x</w:t>
      </w:r>
    </w:p>
    <w:p w:rsidR="00224EEF" w:rsidRDefault="00224EEF" w:rsidP="003B5B5D">
      <w:pPr>
        <w:suppressAutoHyphens/>
        <w:spacing w:after="0" w:line="240" w:lineRule="auto"/>
        <w:jc w:val="both"/>
        <w:rPr>
          <w:rFonts w:ascii="Arial Narrow" w:eastAsia="Times New Roman" w:hAnsi="Arial Narrow" w:cs="Times New Roman"/>
          <w:b/>
          <w:sz w:val="32"/>
          <w:szCs w:val="32"/>
          <w:lang w:eastAsia="ar-SA"/>
        </w:rPr>
      </w:pPr>
    </w:p>
    <w:p w:rsidR="00F52D53" w:rsidRDefault="00F52D53" w:rsidP="00224EEF">
      <w:pPr>
        <w:suppressAutoHyphens/>
        <w:spacing w:after="0" w:line="240" w:lineRule="auto"/>
        <w:jc w:val="both"/>
        <w:rPr>
          <w:rFonts w:ascii="Arial Narrow" w:eastAsia="Times New Roman" w:hAnsi="Arial Narrow" w:cs="Times New Roman"/>
          <w:b/>
          <w:sz w:val="32"/>
          <w:szCs w:val="32"/>
          <w:lang w:eastAsia="ar-SA"/>
        </w:rPr>
      </w:pPr>
    </w:p>
    <w:p w:rsidR="00F52D53" w:rsidRDefault="00F52D53" w:rsidP="00224EEF">
      <w:pPr>
        <w:suppressAutoHyphens/>
        <w:spacing w:after="0" w:line="240" w:lineRule="auto"/>
        <w:jc w:val="both"/>
        <w:rPr>
          <w:rFonts w:ascii="Arial Narrow" w:eastAsia="Times New Roman" w:hAnsi="Arial Narrow" w:cs="Times New Roman"/>
          <w:b/>
          <w:sz w:val="32"/>
          <w:szCs w:val="32"/>
          <w:lang w:eastAsia="ar-SA"/>
        </w:rPr>
      </w:pPr>
    </w:p>
    <w:p w:rsidR="00F52D53" w:rsidRDefault="00F52D53" w:rsidP="00224EEF">
      <w:pPr>
        <w:suppressAutoHyphens/>
        <w:spacing w:after="0" w:line="240" w:lineRule="auto"/>
        <w:jc w:val="both"/>
        <w:rPr>
          <w:rFonts w:ascii="Arial Narrow" w:eastAsia="Times New Roman" w:hAnsi="Arial Narrow" w:cs="Times New Roman"/>
          <w:b/>
          <w:sz w:val="32"/>
          <w:szCs w:val="32"/>
          <w:lang w:eastAsia="ar-SA"/>
        </w:rPr>
      </w:pPr>
    </w:p>
    <w:p w:rsidR="00F52D53" w:rsidRDefault="00F52D53" w:rsidP="00224EEF">
      <w:pPr>
        <w:suppressAutoHyphens/>
        <w:spacing w:after="0" w:line="240" w:lineRule="auto"/>
        <w:jc w:val="both"/>
        <w:rPr>
          <w:rFonts w:ascii="Arial Narrow" w:eastAsia="Times New Roman" w:hAnsi="Arial Narrow" w:cs="Times New Roman"/>
          <w:b/>
          <w:sz w:val="32"/>
          <w:szCs w:val="32"/>
          <w:lang w:eastAsia="ar-SA"/>
        </w:rPr>
      </w:pPr>
    </w:p>
    <w:p w:rsidR="00F52D53" w:rsidRDefault="00F52D53" w:rsidP="00224EEF">
      <w:pPr>
        <w:suppressAutoHyphens/>
        <w:spacing w:after="0" w:line="240" w:lineRule="auto"/>
        <w:jc w:val="both"/>
        <w:rPr>
          <w:rFonts w:ascii="Arial Narrow" w:eastAsia="Times New Roman" w:hAnsi="Arial Narrow" w:cs="Times New Roman"/>
          <w:b/>
          <w:sz w:val="32"/>
          <w:szCs w:val="32"/>
          <w:lang w:eastAsia="ar-SA"/>
        </w:rPr>
      </w:pPr>
    </w:p>
    <w:p w:rsidR="00F52D53" w:rsidRDefault="00F52D53" w:rsidP="00224EEF">
      <w:pPr>
        <w:suppressAutoHyphens/>
        <w:spacing w:after="0" w:line="240" w:lineRule="auto"/>
        <w:jc w:val="both"/>
        <w:rPr>
          <w:rFonts w:ascii="Arial Narrow" w:eastAsia="Times New Roman" w:hAnsi="Arial Narrow" w:cs="Times New Roman"/>
          <w:b/>
          <w:sz w:val="32"/>
          <w:szCs w:val="32"/>
          <w:lang w:eastAsia="ar-SA"/>
        </w:rPr>
      </w:pPr>
    </w:p>
    <w:p w:rsidR="00F52D53" w:rsidRDefault="00F52D53" w:rsidP="00224EEF">
      <w:pPr>
        <w:suppressAutoHyphens/>
        <w:spacing w:after="0" w:line="240" w:lineRule="auto"/>
        <w:jc w:val="both"/>
        <w:rPr>
          <w:rFonts w:ascii="Arial Narrow" w:eastAsia="Times New Roman" w:hAnsi="Arial Narrow" w:cs="Times New Roman"/>
          <w:b/>
          <w:sz w:val="32"/>
          <w:szCs w:val="32"/>
          <w:lang w:eastAsia="ar-SA"/>
        </w:rPr>
      </w:pPr>
    </w:p>
    <w:p w:rsidR="00F52D53" w:rsidRDefault="00F52D53" w:rsidP="00224EEF">
      <w:pPr>
        <w:suppressAutoHyphens/>
        <w:spacing w:after="0" w:line="240" w:lineRule="auto"/>
        <w:jc w:val="both"/>
        <w:rPr>
          <w:rFonts w:ascii="Arial Narrow" w:eastAsia="Times New Roman" w:hAnsi="Arial Narrow" w:cs="Times New Roman"/>
          <w:b/>
          <w:sz w:val="32"/>
          <w:szCs w:val="32"/>
          <w:lang w:eastAsia="ar-SA"/>
        </w:rPr>
      </w:pPr>
    </w:p>
    <w:p w:rsidR="00CE3674" w:rsidRDefault="00224EEF" w:rsidP="00224EEF">
      <w:pPr>
        <w:suppressAutoHyphens/>
        <w:spacing w:after="0" w:line="240" w:lineRule="auto"/>
        <w:jc w:val="both"/>
        <w:rPr>
          <w:rFonts w:ascii="Arial Narrow" w:eastAsia="Times New Roman" w:hAnsi="Arial Narrow" w:cs="Times New Roman"/>
          <w:b/>
          <w:sz w:val="32"/>
          <w:szCs w:val="32"/>
          <w:lang w:eastAsia="ar-SA"/>
        </w:rPr>
      </w:pPr>
      <w:r>
        <w:rPr>
          <w:rFonts w:ascii="Arial Narrow" w:eastAsia="Times New Roman" w:hAnsi="Arial Narrow" w:cs="Times New Roman"/>
          <w:b/>
          <w:sz w:val="32"/>
          <w:szCs w:val="32"/>
          <w:lang w:eastAsia="ar-SA"/>
        </w:rPr>
        <w:lastRenderedPageBreak/>
        <w:t>Compte-rendu technique</w:t>
      </w:r>
    </w:p>
    <w:p w:rsidR="00224EEF" w:rsidRPr="00224EEF" w:rsidRDefault="00224EEF" w:rsidP="00224EEF">
      <w:pPr>
        <w:suppressAutoHyphens/>
        <w:spacing w:after="0" w:line="240" w:lineRule="auto"/>
        <w:jc w:val="both"/>
        <w:rPr>
          <w:rFonts w:ascii="Arial Narrow" w:eastAsia="Times New Roman" w:hAnsi="Arial Narrow" w:cs="Times New Roman"/>
          <w:b/>
          <w:sz w:val="24"/>
          <w:szCs w:val="24"/>
          <w:lang w:eastAsia="ar-SA"/>
        </w:rPr>
      </w:pPr>
    </w:p>
    <w:p w:rsidR="00CE3674" w:rsidRPr="00224EEF" w:rsidRDefault="00CE3674" w:rsidP="00E348B8">
      <w:pPr>
        <w:spacing w:after="0" w:line="240" w:lineRule="auto"/>
        <w:jc w:val="center"/>
        <w:rPr>
          <w:rFonts w:ascii="Times New Roman" w:hAnsi="Times New Roman" w:cs="Times New Roman"/>
          <w:sz w:val="48"/>
          <w:szCs w:val="48"/>
        </w:rPr>
      </w:pPr>
      <w:r w:rsidRPr="00224EEF">
        <w:rPr>
          <w:rFonts w:ascii="Times New Roman" w:hAnsi="Times New Roman" w:cs="Times New Roman"/>
          <w:b/>
          <w:sz w:val="48"/>
          <w:szCs w:val="48"/>
        </w:rPr>
        <w:t>Nouvelles a</w:t>
      </w:r>
      <w:r w:rsidR="00224EEF">
        <w:rPr>
          <w:rFonts w:ascii="Times New Roman" w:hAnsi="Times New Roman" w:cs="Times New Roman"/>
          <w:b/>
          <w:sz w:val="48"/>
          <w:szCs w:val="48"/>
        </w:rPr>
        <w:t xml:space="preserve">ffaires appliquant le règlement </w:t>
      </w:r>
      <w:r w:rsidRPr="00224EEF">
        <w:rPr>
          <w:rFonts w:ascii="Times New Roman" w:hAnsi="Times New Roman" w:cs="Times New Roman"/>
          <w:b/>
          <w:sz w:val="48"/>
          <w:szCs w:val="48"/>
        </w:rPr>
        <w:t>(UE) 2015/848 relatif aux procédures d’insolvabilité</w:t>
      </w:r>
    </w:p>
    <w:p w:rsidR="00CE3674" w:rsidRPr="00224EEF" w:rsidRDefault="00CE3674" w:rsidP="00E348B8">
      <w:pPr>
        <w:spacing w:after="0" w:line="240" w:lineRule="auto"/>
        <w:jc w:val="center"/>
        <w:rPr>
          <w:rFonts w:ascii="Arial Narrow" w:hAnsi="Arial Narrow" w:cs="Times New Roman"/>
          <w:i/>
          <w:sz w:val="24"/>
        </w:rPr>
      </w:pPr>
      <w:r w:rsidRPr="00D30A24">
        <w:rPr>
          <w:rFonts w:ascii="Arial Narrow" w:hAnsi="Arial Narrow" w:cs="Times New Roman"/>
          <w:i/>
          <w:sz w:val="24"/>
        </w:rPr>
        <w:t xml:space="preserve">Myriam Mailly* présente les nouvelles affaires publiées dans le registre LexisNexis INSOL Europe d’affaires fondées sur le REI suite à l’entrée en vigueur de la refonte du </w:t>
      </w:r>
      <w:r w:rsidR="00224EEF">
        <w:rPr>
          <w:rFonts w:ascii="Arial Narrow" w:hAnsi="Arial Narrow" w:cs="Times New Roman"/>
          <w:i/>
          <w:sz w:val="24"/>
        </w:rPr>
        <w:t xml:space="preserve">REI </w:t>
      </w:r>
      <w:r w:rsidRPr="00D30A24">
        <w:rPr>
          <w:rFonts w:ascii="Arial Narrow" w:hAnsi="Arial Narrow" w:cs="Times New Roman"/>
          <w:i/>
          <w:sz w:val="24"/>
        </w:rPr>
        <w:t>le 26 juin 2017</w:t>
      </w:r>
    </w:p>
    <w:p w:rsidR="00CE3674" w:rsidRPr="00CE3674" w:rsidRDefault="00CE3674" w:rsidP="00CE3674">
      <w:pPr>
        <w:jc w:val="both"/>
        <w:rPr>
          <w:rFonts w:ascii="Times New Roman" w:hAnsi="Times New Roman" w:cs="Times New Roman"/>
          <w:b/>
          <w:sz w:val="24"/>
        </w:rPr>
      </w:pPr>
      <w:r w:rsidRPr="00D30A24">
        <w:rPr>
          <w:rFonts w:ascii="Times New Roman" w:hAnsi="Times New Roman" w:cs="Times New Roman"/>
          <w:b/>
          <w:sz w:val="24"/>
        </w:rPr>
        <w:t>Comme le règlement prédécesseur, la refonte du règlement européen sur l’insolvabilité (« refonte du REI ») expose des règles visant entre autres à établir quel tribunal est compétent pour ouvrir une affaire d’insolvabilité transfrontalière.</w:t>
      </w:r>
      <w:r w:rsidRPr="00CE3674">
        <w:rPr>
          <w:rFonts w:ascii="Times New Roman" w:hAnsi="Times New Roman" w:cs="Times New Roman"/>
          <w:b/>
          <w:sz w:val="24"/>
        </w:rPr>
        <w:t xml:space="preserve"> </w:t>
      </w:r>
      <w:r w:rsidRPr="00D30A24">
        <w:rPr>
          <w:rFonts w:ascii="Times New Roman" w:hAnsi="Times New Roman" w:cs="Times New Roman"/>
          <w:b/>
          <w:sz w:val="24"/>
        </w:rPr>
        <w:t>En termes de compétence, la procédure principale se déroule toujours devant les tribunaux de l’État membre où se situe le centre des intérêts principaux (« CIP ») du débiteur.</w:t>
      </w:r>
    </w:p>
    <w:p w:rsidR="00CE3674" w:rsidRPr="00CE3674" w:rsidRDefault="00CE3674" w:rsidP="00CE3674">
      <w:pPr>
        <w:jc w:val="both"/>
        <w:rPr>
          <w:rFonts w:ascii="Times New Roman" w:hAnsi="Times New Roman" w:cs="Times New Roman"/>
          <w:sz w:val="24"/>
        </w:rPr>
      </w:pPr>
      <w:r w:rsidRPr="00D30A24">
        <w:rPr>
          <w:rFonts w:ascii="Times New Roman" w:hAnsi="Times New Roman" w:cs="Times New Roman"/>
          <w:b/>
          <w:i/>
          <w:sz w:val="24"/>
        </w:rPr>
        <w:t>Exemples d’affaires récentes</w:t>
      </w:r>
      <w:r w:rsidRPr="00CE3674">
        <w:rPr>
          <w:rFonts w:ascii="Times New Roman" w:hAnsi="Times New Roman" w:cs="Times New Roman"/>
          <w:sz w:val="24"/>
        </w:rPr>
        <w:t xml:space="preserve"> </w:t>
      </w:r>
    </w:p>
    <w:p w:rsidR="00CE3674" w:rsidRPr="00CE3674" w:rsidRDefault="00CE3674" w:rsidP="00CE3674">
      <w:pPr>
        <w:jc w:val="both"/>
        <w:rPr>
          <w:rFonts w:ascii="Times New Roman" w:hAnsi="Times New Roman" w:cs="Times New Roman"/>
          <w:sz w:val="24"/>
        </w:rPr>
      </w:pPr>
      <w:r w:rsidRPr="00D30A24">
        <w:rPr>
          <w:rFonts w:ascii="Times New Roman" w:hAnsi="Times New Roman" w:cs="Times New Roman"/>
          <w:sz w:val="24"/>
        </w:rPr>
        <w:t>Désormais, la refonte du REI précise expressément que</w:t>
      </w:r>
      <w:r>
        <w:rPr>
          <w:rFonts w:ascii="Times New Roman" w:hAnsi="Times New Roman" w:cs="Times New Roman"/>
          <w:sz w:val="24"/>
        </w:rPr>
        <w:t>,</w:t>
      </w:r>
      <w:r w:rsidRPr="00D30A24">
        <w:rPr>
          <w:rFonts w:ascii="Times New Roman" w:hAnsi="Times New Roman" w:cs="Times New Roman"/>
          <w:sz w:val="24"/>
        </w:rPr>
        <w:t xml:space="preserve"> dans le cas d’une personne physique exerçant une profession libérale ou autre activité d’indépendant, le CIP du débiteur se situe au lieu d’activité principal. Dans les autres cas, le CIP se situe généralement au lieu de sa résidence habituelle.</w:t>
      </w:r>
    </w:p>
    <w:p w:rsidR="00CE3674" w:rsidRPr="00CE3674" w:rsidRDefault="00CE3674" w:rsidP="00CE3674">
      <w:pPr>
        <w:jc w:val="both"/>
        <w:rPr>
          <w:rFonts w:ascii="Times New Roman" w:hAnsi="Times New Roman" w:cs="Times New Roman"/>
          <w:sz w:val="24"/>
        </w:rPr>
      </w:pPr>
      <w:r w:rsidRPr="00D30A24">
        <w:rPr>
          <w:rFonts w:ascii="Times New Roman" w:hAnsi="Times New Roman" w:cs="Times New Roman"/>
          <w:sz w:val="24"/>
        </w:rPr>
        <w:t>Une affaire de Gibraltar (</w:t>
      </w:r>
      <w:r w:rsidRPr="00D30A24">
        <w:rPr>
          <w:rFonts w:ascii="Times New Roman" w:hAnsi="Times New Roman" w:cs="Times New Roman"/>
          <w:i/>
          <w:sz w:val="24"/>
        </w:rPr>
        <w:t>Re Advalorem Value Asset Fund Limited</w:t>
      </w:r>
      <w:r w:rsidRPr="00D30A24">
        <w:rPr>
          <w:rFonts w:ascii="Times New Roman" w:hAnsi="Times New Roman" w:cs="Times New Roman"/>
          <w:sz w:val="24"/>
        </w:rPr>
        <w:t xml:space="preserve">) a souligné </w:t>
      </w:r>
      <w:r>
        <w:rPr>
          <w:rFonts w:ascii="Times New Roman" w:hAnsi="Times New Roman" w:cs="Times New Roman"/>
          <w:sz w:val="24"/>
        </w:rPr>
        <w:t>à quel point il était important</w:t>
      </w:r>
      <w:r w:rsidRPr="00D30A24">
        <w:rPr>
          <w:rFonts w:ascii="Times New Roman" w:hAnsi="Times New Roman" w:cs="Times New Roman"/>
          <w:sz w:val="24"/>
        </w:rPr>
        <w:t xml:space="preserve"> de déterminer si une personne physique exerçait une profession libérale ou autre activité d’indépendant au titre de l’article 3(1) de la refonte du REI.</w:t>
      </w:r>
      <w:r w:rsidRPr="00CE3674">
        <w:rPr>
          <w:rFonts w:ascii="Times New Roman" w:hAnsi="Times New Roman" w:cs="Times New Roman"/>
          <w:sz w:val="24"/>
        </w:rPr>
        <w:t xml:space="preserve"> </w:t>
      </w:r>
      <w:r w:rsidRPr="00D30A24">
        <w:rPr>
          <w:rFonts w:ascii="Times New Roman" w:hAnsi="Times New Roman" w:cs="Times New Roman"/>
          <w:sz w:val="24"/>
        </w:rPr>
        <w:t xml:space="preserve">La question était </w:t>
      </w:r>
      <w:r>
        <w:rPr>
          <w:rFonts w:ascii="Times New Roman" w:hAnsi="Times New Roman" w:cs="Times New Roman"/>
          <w:sz w:val="24"/>
        </w:rPr>
        <w:t>cruciale</w:t>
      </w:r>
      <w:r w:rsidRPr="00D30A24">
        <w:rPr>
          <w:rFonts w:ascii="Times New Roman" w:hAnsi="Times New Roman" w:cs="Times New Roman"/>
          <w:sz w:val="24"/>
        </w:rPr>
        <w:t>, étant donné que le CIP du débiteur se serait situé à Gibraltar s’il entrait dans cette catégorie, et en Espagne dans le cas contraire.</w:t>
      </w:r>
    </w:p>
    <w:p w:rsidR="00CE3674" w:rsidRPr="00CE3674" w:rsidRDefault="00CE3674" w:rsidP="00CE3674">
      <w:pPr>
        <w:jc w:val="both"/>
        <w:rPr>
          <w:rFonts w:ascii="Times New Roman" w:hAnsi="Times New Roman" w:cs="Times New Roman"/>
          <w:sz w:val="24"/>
        </w:rPr>
      </w:pPr>
      <w:r w:rsidRPr="00D30A24">
        <w:rPr>
          <w:rFonts w:ascii="Times New Roman" w:hAnsi="Times New Roman" w:cs="Times New Roman"/>
          <w:sz w:val="24"/>
        </w:rPr>
        <w:t>Dans une autre affaire (</w:t>
      </w:r>
      <w:r w:rsidRPr="00D30A24">
        <w:rPr>
          <w:rFonts w:ascii="Times New Roman" w:hAnsi="Times New Roman" w:cs="Times New Roman"/>
          <w:i/>
          <w:sz w:val="24"/>
        </w:rPr>
        <w:t>R.L. Bezuijen Holding B.V.</w:t>
      </w:r>
      <w:r w:rsidRPr="00D30A24">
        <w:rPr>
          <w:rFonts w:ascii="Times New Roman" w:hAnsi="Times New Roman" w:cs="Times New Roman"/>
          <w:sz w:val="24"/>
        </w:rPr>
        <w:t xml:space="preserve">) des Pays-Bas, il a été </w:t>
      </w:r>
      <w:r>
        <w:rPr>
          <w:rFonts w:ascii="Times New Roman" w:hAnsi="Times New Roman" w:cs="Times New Roman"/>
          <w:sz w:val="24"/>
        </w:rPr>
        <w:t xml:space="preserve">souligné </w:t>
      </w:r>
      <w:r w:rsidRPr="00D30A24">
        <w:rPr>
          <w:rFonts w:ascii="Times New Roman" w:hAnsi="Times New Roman" w:cs="Times New Roman"/>
          <w:sz w:val="24"/>
        </w:rPr>
        <w:t xml:space="preserve">que le fait qu’une personne physique débitrice était membre du conseil d’administration et actionnaire d’une société possédant des biens immobiliers dans un autre État membre dans lequel vivait sa famille ne suffisait pas pour </w:t>
      </w:r>
      <w:r>
        <w:rPr>
          <w:rFonts w:ascii="Times New Roman" w:hAnsi="Times New Roman" w:cs="Times New Roman"/>
          <w:sz w:val="24"/>
        </w:rPr>
        <w:t>renverser</w:t>
      </w:r>
      <w:r w:rsidRPr="00D30A24">
        <w:rPr>
          <w:rFonts w:ascii="Times New Roman" w:hAnsi="Times New Roman" w:cs="Times New Roman"/>
          <w:sz w:val="24"/>
        </w:rPr>
        <w:t xml:space="preserve"> la présomption en faveur du lieu de sa résidence habituelle.</w:t>
      </w:r>
    </w:p>
    <w:p w:rsidR="00CE3674" w:rsidRPr="00CE3674" w:rsidRDefault="00CE3674" w:rsidP="00CE3674">
      <w:pPr>
        <w:jc w:val="both"/>
        <w:rPr>
          <w:rFonts w:ascii="Times New Roman" w:hAnsi="Times New Roman" w:cs="Times New Roman"/>
          <w:sz w:val="24"/>
        </w:rPr>
      </w:pPr>
      <w:r w:rsidRPr="00D324E4">
        <w:rPr>
          <w:rFonts w:ascii="Times New Roman" w:hAnsi="Times New Roman" w:cs="Times New Roman"/>
          <w:sz w:val="24"/>
        </w:rPr>
        <w:t>Dans le cas d’une société ou d’une personne morale, le CIP du débiteur est présumé (comme auparavant) être situé à son siège social, en l’absence de toute preuve contraire.</w:t>
      </w:r>
      <w:r w:rsidRPr="00CE3674">
        <w:rPr>
          <w:rFonts w:ascii="Times New Roman" w:hAnsi="Times New Roman" w:cs="Times New Roman"/>
          <w:sz w:val="24"/>
        </w:rPr>
        <w:t xml:space="preserve"> </w:t>
      </w:r>
      <w:r w:rsidRPr="00D324E4">
        <w:rPr>
          <w:rFonts w:ascii="Times New Roman" w:hAnsi="Times New Roman" w:cs="Times New Roman"/>
          <w:sz w:val="24"/>
        </w:rPr>
        <w:t>La refonte du REI ajoute que cette présomption ne s’applique que si le siège social n’a pas été transféré dans un autre État membre au cours des trois mois précédant la demande d’ouverture de la procédure d’insolvabilité.</w:t>
      </w:r>
    </w:p>
    <w:p w:rsidR="00CE3674" w:rsidRPr="00CE3674" w:rsidRDefault="00CE3674" w:rsidP="00CE3674">
      <w:pPr>
        <w:jc w:val="both"/>
        <w:rPr>
          <w:rFonts w:ascii="Times New Roman" w:hAnsi="Times New Roman" w:cs="Times New Roman"/>
          <w:sz w:val="24"/>
        </w:rPr>
      </w:pPr>
      <w:r w:rsidRPr="00D324E4">
        <w:rPr>
          <w:rFonts w:ascii="Times New Roman" w:hAnsi="Times New Roman" w:cs="Times New Roman"/>
          <w:sz w:val="24"/>
        </w:rPr>
        <w:t>Il était légitime de s’attendre à ce que ces dispositions mettent fin à la bataille procédurale concernant le lieu du CIP d’une entreprise débitrice.</w:t>
      </w:r>
      <w:r w:rsidRPr="00CE3674">
        <w:rPr>
          <w:rFonts w:ascii="Times New Roman" w:hAnsi="Times New Roman" w:cs="Times New Roman"/>
          <w:sz w:val="24"/>
        </w:rPr>
        <w:t xml:space="preserve"> </w:t>
      </w:r>
      <w:r w:rsidRPr="00D324E4">
        <w:rPr>
          <w:rFonts w:ascii="Times New Roman" w:hAnsi="Times New Roman" w:cs="Times New Roman"/>
          <w:sz w:val="24"/>
        </w:rPr>
        <w:t>Ce n’est pourtant pas du tout le cas !</w:t>
      </w:r>
      <w:r w:rsidRPr="00CE3674">
        <w:rPr>
          <w:rFonts w:ascii="Times New Roman" w:hAnsi="Times New Roman" w:cs="Times New Roman"/>
          <w:sz w:val="24"/>
        </w:rPr>
        <w:t xml:space="preserve"> </w:t>
      </w:r>
      <w:r w:rsidRPr="00D324E4">
        <w:rPr>
          <w:rFonts w:ascii="Times New Roman" w:hAnsi="Times New Roman" w:cs="Times New Roman"/>
          <w:sz w:val="24"/>
        </w:rPr>
        <w:t xml:space="preserve">De fait, quatre décisions allemandes prononcées dans le cadre de la « saga » </w:t>
      </w:r>
      <w:r w:rsidRPr="00D324E4">
        <w:rPr>
          <w:rFonts w:ascii="Times New Roman" w:hAnsi="Times New Roman" w:cs="Times New Roman"/>
          <w:i/>
          <w:sz w:val="24"/>
        </w:rPr>
        <w:t>NIKI Luftfahrt GmbH</w:t>
      </w:r>
      <w:r w:rsidRPr="00D324E4">
        <w:rPr>
          <w:rFonts w:ascii="Times New Roman" w:hAnsi="Times New Roman" w:cs="Times New Roman"/>
          <w:sz w:val="24"/>
        </w:rPr>
        <w:t xml:space="preserve"> prouvent le contraire.</w:t>
      </w:r>
    </w:p>
    <w:p w:rsidR="00CE3674" w:rsidRPr="00CE3674" w:rsidRDefault="00CE3674" w:rsidP="00CE3674">
      <w:pPr>
        <w:jc w:val="both"/>
        <w:rPr>
          <w:rFonts w:ascii="Times New Roman" w:hAnsi="Times New Roman" w:cs="Times New Roman"/>
          <w:sz w:val="24"/>
        </w:rPr>
      </w:pPr>
      <w:r w:rsidRPr="00D324E4">
        <w:rPr>
          <w:rFonts w:ascii="Times New Roman" w:hAnsi="Times New Roman" w:cs="Times New Roman"/>
          <w:sz w:val="24"/>
        </w:rPr>
        <w:lastRenderedPageBreak/>
        <w:t>Dans cette affaire, il a été décidé en dernier ressort que les tribunaux allemands n’avaient pas compétence internationale en vertu de l’article 3(1) de la refonte du REI, parce que le CIP du débiteur était situé en Autriche.</w:t>
      </w:r>
      <w:r w:rsidRPr="00CE3674">
        <w:rPr>
          <w:rFonts w:ascii="Times New Roman" w:hAnsi="Times New Roman" w:cs="Times New Roman"/>
          <w:sz w:val="24"/>
        </w:rPr>
        <w:t xml:space="preserve"> </w:t>
      </w:r>
      <w:r w:rsidRPr="00D324E4">
        <w:rPr>
          <w:rFonts w:ascii="Times New Roman" w:hAnsi="Times New Roman" w:cs="Times New Roman"/>
          <w:sz w:val="24"/>
        </w:rPr>
        <w:t xml:space="preserve">Plus important, ces décisions soulignent clairement les difficultés qui </w:t>
      </w:r>
      <w:r>
        <w:rPr>
          <w:rFonts w:ascii="Times New Roman" w:hAnsi="Times New Roman" w:cs="Times New Roman"/>
          <w:sz w:val="24"/>
        </w:rPr>
        <w:t>continuent de se poser</w:t>
      </w:r>
      <w:r w:rsidRPr="00D324E4">
        <w:rPr>
          <w:rFonts w:ascii="Times New Roman" w:hAnsi="Times New Roman" w:cs="Times New Roman"/>
          <w:sz w:val="24"/>
        </w:rPr>
        <w:t xml:space="preserve"> en </w:t>
      </w:r>
      <w:r>
        <w:rPr>
          <w:rFonts w:ascii="Times New Roman" w:hAnsi="Times New Roman" w:cs="Times New Roman"/>
          <w:sz w:val="24"/>
        </w:rPr>
        <w:t>rapport</w:t>
      </w:r>
      <w:r w:rsidRPr="00D324E4">
        <w:rPr>
          <w:rFonts w:ascii="Times New Roman" w:hAnsi="Times New Roman" w:cs="Times New Roman"/>
          <w:sz w:val="24"/>
        </w:rPr>
        <w:t xml:space="preserve"> avec la détermination des facteurs décisifs devant être pris en compte par les juges saisis d’une demande d’ouverture de procédure d’insolvabilité à l’encontre d’une entreprise débitrice pour renverser dans chaque cas la présomption en faveur du siège social.</w:t>
      </w:r>
    </w:p>
    <w:p w:rsidR="00CE3674" w:rsidRPr="009A1930" w:rsidRDefault="00CE3674" w:rsidP="00CE3674">
      <w:pPr>
        <w:jc w:val="both"/>
        <w:rPr>
          <w:rFonts w:ascii="Times New Roman" w:hAnsi="Times New Roman" w:cs="Times New Roman"/>
          <w:sz w:val="24"/>
        </w:rPr>
      </w:pPr>
      <w:r w:rsidRPr="00D324E4">
        <w:rPr>
          <w:rFonts w:ascii="Times New Roman" w:hAnsi="Times New Roman" w:cs="Times New Roman"/>
          <w:b/>
          <w:i/>
          <w:sz w:val="24"/>
        </w:rPr>
        <w:t>Conclusion</w:t>
      </w:r>
      <w:r w:rsidRPr="009A1930">
        <w:rPr>
          <w:rFonts w:ascii="Times New Roman" w:hAnsi="Times New Roman" w:cs="Times New Roman"/>
          <w:sz w:val="24"/>
        </w:rPr>
        <w:t xml:space="preserve"> </w:t>
      </w:r>
    </w:p>
    <w:p w:rsidR="00CE3674" w:rsidRPr="00E348B8" w:rsidRDefault="00CE3674" w:rsidP="00E348B8">
      <w:pPr>
        <w:jc w:val="both"/>
        <w:rPr>
          <w:rFonts w:ascii="Times New Roman" w:hAnsi="Times New Roman" w:cs="Times New Roman"/>
          <w:sz w:val="24"/>
        </w:rPr>
      </w:pPr>
      <w:r w:rsidRPr="00D324E4">
        <w:rPr>
          <w:rFonts w:ascii="Times New Roman" w:hAnsi="Times New Roman" w:cs="Times New Roman"/>
          <w:sz w:val="24"/>
        </w:rPr>
        <w:t>Pour conclure, le registre d’affaires LexisNexis INSOL Europe d’affaires fondées sur le REI permet à tous les professionnels de l’insolvabilité de connaître les récents développements en lien avec l’application de la refonte du REI par les juridictions nationales.</w:t>
      </w:r>
      <w:r w:rsidRPr="00CE3674">
        <w:rPr>
          <w:rFonts w:ascii="Times New Roman" w:hAnsi="Times New Roman" w:cs="Times New Roman"/>
          <w:sz w:val="24"/>
        </w:rPr>
        <w:t xml:space="preserve"> </w:t>
      </w:r>
      <w:r w:rsidRPr="00D324E4">
        <w:rPr>
          <w:rFonts w:ascii="Times New Roman" w:hAnsi="Times New Roman" w:cs="Times New Roman"/>
          <w:sz w:val="24"/>
        </w:rPr>
        <w:t>C’est sans conteste un outil très utile dans la vie quotidienne des PI !</w:t>
      </w:r>
    </w:p>
    <w:p w:rsidR="00CE3674" w:rsidRPr="00224EEF" w:rsidRDefault="00CE3674" w:rsidP="00224EEF">
      <w:pPr>
        <w:jc w:val="center"/>
        <w:rPr>
          <w:rFonts w:ascii="Times New Roman" w:hAnsi="Times New Roman" w:cs="Times New Roman"/>
          <w:b/>
          <w:sz w:val="24"/>
        </w:rPr>
      </w:pPr>
      <w:r w:rsidRPr="00D324E4">
        <w:rPr>
          <w:rFonts w:ascii="Times New Roman" w:hAnsi="Times New Roman" w:cs="Times New Roman"/>
          <w:b/>
          <w:sz w:val="24"/>
        </w:rPr>
        <w:t>Pour connaître le nouveau contenu technique récemment publié sur le site d’INSOL Europe, consultez www.insol-europe.org/technical-content/introduction ou contactez Myriam Mailly par courrier électronique à l’adresse technical@insol-europe.org</w:t>
      </w:r>
    </w:p>
    <w:p w:rsidR="003B5B5D" w:rsidRPr="00E348B8" w:rsidRDefault="00224EEF" w:rsidP="00E348B8">
      <w:pPr>
        <w:jc w:val="both"/>
        <w:rPr>
          <w:rFonts w:ascii="Arial Narrow" w:hAnsi="Arial Narrow" w:cs="Times New Roman"/>
          <w:i/>
          <w:sz w:val="20"/>
        </w:rPr>
      </w:pPr>
      <w:r>
        <w:rPr>
          <w:rFonts w:ascii="Arial Narrow" w:hAnsi="Arial Narrow" w:cs="Times New Roman"/>
          <w:i/>
          <w:sz w:val="20"/>
        </w:rPr>
        <w:t xml:space="preserve">                                                                                                            </w:t>
      </w:r>
      <w:r w:rsidR="00CE3674" w:rsidRPr="00D324E4">
        <w:rPr>
          <w:rFonts w:ascii="Arial Narrow" w:hAnsi="Arial Narrow" w:cs="Times New Roman"/>
          <w:i/>
          <w:sz w:val="20"/>
        </w:rPr>
        <w:t>*Myriam Mailly, coresponsable technique d’INSOL Europe</w:t>
      </w:r>
    </w:p>
    <w:p w:rsidR="002C5EDC" w:rsidRPr="003B5B5D" w:rsidRDefault="002C5EDC" w:rsidP="003B5B5D">
      <w:pPr>
        <w:suppressAutoHyphens/>
        <w:spacing w:after="0" w:line="240" w:lineRule="auto"/>
        <w:rPr>
          <w:rFonts w:ascii="Times New Roman" w:eastAsia="Times New Roman" w:hAnsi="Times New Roman" w:cs="Times New Roman"/>
          <w:b/>
          <w:sz w:val="24"/>
          <w:szCs w:val="24"/>
          <w:lang w:eastAsia="ar-SA"/>
        </w:rPr>
      </w:pPr>
    </w:p>
    <w:p w:rsidR="003B5B5D" w:rsidRPr="00E348B8" w:rsidRDefault="003B5B5D" w:rsidP="003B5B5D">
      <w:pPr>
        <w:pBdr>
          <w:top w:val="single" w:sz="4" w:space="1" w:color="auto"/>
          <w:left w:val="single" w:sz="4" w:space="4" w:color="auto"/>
          <w:bottom w:val="single" w:sz="4" w:space="1" w:color="auto"/>
          <w:right w:val="single" w:sz="4" w:space="4" w:color="auto"/>
        </w:pBdr>
        <w:suppressAutoHyphens/>
        <w:spacing w:after="0" w:line="260" w:lineRule="auto"/>
        <w:jc w:val="center"/>
        <w:rPr>
          <w:rFonts w:ascii="Times New Roman" w:eastAsia="Times New Roman" w:hAnsi="Times New Roman" w:cs="Times New Roman"/>
          <w:b/>
          <w:sz w:val="20"/>
          <w:szCs w:val="20"/>
          <w:lang w:eastAsia="ar-SA"/>
        </w:rPr>
      </w:pPr>
      <w:r w:rsidRPr="00E348B8">
        <w:rPr>
          <w:rFonts w:ascii="Times New Roman" w:eastAsia="Times New Roman" w:hAnsi="Times New Roman" w:cs="Times New Roman"/>
          <w:b/>
          <w:sz w:val="20"/>
          <w:szCs w:val="20"/>
          <w:lang w:eastAsia="ar-SA"/>
        </w:rPr>
        <w:t>Liens utiles</w:t>
      </w:r>
    </w:p>
    <w:p w:rsidR="003B5B5D" w:rsidRPr="00E348B8" w:rsidRDefault="003B5B5D" w:rsidP="003B5B5D">
      <w:pPr>
        <w:pBdr>
          <w:top w:val="single" w:sz="4" w:space="1" w:color="auto"/>
          <w:left w:val="single" w:sz="4" w:space="4" w:color="auto"/>
          <w:bottom w:val="single" w:sz="4" w:space="1" w:color="auto"/>
          <w:right w:val="single" w:sz="4" w:space="4" w:color="auto"/>
        </w:pBdr>
        <w:suppressAutoHyphens/>
        <w:spacing w:after="0" w:line="260" w:lineRule="auto"/>
        <w:jc w:val="both"/>
        <w:rPr>
          <w:rFonts w:ascii="Times New Roman" w:eastAsia="Times New Roman" w:hAnsi="Times New Roman" w:cs="Times New Roman"/>
          <w:sz w:val="20"/>
          <w:szCs w:val="20"/>
          <w:lang w:eastAsia="ar-SA"/>
        </w:rPr>
      </w:pPr>
      <w:r w:rsidRPr="00E348B8">
        <w:rPr>
          <w:rFonts w:ascii="Times New Roman" w:eastAsia="Times New Roman" w:hAnsi="Times New Roman" w:cs="Times New Roman"/>
          <w:b/>
          <w:sz w:val="20"/>
          <w:szCs w:val="20"/>
          <w:lang w:eastAsia="ar-SA"/>
        </w:rPr>
        <w:t>Courriel :</w:t>
      </w:r>
      <w:r w:rsidRPr="00E348B8">
        <w:rPr>
          <w:rFonts w:ascii="Times New Roman" w:eastAsia="Times New Roman" w:hAnsi="Times New Roman" w:cs="Times New Roman"/>
          <w:sz w:val="20"/>
          <w:szCs w:val="20"/>
          <w:lang w:eastAsia="ar-SA"/>
        </w:rPr>
        <w:t xml:space="preserve"> </w:t>
      </w:r>
      <w:hyperlink r:id="rId78" w:history="1">
        <w:r w:rsidRPr="00E348B8">
          <w:rPr>
            <w:rFonts w:ascii="Times New Roman" w:eastAsia="Times New Roman" w:hAnsi="Times New Roman" w:cs="Times New Roman"/>
            <w:color w:val="0000FF"/>
            <w:sz w:val="20"/>
            <w:szCs w:val="20"/>
            <w:u w:val="single"/>
            <w:lang w:eastAsia="ar-SA"/>
          </w:rPr>
          <w:t>technical@insol-europe.org</w:t>
        </w:r>
      </w:hyperlink>
      <w:r w:rsidRPr="00E348B8">
        <w:rPr>
          <w:rFonts w:ascii="Times New Roman" w:eastAsia="Times New Roman" w:hAnsi="Times New Roman" w:cs="Times New Roman"/>
          <w:sz w:val="20"/>
          <w:szCs w:val="20"/>
          <w:lang w:eastAsia="ar-SA"/>
        </w:rPr>
        <w:t>.</w:t>
      </w:r>
    </w:p>
    <w:p w:rsidR="003B5B5D" w:rsidRPr="00E348B8" w:rsidRDefault="003B5B5D" w:rsidP="003B5B5D">
      <w:pPr>
        <w:pBdr>
          <w:top w:val="single" w:sz="4" w:space="1" w:color="auto"/>
          <w:left w:val="single" w:sz="4" w:space="4" w:color="auto"/>
          <w:bottom w:val="single" w:sz="4" w:space="1" w:color="auto"/>
          <w:right w:val="single" w:sz="4" w:space="4" w:color="auto"/>
        </w:pBdr>
        <w:suppressAutoHyphens/>
        <w:spacing w:after="0" w:line="260" w:lineRule="auto"/>
        <w:jc w:val="both"/>
        <w:rPr>
          <w:rFonts w:ascii="Times New Roman" w:eastAsia="Times New Roman" w:hAnsi="Times New Roman" w:cs="Times New Roman"/>
          <w:sz w:val="20"/>
          <w:szCs w:val="20"/>
          <w:lang w:val="en-US" w:eastAsia="ar-SA"/>
        </w:rPr>
      </w:pPr>
      <w:r w:rsidRPr="00E348B8">
        <w:rPr>
          <w:rFonts w:ascii="Times New Roman" w:eastAsia="Times New Roman" w:hAnsi="Times New Roman" w:cs="Times New Roman"/>
          <w:b/>
          <w:sz w:val="20"/>
          <w:szCs w:val="20"/>
          <w:lang w:val="en-US" w:eastAsia="ar-SA"/>
        </w:rPr>
        <w:t>LinkedIn :</w:t>
      </w:r>
      <w:r w:rsidRPr="00E348B8">
        <w:rPr>
          <w:rFonts w:ascii="Times New Roman" w:eastAsia="Times New Roman" w:hAnsi="Times New Roman" w:cs="Times New Roman"/>
          <w:sz w:val="20"/>
          <w:szCs w:val="20"/>
          <w:lang w:val="en-GB" w:eastAsia="ar-SA"/>
        </w:rPr>
        <w:t xml:space="preserve"> </w:t>
      </w:r>
      <w:hyperlink r:id="rId79" w:history="1">
        <w:r w:rsidRPr="00E348B8">
          <w:rPr>
            <w:rFonts w:ascii="Times New Roman" w:eastAsia="Times New Roman" w:hAnsi="Times New Roman" w:cs="Times New Roman"/>
            <w:color w:val="0000FF"/>
            <w:sz w:val="20"/>
            <w:szCs w:val="20"/>
            <w:u w:val="single"/>
            <w:lang w:val="en-US" w:eastAsia="ar-SA"/>
          </w:rPr>
          <w:t>www.linkedin.com</w:t>
        </w:r>
      </w:hyperlink>
      <w:r w:rsidRPr="00E348B8">
        <w:rPr>
          <w:rFonts w:ascii="Times New Roman" w:eastAsia="Times New Roman" w:hAnsi="Times New Roman" w:cs="Times New Roman"/>
          <w:sz w:val="20"/>
          <w:szCs w:val="20"/>
          <w:lang w:val="en-US" w:eastAsia="ar-SA"/>
        </w:rPr>
        <w:t xml:space="preserve"> </w:t>
      </w:r>
    </w:p>
    <w:p w:rsidR="003B5B5D" w:rsidRPr="00E348B8" w:rsidRDefault="003B5B5D" w:rsidP="003B5B5D">
      <w:pPr>
        <w:pBdr>
          <w:top w:val="single" w:sz="4" w:space="1" w:color="auto"/>
          <w:left w:val="single" w:sz="4" w:space="4" w:color="auto"/>
          <w:bottom w:val="single" w:sz="4" w:space="1" w:color="auto"/>
          <w:right w:val="single" w:sz="4" w:space="4" w:color="auto"/>
        </w:pBdr>
        <w:suppressAutoHyphens/>
        <w:spacing w:after="0" w:line="260" w:lineRule="auto"/>
        <w:jc w:val="both"/>
        <w:rPr>
          <w:rFonts w:ascii="Times New Roman" w:eastAsia="Times New Roman" w:hAnsi="Times New Roman" w:cs="Times New Roman"/>
          <w:sz w:val="20"/>
          <w:szCs w:val="20"/>
          <w:lang w:val="en-US" w:eastAsia="ar-SA"/>
        </w:rPr>
      </w:pPr>
      <w:r w:rsidRPr="00E348B8">
        <w:rPr>
          <w:rFonts w:ascii="Times New Roman" w:eastAsia="Times New Roman" w:hAnsi="Times New Roman" w:cs="Times New Roman"/>
          <w:b/>
          <w:sz w:val="20"/>
          <w:szCs w:val="20"/>
          <w:lang w:val="en-US" w:eastAsia="ar-SA"/>
        </w:rPr>
        <w:t>Twitter :</w:t>
      </w:r>
      <w:r w:rsidRPr="00E348B8">
        <w:rPr>
          <w:rFonts w:ascii="Times New Roman" w:eastAsia="Times New Roman" w:hAnsi="Times New Roman" w:cs="Times New Roman"/>
          <w:sz w:val="20"/>
          <w:szCs w:val="20"/>
          <w:lang w:val="en-GB" w:eastAsia="ar-SA"/>
        </w:rPr>
        <w:t xml:space="preserve"> </w:t>
      </w:r>
      <w:r w:rsidRPr="00E348B8">
        <w:rPr>
          <w:rFonts w:ascii="Times New Roman" w:eastAsia="Times New Roman" w:hAnsi="Times New Roman" w:cs="Times New Roman"/>
          <w:sz w:val="20"/>
          <w:szCs w:val="20"/>
          <w:lang w:val="en-US" w:eastAsia="ar-SA"/>
        </w:rPr>
        <w:t>@INSOLEurope</w:t>
      </w:r>
    </w:p>
    <w:p w:rsidR="003B5B5D" w:rsidRPr="00E348B8" w:rsidRDefault="003B5B5D" w:rsidP="00377C4B">
      <w:pPr>
        <w:pBdr>
          <w:top w:val="single" w:sz="4" w:space="1" w:color="auto"/>
          <w:left w:val="single" w:sz="4" w:space="4" w:color="auto"/>
          <w:bottom w:val="single" w:sz="4" w:space="1" w:color="auto"/>
          <w:right w:val="single" w:sz="4" w:space="4" w:color="auto"/>
        </w:pBdr>
        <w:suppressAutoHyphens/>
        <w:spacing w:after="0" w:line="240" w:lineRule="auto"/>
        <w:jc w:val="both"/>
        <w:rPr>
          <w:rFonts w:ascii="Times New Roman" w:eastAsia="Times New Roman" w:hAnsi="Times New Roman" w:cs="Times New Roman"/>
          <w:b/>
          <w:sz w:val="20"/>
          <w:szCs w:val="20"/>
          <w:lang w:eastAsia="ar-SA"/>
        </w:rPr>
      </w:pPr>
      <w:r w:rsidRPr="00E348B8">
        <w:rPr>
          <w:rFonts w:ascii="Times New Roman" w:eastAsia="Times New Roman" w:hAnsi="Times New Roman" w:cs="Times New Roman"/>
          <w:b/>
          <w:sz w:val="20"/>
          <w:szCs w:val="20"/>
          <w:lang w:eastAsia="ar-SA"/>
        </w:rPr>
        <w:t xml:space="preserve">Glossaires </w:t>
      </w:r>
      <w:hyperlink r:id="rId80" w:history="1">
        <w:r w:rsidRPr="00E348B8">
          <w:rPr>
            <w:rFonts w:ascii="Times New Roman" w:eastAsia="Times New Roman" w:hAnsi="Times New Roman" w:cs="Times New Roman"/>
            <w:color w:val="0000FF"/>
            <w:sz w:val="20"/>
            <w:szCs w:val="20"/>
            <w:u w:val="single"/>
            <w:lang w:eastAsia="ar-SA"/>
          </w:rPr>
          <w:t>http://www.insol-europe.org/technical-content/glossaries/</w:t>
        </w:r>
      </w:hyperlink>
      <w:r w:rsidRPr="00E348B8">
        <w:rPr>
          <w:rFonts w:ascii="Times New Roman" w:eastAsia="Times New Roman" w:hAnsi="Times New Roman" w:cs="Times New Roman"/>
          <w:sz w:val="20"/>
          <w:szCs w:val="20"/>
          <w:lang w:eastAsia="ar-SA"/>
        </w:rPr>
        <w:t xml:space="preserve"> </w:t>
      </w:r>
    </w:p>
    <w:p w:rsidR="003B5B5D" w:rsidRPr="00E348B8" w:rsidRDefault="003B5B5D" w:rsidP="003B5B5D">
      <w:pPr>
        <w:pBdr>
          <w:top w:val="single" w:sz="4" w:space="1" w:color="auto"/>
          <w:left w:val="single" w:sz="4" w:space="4" w:color="auto"/>
          <w:bottom w:val="single" w:sz="4" w:space="1" w:color="auto"/>
          <w:right w:val="single" w:sz="4" w:space="4" w:color="auto"/>
        </w:pBdr>
        <w:suppressAutoHyphens/>
        <w:spacing w:after="0" w:line="260" w:lineRule="auto"/>
        <w:jc w:val="both"/>
        <w:rPr>
          <w:rFonts w:ascii="Times New Roman" w:eastAsia="Times New Roman" w:hAnsi="Times New Roman" w:cs="Times New Roman"/>
          <w:sz w:val="20"/>
          <w:szCs w:val="20"/>
          <w:lang w:eastAsia="ar-SA"/>
        </w:rPr>
      </w:pPr>
      <w:r w:rsidRPr="00E348B8">
        <w:rPr>
          <w:rFonts w:ascii="Times New Roman" w:eastAsia="Times New Roman" w:hAnsi="Times New Roman" w:cs="Times New Roman"/>
          <w:b/>
          <w:sz w:val="20"/>
          <w:szCs w:val="20"/>
          <w:lang w:eastAsia="ar-SA"/>
        </w:rPr>
        <w:t>Resourses</w:t>
      </w:r>
      <w:r w:rsidRPr="00E348B8">
        <w:rPr>
          <w:rFonts w:ascii="Times New Roman" w:eastAsia="Times New Roman" w:hAnsi="Times New Roman" w:cs="Times New Roman"/>
          <w:sz w:val="20"/>
          <w:szCs w:val="20"/>
          <w:lang w:eastAsia="ar-SA"/>
        </w:rPr>
        <w:t xml:space="preserve"> </w:t>
      </w:r>
      <w:hyperlink r:id="rId81" w:history="1">
        <w:r w:rsidRPr="00E348B8">
          <w:rPr>
            <w:rFonts w:ascii="Times New Roman" w:eastAsia="Times New Roman" w:hAnsi="Times New Roman" w:cs="Times New Roman"/>
            <w:color w:val="0000FF"/>
            <w:sz w:val="20"/>
            <w:szCs w:val="20"/>
            <w:u w:val="single"/>
            <w:lang w:eastAsia="ar-SA"/>
          </w:rPr>
          <w:t>www.insol-europe.org/resources</w:t>
        </w:r>
      </w:hyperlink>
    </w:p>
    <w:p w:rsidR="003B5B5D" w:rsidRPr="00E348B8" w:rsidRDefault="003B5B5D" w:rsidP="003B5B5D">
      <w:pPr>
        <w:pBdr>
          <w:top w:val="single" w:sz="4" w:space="1" w:color="auto"/>
          <w:left w:val="single" w:sz="4" w:space="4" w:color="auto"/>
          <w:bottom w:val="single" w:sz="4" w:space="1" w:color="auto"/>
          <w:right w:val="single" w:sz="4" w:space="4" w:color="auto"/>
        </w:pBdr>
        <w:suppressAutoHyphens/>
        <w:spacing w:after="0" w:line="260" w:lineRule="auto"/>
        <w:rPr>
          <w:rFonts w:ascii="Times New Roman" w:eastAsia="Times New Roman" w:hAnsi="Times New Roman" w:cs="Times New Roman"/>
          <w:sz w:val="20"/>
          <w:szCs w:val="20"/>
          <w:lang w:eastAsia="ar-SA"/>
        </w:rPr>
      </w:pPr>
      <w:r w:rsidRPr="00E348B8">
        <w:rPr>
          <w:rFonts w:ascii="Times New Roman" w:eastAsia="Times New Roman" w:hAnsi="Times New Roman" w:cs="Times New Roman"/>
          <w:b/>
          <w:sz w:val="20"/>
          <w:szCs w:val="20"/>
          <w:lang w:eastAsia="ar-SA"/>
        </w:rPr>
        <w:t xml:space="preserve">Nouvelles lois sur l’insolvabilité </w:t>
      </w:r>
      <w:r w:rsidRPr="00E348B8">
        <w:rPr>
          <w:rFonts w:ascii="Times New Roman" w:eastAsia="Times New Roman" w:hAnsi="Times New Roman" w:cs="Times New Roman"/>
          <w:b/>
          <w:sz w:val="20"/>
          <w:szCs w:val="20"/>
          <w:lang w:eastAsia="ar-SA"/>
        </w:rPr>
        <w:br/>
      </w:r>
      <w:hyperlink r:id="rId82" w:history="1">
        <w:r w:rsidRPr="00E348B8">
          <w:rPr>
            <w:rFonts w:ascii="Times New Roman" w:eastAsia="Times New Roman" w:hAnsi="Times New Roman" w:cs="Times New Roman"/>
            <w:color w:val="0000FF"/>
            <w:sz w:val="20"/>
            <w:szCs w:val="20"/>
            <w:u w:val="single"/>
            <w:lang w:eastAsia="ar-SA"/>
          </w:rPr>
          <w:t>www.insol-europe.org/technical-content/updated-insolvency-laws</w:t>
        </w:r>
      </w:hyperlink>
    </w:p>
    <w:p w:rsidR="003B5B5D" w:rsidRPr="00E348B8" w:rsidRDefault="003B5B5D" w:rsidP="003B5B5D">
      <w:pPr>
        <w:pBdr>
          <w:top w:val="single" w:sz="4" w:space="1" w:color="auto"/>
          <w:left w:val="single" w:sz="4" w:space="4" w:color="auto"/>
          <w:bottom w:val="single" w:sz="4" w:space="1" w:color="auto"/>
          <w:right w:val="single" w:sz="4" w:space="4" w:color="auto"/>
        </w:pBdr>
        <w:suppressAutoHyphens/>
        <w:spacing w:after="0" w:line="260" w:lineRule="auto"/>
        <w:jc w:val="both"/>
        <w:rPr>
          <w:rFonts w:ascii="Times New Roman" w:eastAsia="Times New Roman" w:hAnsi="Times New Roman" w:cs="Times New Roman"/>
          <w:b/>
          <w:sz w:val="20"/>
          <w:szCs w:val="20"/>
          <w:lang w:eastAsia="ar-SA"/>
        </w:rPr>
      </w:pPr>
      <w:r w:rsidRPr="00E348B8">
        <w:rPr>
          <w:rFonts w:ascii="Times New Roman" w:eastAsia="Times New Roman" w:hAnsi="Times New Roman" w:cs="Times New Roman"/>
          <w:b/>
          <w:sz w:val="20"/>
          <w:szCs w:val="20"/>
          <w:lang w:eastAsia="ar-SA"/>
        </w:rPr>
        <w:t xml:space="preserve">Rapports nationaux </w:t>
      </w:r>
    </w:p>
    <w:p w:rsidR="003B5B5D" w:rsidRPr="00E348B8" w:rsidRDefault="009A1930" w:rsidP="003B5B5D">
      <w:pPr>
        <w:pBdr>
          <w:top w:val="single" w:sz="4" w:space="1" w:color="auto"/>
          <w:left w:val="single" w:sz="4" w:space="4" w:color="auto"/>
          <w:bottom w:val="single" w:sz="4" w:space="1" w:color="auto"/>
          <w:right w:val="single" w:sz="4" w:space="4" w:color="auto"/>
        </w:pBdr>
        <w:suppressAutoHyphens/>
        <w:spacing w:after="0" w:line="260" w:lineRule="auto"/>
        <w:jc w:val="both"/>
        <w:rPr>
          <w:rFonts w:ascii="Times New Roman" w:eastAsia="Times New Roman" w:hAnsi="Times New Roman" w:cs="Times New Roman"/>
          <w:sz w:val="20"/>
          <w:szCs w:val="20"/>
          <w:lang w:eastAsia="ar-SA"/>
        </w:rPr>
      </w:pPr>
      <w:hyperlink r:id="rId83" w:history="1">
        <w:r w:rsidR="003B5B5D" w:rsidRPr="00E348B8">
          <w:rPr>
            <w:rFonts w:ascii="Times New Roman" w:eastAsia="Times New Roman" w:hAnsi="Times New Roman" w:cs="Times New Roman"/>
            <w:color w:val="0000FF"/>
            <w:sz w:val="20"/>
            <w:szCs w:val="20"/>
            <w:u w:val="single"/>
            <w:lang w:eastAsia="ar-SA"/>
          </w:rPr>
          <w:t>www.insol-europe.org/technical-content/state-reports</w:t>
        </w:r>
      </w:hyperlink>
    </w:p>
    <w:p w:rsidR="003B5B5D" w:rsidRPr="00E348B8" w:rsidRDefault="003B5B5D" w:rsidP="003B5B5D">
      <w:pPr>
        <w:pBdr>
          <w:top w:val="single" w:sz="4" w:space="1" w:color="auto"/>
          <w:left w:val="single" w:sz="4" w:space="4" w:color="auto"/>
          <w:bottom w:val="single" w:sz="4" w:space="1" w:color="auto"/>
          <w:right w:val="single" w:sz="4" w:space="4" w:color="auto"/>
        </w:pBdr>
        <w:suppressAutoHyphens/>
        <w:spacing w:after="0" w:line="260" w:lineRule="auto"/>
        <w:jc w:val="both"/>
        <w:rPr>
          <w:rFonts w:ascii="Times New Roman" w:eastAsia="Times New Roman" w:hAnsi="Times New Roman" w:cs="Times New Roman"/>
          <w:b/>
          <w:sz w:val="20"/>
          <w:szCs w:val="20"/>
          <w:lang w:eastAsia="ar-SA"/>
        </w:rPr>
      </w:pPr>
      <w:r w:rsidRPr="00E348B8">
        <w:rPr>
          <w:rFonts w:ascii="Times New Roman" w:eastAsia="Times New Roman" w:hAnsi="Times New Roman" w:cs="Times New Roman"/>
          <w:b/>
          <w:sz w:val="20"/>
          <w:szCs w:val="20"/>
          <w:lang w:eastAsia="ar-SA"/>
        </w:rPr>
        <w:t xml:space="preserve">Comment devenir praticien de l’insolvabilité en Europe ? </w:t>
      </w:r>
    </w:p>
    <w:p w:rsidR="003B5B5D" w:rsidRPr="00E348B8" w:rsidRDefault="009A1930" w:rsidP="003B5B5D">
      <w:pPr>
        <w:pBdr>
          <w:top w:val="single" w:sz="4" w:space="1" w:color="auto"/>
          <w:left w:val="single" w:sz="4" w:space="4" w:color="auto"/>
          <w:bottom w:val="single" w:sz="4" w:space="1" w:color="auto"/>
          <w:right w:val="single" w:sz="4" w:space="4" w:color="auto"/>
        </w:pBdr>
        <w:suppressAutoHyphens/>
        <w:spacing w:after="0" w:line="260" w:lineRule="auto"/>
        <w:jc w:val="both"/>
        <w:rPr>
          <w:rFonts w:ascii="Times New Roman" w:eastAsia="Times New Roman" w:hAnsi="Times New Roman" w:cs="Times New Roman"/>
          <w:sz w:val="20"/>
          <w:szCs w:val="20"/>
          <w:lang w:eastAsia="ar-SA"/>
        </w:rPr>
      </w:pPr>
      <w:hyperlink r:id="rId84" w:history="1">
        <w:r w:rsidR="003B5B5D" w:rsidRPr="00E348B8">
          <w:rPr>
            <w:rFonts w:ascii="Times New Roman" w:eastAsia="Times New Roman" w:hAnsi="Times New Roman" w:cs="Times New Roman"/>
            <w:color w:val="0000FF"/>
            <w:sz w:val="20"/>
            <w:szCs w:val="20"/>
            <w:u w:val="single"/>
            <w:lang w:eastAsia="ar-SA"/>
          </w:rPr>
          <w:t>www.insol-europe.org/technical-content/how-to-become-an-insolvency-practitioner-across-europe</w:t>
        </w:r>
      </w:hyperlink>
    </w:p>
    <w:p w:rsidR="003B5B5D" w:rsidRPr="00E348B8" w:rsidRDefault="003B5B5D" w:rsidP="003B5B5D">
      <w:pPr>
        <w:pBdr>
          <w:top w:val="single" w:sz="4" w:space="1" w:color="auto"/>
          <w:left w:val="single" w:sz="4" w:space="4" w:color="auto"/>
          <w:bottom w:val="single" w:sz="4" w:space="1" w:color="auto"/>
          <w:right w:val="single" w:sz="4" w:space="4" w:color="auto"/>
        </w:pBdr>
        <w:suppressAutoHyphens/>
        <w:spacing w:after="0" w:line="260" w:lineRule="auto"/>
        <w:jc w:val="both"/>
        <w:rPr>
          <w:rFonts w:ascii="Times New Roman" w:eastAsia="Times New Roman" w:hAnsi="Times New Roman" w:cs="Times New Roman"/>
          <w:b/>
          <w:sz w:val="20"/>
          <w:szCs w:val="20"/>
          <w:lang w:eastAsia="ar-SA"/>
        </w:rPr>
      </w:pPr>
      <w:r w:rsidRPr="00E348B8">
        <w:rPr>
          <w:rFonts w:ascii="Times New Roman" w:eastAsia="Times New Roman" w:hAnsi="Times New Roman" w:cs="Times New Roman"/>
          <w:b/>
          <w:sz w:val="20"/>
          <w:szCs w:val="20"/>
          <w:lang w:eastAsia="ar-SA"/>
        </w:rPr>
        <w:t xml:space="preserve">Statistiques nationales en matière d’insolvabilité </w:t>
      </w:r>
    </w:p>
    <w:p w:rsidR="003B5B5D" w:rsidRPr="00E348B8" w:rsidRDefault="009A1930" w:rsidP="003B5B5D">
      <w:pPr>
        <w:pBdr>
          <w:top w:val="single" w:sz="4" w:space="1" w:color="auto"/>
          <w:left w:val="single" w:sz="4" w:space="4" w:color="auto"/>
          <w:bottom w:val="single" w:sz="4" w:space="1" w:color="auto"/>
          <w:right w:val="single" w:sz="4" w:space="4" w:color="auto"/>
        </w:pBdr>
        <w:suppressAutoHyphens/>
        <w:spacing w:after="0" w:line="260" w:lineRule="auto"/>
        <w:jc w:val="both"/>
        <w:rPr>
          <w:rFonts w:ascii="Times New Roman" w:eastAsia="Times New Roman" w:hAnsi="Times New Roman" w:cs="Times New Roman"/>
          <w:sz w:val="20"/>
          <w:szCs w:val="20"/>
          <w:lang w:eastAsia="ar-SA"/>
        </w:rPr>
      </w:pPr>
      <w:hyperlink r:id="rId85" w:history="1">
        <w:r w:rsidR="003B5B5D" w:rsidRPr="00E348B8">
          <w:rPr>
            <w:rFonts w:ascii="Times New Roman" w:eastAsia="Times New Roman" w:hAnsi="Times New Roman" w:cs="Times New Roman"/>
            <w:color w:val="0000FF"/>
            <w:sz w:val="20"/>
            <w:szCs w:val="20"/>
            <w:u w:val="single"/>
            <w:lang w:eastAsia="ar-SA"/>
          </w:rPr>
          <w:t>www.insol-europe.org/technical-content/national-insolvency-statistics</w:t>
        </w:r>
      </w:hyperlink>
    </w:p>
    <w:p w:rsidR="003B5B5D" w:rsidRPr="00E348B8" w:rsidRDefault="003B5B5D" w:rsidP="003B5B5D">
      <w:pPr>
        <w:pBdr>
          <w:top w:val="single" w:sz="4" w:space="1" w:color="auto"/>
          <w:left w:val="single" w:sz="4" w:space="4" w:color="auto"/>
          <w:bottom w:val="single" w:sz="4" w:space="1" w:color="auto"/>
          <w:right w:val="single" w:sz="4" w:space="4" w:color="auto"/>
        </w:pBdr>
        <w:suppressAutoHyphens/>
        <w:spacing w:after="0" w:line="260" w:lineRule="auto"/>
        <w:jc w:val="both"/>
        <w:rPr>
          <w:rFonts w:ascii="Times New Roman" w:eastAsia="Times New Roman" w:hAnsi="Times New Roman" w:cs="Times New Roman"/>
          <w:b/>
          <w:sz w:val="20"/>
          <w:szCs w:val="20"/>
          <w:lang w:eastAsia="ar-SA"/>
        </w:rPr>
      </w:pPr>
      <w:r w:rsidRPr="00E348B8">
        <w:rPr>
          <w:rFonts w:ascii="Times New Roman" w:eastAsia="Times New Roman" w:hAnsi="Times New Roman" w:cs="Times New Roman"/>
          <w:b/>
          <w:sz w:val="20"/>
          <w:szCs w:val="20"/>
          <w:lang w:eastAsia="ar-SA"/>
        </w:rPr>
        <w:t xml:space="preserve">Jurisprudence nationale </w:t>
      </w:r>
    </w:p>
    <w:p w:rsidR="003B5B5D" w:rsidRPr="00E348B8" w:rsidRDefault="009A1930" w:rsidP="003B5B5D">
      <w:pPr>
        <w:pBdr>
          <w:top w:val="single" w:sz="4" w:space="1" w:color="auto"/>
          <w:left w:val="single" w:sz="4" w:space="4" w:color="auto"/>
          <w:bottom w:val="single" w:sz="4" w:space="1" w:color="auto"/>
          <w:right w:val="single" w:sz="4" w:space="4" w:color="auto"/>
        </w:pBdr>
        <w:suppressAutoHyphens/>
        <w:spacing w:after="0" w:line="260" w:lineRule="auto"/>
        <w:jc w:val="both"/>
        <w:rPr>
          <w:rFonts w:ascii="Times New Roman" w:eastAsia="Times New Roman" w:hAnsi="Times New Roman" w:cs="Times New Roman"/>
          <w:sz w:val="20"/>
          <w:szCs w:val="20"/>
          <w:lang w:eastAsia="ar-SA"/>
        </w:rPr>
      </w:pPr>
      <w:hyperlink r:id="rId86" w:history="1">
        <w:r w:rsidR="003B5B5D" w:rsidRPr="00E348B8">
          <w:rPr>
            <w:rFonts w:ascii="Times New Roman" w:eastAsia="Times New Roman" w:hAnsi="Times New Roman" w:cs="Times New Roman"/>
            <w:color w:val="0000FF"/>
            <w:sz w:val="20"/>
            <w:szCs w:val="20"/>
            <w:u w:val="single"/>
            <w:lang w:eastAsia="ar-SA"/>
          </w:rPr>
          <w:t>www.insol-europe.org/technical-content/national-case-law</w:t>
        </w:r>
      </w:hyperlink>
    </w:p>
    <w:p w:rsidR="003B5B5D" w:rsidRPr="00E348B8" w:rsidRDefault="003B5B5D" w:rsidP="003B5B5D">
      <w:pPr>
        <w:pBdr>
          <w:top w:val="single" w:sz="4" w:space="1" w:color="auto"/>
          <w:left w:val="single" w:sz="4" w:space="4" w:color="auto"/>
          <w:bottom w:val="single" w:sz="4" w:space="1" w:color="auto"/>
          <w:right w:val="single" w:sz="4" w:space="4" w:color="auto"/>
        </w:pBdr>
        <w:suppressAutoHyphens/>
        <w:spacing w:after="0" w:line="260" w:lineRule="auto"/>
        <w:jc w:val="both"/>
        <w:rPr>
          <w:rFonts w:ascii="Times New Roman" w:eastAsia="Times New Roman" w:hAnsi="Times New Roman" w:cs="Times New Roman"/>
          <w:b/>
          <w:sz w:val="20"/>
          <w:szCs w:val="20"/>
          <w:lang w:eastAsia="ar-SA"/>
        </w:rPr>
      </w:pPr>
      <w:r w:rsidRPr="00E348B8">
        <w:rPr>
          <w:rFonts w:ascii="Times New Roman" w:eastAsia="Times New Roman" w:hAnsi="Times New Roman" w:cs="Times New Roman"/>
          <w:b/>
          <w:sz w:val="20"/>
          <w:szCs w:val="20"/>
          <w:lang w:eastAsia="ar-SA"/>
        </w:rPr>
        <w:t xml:space="preserve">Processus de réforme du REI </w:t>
      </w:r>
    </w:p>
    <w:p w:rsidR="003B5B5D" w:rsidRPr="00E348B8" w:rsidRDefault="009A1930" w:rsidP="003B5B5D">
      <w:pPr>
        <w:pBdr>
          <w:top w:val="single" w:sz="4" w:space="1" w:color="auto"/>
          <w:left w:val="single" w:sz="4" w:space="4" w:color="auto"/>
          <w:bottom w:val="single" w:sz="4" w:space="1" w:color="auto"/>
          <w:right w:val="single" w:sz="4" w:space="4" w:color="auto"/>
        </w:pBdr>
        <w:suppressAutoHyphens/>
        <w:spacing w:after="0" w:line="260" w:lineRule="auto"/>
        <w:jc w:val="both"/>
        <w:rPr>
          <w:rFonts w:ascii="Times New Roman" w:eastAsia="Times New Roman" w:hAnsi="Times New Roman" w:cs="Times New Roman"/>
          <w:sz w:val="20"/>
          <w:szCs w:val="20"/>
          <w:lang w:eastAsia="ar-SA"/>
        </w:rPr>
      </w:pPr>
      <w:hyperlink r:id="rId87" w:history="1">
        <w:r w:rsidR="003B5B5D" w:rsidRPr="00E348B8">
          <w:rPr>
            <w:rFonts w:ascii="Times New Roman" w:eastAsia="Times New Roman" w:hAnsi="Times New Roman" w:cs="Times New Roman"/>
            <w:color w:val="0000FF"/>
            <w:sz w:val="20"/>
            <w:szCs w:val="20"/>
            <w:u w:val="single"/>
            <w:lang w:eastAsia="ar-SA"/>
          </w:rPr>
          <w:t>www.insol-europe.org/technical-content/eir-reform-process</w:t>
        </w:r>
      </w:hyperlink>
    </w:p>
    <w:p w:rsidR="003B5B5D" w:rsidRPr="00E348B8" w:rsidRDefault="003B5B5D" w:rsidP="003B5B5D">
      <w:pPr>
        <w:pBdr>
          <w:top w:val="single" w:sz="4" w:space="1" w:color="auto"/>
          <w:left w:val="single" w:sz="4" w:space="4" w:color="auto"/>
          <w:bottom w:val="single" w:sz="4" w:space="1" w:color="auto"/>
          <w:right w:val="single" w:sz="4" w:space="4" w:color="auto"/>
        </w:pBdr>
        <w:suppressAutoHyphens/>
        <w:spacing w:after="0" w:line="260" w:lineRule="auto"/>
        <w:jc w:val="both"/>
        <w:rPr>
          <w:rFonts w:ascii="Times New Roman" w:eastAsia="Times New Roman" w:hAnsi="Times New Roman" w:cs="Times New Roman"/>
          <w:b/>
          <w:sz w:val="20"/>
          <w:szCs w:val="20"/>
          <w:lang w:eastAsia="ar-SA"/>
        </w:rPr>
      </w:pPr>
      <w:r w:rsidRPr="00E348B8">
        <w:rPr>
          <w:rFonts w:ascii="Times New Roman" w:eastAsia="Times New Roman" w:hAnsi="Times New Roman" w:cs="Times New Roman"/>
          <w:b/>
          <w:sz w:val="20"/>
          <w:szCs w:val="20"/>
          <w:lang w:eastAsia="ar-SA"/>
        </w:rPr>
        <w:t xml:space="preserve">Registre des affaires fondées sur le règlement européen sur l’insolvabilité </w:t>
      </w:r>
    </w:p>
    <w:p w:rsidR="003B5B5D" w:rsidRDefault="009A1930" w:rsidP="003B5B5D">
      <w:pPr>
        <w:pBdr>
          <w:top w:val="single" w:sz="4" w:space="1" w:color="auto"/>
          <w:left w:val="single" w:sz="4" w:space="4" w:color="auto"/>
          <w:bottom w:val="single" w:sz="4" w:space="1" w:color="auto"/>
          <w:right w:val="single" w:sz="4" w:space="4" w:color="auto"/>
        </w:pBdr>
        <w:suppressAutoHyphens/>
        <w:spacing w:after="0" w:line="260" w:lineRule="auto"/>
        <w:jc w:val="both"/>
        <w:rPr>
          <w:rFonts w:ascii="Times New Roman" w:hAnsi="Times New Roman" w:cs="Times New Roman"/>
          <w:sz w:val="20"/>
          <w:szCs w:val="20"/>
        </w:rPr>
      </w:pPr>
      <w:hyperlink r:id="rId88" w:history="1">
        <w:r w:rsidR="003B5B5D" w:rsidRPr="00E348B8">
          <w:rPr>
            <w:rFonts w:ascii="Times New Roman" w:eastAsia="Times New Roman" w:hAnsi="Times New Roman" w:cs="Times New Roman"/>
            <w:color w:val="0000FF"/>
            <w:sz w:val="20"/>
            <w:szCs w:val="20"/>
            <w:u w:val="single"/>
            <w:lang w:eastAsia="ar-SA"/>
          </w:rPr>
          <w:t>www.insolvencycases.eu</w:t>
        </w:r>
      </w:hyperlink>
      <w:r w:rsidR="00E348B8">
        <w:rPr>
          <w:rFonts w:ascii="Times New Roman" w:eastAsia="Times New Roman" w:hAnsi="Times New Roman" w:cs="Times New Roman"/>
          <w:color w:val="0000FF"/>
          <w:sz w:val="20"/>
          <w:szCs w:val="20"/>
          <w:u w:val="single"/>
          <w:lang w:eastAsia="ar-SA"/>
        </w:rPr>
        <w:t xml:space="preserve">; </w:t>
      </w:r>
      <w:hyperlink r:id="rId89" w:history="1">
        <w:r w:rsidR="00E348B8" w:rsidRPr="006E480C">
          <w:rPr>
            <w:rStyle w:val="Lienhypertexte"/>
            <w:rFonts w:ascii="Times New Roman" w:hAnsi="Times New Roman" w:cs="Times New Roman"/>
            <w:sz w:val="20"/>
            <w:szCs w:val="20"/>
          </w:rPr>
          <w:t>http://tinyurl.com/y7tf2zc4</w:t>
        </w:r>
      </w:hyperlink>
    </w:p>
    <w:p w:rsidR="00E348B8" w:rsidRPr="00E348B8" w:rsidRDefault="00E348B8" w:rsidP="003B5B5D">
      <w:pPr>
        <w:pBdr>
          <w:top w:val="single" w:sz="4" w:space="1" w:color="auto"/>
          <w:left w:val="single" w:sz="4" w:space="4" w:color="auto"/>
          <w:bottom w:val="single" w:sz="4" w:space="1" w:color="auto"/>
          <w:right w:val="single" w:sz="4" w:space="4" w:color="auto"/>
        </w:pBdr>
        <w:suppressAutoHyphens/>
        <w:spacing w:after="0" w:line="260" w:lineRule="auto"/>
        <w:jc w:val="both"/>
        <w:rPr>
          <w:rFonts w:ascii="Times New Roman" w:eastAsia="Times New Roman" w:hAnsi="Times New Roman" w:cs="Times New Roman"/>
          <w:sz w:val="20"/>
          <w:szCs w:val="20"/>
          <w:lang w:eastAsia="ar-SA"/>
        </w:rPr>
      </w:pPr>
    </w:p>
    <w:p w:rsidR="003B5B5D" w:rsidRPr="00E348B8" w:rsidRDefault="003B5B5D" w:rsidP="003B5B5D">
      <w:pPr>
        <w:pBdr>
          <w:top w:val="single" w:sz="4" w:space="1" w:color="auto"/>
          <w:left w:val="single" w:sz="4" w:space="4" w:color="auto"/>
          <w:bottom w:val="single" w:sz="4" w:space="1" w:color="auto"/>
          <w:right w:val="single" w:sz="4" w:space="4" w:color="auto"/>
        </w:pBdr>
        <w:suppressAutoHyphens/>
        <w:spacing w:after="0" w:line="260" w:lineRule="auto"/>
        <w:jc w:val="both"/>
        <w:rPr>
          <w:rFonts w:ascii="Times New Roman" w:eastAsia="Times New Roman" w:hAnsi="Times New Roman" w:cs="Times New Roman"/>
          <w:b/>
          <w:sz w:val="20"/>
          <w:szCs w:val="20"/>
          <w:lang w:eastAsia="ar-SA"/>
        </w:rPr>
      </w:pPr>
      <w:r w:rsidRPr="00E348B8">
        <w:rPr>
          <w:rFonts w:ascii="Times New Roman" w:eastAsia="Times New Roman" w:hAnsi="Times New Roman" w:cs="Times New Roman"/>
          <w:b/>
          <w:sz w:val="20"/>
          <w:szCs w:val="20"/>
          <w:lang w:eastAsia="ar-SA"/>
        </w:rPr>
        <w:t>Etudes INSOL-Europe</w:t>
      </w:r>
    </w:p>
    <w:p w:rsidR="003B5B5D" w:rsidRPr="00E348B8" w:rsidRDefault="009A1930" w:rsidP="003B5B5D">
      <w:pPr>
        <w:pBdr>
          <w:top w:val="single" w:sz="4" w:space="1" w:color="auto"/>
          <w:left w:val="single" w:sz="4" w:space="4" w:color="auto"/>
          <w:bottom w:val="single" w:sz="4" w:space="1" w:color="auto"/>
          <w:right w:val="single" w:sz="4" w:space="4" w:color="auto"/>
        </w:pBdr>
        <w:suppressAutoHyphens/>
        <w:spacing w:after="0" w:line="260" w:lineRule="auto"/>
        <w:jc w:val="both"/>
        <w:rPr>
          <w:rFonts w:ascii="Times New Roman" w:eastAsia="Times New Roman" w:hAnsi="Times New Roman" w:cs="Times New Roman"/>
          <w:sz w:val="20"/>
          <w:szCs w:val="20"/>
          <w:lang w:eastAsia="ar-SA"/>
        </w:rPr>
      </w:pPr>
      <w:hyperlink r:id="rId90" w:history="1">
        <w:r w:rsidR="003B5B5D" w:rsidRPr="00E348B8">
          <w:rPr>
            <w:rFonts w:ascii="Times New Roman" w:eastAsia="Times New Roman" w:hAnsi="Times New Roman" w:cs="Times New Roman"/>
            <w:color w:val="0000FF"/>
            <w:sz w:val="20"/>
            <w:szCs w:val="20"/>
            <w:u w:val="single"/>
            <w:lang w:eastAsia="ar-SA"/>
          </w:rPr>
          <w:t>www.insol-europe.org/technical-content/insol-europe-studies</w:t>
        </w:r>
      </w:hyperlink>
    </w:p>
    <w:p w:rsidR="003B5B5D" w:rsidRPr="00E348B8" w:rsidRDefault="003B5B5D" w:rsidP="003B5B5D">
      <w:pPr>
        <w:pBdr>
          <w:top w:val="single" w:sz="4" w:space="1" w:color="auto"/>
          <w:left w:val="single" w:sz="4" w:space="4" w:color="auto"/>
          <w:bottom w:val="single" w:sz="4" w:space="1" w:color="auto"/>
          <w:right w:val="single" w:sz="4" w:space="4" w:color="auto"/>
        </w:pBdr>
        <w:suppressAutoHyphens/>
        <w:spacing w:after="0" w:line="260" w:lineRule="auto"/>
        <w:jc w:val="both"/>
        <w:rPr>
          <w:rFonts w:ascii="Times New Roman" w:eastAsia="Times New Roman" w:hAnsi="Times New Roman" w:cs="Times New Roman"/>
          <w:b/>
          <w:sz w:val="20"/>
          <w:szCs w:val="20"/>
          <w:lang w:eastAsia="ar-SA"/>
        </w:rPr>
      </w:pPr>
      <w:r w:rsidRPr="00E348B8">
        <w:rPr>
          <w:rFonts w:ascii="Times New Roman" w:eastAsia="Times New Roman" w:hAnsi="Times New Roman" w:cs="Times New Roman"/>
          <w:b/>
          <w:sz w:val="20"/>
          <w:szCs w:val="20"/>
          <w:lang w:eastAsia="ar-SA"/>
        </w:rPr>
        <w:t>Groupes de travail</w:t>
      </w:r>
    </w:p>
    <w:p w:rsidR="003B5B5D" w:rsidRPr="00E348B8" w:rsidRDefault="009A1930" w:rsidP="003B5B5D">
      <w:pPr>
        <w:pBdr>
          <w:top w:val="single" w:sz="4" w:space="1" w:color="auto"/>
          <w:left w:val="single" w:sz="4" w:space="4" w:color="auto"/>
          <w:bottom w:val="single" w:sz="4" w:space="1" w:color="auto"/>
          <w:right w:val="single" w:sz="4" w:space="4" w:color="auto"/>
        </w:pBdr>
        <w:suppressAutoHyphens/>
        <w:spacing w:after="0" w:line="260" w:lineRule="auto"/>
        <w:jc w:val="both"/>
        <w:rPr>
          <w:rFonts w:ascii="Times New Roman" w:eastAsia="Times New Roman" w:hAnsi="Times New Roman" w:cs="Times New Roman"/>
          <w:sz w:val="20"/>
          <w:szCs w:val="20"/>
          <w:lang w:eastAsia="ar-SA"/>
        </w:rPr>
      </w:pPr>
      <w:hyperlink r:id="rId91" w:history="1">
        <w:r w:rsidR="003B5B5D" w:rsidRPr="00E348B8">
          <w:rPr>
            <w:rFonts w:ascii="Times New Roman" w:eastAsia="Times New Roman" w:hAnsi="Times New Roman" w:cs="Times New Roman"/>
            <w:color w:val="0000FF"/>
            <w:sz w:val="20"/>
            <w:szCs w:val="20"/>
            <w:u w:val="single"/>
            <w:lang w:eastAsia="ar-SA"/>
          </w:rPr>
          <w:t>www.insol-europe.org/about-us/about-our-working-groups</w:t>
        </w:r>
      </w:hyperlink>
    </w:p>
    <w:p w:rsidR="003B5B5D" w:rsidRPr="00E348B8" w:rsidRDefault="003B5B5D" w:rsidP="003B5B5D">
      <w:pPr>
        <w:pBdr>
          <w:top w:val="single" w:sz="4" w:space="1" w:color="auto"/>
          <w:left w:val="single" w:sz="4" w:space="4" w:color="auto"/>
          <w:bottom w:val="single" w:sz="4" w:space="1" w:color="auto"/>
          <w:right w:val="single" w:sz="4" w:space="4" w:color="auto"/>
        </w:pBdr>
        <w:suppressAutoHyphens/>
        <w:spacing w:after="0" w:line="260" w:lineRule="auto"/>
        <w:jc w:val="center"/>
        <w:rPr>
          <w:rFonts w:ascii="Times New Roman" w:eastAsia="Times New Roman" w:hAnsi="Times New Roman" w:cs="Times New Roman"/>
          <w:sz w:val="20"/>
          <w:szCs w:val="20"/>
          <w:lang w:eastAsia="ar-SA"/>
        </w:rPr>
      </w:pPr>
    </w:p>
    <w:p w:rsidR="00900169" w:rsidRPr="004E062C" w:rsidRDefault="00900169" w:rsidP="00900169">
      <w:pPr>
        <w:jc w:val="both"/>
        <w:rPr>
          <w:rFonts w:ascii="Arial Narrow" w:hAnsi="Arial Narrow" w:cs="Times New Roman"/>
          <w:caps/>
          <w:sz w:val="24"/>
        </w:rPr>
      </w:pPr>
    </w:p>
    <w:p w:rsidR="004E062C" w:rsidRPr="004E062C" w:rsidRDefault="004E062C" w:rsidP="004E062C">
      <w:pPr>
        <w:rPr>
          <w:rFonts w:ascii="Arial Narrow" w:hAnsi="Arial Narrow" w:cs="Times New Roman"/>
          <w:b/>
          <w:sz w:val="32"/>
          <w:szCs w:val="32"/>
        </w:rPr>
      </w:pPr>
      <w:r w:rsidRPr="004E062C">
        <w:rPr>
          <w:rFonts w:ascii="Arial Narrow" w:hAnsi="Arial Narrow" w:cs="Times New Roman"/>
          <w:b/>
          <w:sz w:val="32"/>
          <w:szCs w:val="32"/>
        </w:rPr>
        <w:lastRenderedPageBreak/>
        <w:t>Nouvelles publications</w:t>
      </w:r>
    </w:p>
    <w:p w:rsidR="00900169" w:rsidRPr="004E062C" w:rsidRDefault="00900169" w:rsidP="004E062C">
      <w:pPr>
        <w:rPr>
          <w:rFonts w:ascii="Times New Roman" w:hAnsi="Times New Roman" w:cs="Times New Roman"/>
          <w:b/>
          <w:sz w:val="40"/>
          <w:szCs w:val="40"/>
        </w:rPr>
      </w:pPr>
      <w:r w:rsidRPr="004E062C">
        <w:rPr>
          <w:rFonts w:ascii="Times New Roman" w:hAnsi="Times New Roman" w:cs="Times New Roman"/>
          <w:b/>
          <w:sz w:val="40"/>
          <w:szCs w:val="40"/>
        </w:rPr>
        <w:t>McPherson et Keay : Le droit de la liquidation d’entreprises (</w:t>
      </w:r>
      <w:r w:rsidRPr="004E062C">
        <w:rPr>
          <w:rFonts w:ascii="Times New Roman" w:hAnsi="Times New Roman" w:cs="Times New Roman"/>
          <w:b/>
          <w:i/>
          <w:sz w:val="40"/>
          <w:szCs w:val="40"/>
        </w:rPr>
        <w:t>The Law of Company Liquidation</w:t>
      </w:r>
      <w:r w:rsidRPr="004E062C">
        <w:rPr>
          <w:rFonts w:ascii="Times New Roman" w:hAnsi="Times New Roman" w:cs="Times New Roman"/>
          <w:b/>
          <w:sz w:val="40"/>
          <w:szCs w:val="40"/>
        </w:rPr>
        <w:t>)</w:t>
      </w:r>
    </w:p>
    <w:p w:rsidR="00900169" w:rsidRPr="004E062C" w:rsidRDefault="00900169" w:rsidP="003517A7">
      <w:pPr>
        <w:rPr>
          <w:rFonts w:ascii="Arial Narrow" w:hAnsi="Arial Narrow" w:cs="Times New Roman"/>
          <w:sz w:val="24"/>
          <w:lang w:val="en-US"/>
        </w:rPr>
      </w:pPr>
      <w:r w:rsidRPr="00900169">
        <w:rPr>
          <w:rFonts w:ascii="Arial Narrow" w:hAnsi="Arial Narrow" w:cs="Times New Roman"/>
          <w:sz w:val="24"/>
          <w:lang w:val="en-US"/>
        </w:rPr>
        <w:t>Andrew Keay (4</w:t>
      </w:r>
      <w:r w:rsidRPr="00900169">
        <w:rPr>
          <w:rFonts w:ascii="Arial Narrow" w:hAnsi="Arial Narrow" w:cs="Times New Roman"/>
          <w:sz w:val="24"/>
          <w:vertAlign w:val="superscript"/>
          <w:lang w:val="en-US"/>
        </w:rPr>
        <w:t>e</w:t>
      </w:r>
      <w:r w:rsidRPr="00900169">
        <w:rPr>
          <w:rFonts w:ascii="Arial Narrow" w:hAnsi="Arial Narrow" w:cs="Times New Roman"/>
          <w:sz w:val="24"/>
          <w:lang w:val="en-US"/>
        </w:rPr>
        <w:t xml:space="preserve"> éd.), 2017, Sweet &amp; Maxwell, Londres, 240 GBP, ISBN 978-0-414-06151-4</w:t>
      </w:r>
    </w:p>
    <w:p w:rsidR="00900169" w:rsidRPr="00900169" w:rsidRDefault="00900169" w:rsidP="00900169">
      <w:pPr>
        <w:jc w:val="both"/>
        <w:rPr>
          <w:rFonts w:ascii="Times New Roman" w:hAnsi="Times New Roman" w:cs="Times New Roman"/>
          <w:sz w:val="24"/>
        </w:rPr>
      </w:pPr>
      <w:r w:rsidRPr="00511B05">
        <w:rPr>
          <w:rFonts w:ascii="Times New Roman" w:hAnsi="Times New Roman" w:cs="Times New Roman"/>
          <w:sz w:val="24"/>
        </w:rPr>
        <w:t>Le McPherson &amp; Keay est tout simplement indispensable à un cercle toujours plus grands de praticiens du droit, juges, fonctionnaires, praticiens de l’insolvabilité et universitaires.</w:t>
      </w:r>
      <w:r w:rsidRPr="00900169">
        <w:rPr>
          <w:rFonts w:ascii="Times New Roman" w:hAnsi="Times New Roman" w:cs="Times New Roman"/>
          <w:sz w:val="24"/>
        </w:rPr>
        <w:t xml:space="preserve"> </w:t>
      </w:r>
      <w:r w:rsidRPr="00511B05">
        <w:rPr>
          <w:rFonts w:ascii="Times New Roman" w:hAnsi="Times New Roman" w:cs="Times New Roman"/>
          <w:sz w:val="24"/>
        </w:rPr>
        <w:t xml:space="preserve">Ce que l’on considérait généralement, il y a moins de deux générations de cela, comme un domaine ennuyeux, voire méprisé, de la pratique juridique, ne présentant aucun intérêt intellectuel et traité intégralement par le biais de textes rédigés par des praticiens </w:t>
      </w:r>
      <w:r>
        <w:rPr>
          <w:rFonts w:ascii="Times New Roman" w:hAnsi="Times New Roman" w:cs="Times New Roman"/>
          <w:sz w:val="24"/>
        </w:rPr>
        <w:t xml:space="preserve">et </w:t>
      </w:r>
      <w:r w:rsidRPr="00511B05">
        <w:rPr>
          <w:rFonts w:ascii="Times New Roman" w:hAnsi="Times New Roman" w:cs="Times New Roman"/>
          <w:sz w:val="24"/>
        </w:rPr>
        <w:t xml:space="preserve">relégués à la fin des ouvrages consacrés au droit des sociétés, s’est développé de manière florissante au-delà de tout ce que l’on </w:t>
      </w:r>
      <w:r>
        <w:rPr>
          <w:rFonts w:ascii="Times New Roman" w:hAnsi="Times New Roman" w:cs="Times New Roman"/>
          <w:sz w:val="24"/>
        </w:rPr>
        <w:t>aurait pu</w:t>
      </w:r>
      <w:r w:rsidRPr="00511B05">
        <w:rPr>
          <w:rFonts w:ascii="Times New Roman" w:hAnsi="Times New Roman" w:cs="Times New Roman"/>
          <w:sz w:val="24"/>
        </w:rPr>
        <w:t xml:space="preserve"> imaginer.</w:t>
      </w:r>
      <w:r w:rsidRPr="00900169">
        <w:rPr>
          <w:rFonts w:ascii="Times New Roman" w:hAnsi="Times New Roman" w:cs="Times New Roman"/>
          <w:sz w:val="24"/>
        </w:rPr>
        <w:t xml:space="preserve"> </w:t>
      </w:r>
      <w:r w:rsidRPr="00511B05">
        <w:rPr>
          <w:rFonts w:ascii="Times New Roman" w:hAnsi="Times New Roman" w:cs="Times New Roman"/>
          <w:sz w:val="24"/>
        </w:rPr>
        <w:t xml:space="preserve">Les praticiens anglais qui souhaitaient ou avaient besoin d’avoir plus de conseils sur les textes législatifs revêches qui régissaient leurs mondes ont </w:t>
      </w:r>
      <w:r>
        <w:rPr>
          <w:rFonts w:ascii="Times New Roman" w:hAnsi="Times New Roman" w:cs="Times New Roman"/>
          <w:sz w:val="24"/>
        </w:rPr>
        <w:t>eu la chance de découvrir</w:t>
      </w:r>
      <w:r w:rsidRPr="00511B05">
        <w:rPr>
          <w:rFonts w:ascii="Times New Roman" w:hAnsi="Times New Roman" w:cs="Times New Roman"/>
          <w:sz w:val="24"/>
        </w:rPr>
        <w:t xml:space="preserve"> le premier ouvrage de </w:t>
      </w:r>
      <w:r w:rsidRPr="00511B05">
        <w:rPr>
          <w:rFonts w:ascii="Times New Roman" w:hAnsi="Times New Roman" w:cs="Times New Roman"/>
          <w:i/>
          <w:sz w:val="24"/>
        </w:rPr>
        <w:t>common law</w:t>
      </w:r>
      <w:r w:rsidRPr="00511B05">
        <w:rPr>
          <w:rFonts w:ascii="Times New Roman" w:hAnsi="Times New Roman" w:cs="Times New Roman"/>
          <w:sz w:val="24"/>
        </w:rPr>
        <w:t xml:space="preserve"> traitant exclusivement de liquidation, Australian Law of Company Liquidation, par </w:t>
      </w:r>
      <w:r w:rsidRPr="004E062C">
        <w:rPr>
          <w:rFonts w:ascii="Times New Roman" w:hAnsi="Times New Roman" w:cs="Times New Roman"/>
          <w:b/>
          <w:sz w:val="24"/>
        </w:rPr>
        <w:t>Bruce McPherson</w:t>
      </w:r>
      <w:r w:rsidRPr="00511B05">
        <w:rPr>
          <w:rFonts w:ascii="Times New Roman" w:hAnsi="Times New Roman" w:cs="Times New Roman"/>
          <w:sz w:val="24"/>
        </w:rPr>
        <w:t>, dont la première édition date de 1968.</w:t>
      </w:r>
    </w:p>
    <w:p w:rsidR="00900169" w:rsidRPr="00900169" w:rsidRDefault="00900169" w:rsidP="00900169">
      <w:pPr>
        <w:jc w:val="both"/>
        <w:rPr>
          <w:rFonts w:ascii="Times New Roman" w:hAnsi="Times New Roman" w:cs="Times New Roman"/>
          <w:sz w:val="24"/>
        </w:rPr>
      </w:pPr>
      <w:r w:rsidRPr="00511B05">
        <w:rPr>
          <w:rFonts w:ascii="Times New Roman" w:hAnsi="Times New Roman" w:cs="Times New Roman"/>
          <w:sz w:val="24"/>
        </w:rPr>
        <w:t xml:space="preserve">Heureusement pour les praticiens anglais, cette publication révolutionnaire était à la fois remarquable et applicable au monde de la </w:t>
      </w:r>
      <w:r w:rsidRPr="00511B05">
        <w:rPr>
          <w:rFonts w:ascii="Times New Roman" w:hAnsi="Times New Roman" w:cs="Times New Roman"/>
          <w:i/>
          <w:sz w:val="24"/>
        </w:rPr>
        <w:t>common law</w:t>
      </w:r>
      <w:r w:rsidRPr="00511B05">
        <w:rPr>
          <w:rFonts w:ascii="Times New Roman" w:hAnsi="Times New Roman" w:cs="Times New Roman"/>
          <w:sz w:val="24"/>
        </w:rPr>
        <w:t xml:space="preserve"> dans son ensemble.</w:t>
      </w:r>
      <w:r w:rsidRPr="00900169">
        <w:rPr>
          <w:rFonts w:ascii="Times New Roman" w:hAnsi="Times New Roman" w:cs="Times New Roman"/>
          <w:sz w:val="24"/>
        </w:rPr>
        <w:t xml:space="preserve"> </w:t>
      </w:r>
      <w:r w:rsidRPr="00511B05">
        <w:rPr>
          <w:rFonts w:ascii="Times New Roman" w:hAnsi="Times New Roman" w:cs="Times New Roman"/>
          <w:sz w:val="24"/>
        </w:rPr>
        <w:t xml:space="preserve">Tout aussi heureusement, </w:t>
      </w:r>
      <w:r w:rsidRPr="004E062C">
        <w:rPr>
          <w:rFonts w:ascii="Times New Roman" w:hAnsi="Times New Roman" w:cs="Times New Roman"/>
          <w:b/>
          <w:sz w:val="24"/>
        </w:rPr>
        <w:t>Andrew Keay</w:t>
      </w:r>
      <w:r w:rsidRPr="00511B05">
        <w:rPr>
          <w:rFonts w:ascii="Times New Roman" w:hAnsi="Times New Roman" w:cs="Times New Roman"/>
          <w:sz w:val="24"/>
        </w:rPr>
        <w:t xml:space="preserve">, formé de manière approfondie à la pratique et à la recherche en Australie et au </w:t>
      </w:r>
      <w:r>
        <w:rPr>
          <w:rFonts w:ascii="Times New Roman" w:hAnsi="Times New Roman" w:cs="Times New Roman"/>
          <w:sz w:val="24"/>
        </w:rPr>
        <w:t>Royaume-Uni,</w:t>
      </w:r>
      <w:r w:rsidRPr="00511B05">
        <w:rPr>
          <w:rFonts w:ascii="Times New Roman" w:hAnsi="Times New Roman" w:cs="Times New Roman"/>
          <w:sz w:val="24"/>
        </w:rPr>
        <w:t xml:space="preserve"> était là pour </w:t>
      </w:r>
      <w:r>
        <w:rPr>
          <w:rFonts w:ascii="Times New Roman" w:hAnsi="Times New Roman" w:cs="Times New Roman"/>
          <w:sz w:val="24"/>
        </w:rPr>
        <w:t>transférer et compléter d’une main de maître</w:t>
      </w:r>
      <w:r w:rsidRPr="00511B05">
        <w:rPr>
          <w:rFonts w:ascii="Times New Roman" w:hAnsi="Times New Roman" w:cs="Times New Roman"/>
          <w:sz w:val="24"/>
        </w:rPr>
        <w:t xml:space="preserve"> la publication de McPherson au Royaume-Uni.</w:t>
      </w:r>
      <w:r w:rsidRPr="00900169">
        <w:rPr>
          <w:rFonts w:ascii="Times New Roman" w:hAnsi="Times New Roman" w:cs="Times New Roman"/>
          <w:sz w:val="24"/>
        </w:rPr>
        <w:t xml:space="preserve"> </w:t>
      </w:r>
      <w:r w:rsidRPr="00511B05">
        <w:rPr>
          <w:rFonts w:ascii="Times New Roman" w:hAnsi="Times New Roman" w:cs="Times New Roman"/>
          <w:sz w:val="24"/>
        </w:rPr>
        <w:t xml:space="preserve">Ce n’était pas mince affaire et il s’en est sorti avec brio, comme en témoigne </w:t>
      </w:r>
      <w:r>
        <w:rPr>
          <w:rFonts w:ascii="Times New Roman" w:hAnsi="Times New Roman" w:cs="Times New Roman"/>
          <w:sz w:val="24"/>
        </w:rPr>
        <w:t>l</w:t>
      </w:r>
      <w:r w:rsidRPr="00511B05">
        <w:rPr>
          <w:rFonts w:ascii="Times New Roman" w:hAnsi="Times New Roman" w:cs="Times New Roman"/>
          <w:sz w:val="24"/>
        </w:rPr>
        <w:t xml:space="preserve">a remarquable </w:t>
      </w:r>
      <w:r>
        <w:rPr>
          <w:rFonts w:ascii="Times New Roman" w:hAnsi="Times New Roman" w:cs="Times New Roman"/>
          <w:sz w:val="24"/>
        </w:rPr>
        <w:t>diffusion de l’ouvrage au sein du</w:t>
      </w:r>
      <w:r w:rsidRPr="00511B05">
        <w:rPr>
          <w:rFonts w:ascii="Times New Roman" w:hAnsi="Times New Roman" w:cs="Times New Roman"/>
          <w:sz w:val="24"/>
        </w:rPr>
        <w:t xml:space="preserve"> cercle des personnes qui s’intéressent à ce domaine</w:t>
      </w:r>
      <w:r>
        <w:rPr>
          <w:rFonts w:ascii="Times New Roman" w:hAnsi="Times New Roman" w:cs="Times New Roman"/>
          <w:sz w:val="24"/>
        </w:rPr>
        <w:t>,</w:t>
      </w:r>
      <w:r w:rsidRPr="00900169">
        <w:rPr>
          <w:rFonts w:ascii="Times New Roman" w:hAnsi="Times New Roman" w:cs="Times New Roman"/>
          <w:sz w:val="24"/>
        </w:rPr>
        <w:t xml:space="preserve"> </w:t>
      </w:r>
      <w:r>
        <w:rPr>
          <w:rFonts w:ascii="Times New Roman" w:hAnsi="Times New Roman" w:cs="Times New Roman"/>
          <w:sz w:val="24"/>
        </w:rPr>
        <w:t xml:space="preserve">qui </w:t>
      </w:r>
      <w:r w:rsidRPr="00511B05">
        <w:rPr>
          <w:rFonts w:ascii="Times New Roman" w:hAnsi="Times New Roman" w:cs="Times New Roman"/>
          <w:sz w:val="24"/>
        </w:rPr>
        <w:t xml:space="preserve">n’est </w:t>
      </w:r>
      <w:r>
        <w:rPr>
          <w:rFonts w:ascii="Times New Roman" w:hAnsi="Times New Roman" w:cs="Times New Roman"/>
          <w:sz w:val="24"/>
        </w:rPr>
        <w:t xml:space="preserve">d’ailleurs </w:t>
      </w:r>
      <w:r w:rsidRPr="00511B05">
        <w:rPr>
          <w:rFonts w:ascii="Times New Roman" w:hAnsi="Times New Roman" w:cs="Times New Roman"/>
          <w:sz w:val="24"/>
        </w:rPr>
        <w:t>plus réservé aux praticiens.</w:t>
      </w:r>
      <w:r w:rsidRPr="00900169">
        <w:rPr>
          <w:rFonts w:ascii="Times New Roman" w:hAnsi="Times New Roman" w:cs="Times New Roman"/>
          <w:sz w:val="24"/>
        </w:rPr>
        <w:t xml:space="preserve"> </w:t>
      </w:r>
      <w:r w:rsidRPr="00511B05">
        <w:rPr>
          <w:rFonts w:ascii="Times New Roman" w:hAnsi="Times New Roman" w:cs="Times New Roman"/>
          <w:sz w:val="24"/>
        </w:rPr>
        <w:t>Les universitaires se sont saisi d’un domaine de recherche qui s’est avéré riche en approches internationales, comparatives et socio-scientifiques.</w:t>
      </w:r>
      <w:r w:rsidRPr="00900169">
        <w:rPr>
          <w:rFonts w:ascii="Times New Roman" w:hAnsi="Times New Roman" w:cs="Times New Roman"/>
          <w:sz w:val="24"/>
        </w:rPr>
        <w:t xml:space="preserve"> </w:t>
      </w:r>
      <w:r w:rsidRPr="00511B05">
        <w:rPr>
          <w:rFonts w:ascii="Times New Roman" w:hAnsi="Times New Roman" w:cs="Times New Roman"/>
          <w:sz w:val="24"/>
        </w:rPr>
        <w:t>Il n’est pas exagéré de dire que cette publication et ces démarches sont à l’origine d’une autre révolution : universitaires et praticiens travaillent ensemble, chaque groupe bénéficiant de manière palpable des travaux de l’autre.</w:t>
      </w:r>
    </w:p>
    <w:p w:rsidR="00900169" w:rsidRPr="00900169" w:rsidRDefault="00900169" w:rsidP="00900169">
      <w:pPr>
        <w:jc w:val="both"/>
        <w:rPr>
          <w:rFonts w:ascii="Times New Roman" w:hAnsi="Times New Roman" w:cs="Times New Roman"/>
          <w:sz w:val="24"/>
        </w:rPr>
      </w:pPr>
      <w:r w:rsidRPr="00511B05">
        <w:rPr>
          <w:rFonts w:ascii="Times New Roman" w:hAnsi="Times New Roman" w:cs="Times New Roman"/>
          <w:sz w:val="24"/>
        </w:rPr>
        <w:t>Ainsi est né ce volume absolument indispensable, méticuleusement présenté (coopération entre auteur et éditeur à une échelle sans précédent) et parfaitement d’actualité.</w:t>
      </w:r>
      <w:r w:rsidRPr="00900169">
        <w:rPr>
          <w:rFonts w:ascii="Times New Roman" w:hAnsi="Times New Roman" w:cs="Times New Roman"/>
          <w:sz w:val="24"/>
        </w:rPr>
        <w:t xml:space="preserve"> </w:t>
      </w:r>
      <w:r w:rsidRPr="00511B05">
        <w:rPr>
          <w:rFonts w:ascii="Times New Roman" w:hAnsi="Times New Roman" w:cs="Times New Roman"/>
          <w:sz w:val="24"/>
        </w:rPr>
        <w:t>Il fournit les meilleurs instruments pour rechercher les nouveaux matériels à venir, en attendant que ceux-ci, eux aussi, soient certainement intégrés à la prochaine édition.</w:t>
      </w:r>
    </w:p>
    <w:p w:rsidR="002C5EDC" w:rsidRPr="00F52D53" w:rsidRDefault="00900169" w:rsidP="00900169">
      <w:pPr>
        <w:jc w:val="both"/>
        <w:rPr>
          <w:rFonts w:ascii="Arial Narrow" w:hAnsi="Arial Narrow" w:cs="Times New Roman"/>
          <w:i/>
          <w:sz w:val="24"/>
          <w:lang w:val="en-US"/>
        </w:rPr>
      </w:pPr>
      <w:r w:rsidRPr="00900169">
        <w:rPr>
          <w:rFonts w:ascii="Arial Narrow" w:hAnsi="Arial Narrow" w:cs="Times New Roman"/>
          <w:i/>
          <w:sz w:val="24"/>
          <w:lang w:val="en-US"/>
        </w:rPr>
        <w:t>Harry Rajak, professeur émérite, Sussex Law Sc</w:t>
      </w:r>
      <w:r w:rsidR="00F52D53">
        <w:rPr>
          <w:rFonts w:ascii="Arial Narrow" w:hAnsi="Arial Narrow" w:cs="Times New Roman"/>
          <w:i/>
          <w:sz w:val="24"/>
          <w:lang w:val="en-US"/>
        </w:rPr>
        <w:t>hool</w:t>
      </w:r>
    </w:p>
    <w:tbl>
      <w:tblPr>
        <w:tblStyle w:val="Grilledutableau"/>
        <w:tblW w:w="0" w:type="auto"/>
        <w:tblLook w:val="04A0" w:firstRow="1" w:lastRow="0" w:firstColumn="1" w:lastColumn="0" w:noHBand="0" w:noVBand="1"/>
      </w:tblPr>
      <w:tblGrid>
        <w:gridCol w:w="9687"/>
      </w:tblGrid>
      <w:tr w:rsidR="00D21ACD" w:rsidRPr="00D21ACD" w:rsidTr="00D21ACD">
        <w:tc>
          <w:tcPr>
            <w:tcW w:w="9687" w:type="dxa"/>
          </w:tcPr>
          <w:p w:rsidR="00D21ACD" w:rsidRPr="00D21ACD" w:rsidRDefault="00D21ACD" w:rsidP="0023188F">
            <w:pPr>
              <w:jc w:val="center"/>
              <w:rPr>
                <w:b/>
                <w:sz w:val="24"/>
              </w:rPr>
            </w:pPr>
            <w:r w:rsidRPr="00D21ACD">
              <w:rPr>
                <w:b/>
                <w:sz w:val="24"/>
              </w:rPr>
              <w:t>Vous souhaitez présenter un nouvel ouvrage ou en faire la critique ?</w:t>
            </w:r>
          </w:p>
        </w:tc>
      </w:tr>
      <w:tr w:rsidR="00D21ACD" w:rsidRPr="00D21ACD" w:rsidTr="00D21ACD">
        <w:tc>
          <w:tcPr>
            <w:tcW w:w="9687" w:type="dxa"/>
          </w:tcPr>
          <w:p w:rsidR="00D21ACD" w:rsidRPr="00D21ACD" w:rsidRDefault="00D21ACD" w:rsidP="0023188F">
            <w:pPr>
              <w:jc w:val="both"/>
              <w:rPr>
                <w:sz w:val="24"/>
              </w:rPr>
            </w:pPr>
            <w:r w:rsidRPr="00D21ACD">
              <w:rPr>
                <w:sz w:val="24"/>
              </w:rPr>
              <w:t>Contactez-nous pour que nous puissions l’envisager pour un futur numéro. Pour de plus amples renseignements, écrivez à Paul Newson à l’adresse paulnewson@insol-europe.co.uk</w:t>
            </w:r>
          </w:p>
        </w:tc>
      </w:tr>
    </w:tbl>
    <w:p w:rsidR="00D21ACD" w:rsidRDefault="00D21ACD" w:rsidP="004E062C">
      <w:pPr>
        <w:rPr>
          <w:rFonts w:ascii="Times New Roman" w:hAnsi="Times New Roman" w:cs="Times New Roman"/>
          <w:sz w:val="24"/>
        </w:rPr>
      </w:pPr>
    </w:p>
    <w:p w:rsidR="00900169" w:rsidRPr="004E062C" w:rsidRDefault="00900169" w:rsidP="004E062C">
      <w:pPr>
        <w:rPr>
          <w:rFonts w:ascii="Times New Roman" w:hAnsi="Times New Roman" w:cs="Times New Roman"/>
          <w:b/>
          <w:sz w:val="40"/>
          <w:szCs w:val="40"/>
          <w:lang w:val="en-GB"/>
        </w:rPr>
      </w:pPr>
      <w:r w:rsidRPr="004E062C">
        <w:rPr>
          <w:rFonts w:ascii="Times New Roman" w:hAnsi="Times New Roman" w:cs="Times New Roman"/>
          <w:b/>
          <w:sz w:val="40"/>
          <w:szCs w:val="40"/>
          <w:lang w:val="en-GB"/>
        </w:rPr>
        <w:lastRenderedPageBreak/>
        <w:t>Le droit de l’insolvabilité (</w:t>
      </w:r>
      <w:r w:rsidRPr="004E062C">
        <w:rPr>
          <w:rFonts w:ascii="Times New Roman" w:hAnsi="Times New Roman" w:cs="Times New Roman"/>
          <w:b/>
          <w:i/>
          <w:sz w:val="40"/>
          <w:szCs w:val="40"/>
          <w:lang w:val="en-GB"/>
        </w:rPr>
        <w:t>The Law of Insolvency</w:t>
      </w:r>
      <w:r w:rsidRPr="004E062C">
        <w:rPr>
          <w:rFonts w:ascii="Times New Roman" w:hAnsi="Times New Roman" w:cs="Times New Roman"/>
          <w:b/>
          <w:sz w:val="40"/>
          <w:szCs w:val="40"/>
          <w:lang w:val="en-GB"/>
        </w:rPr>
        <w:t>)</w:t>
      </w:r>
    </w:p>
    <w:p w:rsidR="00900169" w:rsidRPr="009A1930" w:rsidRDefault="00900169" w:rsidP="003517A7">
      <w:pPr>
        <w:rPr>
          <w:rFonts w:ascii="Arial Narrow" w:hAnsi="Arial Narrow" w:cs="Times New Roman"/>
          <w:sz w:val="24"/>
          <w:lang w:val="en-GB"/>
        </w:rPr>
      </w:pPr>
      <w:r w:rsidRPr="009A1930">
        <w:rPr>
          <w:rFonts w:ascii="Arial Narrow" w:hAnsi="Arial Narrow" w:cs="Times New Roman"/>
          <w:sz w:val="24"/>
          <w:lang w:val="en-GB"/>
        </w:rPr>
        <w:t>Ian Fletcher (5</w:t>
      </w:r>
      <w:r w:rsidRPr="009A1930">
        <w:rPr>
          <w:rFonts w:ascii="Arial Narrow" w:hAnsi="Arial Narrow" w:cs="Times New Roman"/>
          <w:sz w:val="24"/>
          <w:vertAlign w:val="superscript"/>
          <w:lang w:val="en-GB"/>
        </w:rPr>
        <w:t>e</w:t>
      </w:r>
      <w:r w:rsidRPr="009A1930">
        <w:rPr>
          <w:rFonts w:ascii="Arial Narrow" w:hAnsi="Arial Narrow" w:cs="Times New Roman"/>
          <w:sz w:val="24"/>
          <w:lang w:val="en-GB"/>
        </w:rPr>
        <w:t xml:space="preserve"> éd.), 2017, Sweet &amp; Maxwell, Londres, cxliii et 1098 pages, 295 GBP, ISBN 978-0-414-02842-5</w:t>
      </w:r>
    </w:p>
    <w:p w:rsidR="00900169" w:rsidRPr="00900169" w:rsidRDefault="00900169" w:rsidP="00900169">
      <w:pPr>
        <w:jc w:val="both"/>
        <w:rPr>
          <w:rFonts w:ascii="Times New Roman" w:hAnsi="Times New Roman" w:cs="Times New Roman"/>
          <w:sz w:val="24"/>
        </w:rPr>
      </w:pPr>
      <w:r w:rsidRPr="009A0EE3">
        <w:rPr>
          <w:rFonts w:ascii="Times New Roman" w:hAnsi="Times New Roman" w:cs="Times New Roman"/>
          <w:sz w:val="24"/>
        </w:rPr>
        <w:t>L</w:t>
      </w:r>
      <w:r>
        <w:rPr>
          <w:rFonts w:ascii="Times New Roman" w:hAnsi="Times New Roman" w:cs="Times New Roman"/>
          <w:sz w:val="24"/>
        </w:rPr>
        <w:t>’</w:t>
      </w:r>
      <w:r>
        <w:rPr>
          <w:rFonts w:ascii="Times New Roman" w:hAnsi="Times New Roman" w:cs="Times New Roman"/>
          <w:i/>
          <w:sz w:val="24"/>
        </w:rPr>
        <w:t xml:space="preserve">Insolvency Act </w:t>
      </w:r>
      <w:r w:rsidRPr="009A0EE3">
        <w:rPr>
          <w:rFonts w:ascii="Times New Roman" w:hAnsi="Times New Roman" w:cs="Times New Roman"/>
          <w:sz w:val="24"/>
        </w:rPr>
        <w:t xml:space="preserve">de 1986 </w:t>
      </w:r>
      <w:r>
        <w:rPr>
          <w:rFonts w:ascii="Times New Roman" w:hAnsi="Times New Roman" w:cs="Times New Roman"/>
          <w:sz w:val="24"/>
        </w:rPr>
        <w:t xml:space="preserve">(loi </w:t>
      </w:r>
      <w:r w:rsidRPr="009A0EE3">
        <w:rPr>
          <w:rFonts w:ascii="Times New Roman" w:hAnsi="Times New Roman" w:cs="Times New Roman"/>
          <w:sz w:val="24"/>
        </w:rPr>
        <w:t>sur l’insolvabilité</w:t>
      </w:r>
      <w:r>
        <w:rPr>
          <w:rFonts w:ascii="Times New Roman" w:hAnsi="Times New Roman" w:cs="Times New Roman"/>
          <w:sz w:val="24"/>
        </w:rPr>
        <w:t>)</w:t>
      </w:r>
      <w:r w:rsidRPr="009A0EE3">
        <w:rPr>
          <w:rFonts w:ascii="Times New Roman" w:hAnsi="Times New Roman" w:cs="Times New Roman"/>
          <w:sz w:val="24"/>
        </w:rPr>
        <w:t xml:space="preserve">, fruit des travaux du Comité de Cork, a été le point culminant d’un </w:t>
      </w:r>
      <w:r>
        <w:rPr>
          <w:rFonts w:ascii="Times New Roman" w:hAnsi="Times New Roman" w:cs="Times New Roman"/>
          <w:sz w:val="24"/>
        </w:rPr>
        <w:t>raz-de-</w:t>
      </w:r>
      <w:r w:rsidRPr="009A0EE3">
        <w:rPr>
          <w:rFonts w:ascii="Times New Roman" w:hAnsi="Times New Roman" w:cs="Times New Roman"/>
          <w:sz w:val="24"/>
        </w:rPr>
        <w:t>marée de réformes du droit de l’insolvabilité qui a vu naître le concept de sauvegarde au Royaume-Uni.</w:t>
      </w:r>
      <w:r w:rsidRPr="00900169">
        <w:rPr>
          <w:rFonts w:ascii="Times New Roman" w:hAnsi="Times New Roman" w:cs="Times New Roman"/>
          <w:sz w:val="24"/>
        </w:rPr>
        <w:t xml:space="preserve"> </w:t>
      </w:r>
      <w:r w:rsidRPr="009A0EE3">
        <w:rPr>
          <w:rFonts w:ascii="Times New Roman" w:hAnsi="Times New Roman" w:cs="Times New Roman"/>
          <w:sz w:val="24"/>
        </w:rPr>
        <w:t xml:space="preserve">Peu après l’entrée en vigueur de la loi, des commentaires sont arrivés, en 1989, sous la forme de la première édition du </w:t>
      </w:r>
      <w:r w:rsidRPr="009A0EE3">
        <w:rPr>
          <w:rFonts w:ascii="Times New Roman" w:hAnsi="Times New Roman" w:cs="Times New Roman"/>
          <w:i/>
          <w:sz w:val="24"/>
        </w:rPr>
        <w:t xml:space="preserve">Droit de l’insolvabilité </w:t>
      </w:r>
      <w:r w:rsidRPr="009A0EE3">
        <w:rPr>
          <w:rFonts w:ascii="Times New Roman" w:hAnsi="Times New Roman" w:cs="Times New Roman"/>
          <w:sz w:val="24"/>
        </w:rPr>
        <w:t>(</w:t>
      </w:r>
      <w:r w:rsidRPr="009A0EE3">
        <w:rPr>
          <w:rFonts w:ascii="Times New Roman" w:hAnsi="Times New Roman" w:cs="Times New Roman"/>
          <w:i/>
          <w:sz w:val="24"/>
        </w:rPr>
        <w:t>The Law of Insolvency</w:t>
      </w:r>
      <w:r w:rsidRPr="009A0EE3">
        <w:rPr>
          <w:rFonts w:ascii="Times New Roman" w:hAnsi="Times New Roman" w:cs="Times New Roman"/>
          <w:sz w:val="24"/>
        </w:rPr>
        <w:t>) de Fletcher.</w:t>
      </w:r>
      <w:r w:rsidRPr="00900169">
        <w:rPr>
          <w:rFonts w:ascii="Times New Roman" w:hAnsi="Times New Roman" w:cs="Times New Roman"/>
          <w:sz w:val="24"/>
        </w:rPr>
        <w:t xml:space="preserve"> </w:t>
      </w:r>
      <w:r w:rsidRPr="009A0EE3">
        <w:rPr>
          <w:rFonts w:ascii="Times New Roman" w:hAnsi="Times New Roman" w:cs="Times New Roman"/>
          <w:sz w:val="24"/>
        </w:rPr>
        <w:t>Dans la préface, l’ouvrage présente sa quête</w:t>
      </w:r>
      <w:r>
        <w:rPr>
          <w:rFonts w:ascii="Times New Roman" w:hAnsi="Times New Roman" w:cs="Times New Roman"/>
          <w:sz w:val="24"/>
        </w:rPr>
        <w:t xml:space="preserve">, qui est </w:t>
      </w:r>
      <w:r w:rsidRPr="009A0EE3">
        <w:rPr>
          <w:rFonts w:ascii="Times New Roman" w:hAnsi="Times New Roman" w:cs="Times New Roman"/>
          <w:sz w:val="24"/>
        </w:rPr>
        <w:t xml:space="preserve">de « rénover le manuel traditionnel » </w:t>
      </w:r>
      <w:r>
        <w:rPr>
          <w:rFonts w:ascii="Times New Roman" w:hAnsi="Times New Roman" w:cs="Times New Roman"/>
          <w:sz w:val="24"/>
        </w:rPr>
        <w:t xml:space="preserve">traitant </w:t>
      </w:r>
      <w:r w:rsidRPr="009A0EE3">
        <w:rPr>
          <w:rFonts w:ascii="Times New Roman" w:hAnsi="Times New Roman" w:cs="Times New Roman"/>
          <w:sz w:val="24"/>
        </w:rPr>
        <w:t>de l’insolvabilité, afin de réunir sous une même jaquette ce qui avait auparavant fait l’objet d’ouvrages traitant séparément de la faillite (insolvabilité des personnes physiques) et de l’insolvabilité des entreprises.</w:t>
      </w:r>
      <w:r w:rsidRPr="00900169">
        <w:rPr>
          <w:rFonts w:ascii="Times New Roman" w:hAnsi="Times New Roman" w:cs="Times New Roman"/>
          <w:sz w:val="24"/>
        </w:rPr>
        <w:t xml:space="preserve"> </w:t>
      </w:r>
      <w:r w:rsidRPr="009A0EE3">
        <w:rPr>
          <w:rFonts w:ascii="Times New Roman" w:hAnsi="Times New Roman" w:cs="Times New Roman"/>
          <w:sz w:val="24"/>
        </w:rPr>
        <w:t>La concrétisation de ce souhait se traduit par la grande estime dont bénéficie c</w:t>
      </w:r>
      <w:r>
        <w:rPr>
          <w:rFonts w:ascii="Times New Roman" w:hAnsi="Times New Roman" w:cs="Times New Roman"/>
          <w:sz w:val="24"/>
        </w:rPr>
        <w:t>et ouvrage</w:t>
      </w:r>
      <w:r w:rsidRPr="009A0EE3">
        <w:rPr>
          <w:rFonts w:ascii="Times New Roman" w:hAnsi="Times New Roman" w:cs="Times New Roman"/>
          <w:sz w:val="24"/>
        </w:rPr>
        <w:t>.</w:t>
      </w:r>
    </w:p>
    <w:p w:rsidR="00900169" w:rsidRPr="00900169" w:rsidRDefault="00900169" w:rsidP="00900169">
      <w:pPr>
        <w:jc w:val="both"/>
        <w:rPr>
          <w:rFonts w:ascii="Times New Roman" w:hAnsi="Times New Roman" w:cs="Times New Roman"/>
          <w:sz w:val="24"/>
        </w:rPr>
      </w:pPr>
      <w:r w:rsidRPr="009A0EE3">
        <w:rPr>
          <w:rFonts w:ascii="Times New Roman" w:hAnsi="Times New Roman" w:cs="Times New Roman"/>
          <w:sz w:val="24"/>
        </w:rPr>
        <w:t xml:space="preserve">Pour sa cinquième édition, on </w:t>
      </w:r>
      <w:r>
        <w:rPr>
          <w:rFonts w:ascii="Times New Roman" w:hAnsi="Times New Roman" w:cs="Times New Roman"/>
          <w:sz w:val="24"/>
        </w:rPr>
        <w:t xml:space="preserve">y </w:t>
      </w:r>
      <w:r w:rsidRPr="009A0EE3">
        <w:rPr>
          <w:rFonts w:ascii="Times New Roman" w:hAnsi="Times New Roman" w:cs="Times New Roman"/>
          <w:sz w:val="24"/>
        </w:rPr>
        <w:t>retrouve de nombreux éléments familiers : sa division en trois grandes parties (faillite, insolvabilité des entreprises et insolvabilité internationale) ; les nombreuses références à la jurisprudence et à la riche littérature en la matière ; la façon dont les opinions de l’auteur sont formées à partir de discussions portant sur les tendances positives ou négatives du droit ; enfin, le détail des informations contextuelles visant à expliquer la situation et le fonctionnement des procédures examinées en détail, en particulier les deux chapitres préliminaires consacrés à la nature de l’insolvabilité et à l’évolution de sa machinerie administrative.</w:t>
      </w:r>
    </w:p>
    <w:p w:rsidR="00900169" w:rsidRPr="00900169" w:rsidRDefault="00900169" w:rsidP="00900169">
      <w:pPr>
        <w:jc w:val="both"/>
        <w:rPr>
          <w:rFonts w:ascii="Times New Roman" w:hAnsi="Times New Roman" w:cs="Times New Roman"/>
          <w:sz w:val="24"/>
        </w:rPr>
      </w:pPr>
      <w:r w:rsidRPr="009A0EE3">
        <w:rPr>
          <w:rFonts w:ascii="Times New Roman" w:hAnsi="Times New Roman" w:cs="Times New Roman"/>
          <w:sz w:val="24"/>
        </w:rPr>
        <w:t xml:space="preserve">La préface de cette dernière édition souligne ses nouveautés, dont la préparation avait débuté presque dès la parution de la quatrième édition, anticipant la révision du règlement européen sur l’insolvabilité de 2000 et les </w:t>
      </w:r>
      <w:r w:rsidRPr="009A0EE3">
        <w:rPr>
          <w:rFonts w:ascii="Times New Roman" w:hAnsi="Times New Roman" w:cs="Times New Roman"/>
          <w:i/>
          <w:sz w:val="24"/>
        </w:rPr>
        <w:t>Insolvency Rules</w:t>
      </w:r>
      <w:r w:rsidRPr="009A0EE3">
        <w:rPr>
          <w:rFonts w:ascii="Times New Roman" w:hAnsi="Times New Roman" w:cs="Times New Roman"/>
          <w:sz w:val="24"/>
        </w:rPr>
        <w:t xml:space="preserve"> </w:t>
      </w:r>
      <w:r>
        <w:rPr>
          <w:rFonts w:ascii="Times New Roman" w:hAnsi="Times New Roman" w:cs="Times New Roman"/>
          <w:sz w:val="24"/>
        </w:rPr>
        <w:t xml:space="preserve">(règles sur l’insolvabilité) </w:t>
      </w:r>
      <w:r w:rsidRPr="009A0EE3">
        <w:rPr>
          <w:rFonts w:ascii="Times New Roman" w:hAnsi="Times New Roman" w:cs="Times New Roman"/>
          <w:sz w:val="24"/>
        </w:rPr>
        <w:t>de 1986.</w:t>
      </w:r>
      <w:r w:rsidRPr="00900169">
        <w:rPr>
          <w:rFonts w:ascii="Times New Roman" w:hAnsi="Times New Roman" w:cs="Times New Roman"/>
          <w:sz w:val="24"/>
        </w:rPr>
        <w:t xml:space="preserve"> </w:t>
      </w:r>
      <w:r w:rsidRPr="009A0EE3">
        <w:rPr>
          <w:rFonts w:ascii="Times New Roman" w:hAnsi="Times New Roman" w:cs="Times New Roman"/>
          <w:sz w:val="24"/>
        </w:rPr>
        <w:t xml:space="preserve">Le retard pris par ces deux projets, qui ne se sont concrétisés qu’en 2015 et 2016, respectivement, explique le grand laps de temps </w:t>
      </w:r>
      <w:r>
        <w:rPr>
          <w:rFonts w:ascii="Times New Roman" w:hAnsi="Times New Roman" w:cs="Times New Roman"/>
          <w:sz w:val="24"/>
        </w:rPr>
        <w:t>qui sépare</w:t>
      </w:r>
      <w:r w:rsidRPr="009A0EE3">
        <w:rPr>
          <w:rFonts w:ascii="Times New Roman" w:hAnsi="Times New Roman" w:cs="Times New Roman"/>
          <w:sz w:val="24"/>
        </w:rPr>
        <w:t xml:space="preserve"> les deux </w:t>
      </w:r>
      <w:r>
        <w:rPr>
          <w:rFonts w:ascii="Times New Roman" w:hAnsi="Times New Roman" w:cs="Times New Roman"/>
          <w:sz w:val="24"/>
        </w:rPr>
        <w:t xml:space="preserve">dernières </w:t>
      </w:r>
      <w:r w:rsidRPr="009A0EE3">
        <w:rPr>
          <w:rFonts w:ascii="Times New Roman" w:hAnsi="Times New Roman" w:cs="Times New Roman"/>
          <w:sz w:val="24"/>
        </w:rPr>
        <w:t>éditions.</w:t>
      </w:r>
      <w:r w:rsidRPr="00900169">
        <w:rPr>
          <w:rFonts w:ascii="Times New Roman" w:hAnsi="Times New Roman" w:cs="Times New Roman"/>
          <w:sz w:val="24"/>
        </w:rPr>
        <w:t xml:space="preserve"> </w:t>
      </w:r>
      <w:r w:rsidRPr="009A0EE3">
        <w:rPr>
          <w:rFonts w:ascii="Times New Roman" w:hAnsi="Times New Roman" w:cs="Times New Roman"/>
          <w:sz w:val="24"/>
        </w:rPr>
        <w:t>Néanmoins, l’intégration de changements</w:t>
      </w:r>
      <w:r w:rsidR="003517A7">
        <w:rPr>
          <w:rFonts w:ascii="Times New Roman" w:hAnsi="Times New Roman" w:cs="Times New Roman"/>
          <w:sz w:val="24"/>
        </w:rPr>
        <w:t>,</w:t>
      </w:r>
      <w:r w:rsidRPr="009A0EE3">
        <w:rPr>
          <w:rFonts w:ascii="Times New Roman" w:hAnsi="Times New Roman" w:cs="Times New Roman"/>
          <w:sz w:val="24"/>
        </w:rPr>
        <w:t xml:space="preserve"> même une fois </w:t>
      </w:r>
      <w:r>
        <w:rPr>
          <w:rFonts w:ascii="Times New Roman" w:hAnsi="Times New Roman" w:cs="Times New Roman"/>
          <w:sz w:val="24"/>
        </w:rPr>
        <w:t>son</w:t>
      </w:r>
      <w:r w:rsidRPr="009A0EE3">
        <w:rPr>
          <w:rFonts w:ascii="Times New Roman" w:hAnsi="Times New Roman" w:cs="Times New Roman"/>
          <w:sz w:val="24"/>
        </w:rPr>
        <w:t xml:space="preserve"> processus de production bien avancé</w:t>
      </w:r>
      <w:r w:rsidR="003517A7">
        <w:rPr>
          <w:rFonts w:ascii="Times New Roman" w:hAnsi="Times New Roman" w:cs="Times New Roman"/>
          <w:sz w:val="24"/>
        </w:rPr>
        <w:t>,</w:t>
      </w:r>
      <w:r w:rsidRPr="009A0EE3">
        <w:rPr>
          <w:rFonts w:ascii="Times New Roman" w:hAnsi="Times New Roman" w:cs="Times New Roman"/>
          <w:sz w:val="24"/>
        </w:rPr>
        <w:t xml:space="preserve"> signifie que cet ouvrage est aussi d’actualité qu’il peut l’être, couvrant ces réformes et d’autres réformes de moindre importance survenues entre les deux dernières éditions.</w:t>
      </w:r>
      <w:r w:rsidRPr="00900169">
        <w:rPr>
          <w:rFonts w:ascii="Times New Roman" w:hAnsi="Times New Roman" w:cs="Times New Roman"/>
          <w:sz w:val="24"/>
        </w:rPr>
        <w:t xml:space="preserve"> </w:t>
      </w:r>
      <w:r w:rsidRPr="009A0EE3">
        <w:rPr>
          <w:rFonts w:ascii="Times New Roman" w:hAnsi="Times New Roman" w:cs="Times New Roman"/>
          <w:sz w:val="24"/>
        </w:rPr>
        <w:t>D’autres modifications sont présentes sous la forme d’un volume de nouvelles affaires que contient cette édition, regroupant quelque trois cents affaires au total, dont la liste s’égrène comme une histoire de l’insolvabilité, en particulier de récentes restructurations et affaires transfrontalières importantes.</w:t>
      </w:r>
    </w:p>
    <w:p w:rsidR="00900169" w:rsidRDefault="00900169" w:rsidP="00900169">
      <w:pPr>
        <w:jc w:val="both"/>
        <w:rPr>
          <w:rFonts w:ascii="Times New Roman" w:hAnsi="Times New Roman" w:cs="Times New Roman"/>
          <w:sz w:val="24"/>
        </w:rPr>
      </w:pPr>
      <w:r w:rsidRPr="00244350">
        <w:rPr>
          <w:rFonts w:ascii="Times New Roman" w:hAnsi="Times New Roman" w:cs="Times New Roman"/>
          <w:sz w:val="24"/>
        </w:rPr>
        <w:t>En résumé, il s’agit d’un ouvrage sans lequel toute bibliothèque de droit de l’insolvabilité serait incomplète.</w:t>
      </w:r>
      <w:r w:rsidRPr="00900169">
        <w:rPr>
          <w:rFonts w:ascii="Times New Roman" w:hAnsi="Times New Roman" w:cs="Times New Roman"/>
          <w:sz w:val="24"/>
        </w:rPr>
        <w:t xml:space="preserve"> </w:t>
      </w:r>
      <w:r w:rsidRPr="00244350">
        <w:rPr>
          <w:rFonts w:ascii="Times New Roman" w:hAnsi="Times New Roman" w:cs="Times New Roman"/>
          <w:sz w:val="24"/>
        </w:rPr>
        <w:t>De lecture facile, ce livre est accessible aux néophytes, chercheurs expérimentés, juges, décideurs politiques et législateurs, qui le trouveront tous plus qu’utile.</w:t>
      </w:r>
    </w:p>
    <w:p w:rsidR="002C5EDC" w:rsidRPr="00900169" w:rsidRDefault="002C5EDC" w:rsidP="00900169">
      <w:pPr>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w:t>
      </w:r>
    </w:p>
    <w:p w:rsidR="00900169" w:rsidRPr="003517A7" w:rsidRDefault="00900169" w:rsidP="003517A7">
      <w:pPr>
        <w:rPr>
          <w:rFonts w:ascii="Times New Roman" w:hAnsi="Times New Roman" w:cs="Times New Roman"/>
          <w:b/>
          <w:sz w:val="40"/>
          <w:szCs w:val="40"/>
          <w:lang w:val="en-GB"/>
        </w:rPr>
      </w:pPr>
      <w:r w:rsidRPr="003517A7">
        <w:rPr>
          <w:rFonts w:ascii="Times New Roman" w:hAnsi="Times New Roman" w:cs="Times New Roman"/>
          <w:b/>
          <w:i/>
          <w:sz w:val="40"/>
          <w:szCs w:val="40"/>
          <w:lang w:val="en-US"/>
        </w:rPr>
        <w:lastRenderedPageBreak/>
        <w:t>Goode and Gullifer on Legal Problems of Credit and Security</w:t>
      </w:r>
    </w:p>
    <w:p w:rsidR="00900169" w:rsidRPr="00900169" w:rsidRDefault="00900169" w:rsidP="003517A7">
      <w:pPr>
        <w:rPr>
          <w:rFonts w:ascii="Arial Narrow" w:hAnsi="Arial Narrow" w:cs="Times New Roman"/>
          <w:sz w:val="24"/>
        </w:rPr>
      </w:pPr>
      <w:r w:rsidRPr="00244350">
        <w:rPr>
          <w:rFonts w:ascii="Arial Narrow" w:hAnsi="Arial Narrow" w:cs="Times New Roman"/>
          <w:sz w:val="24"/>
        </w:rPr>
        <w:t>Roy Goode et Louise Gullifer (6</w:t>
      </w:r>
      <w:r w:rsidRPr="00244350">
        <w:rPr>
          <w:rFonts w:ascii="Arial Narrow" w:hAnsi="Arial Narrow" w:cs="Times New Roman"/>
          <w:sz w:val="24"/>
          <w:vertAlign w:val="superscript"/>
        </w:rPr>
        <w:t>e</w:t>
      </w:r>
      <w:r w:rsidRPr="00244350">
        <w:rPr>
          <w:rFonts w:ascii="Arial Narrow" w:hAnsi="Arial Narrow" w:cs="Times New Roman"/>
          <w:sz w:val="24"/>
        </w:rPr>
        <w:t xml:space="preserve"> éd.), 2017</w:t>
      </w:r>
      <w:r>
        <w:rPr>
          <w:rFonts w:ascii="Arial Narrow" w:hAnsi="Arial Narrow" w:cs="Times New Roman"/>
          <w:sz w:val="24"/>
        </w:rPr>
        <w:t xml:space="preserve">, </w:t>
      </w:r>
      <w:r w:rsidRPr="00244350">
        <w:rPr>
          <w:rFonts w:ascii="Arial Narrow" w:hAnsi="Arial Narrow" w:cs="Times New Roman"/>
          <w:sz w:val="24"/>
        </w:rPr>
        <w:t>Sweet &amp; Maxwell, Londres, lxxvii et 441 pages, 195 GBP, ISBN 978-0-414-06442-3</w:t>
      </w:r>
    </w:p>
    <w:p w:rsidR="00900169" w:rsidRPr="00900169" w:rsidRDefault="00900169" w:rsidP="00900169">
      <w:pPr>
        <w:jc w:val="both"/>
        <w:rPr>
          <w:rFonts w:ascii="Times New Roman" w:hAnsi="Times New Roman" w:cs="Times New Roman"/>
          <w:sz w:val="24"/>
        </w:rPr>
      </w:pPr>
      <w:r w:rsidRPr="00244350">
        <w:rPr>
          <w:rFonts w:ascii="Times New Roman" w:hAnsi="Times New Roman" w:cs="Times New Roman"/>
          <w:sz w:val="24"/>
        </w:rPr>
        <w:t xml:space="preserve">Voici la sixième édition d’un ouvrage </w:t>
      </w:r>
      <w:r>
        <w:rPr>
          <w:rFonts w:ascii="Times New Roman" w:hAnsi="Times New Roman" w:cs="Times New Roman"/>
          <w:sz w:val="24"/>
        </w:rPr>
        <w:t>qu’on ne présente plus</w:t>
      </w:r>
      <w:r w:rsidRPr="00244350">
        <w:rPr>
          <w:rFonts w:ascii="Times New Roman" w:hAnsi="Times New Roman" w:cs="Times New Roman"/>
          <w:sz w:val="24"/>
        </w:rPr>
        <w:t>.</w:t>
      </w:r>
      <w:r w:rsidRPr="00900169">
        <w:rPr>
          <w:rFonts w:ascii="Times New Roman" w:hAnsi="Times New Roman" w:cs="Times New Roman"/>
          <w:sz w:val="24"/>
        </w:rPr>
        <w:t xml:space="preserve"> </w:t>
      </w:r>
      <w:r w:rsidRPr="00244350">
        <w:rPr>
          <w:rFonts w:ascii="Times New Roman" w:hAnsi="Times New Roman" w:cs="Times New Roman"/>
          <w:sz w:val="24"/>
        </w:rPr>
        <w:t xml:space="preserve">Commencé par Roy Goode, doyen de droit commercial et expert, en particulier, des questions de crédit et de sûretés sur actifs, à partir de la troisième édition, la responsabilité éditoriale </w:t>
      </w:r>
      <w:r>
        <w:rPr>
          <w:rFonts w:ascii="Times New Roman" w:hAnsi="Times New Roman" w:cs="Times New Roman"/>
          <w:sz w:val="24"/>
        </w:rPr>
        <w:t xml:space="preserve">en </w:t>
      </w:r>
      <w:r w:rsidRPr="00244350">
        <w:rPr>
          <w:rFonts w:ascii="Times New Roman" w:hAnsi="Times New Roman" w:cs="Times New Roman"/>
          <w:sz w:val="24"/>
        </w:rPr>
        <w:t>a été confiée à Louise Gullifer, qui co-signe avec lui cette dernière édition.</w:t>
      </w:r>
      <w:r w:rsidRPr="00900169">
        <w:rPr>
          <w:rFonts w:ascii="Times New Roman" w:hAnsi="Times New Roman" w:cs="Times New Roman"/>
          <w:sz w:val="24"/>
        </w:rPr>
        <w:t xml:space="preserve"> </w:t>
      </w:r>
      <w:r w:rsidRPr="00244350">
        <w:rPr>
          <w:rFonts w:ascii="Times New Roman" w:hAnsi="Times New Roman" w:cs="Times New Roman"/>
          <w:sz w:val="24"/>
        </w:rPr>
        <w:t xml:space="preserve">L’ouvrage commence logiquement par une présentation de la nature et des types de sûretés </w:t>
      </w:r>
      <w:r>
        <w:rPr>
          <w:rFonts w:ascii="Times New Roman" w:hAnsi="Times New Roman" w:cs="Times New Roman"/>
          <w:sz w:val="24"/>
        </w:rPr>
        <w:t>contractuelles</w:t>
      </w:r>
      <w:r w:rsidRPr="00244350">
        <w:rPr>
          <w:rFonts w:ascii="Times New Roman" w:hAnsi="Times New Roman" w:cs="Times New Roman"/>
          <w:sz w:val="24"/>
        </w:rPr>
        <w:t>, suivie d’une description des étapes nécessaires pour créer des droits de sûreté.</w:t>
      </w:r>
      <w:r w:rsidRPr="00900169">
        <w:rPr>
          <w:rFonts w:ascii="Times New Roman" w:hAnsi="Times New Roman" w:cs="Times New Roman"/>
          <w:sz w:val="24"/>
        </w:rPr>
        <w:t xml:space="preserve"> </w:t>
      </w:r>
      <w:r w:rsidRPr="00244350">
        <w:rPr>
          <w:rFonts w:ascii="Times New Roman" w:hAnsi="Times New Roman" w:cs="Times New Roman"/>
          <w:sz w:val="24"/>
        </w:rPr>
        <w:t>La différence entre le régime général de rattachement et d’opposabilité et celui applicable aux créances non documentaires fait l’objet du troisième chapitre, qui couvre également les obstacles juridiques à la constitution d’une sûreté.</w:t>
      </w:r>
      <w:r w:rsidRPr="00900169">
        <w:rPr>
          <w:rFonts w:ascii="Times New Roman" w:hAnsi="Times New Roman" w:cs="Times New Roman"/>
          <w:sz w:val="24"/>
        </w:rPr>
        <w:t xml:space="preserve"> </w:t>
      </w:r>
      <w:r w:rsidRPr="00244350">
        <w:rPr>
          <w:rFonts w:ascii="Times New Roman" w:hAnsi="Times New Roman" w:cs="Times New Roman"/>
          <w:sz w:val="24"/>
        </w:rPr>
        <w:t>Le quatrième chapitre ramène le lecteur à l’institution de la sûreté (</w:t>
      </w:r>
      <w:r>
        <w:rPr>
          <w:rFonts w:ascii="Times New Roman" w:hAnsi="Times New Roman" w:cs="Times New Roman"/>
          <w:sz w:val="24"/>
        </w:rPr>
        <w:t>« </w:t>
      </w:r>
      <w:r w:rsidRPr="00244350">
        <w:rPr>
          <w:rFonts w:ascii="Times New Roman" w:hAnsi="Times New Roman" w:cs="Times New Roman"/>
          <w:sz w:val="24"/>
        </w:rPr>
        <w:t>charge flottante</w:t>
      </w:r>
      <w:r>
        <w:rPr>
          <w:rFonts w:ascii="Times New Roman" w:hAnsi="Times New Roman" w:cs="Times New Roman"/>
          <w:sz w:val="24"/>
        </w:rPr>
        <w:t> »</w:t>
      </w:r>
      <w:r w:rsidRPr="00244350">
        <w:rPr>
          <w:rFonts w:ascii="Times New Roman" w:hAnsi="Times New Roman" w:cs="Times New Roman"/>
          <w:sz w:val="24"/>
        </w:rPr>
        <w:t>), tandis que le cinquième présente une exégèse assez longue des règles de priorité. Les droits relatifs aux garanties financières, la compensation et la compensation globale sont abordés dans les deux chapitres suivants.</w:t>
      </w:r>
      <w:r w:rsidRPr="00900169">
        <w:rPr>
          <w:rFonts w:ascii="Times New Roman" w:hAnsi="Times New Roman" w:cs="Times New Roman"/>
          <w:sz w:val="24"/>
        </w:rPr>
        <w:t xml:space="preserve"> </w:t>
      </w:r>
      <w:r w:rsidRPr="00244350">
        <w:rPr>
          <w:rFonts w:ascii="Times New Roman" w:hAnsi="Times New Roman" w:cs="Times New Roman"/>
          <w:sz w:val="24"/>
        </w:rPr>
        <w:t>En guise de conclusion de l’ensemble, une discussion sur les cautionnements étudie l’effet que les principes de droit des contrats et de l’insolvabilité peuvent avoir sur la validité et l’efficacité des dispositifs que l’on retrouve fréquemment dans la pratique.</w:t>
      </w:r>
    </w:p>
    <w:p w:rsidR="00900169" w:rsidRPr="00900169" w:rsidRDefault="00900169" w:rsidP="00900169">
      <w:pPr>
        <w:jc w:val="both"/>
        <w:rPr>
          <w:rFonts w:ascii="Times New Roman" w:hAnsi="Times New Roman" w:cs="Times New Roman"/>
          <w:sz w:val="24"/>
        </w:rPr>
      </w:pPr>
      <w:r w:rsidRPr="00BD59B2">
        <w:rPr>
          <w:rFonts w:ascii="Times New Roman" w:hAnsi="Times New Roman" w:cs="Times New Roman"/>
          <w:sz w:val="24"/>
        </w:rPr>
        <w:t>Cet ouvrage ne s’écarte pas trop de la progression instaurée dans les éditions précédentes, qui s’est renforcée au fil des ans.</w:t>
      </w:r>
      <w:r w:rsidRPr="00900169">
        <w:rPr>
          <w:rFonts w:ascii="Times New Roman" w:hAnsi="Times New Roman" w:cs="Times New Roman"/>
          <w:sz w:val="24"/>
        </w:rPr>
        <w:t xml:space="preserve"> </w:t>
      </w:r>
      <w:r w:rsidRPr="00BD59B2">
        <w:rPr>
          <w:rFonts w:ascii="Times New Roman" w:hAnsi="Times New Roman" w:cs="Times New Roman"/>
          <w:sz w:val="24"/>
        </w:rPr>
        <w:t xml:space="preserve">Chaque chapitre comprend une description détaillée des institutions et structures pertinentes, une analyse approfondie des questions importantes et de la façon dont elles sont tranchées par le droit dur, </w:t>
      </w:r>
      <w:r>
        <w:rPr>
          <w:rFonts w:ascii="Times New Roman" w:hAnsi="Times New Roman" w:cs="Times New Roman"/>
          <w:sz w:val="24"/>
        </w:rPr>
        <w:t>mais</w:t>
      </w:r>
      <w:r w:rsidRPr="00BD59B2">
        <w:rPr>
          <w:rFonts w:ascii="Times New Roman" w:hAnsi="Times New Roman" w:cs="Times New Roman"/>
          <w:sz w:val="24"/>
        </w:rPr>
        <w:t xml:space="preserve"> essentiellement </w:t>
      </w:r>
      <w:r>
        <w:rPr>
          <w:rFonts w:ascii="Times New Roman" w:hAnsi="Times New Roman" w:cs="Times New Roman"/>
          <w:sz w:val="24"/>
        </w:rPr>
        <w:t>par</w:t>
      </w:r>
      <w:r w:rsidRPr="00BD59B2">
        <w:rPr>
          <w:rFonts w:ascii="Times New Roman" w:hAnsi="Times New Roman" w:cs="Times New Roman"/>
          <w:sz w:val="24"/>
        </w:rPr>
        <w:t xml:space="preserve"> la jurisprudence, celle-ci étant exceptionnellement bien analysée.</w:t>
      </w:r>
      <w:r w:rsidRPr="00900169">
        <w:rPr>
          <w:rFonts w:ascii="Times New Roman" w:hAnsi="Times New Roman" w:cs="Times New Roman"/>
          <w:sz w:val="24"/>
        </w:rPr>
        <w:t xml:space="preserve"> </w:t>
      </w:r>
      <w:r w:rsidRPr="00BD59B2">
        <w:rPr>
          <w:rFonts w:ascii="Times New Roman" w:hAnsi="Times New Roman" w:cs="Times New Roman"/>
          <w:sz w:val="24"/>
        </w:rPr>
        <w:t>Outre l</w:t>
      </w:r>
      <w:r>
        <w:rPr>
          <w:rFonts w:ascii="Times New Roman" w:hAnsi="Times New Roman" w:cs="Times New Roman"/>
          <w:sz w:val="24"/>
        </w:rPr>
        <w:t>es nombreux précédents</w:t>
      </w:r>
      <w:r w:rsidRPr="00BD59B2">
        <w:rPr>
          <w:rFonts w:ascii="Times New Roman" w:hAnsi="Times New Roman" w:cs="Times New Roman"/>
          <w:sz w:val="24"/>
        </w:rPr>
        <w:t xml:space="preserve"> </w:t>
      </w:r>
      <w:r>
        <w:rPr>
          <w:rFonts w:ascii="Times New Roman" w:hAnsi="Times New Roman" w:cs="Times New Roman"/>
          <w:sz w:val="24"/>
        </w:rPr>
        <w:t xml:space="preserve">cités </w:t>
      </w:r>
      <w:r w:rsidRPr="00BD59B2">
        <w:rPr>
          <w:rFonts w:ascii="Times New Roman" w:hAnsi="Times New Roman" w:cs="Times New Roman"/>
          <w:sz w:val="24"/>
        </w:rPr>
        <w:t xml:space="preserve">dans la préface, les modifications mises en avant incluent la ratification de la Convention de 2001 du Cap, les changements apportés par la </w:t>
      </w:r>
      <w:r w:rsidRPr="00BD59B2">
        <w:rPr>
          <w:rFonts w:ascii="Times New Roman" w:hAnsi="Times New Roman" w:cs="Times New Roman"/>
          <w:i/>
          <w:sz w:val="24"/>
        </w:rPr>
        <w:t xml:space="preserve">Small Business, Enterprise and Employment Act </w:t>
      </w:r>
      <w:r w:rsidRPr="00BD59B2">
        <w:rPr>
          <w:rFonts w:ascii="Times New Roman" w:hAnsi="Times New Roman" w:cs="Times New Roman"/>
          <w:sz w:val="24"/>
        </w:rPr>
        <w:t>de 2015</w:t>
      </w:r>
      <w:r>
        <w:rPr>
          <w:rFonts w:ascii="Times New Roman" w:hAnsi="Times New Roman" w:cs="Times New Roman"/>
          <w:sz w:val="24"/>
        </w:rPr>
        <w:t xml:space="preserve"> (loi sur les petites entreprises, l’entrepreneuriat et l’emploi)</w:t>
      </w:r>
      <w:r w:rsidRPr="00BD59B2">
        <w:rPr>
          <w:rFonts w:ascii="Times New Roman" w:hAnsi="Times New Roman" w:cs="Times New Roman"/>
          <w:sz w:val="24"/>
        </w:rPr>
        <w:t xml:space="preserve"> et les évolutions plus récentes de la pratique en lien avec les garanties financières.</w:t>
      </w:r>
      <w:r w:rsidRPr="00900169">
        <w:rPr>
          <w:rFonts w:ascii="Times New Roman" w:hAnsi="Times New Roman" w:cs="Times New Roman"/>
          <w:sz w:val="24"/>
        </w:rPr>
        <w:t xml:space="preserve"> </w:t>
      </w:r>
      <w:r>
        <w:rPr>
          <w:rFonts w:ascii="Times New Roman" w:hAnsi="Times New Roman" w:cs="Times New Roman"/>
          <w:sz w:val="24"/>
        </w:rPr>
        <w:t xml:space="preserve">Faisant preuve </w:t>
      </w:r>
      <w:r w:rsidRPr="00BD59B2">
        <w:rPr>
          <w:rFonts w:ascii="Times New Roman" w:hAnsi="Times New Roman" w:cs="Times New Roman"/>
          <w:sz w:val="24"/>
        </w:rPr>
        <w:t>d’anticipation, cet ouvrage étudie également les propositions de réforme des sûretés et l’impact éventuel des nouvelles technologies sur la création et la constitution de droits de sûreté.</w:t>
      </w:r>
    </w:p>
    <w:p w:rsidR="00900169" w:rsidRPr="00900169" w:rsidRDefault="00900169" w:rsidP="00900169">
      <w:pPr>
        <w:jc w:val="both"/>
        <w:rPr>
          <w:rFonts w:ascii="Times New Roman" w:hAnsi="Times New Roman" w:cs="Times New Roman"/>
          <w:sz w:val="24"/>
        </w:rPr>
      </w:pPr>
      <w:r w:rsidRPr="00BD59B2">
        <w:rPr>
          <w:rFonts w:ascii="Times New Roman" w:hAnsi="Times New Roman" w:cs="Times New Roman"/>
          <w:sz w:val="24"/>
        </w:rPr>
        <w:t xml:space="preserve">En bref, il s’agit </w:t>
      </w:r>
      <w:r>
        <w:rPr>
          <w:rFonts w:ascii="Times New Roman" w:hAnsi="Times New Roman" w:cs="Times New Roman"/>
          <w:sz w:val="24"/>
        </w:rPr>
        <w:t xml:space="preserve">encore une fois </w:t>
      </w:r>
      <w:r w:rsidRPr="00BD59B2">
        <w:rPr>
          <w:rFonts w:ascii="Times New Roman" w:hAnsi="Times New Roman" w:cs="Times New Roman"/>
          <w:sz w:val="24"/>
        </w:rPr>
        <w:t>d’un ouvrage indispensable.</w:t>
      </w:r>
      <w:r w:rsidRPr="00900169">
        <w:rPr>
          <w:rFonts w:ascii="Times New Roman" w:hAnsi="Times New Roman" w:cs="Times New Roman"/>
          <w:sz w:val="24"/>
        </w:rPr>
        <w:t xml:space="preserve"> </w:t>
      </w:r>
      <w:r w:rsidRPr="00BD59B2">
        <w:rPr>
          <w:rFonts w:ascii="Times New Roman" w:hAnsi="Times New Roman" w:cs="Times New Roman"/>
          <w:sz w:val="24"/>
        </w:rPr>
        <w:t>Ce n’est pas seulement une référence pour le droit et la pratique en matière de crédit et de sûretés, mais aussi l’ouvrage universitaire le plus important en la matière.</w:t>
      </w:r>
      <w:r w:rsidRPr="00900169">
        <w:rPr>
          <w:rFonts w:ascii="Times New Roman" w:hAnsi="Times New Roman" w:cs="Times New Roman"/>
          <w:sz w:val="24"/>
        </w:rPr>
        <w:t xml:space="preserve"> </w:t>
      </w:r>
      <w:r w:rsidRPr="00BD59B2">
        <w:rPr>
          <w:rFonts w:ascii="Times New Roman" w:hAnsi="Times New Roman" w:cs="Times New Roman"/>
          <w:sz w:val="24"/>
        </w:rPr>
        <w:t>Peu d’ouvrages arrivent à de tels sommets, mais celui-ci fait partie</w:t>
      </w:r>
      <w:r>
        <w:rPr>
          <w:rFonts w:ascii="Times New Roman" w:hAnsi="Times New Roman" w:cs="Times New Roman"/>
          <w:sz w:val="24"/>
        </w:rPr>
        <w:t xml:space="preserve"> de cette élite</w:t>
      </w:r>
      <w:r w:rsidRPr="00BD59B2">
        <w:rPr>
          <w:rFonts w:ascii="Times New Roman" w:hAnsi="Times New Roman" w:cs="Times New Roman"/>
          <w:sz w:val="24"/>
        </w:rPr>
        <w:t>.</w:t>
      </w:r>
      <w:r w:rsidRPr="00900169">
        <w:rPr>
          <w:rFonts w:ascii="Times New Roman" w:hAnsi="Times New Roman" w:cs="Times New Roman"/>
          <w:sz w:val="24"/>
        </w:rPr>
        <w:t xml:space="preserve"> </w:t>
      </w:r>
      <w:r w:rsidRPr="00BD59B2">
        <w:rPr>
          <w:rFonts w:ascii="Times New Roman" w:hAnsi="Times New Roman" w:cs="Times New Roman"/>
          <w:sz w:val="24"/>
        </w:rPr>
        <w:t>Ainsi, cet ouvrage est une première étape utile pour toute personne qui explore ce domaine du droit et il peut être recommandé à tous ceux qui veulent mieux connaître ce domaine complexe et stimulant.</w:t>
      </w:r>
    </w:p>
    <w:p w:rsidR="003B5B5D" w:rsidRPr="00F31E17" w:rsidRDefault="00900169" w:rsidP="00F31E17">
      <w:pPr>
        <w:jc w:val="both"/>
        <w:rPr>
          <w:rFonts w:ascii="Arial Narrow" w:hAnsi="Arial Narrow" w:cs="Times New Roman"/>
          <w:i/>
          <w:sz w:val="24"/>
        </w:rPr>
      </w:pPr>
      <w:r w:rsidRPr="00BD59B2">
        <w:rPr>
          <w:rFonts w:ascii="Arial Narrow" w:hAnsi="Arial Narrow" w:cs="Times New Roman"/>
          <w:i/>
          <w:sz w:val="24"/>
        </w:rPr>
        <w:t>Paul J. Omar, Coordinateur des recherches techniques, INSOL Europe</w:t>
      </w:r>
    </w:p>
    <w:p w:rsidR="003B5B5D" w:rsidRPr="003B5B5D" w:rsidRDefault="003B5B5D" w:rsidP="003B5B5D">
      <w:pPr>
        <w:tabs>
          <w:tab w:val="left" w:pos="3045"/>
        </w:tabs>
        <w:suppressAutoHyphens/>
        <w:spacing w:after="0" w:line="240" w:lineRule="auto"/>
        <w:jc w:val="both"/>
        <w:rPr>
          <w:rFonts w:ascii="Times New Roman" w:eastAsia="Courier 10cpi" w:hAnsi="Times New Roman" w:cs="Times New Roman"/>
          <w:color w:val="0000FF"/>
          <w:sz w:val="24"/>
          <w:szCs w:val="24"/>
          <w:u w:val="single"/>
          <w:lang w:eastAsia="ar-SA"/>
        </w:rPr>
      </w:pPr>
      <w:r w:rsidRPr="003B5B5D">
        <w:rPr>
          <w:rFonts w:ascii="Arial Narrow" w:eastAsia="Courier 10cpi" w:hAnsi="Arial Narrow" w:cs="Courier 10cpi"/>
          <w:b/>
          <w:sz w:val="28"/>
          <w:szCs w:val="28"/>
          <w:lang w:eastAsia="ar-SA"/>
        </w:rPr>
        <w:lastRenderedPageBreak/>
        <w:t xml:space="preserve">Dates pour votre calendrier                             Informez-vous sur : </w:t>
      </w:r>
      <w:hyperlink r:id="rId92" w:history="1">
        <w:r w:rsidRPr="003B5B5D">
          <w:rPr>
            <w:rFonts w:ascii="Times New Roman" w:eastAsia="Courier 10cpi" w:hAnsi="Times New Roman" w:cs="Times New Roman"/>
            <w:color w:val="0000FF"/>
            <w:sz w:val="24"/>
            <w:szCs w:val="24"/>
            <w:u w:val="single"/>
            <w:lang w:eastAsia="ar-SA"/>
          </w:rPr>
          <w:t>www.insol-europe.org</w:t>
        </w:r>
      </w:hyperlink>
    </w:p>
    <w:p w:rsidR="003B5B5D" w:rsidRPr="003B5B5D" w:rsidRDefault="003B5B5D" w:rsidP="003B5B5D">
      <w:pPr>
        <w:pBdr>
          <w:top w:val="single" w:sz="4" w:space="1" w:color="000000"/>
          <w:left w:val="single" w:sz="4" w:space="4" w:color="000000"/>
          <w:bottom w:val="single" w:sz="4" w:space="1" w:color="000000"/>
          <w:right w:val="single" w:sz="4" w:space="4" w:color="000000"/>
        </w:pBdr>
        <w:tabs>
          <w:tab w:val="left" w:pos="3045"/>
        </w:tabs>
        <w:suppressAutoHyphens/>
        <w:spacing w:after="0" w:line="240" w:lineRule="auto"/>
        <w:jc w:val="both"/>
        <w:rPr>
          <w:rFonts w:ascii="Times New Roman" w:eastAsia="Courier 10cpi" w:hAnsi="Times New Roman" w:cs="Courier 10cpi"/>
          <w:b/>
          <w:sz w:val="40"/>
          <w:szCs w:val="40"/>
          <w:lang w:eastAsia="ar-SA"/>
        </w:rPr>
      </w:pPr>
      <w:r w:rsidRPr="003B5B5D">
        <w:rPr>
          <w:rFonts w:ascii="Times New Roman" w:eastAsia="Courier 10cpi" w:hAnsi="Times New Roman" w:cs="Courier 10cpi"/>
          <w:b/>
          <w:sz w:val="40"/>
          <w:szCs w:val="40"/>
          <w:lang w:eastAsia="ar-SA"/>
        </w:rPr>
        <w:t>2018</w:t>
      </w:r>
    </w:p>
    <w:p w:rsidR="003B5B5D" w:rsidRPr="003B5B5D" w:rsidRDefault="003B5B5D" w:rsidP="003B5B5D">
      <w:pPr>
        <w:pBdr>
          <w:top w:val="single" w:sz="4" w:space="1" w:color="000000"/>
          <w:left w:val="single" w:sz="4" w:space="4" w:color="000000"/>
          <w:bottom w:val="single" w:sz="4" w:space="1" w:color="000000"/>
          <w:right w:val="single" w:sz="4" w:space="4" w:color="000000"/>
        </w:pBdr>
        <w:tabs>
          <w:tab w:val="left" w:pos="3045"/>
        </w:tabs>
        <w:suppressAutoHyphens/>
        <w:spacing w:after="0" w:line="240" w:lineRule="auto"/>
        <w:jc w:val="both"/>
        <w:rPr>
          <w:rFonts w:ascii="Times New Roman" w:eastAsia="Courier 10cpi" w:hAnsi="Times New Roman" w:cs="Courier 10cpi"/>
          <w:b/>
          <w:sz w:val="24"/>
          <w:szCs w:val="24"/>
          <w:lang w:eastAsia="ar-SA"/>
        </w:rPr>
      </w:pPr>
    </w:p>
    <w:p w:rsidR="003B5B5D" w:rsidRPr="003B5B5D" w:rsidRDefault="003B5B5D" w:rsidP="003B5B5D">
      <w:pPr>
        <w:pBdr>
          <w:top w:val="single" w:sz="4" w:space="1" w:color="000000"/>
          <w:left w:val="single" w:sz="4" w:space="4" w:color="000000"/>
          <w:bottom w:val="single" w:sz="4" w:space="1" w:color="000000"/>
          <w:right w:val="single" w:sz="4" w:space="4" w:color="000000"/>
        </w:pBdr>
        <w:tabs>
          <w:tab w:val="left" w:pos="3045"/>
        </w:tabs>
        <w:suppressAutoHyphens/>
        <w:spacing w:after="0" w:line="240" w:lineRule="auto"/>
        <w:jc w:val="both"/>
        <w:rPr>
          <w:rFonts w:ascii="Times New Roman" w:eastAsia="Courier 10cpi" w:hAnsi="Times New Roman" w:cs="Courier 10cpi"/>
          <w:b/>
          <w:sz w:val="24"/>
          <w:szCs w:val="24"/>
          <w:lang w:eastAsia="ar-SA"/>
        </w:rPr>
      </w:pPr>
      <w:r w:rsidRPr="003B5B5D">
        <w:rPr>
          <w:rFonts w:ascii="Times New Roman" w:eastAsia="Courier 10cpi" w:hAnsi="Times New Roman" w:cs="Courier 10cpi"/>
          <w:b/>
          <w:sz w:val="24"/>
          <w:szCs w:val="24"/>
          <w:lang w:eastAsia="ar-SA"/>
        </w:rPr>
        <w:t>31 Mai – 1 Juin 2018</w:t>
      </w:r>
      <w:r w:rsidRPr="003B5B5D">
        <w:rPr>
          <w:rFonts w:ascii="Times New Roman" w:eastAsia="Courier 10cpi" w:hAnsi="Times New Roman" w:cs="Courier 10cpi"/>
          <w:b/>
          <w:sz w:val="24"/>
          <w:szCs w:val="24"/>
          <w:lang w:eastAsia="ar-SA"/>
        </w:rPr>
        <w:tab/>
      </w:r>
      <w:r w:rsidRPr="003B5B5D">
        <w:rPr>
          <w:rFonts w:ascii="Times New Roman" w:eastAsia="Courier 10cpi" w:hAnsi="Times New Roman" w:cs="Courier 10cpi"/>
          <w:b/>
          <w:sz w:val="24"/>
          <w:szCs w:val="24"/>
          <w:lang w:eastAsia="ar-SA"/>
        </w:rPr>
        <w:tab/>
      </w:r>
      <w:r w:rsidRPr="003B5B5D">
        <w:rPr>
          <w:rFonts w:ascii="Times New Roman" w:eastAsia="Courier 10cpi" w:hAnsi="Times New Roman" w:cs="Courier 10cpi"/>
          <w:b/>
          <w:sz w:val="24"/>
          <w:szCs w:val="24"/>
          <w:lang w:eastAsia="ar-SA"/>
        </w:rPr>
        <w:tab/>
        <w:t>INSOL Europe/Comité des Pays de l’Europe</w:t>
      </w:r>
    </w:p>
    <w:p w:rsidR="003B5B5D" w:rsidRPr="003B5B5D" w:rsidRDefault="003B5B5D" w:rsidP="003B5B5D">
      <w:pPr>
        <w:pBdr>
          <w:top w:val="single" w:sz="4" w:space="1" w:color="000000"/>
          <w:left w:val="single" w:sz="4" w:space="4" w:color="000000"/>
          <w:bottom w:val="single" w:sz="4" w:space="1" w:color="000000"/>
          <w:right w:val="single" w:sz="4" w:space="4" w:color="000000"/>
        </w:pBdr>
        <w:tabs>
          <w:tab w:val="left" w:pos="3045"/>
        </w:tabs>
        <w:suppressAutoHyphens/>
        <w:spacing w:after="0" w:line="240" w:lineRule="auto"/>
        <w:ind w:left="3045" w:hanging="3045"/>
        <w:jc w:val="both"/>
        <w:rPr>
          <w:rFonts w:ascii="Times New Roman" w:eastAsia="Courier 10cpi" w:hAnsi="Times New Roman" w:cs="Courier 10cpi"/>
          <w:b/>
          <w:sz w:val="24"/>
          <w:szCs w:val="24"/>
          <w:lang w:eastAsia="ar-SA"/>
        </w:rPr>
      </w:pPr>
      <w:r w:rsidRPr="003B5B5D">
        <w:rPr>
          <w:rFonts w:ascii="Times New Roman" w:eastAsia="Courier 10cpi" w:hAnsi="Times New Roman" w:cs="Courier 10cpi"/>
          <w:b/>
          <w:sz w:val="24"/>
          <w:szCs w:val="24"/>
          <w:lang w:eastAsia="ar-SA"/>
        </w:rPr>
        <w:tab/>
      </w:r>
      <w:r w:rsidRPr="003B5B5D">
        <w:rPr>
          <w:rFonts w:ascii="Times New Roman" w:eastAsia="Courier 10cpi" w:hAnsi="Times New Roman" w:cs="Courier 10cpi"/>
          <w:b/>
          <w:sz w:val="24"/>
          <w:szCs w:val="24"/>
          <w:lang w:eastAsia="ar-SA"/>
        </w:rPr>
        <w:tab/>
        <w:t xml:space="preserve">           Orientale </w:t>
      </w:r>
    </w:p>
    <w:p w:rsidR="003B5B5D" w:rsidRPr="003B5B5D" w:rsidRDefault="003B5B5D" w:rsidP="003B5B5D">
      <w:pPr>
        <w:pBdr>
          <w:top w:val="single" w:sz="4" w:space="1" w:color="000000"/>
          <w:left w:val="single" w:sz="4" w:space="4" w:color="000000"/>
          <w:bottom w:val="single" w:sz="4" w:space="1" w:color="000000"/>
          <w:right w:val="single" w:sz="4" w:space="4" w:color="000000"/>
        </w:pBdr>
        <w:tabs>
          <w:tab w:val="left" w:pos="3045"/>
        </w:tabs>
        <w:suppressAutoHyphens/>
        <w:spacing w:after="0" w:line="240" w:lineRule="auto"/>
        <w:jc w:val="both"/>
        <w:rPr>
          <w:rFonts w:ascii="Times New Roman" w:eastAsia="Courier 10cpi" w:hAnsi="Times New Roman" w:cs="Courier 10cpi"/>
          <w:b/>
          <w:sz w:val="24"/>
          <w:szCs w:val="24"/>
          <w:lang w:eastAsia="ar-SA"/>
        </w:rPr>
      </w:pPr>
      <w:r w:rsidRPr="003B5B5D">
        <w:rPr>
          <w:rFonts w:ascii="Times New Roman" w:eastAsia="Courier 10cpi" w:hAnsi="Times New Roman" w:cs="Courier 10cpi"/>
          <w:b/>
          <w:sz w:val="24"/>
          <w:szCs w:val="24"/>
          <w:lang w:eastAsia="ar-SA"/>
        </w:rPr>
        <w:tab/>
      </w:r>
      <w:r w:rsidRPr="003B5B5D">
        <w:rPr>
          <w:rFonts w:ascii="Times New Roman" w:eastAsia="Courier 10cpi" w:hAnsi="Times New Roman" w:cs="Courier 10cpi"/>
          <w:b/>
          <w:sz w:val="24"/>
          <w:szCs w:val="24"/>
          <w:lang w:eastAsia="ar-SA"/>
        </w:rPr>
        <w:tab/>
      </w:r>
      <w:r w:rsidRPr="003B5B5D">
        <w:rPr>
          <w:rFonts w:ascii="Times New Roman" w:eastAsia="Courier 10cpi" w:hAnsi="Times New Roman" w:cs="Courier 10cpi"/>
          <w:b/>
          <w:sz w:val="24"/>
          <w:szCs w:val="24"/>
          <w:lang w:eastAsia="ar-SA"/>
        </w:rPr>
        <w:tab/>
        <w:t>Conférence Annuelle</w:t>
      </w:r>
    </w:p>
    <w:p w:rsidR="003B5B5D" w:rsidRPr="003B5B5D" w:rsidRDefault="003B5B5D" w:rsidP="003B5B5D">
      <w:pPr>
        <w:pBdr>
          <w:top w:val="single" w:sz="4" w:space="1" w:color="000000"/>
          <w:left w:val="single" w:sz="4" w:space="4" w:color="000000"/>
          <w:bottom w:val="single" w:sz="4" w:space="1" w:color="000000"/>
          <w:right w:val="single" w:sz="4" w:space="4" w:color="000000"/>
        </w:pBdr>
        <w:tabs>
          <w:tab w:val="left" w:pos="3045"/>
        </w:tabs>
        <w:suppressAutoHyphens/>
        <w:spacing w:after="0" w:line="240" w:lineRule="auto"/>
        <w:jc w:val="both"/>
        <w:rPr>
          <w:rFonts w:ascii="Times New Roman" w:eastAsia="Courier 10cpi" w:hAnsi="Times New Roman" w:cs="Courier 10cpi"/>
          <w:i/>
          <w:sz w:val="24"/>
          <w:szCs w:val="24"/>
          <w:lang w:eastAsia="ar-SA"/>
        </w:rPr>
      </w:pPr>
      <w:r w:rsidRPr="003B5B5D">
        <w:rPr>
          <w:rFonts w:ascii="Times New Roman" w:eastAsia="Courier 10cpi" w:hAnsi="Times New Roman" w:cs="Courier 10cpi"/>
          <w:b/>
          <w:sz w:val="24"/>
          <w:szCs w:val="24"/>
          <w:lang w:eastAsia="ar-SA"/>
        </w:rPr>
        <w:tab/>
      </w:r>
      <w:r w:rsidRPr="003B5B5D">
        <w:rPr>
          <w:rFonts w:ascii="Times New Roman" w:eastAsia="Courier 10cpi" w:hAnsi="Times New Roman" w:cs="Courier 10cpi"/>
          <w:b/>
          <w:sz w:val="24"/>
          <w:szCs w:val="24"/>
          <w:lang w:eastAsia="ar-SA"/>
        </w:rPr>
        <w:tab/>
      </w:r>
      <w:r w:rsidRPr="003B5B5D">
        <w:rPr>
          <w:rFonts w:ascii="Times New Roman" w:eastAsia="Courier 10cpi" w:hAnsi="Times New Roman" w:cs="Courier 10cpi"/>
          <w:b/>
          <w:sz w:val="24"/>
          <w:szCs w:val="24"/>
          <w:lang w:eastAsia="ar-SA"/>
        </w:rPr>
        <w:tab/>
      </w:r>
      <w:r w:rsidRPr="003B5B5D">
        <w:rPr>
          <w:rFonts w:ascii="Times New Roman" w:eastAsia="Courier 10cpi" w:hAnsi="Times New Roman" w:cs="Courier 10cpi"/>
          <w:i/>
          <w:sz w:val="24"/>
          <w:szCs w:val="24"/>
          <w:lang w:eastAsia="ar-SA"/>
        </w:rPr>
        <w:t>Riga /Létonie</w:t>
      </w:r>
    </w:p>
    <w:p w:rsidR="003B5B5D" w:rsidRPr="003B5B5D" w:rsidRDefault="003B5B5D" w:rsidP="003B5B5D">
      <w:pPr>
        <w:pBdr>
          <w:top w:val="single" w:sz="4" w:space="1" w:color="000000"/>
          <w:left w:val="single" w:sz="4" w:space="4" w:color="000000"/>
          <w:bottom w:val="single" w:sz="4" w:space="1" w:color="000000"/>
          <w:right w:val="single" w:sz="4" w:space="4" w:color="000000"/>
        </w:pBdr>
        <w:tabs>
          <w:tab w:val="left" w:pos="3045"/>
        </w:tabs>
        <w:suppressAutoHyphens/>
        <w:spacing w:after="0" w:line="240" w:lineRule="auto"/>
        <w:ind w:left="2124" w:hanging="2124"/>
        <w:jc w:val="both"/>
        <w:rPr>
          <w:rFonts w:ascii="Times New Roman" w:eastAsia="Times New Roman" w:hAnsi="Times New Roman" w:cs="Times New Roman"/>
          <w:b/>
          <w:sz w:val="24"/>
          <w:szCs w:val="24"/>
          <w:lang w:eastAsia="ar-SA"/>
        </w:rPr>
      </w:pPr>
      <w:r w:rsidRPr="003B5B5D">
        <w:rPr>
          <w:rFonts w:ascii="Times New Roman" w:eastAsia="Courier 10cpi" w:hAnsi="Times New Roman" w:cs="Courier 10cpi"/>
          <w:b/>
          <w:sz w:val="24"/>
          <w:szCs w:val="24"/>
          <w:lang w:eastAsia="ar-SA"/>
        </w:rPr>
        <w:t>28 &amp; 29 Juin 2018</w:t>
      </w:r>
      <w:r w:rsidRPr="003B5B5D">
        <w:rPr>
          <w:rFonts w:ascii="Times New Roman" w:eastAsia="Courier 10cpi" w:hAnsi="Times New Roman" w:cs="Courier 10cpi"/>
          <w:b/>
          <w:sz w:val="24"/>
          <w:szCs w:val="24"/>
          <w:lang w:eastAsia="ar-SA"/>
        </w:rPr>
        <w:tab/>
      </w:r>
      <w:r w:rsidRPr="003B5B5D">
        <w:rPr>
          <w:rFonts w:ascii="Times New Roman" w:eastAsia="Courier 10cpi" w:hAnsi="Times New Roman" w:cs="Courier 10cpi"/>
          <w:b/>
          <w:sz w:val="24"/>
          <w:szCs w:val="24"/>
          <w:lang w:eastAsia="ar-SA"/>
        </w:rPr>
        <w:tab/>
      </w:r>
      <w:r w:rsidRPr="003B5B5D">
        <w:rPr>
          <w:rFonts w:ascii="Times New Roman" w:eastAsia="Courier 10cpi" w:hAnsi="Times New Roman" w:cs="Courier 10cpi"/>
          <w:b/>
          <w:sz w:val="24"/>
          <w:szCs w:val="24"/>
          <w:lang w:eastAsia="ar-SA"/>
        </w:rPr>
        <w:tab/>
        <w:t xml:space="preserve">         </w:t>
      </w:r>
      <w:r w:rsidRPr="003B5B5D">
        <w:rPr>
          <w:rFonts w:ascii="Times New Roman" w:eastAsia="Courier 10cpi" w:hAnsi="Times New Roman" w:cs="Courier 10cpi"/>
          <w:b/>
          <w:sz w:val="24"/>
          <w:szCs w:val="24"/>
          <w:lang w:eastAsia="ar-SA"/>
        </w:rPr>
        <w:tab/>
        <w:t>INSOL Europe/DAV(</w:t>
      </w:r>
      <w:r w:rsidRPr="003B5B5D">
        <w:rPr>
          <w:rFonts w:ascii="Times New Roman" w:eastAsia="Times New Roman" w:hAnsi="Times New Roman" w:cs="Times New Roman"/>
          <w:b/>
          <w:sz w:val="24"/>
          <w:szCs w:val="24"/>
          <w:lang w:eastAsia="ar-SA"/>
        </w:rPr>
        <w:t xml:space="preserve">Association du barreau </w:t>
      </w:r>
    </w:p>
    <w:p w:rsidR="003B5B5D" w:rsidRPr="003B5B5D" w:rsidRDefault="003B5B5D" w:rsidP="003B5B5D">
      <w:pPr>
        <w:pBdr>
          <w:top w:val="single" w:sz="4" w:space="1" w:color="000000"/>
          <w:left w:val="single" w:sz="4" w:space="4" w:color="000000"/>
          <w:bottom w:val="single" w:sz="4" w:space="1" w:color="000000"/>
          <w:right w:val="single" w:sz="4" w:space="4" w:color="000000"/>
        </w:pBdr>
        <w:tabs>
          <w:tab w:val="left" w:pos="3045"/>
        </w:tabs>
        <w:suppressAutoHyphens/>
        <w:spacing w:after="0" w:line="240" w:lineRule="auto"/>
        <w:ind w:left="2124" w:hanging="2124"/>
        <w:jc w:val="both"/>
        <w:rPr>
          <w:rFonts w:ascii="Times New Roman" w:eastAsia="Courier 10cpi" w:hAnsi="Times New Roman" w:cs="Courier 10cpi"/>
          <w:b/>
          <w:sz w:val="24"/>
          <w:szCs w:val="24"/>
          <w:lang w:eastAsia="ar-SA"/>
        </w:rPr>
      </w:pPr>
      <w:r w:rsidRPr="003B5B5D">
        <w:rPr>
          <w:rFonts w:ascii="Times New Roman" w:eastAsia="Courier 10cpi" w:hAnsi="Times New Roman" w:cs="Courier 10cpi"/>
          <w:b/>
          <w:sz w:val="24"/>
          <w:szCs w:val="24"/>
          <w:lang w:eastAsia="ar-SA"/>
        </w:rPr>
        <w:t xml:space="preserve">                                                                </w:t>
      </w:r>
      <w:r w:rsidRPr="003B5B5D">
        <w:rPr>
          <w:rFonts w:ascii="Times New Roman" w:eastAsia="Courier 10cpi" w:hAnsi="Times New Roman" w:cs="Courier 10cpi"/>
          <w:b/>
          <w:sz w:val="24"/>
          <w:szCs w:val="24"/>
          <w:lang w:eastAsia="ar-SA"/>
        </w:rPr>
        <w:tab/>
      </w:r>
      <w:r w:rsidRPr="003B5B5D">
        <w:rPr>
          <w:rFonts w:ascii="Times New Roman" w:eastAsia="Times New Roman" w:hAnsi="Times New Roman" w:cs="Times New Roman"/>
          <w:b/>
          <w:sz w:val="24"/>
          <w:szCs w:val="24"/>
          <w:lang w:eastAsia="ar-SA"/>
        </w:rPr>
        <w:t>allemand)</w:t>
      </w:r>
    </w:p>
    <w:p w:rsidR="003B5B5D" w:rsidRPr="003B5B5D" w:rsidRDefault="003B5B5D" w:rsidP="003B5B5D">
      <w:pPr>
        <w:pBdr>
          <w:top w:val="single" w:sz="4" w:space="1" w:color="000000"/>
          <w:left w:val="single" w:sz="4" w:space="4" w:color="000000"/>
          <w:bottom w:val="single" w:sz="4" w:space="1" w:color="000000"/>
          <w:right w:val="single" w:sz="4" w:space="4" w:color="000000"/>
        </w:pBdr>
        <w:tabs>
          <w:tab w:val="left" w:pos="3045"/>
        </w:tabs>
        <w:suppressAutoHyphens/>
        <w:spacing w:after="0" w:line="240" w:lineRule="auto"/>
        <w:jc w:val="both"/>
        <w:rPr>
          <w:rFonts w:ascii="Times New Roman" w:eastAsia="Courier 10cpi" w:hAnsi="Times New Roman" w:cs="Courier 10cpi"/>
          <w:b/>
          <w:sz w:val="24"/>
          <w:szCs w:val="24"/>
          <w:lang w:eastAsia="ar-SA"/>
        </w:rPr>
      </w:pPr>
      <w:r w:rsidRPr="003B5B5D">
        <w:rPr>
          <w:rFonts w:ascii="Times New Roman" w:eastAsia="Courier 10cpi" w:hAnsi="Times New Roman" w:cs="Courier 10cpi"/>
          <w:b/>
          <w:sz w:val="24"/>
          <w:szCs w:val="24"/>
          <w:lang w:eastAsia="ar-SA"/>
        </w:rPr>
        <w:tab/>
      </w:r>
      <w:r w:rsidRPr="003B5B5D">
        <w:rPr>
          <w:rFonts w:ascii="Times New Roman" w:eastAsia="Courier 10cpi" w:hAnsi="Times New Roman" w:cs="Courier 10cpi"/>
          <w:b/>
          <w:sz w:val="24"/>
          <w:szCs w:val="24"/>
          <w:lang w:eastAsia="ar-SA"/>
        </w:rPr>
        <w:tab/>
      </w:r>
      <w:r w:rsidRPr="003B5B5D">
        <w:rPr>
          <w:rFonts w:ascii="Times New Roman" w:eastAsia="Courier 10cpi" w:hAnsi="Times New Roman" w:cs="Courier 10cpi"/>
          <w:b/>
          <w:sz w:val="24"/>
          <w:szCs w:val="24"/>
          <w:lang w:eastAsia="ar-SA"/>
        </w:rPr>
        <w:tab/>
        <w:t xml:space="preserve">Conférence conjointe  </w:t>
      </w:r>
    </w:p>
    <w:p w:rsidR="003B5B5D" w:rsidRPr="003B5B5D" w:rsidRDefault="003B5B5D" w:rsidP="003B5B5D">
      <w:pPr>
        <w:pBdr>
          <w:top w:val="single" w:sz="4" w:space="1" w:color="000000"/>
          <w:left w:val="single" w:sz="4" w:space="4" w:color="000000"/>
          <w:bottom w:val="single" w:sz="4" w:space="1" w:color="000000"/>
          <w:right w:val="single" w:sz="4" w:space="4" w:color="000000"/>
        </w:pBdr>
        <w:tabs>
          <w:tab w:val="left" w:pos="3045"/>
        </w:tabs>
        <w:suppressAutoHyphens/>
        <w:spacing w:after="0" w:line="240" w:lineRule="auto"/>
        <w:jc w:val="both"/>
        <w:rPr>
          <w:rFonts w:ascii="Times New Roman" w:eastAsia="Courier 10cpi" w:hAnsi="Times New Roman" w:cs="Courier 10cpi"/>
          <w:i/>
          <w:sz w:val="24"/>
          <w:szCs w:val="24"/>
          <w:lang w:eastAsia="ar-SA"/>
        </w:rPr>
      </w:pPr>
      <w:r w:rsidRPr="003B5B5D">
        <w:rPr>
          <w:rFonts w:ascii="Times New Roman" w:eastAsia="Courier 10cpi" w:hAnsi="Times New Roman" w:cs="Courier 10cpi"/>
          <w:b/>
          <w:sz w:val="24"/>
          <w:szCs w:val="24"/>
          <w:lang w:eastAsia="ar-SA"/>
        </w:rPr>
        <w:tab/>
      </w:r>
      <w:r w:rsidRPr="003B5B5D">
        <w:rPr>
          <w:rFonts w:ascii="Times New Roman" w:eastAsia="Courier 10cpi" w:hAnsi="Times New Roman" w:cs="Courier 10cpi"/>
          <w:b/>
          <w:sz w:val="24"/>
          <w:szCs w:val="24"/>
          <w:lang w:eastAsia="ar-SA"/>
        </w:rPr>
        <w:tab/>
      </w:r>
      <w:r w:rsidRPr="003B5B5D">
        <w:rPr>
          <w:rFonts w:ascii="Times New Roman" w:eastAsia="Courier 10cpi" w:hAnsi="Times New Roman" w:cs="Courier 10cpi"/>
          <w:b/>
          <w:sz w:val="24"/>
          <w:szCs w:val="24"/>
          <w:lang w:eastAsia="ar-SA"/>
        </w:rPr>
        <w:tab/>
      </w:r>
      <w:r w:rsidRPr="003B5B5D">
        <w:rPr>
          <w:rFonts w:ascii="Times New Roman" w:eastAsia="Courier 10cpi" w:hAnsi="Times New Roman" w:cs="Courier 10cpi"/>
          <w:i/>
          <w:sz w:val="24"/>
          <w:szCs w:val="24"/>
          <w:lang w:eastAsia="ar-SA"/>
        </w:rPr>
        <w:t>Bruxelles/Belgique</w:t>
      </w:r>
    </w:p>
    <w:p w:rsidR="003B5B5D" w:rsidRPr="003B5B5D" w:rsidRDefault="003B5B5D" w:rsidP="003B5B5D">
      <w:pPr>
        <w:pBdr>
          <w:top w:val="single" w:sz="4" w:space="1" w:color="000000"/>
          <w:left w:val="single" w:sz="4" w:space="4" w:color="000000"/>
          <w:bottom w:val="single" w:sz="4" w:space="1" w:color="000000"/>
          <w:right w:val="single" w:sz="4" w:space="4" w:color="000000"/>
        </w:pBdr>
        <w:tabs>
          <w:tab w:val="left" w:pos="3045"/>
        </w:tabs>
        <w:suppressAutoHyphens/>
        <w:spacing w:after="0" w:line="240" w:lineRule="auto"/>
        <w:jc w:val="both"/>
        <w:rPr>
          <w:rFonts w:ascii="Times New Roman" w:eastAsia="Courier 10cpi" w:hAnsi="Times New Roman" w:cs="Courier 10cpi"/>
          <w:b/>
          <w:sz w:val="24"/>
          <w:szCs w:val="24"/>
          <w:lang w:eastAsia="ar-SA"/>
        </w:rPr>
      </w:pPr>
      <w:r w:rsidRPr="003B5B5D">
        <w:rPr>
          <w:rFonts w:ascii="Times New Roman" w:eastAsia="Courier 10cpi" w:hAnsi="Times New Roman" w:cs="Courier 10cpi"/>
          <w:b/>
          <w:sz w:val="24"/>
          <w:szCs w:val="24"/>
          <w:lang w:eastAsia="ar-SA"/>
        </w:rPr>
        <w:t>3 &amp; 4 Octobre</w:t>
      </w:r>
      <w:r w:rsidRPr="003B5B5D">
        <w:rPr>
          <w:rFonts w:ascii="Times New Roman" w:eastAsia="Courier 10cpi" w:hAnsi="Times New Roman" w:cs="Courier 10cpi"/>
          <w:sz w:val="24"/>
          <w:szCs w:val="24"/>
          <w:lang w:eastAsia="ar-SA"/>
        </w:rPr>
        <w:tab/>
      </w:r>
      <w:r w:rsidRPr="003B5B5D">
        <w:rPr>
          <w:rFonts w:ascii="Times New Roman" w:eastAsia="Courier 10cpi" w:hAnsi="Times New Roman" w:cs="Courier 10cpi"/>
          <w:sz w:val="24"/>
          <w:szCs w:val="24"/>
          <w:lang w:eastAsia="ar-SA"/>
        </w:rPr>
        <w:tab/>
      </w:r>
      <w:r w:rsidRPr="003B5B5D">
        <w:rPr>
          <w:rFonts w:ascii="Times New Roman" w:eastAsia="Courier 10cpi" w:hAnsi="Times New Roman" w:cs="Courier 10cpi"/>
          <w:sz w:val="24"/>
          <w:szCs w:val="24"/>
          <w:lang w:eastAsia="ar-SA"/>
        </w:rPr>
        <w:tab/>
      </w:r>
      <w:r w:rsidRPr="003B5B5D">
        <w:rPr>
          <w:rFonts w:ascii="Times New Roman" w:eastAsia="Courier 10cpi" w:hAnsi="Times New Roman" w:cs="Courier 10cpi"/>
          <w:b/>
          <w:sz w:val="24"/>
          <w:szCs w:val="24"/>
          <w:lang w:eastAsia="ar-SA"/>
        </w:rPr>
        <w:t>INSOL Europe/Forum Universitaire</w:t>
      </w:r>
    </w:p>
    <w:p w:rsidR="003B5B5D" w:rsidRPr="003B5B5D" w:rsidRDefault="003B5B5D" w:rsidP="003B5B5D">
      <w:pPr>
        <w:pBdr>
          <w:top w:val="single" w:sz="4" w:space="1" w:color="000000"/>
          <w:left w:val="single" w:sz="4" w:space="4" w:color="000000"/>
          <w:bottom w:val="single" w:sz="4" w:space="1" w:color="000000"/>
          <w:right w:val="single" w:sz="4" w:space="4" w:color="000000"/>
        </w:pBdr>
        <w:tabs>
          <w:tab w:val="left" w:pos="3045"/>
        </w:tabs>
        <w:suppressAutoHyphens/>
        <w:spacing w:after="0" w:line="240" w:lineRule="auto"/>
        <w:jc w:val="both"/>
        <w:rPr>
          <w:rFonts w:ascii="Times New Roman" w:eastAsia="Courier 10cpi" w:hAnsi="Times New Roman" w:cs="Courier 10cpi"/>
          <w:sz w:val="24"/>
          <w:szCs w:val="24"/>
          <w:lang w:eastAsia="ar-SA"/>
        </w:rPr>
      </w:pPr>
      <w:r w:rsidRPr="003B5B5D">
        <w:rPr>
          <w:rFonts w:ascii="Times New Roman" w:eastAsia="Courier 10cpi" w:hAnsi="Times New Roman" w:cs="Courier 10cpi"/>
          <w:b/>
          <w:sz w:val="24"/>
          <w:szCs w:val="24"/>
          <w:lang w:eastAsia="ar-SA"/>
        </w:rPr>
        <w:tab/>
      </w:r>
      <w:r w:rsidRPr="003B5B5D">
        <w:rPr>
          <w:rFonts w:ascii="Times New Roman" w:eastAsia="Courier 10cpi" w:hAnsi="Times New Roman" w:cs="Courier 10cpi"/>
          <w:b/>
          <w:sz w:val="24"/>
          <w:szCs w:val="24"/>
          <w:lang w:eastAsia="ar-SA"/>
        </w:rPr>
        <w:tab/>
      </w:r>
      <w:r w:rsidRPr="003B5B5D">
        <w:rPr>
          <w:rFonts w:ascii="Times New Roman" w:eastAsia="Courier 10cpi" w:hAnsi="Times New Roman" w:cs="Courier 10cpi"/>
          <w:b/>
          <w:sz w:val="24"/>
          <w:szCs w:val="24"/>
          <w:lang w:eastAsia="ar-SA"/>
        </w:rPr>
        <w:tab/>
        <w:t>Conférence Annuelle</w:t>
      </w:r>
    </w:p>
    <w:p w:rsidR="003B5B5D" w:rsidRPr="003B5B5D" w:rsidRDefault="003B5B5D" w:rsidP="003B5B5D">
      <w:pPr>
        <w:pBdr>
          <w:top w:val="single" w:sz="4" w:space="1" w:color="000000"/>
          <w:left w:val="single" w:sz="4" w:space="4" w:color="000000"/>
          <w:bottom w:val="single" w:sz="4" w:space="1" w:color="000000"/>
          <w:right w:val="single" w:sz="4" w:space="4" w:color="000000"/>
        </w:pBdr>
        <w:tabs>
          <w:tab w:val="left" w:pos="3045"/>
        </w:tabs>
        <w:suppressAutoHyphens/>
        <w:spacing w:after="0" w:line="240" w:lineRule="auto"/>
        <w:jc w:val="both"/>
        <w:rPr>
          <w:rFonts w:ascii="Times New Roman" w:eastAsia="Courier 10cpi" w:hAnsi="Times New Roman" w:cs="Courier 10cpi"/>
          <w:i/>
          <w:sz w:val="24"/>
          <w:szCs w:val="24"/>
          <w:lang w:eastAsia="ar-SA"/>
        </w:rPr>
      </w:pPr>
      <w:r w:rsidRPr="003B5B5D">
        <w:rPr>
          <w:rFonts w:ascii="Times New Roman" w:eastAsia="Courier 10cpi" w:hAnsi="Times New Roman" w:cs="Courier 10cpi"/>
          <w:sz w:val="24"/>
          <w:szCs w:val="24"/>
          <w:lang w:eastAsia="ar-SA"/>
        </w:rPr>
        <w:tab/>
      </w:r>
      <w:r w:rsidRPr="003B5B5D">
        <w:rPr>
          <w:rFonts w:ascii="Times New Roman" w:eastAsia="Courier 10cpi" w:hAnsi="Times New Roman" w:cs="Courier 10cpi"/>
          <w:sz w:val="24"/>
          <w:szCs w:val="24"/>
          <w:lang w:eastAsia="ar-SA"/>
        </w:rPr>
        <w:tab/>
      </w:r>
      <w:r w:rsidRPr="003B5B5D">
        <w:rPr>
          <w:rFonts w:ascii="Times New Roman" w:eastAsia="Courier 10cpi" w:hAnsi="Times New Roman" w:cs="Courier 10cpi"/>
          <w:sz w:val="24"/>
          <w:szCs w:val="24"/>
          <w:lang w:eastAsia="ar-SA"/>
        </w:rPr>
        <w:tab/>
      </w:r>
      <w:r w:rsidRPr="003B5B5D">
        <w:rPr>
          <w:rFonts w:ascii="Times New Roman" w:eastAsia="Courier 10cpi" w:hAnsi="Times New Roman" w:cs="Courier 10cpi"/>
          <w:i/>
          <w:sz w:val="24"/>
          <w:szCs w:val="24"/>
          <w:lang w:eastAsia="ar-SA"/>
        </w:rPr>
        <w:t>Athène/Grèce</w:t>
      </w:r>
    </w:p>
    <w:p w:rsidR="003B5B5D" w:rsidRPr="003B5B5D" w:rsidRDefault="003B5B5D" w:rsidP="003B5B5D">
      <w:pPr>
        <w:pBdr>
          <w:top w:val="single" w:sz="4" w:space="1" w:color="000000"/>
          <w:left w:val="single" w:sz="4" w:space="4" w:color="000000"/>
          <w:bottom w:val="single" w:sz="4" w:space="1" w:color="000000"/>
          <w:right w:val="single" w:sz="4" w:space="4" w:color="000000"/>
        </w:pBdr>
        <w:tabs>
          <w:tab w:val="left" w:pos="3045"/>
        </w:tabs>
        <w:suppressAutoHyphens/>
        <w:spacing w:after="0" w:line="240" w:lineRule="auto"/>
        <w:jc w:val="both"/>
        <w:rPr>
          <w:rFonts w:ascii="Times New Roman" w:eastAsia="Courier 10cpi" w:hAnsi="Times New Roman" w:cs="Courier 10cpi"/>
          <w:i/>
          <w:sz w:val="24"/>
          <w:szCs w:val="24"/>
          <w:lang w:eastAsia="ar-SA"/>
        </w:rPr>
      </w:pPr>
      <w:r w:rsidRPr="003B5B5D">
        <w:rPr>
          <w:rFonts w:ascii="Times New Roman" w:eastAsia="Courier 10cpi" w:hAnsi="Times New Roman" w:cs="Courier 10cpi"/>
          <w:b/>
          <w:sz w:val="24"/>
          <w:szCs w:val="24"/>
          <w:lang w:eastAsia="ar-SA"/>
        </w:rPr>
        <w:t>4 – 7 Octobre</w:t>
      </w:r>
      <w:r w:rsidRPr="003B5B5D">
        <w:rPr>
          <w:rFonts w:ascii="Times New Roman" w:eastAsia="Courier 10cpi" w:hAnsi="Times New Roman" w:cs="Courier 10cpi"/>
          <w:sz w:val="24"/>
          <w:szCs w:val="24"/>
          <w:lang w:eastAsia="ar-SA"/>
        </w:rPr>
        <w:tab/>
      </w:r>
      <w:r w:rsidRPr="003B5B5D">
        <w:rPr>
          <w:rFonts w:ascii="Times New Roman" w:eastAsia="Courier 10cpi" w:hAnsi="Times New Roman" w:cs="Courier 10cpi"/>
          <w:sz w:val="24"/>
          <w:szCs w:val="24"/>
          <w:lang w:eastAsia="ar-SA"/>
        </w:rPr>
        <w:tab/>
      </w:r>
      <w:r w:rsidRPr="003B5B5D">
        <w:rPr>
          <w:rFonts w:ascii="Times New Roman" w:eastAsia="Courier 10cpi" w:hAnsi="Times New Roman" w:cs="Courier 10cpi"/>
          <w:sz w:val="24"/>
          <w:szCs w:val="24"/>
          <w:lang w:eastAsia="ar-SA"/>
        </w:rPr>
        <w:tab/>
      </w:r>
      <w:r w:rsidRPr="003B5B5D">
        <w:rPr>
          <w:rFonts w:ascii="Times New Roman" w:eastAsia="Courier 10cpi" w:hAnsi="Times New Roman" w:cs="Courier 10cpi"/>
          <w:b/>
          <w:sz w:val="24"/>
          <w:szCs w:val="24"/>
          <w:lang w:eastAsia="ar-SA"/>
        </w:rPr>
        <w:t>INSOL Europe – Congrès annuel</w:t>
      </w:r>
    </w:p>
    <w:p w:rsidR="003B5B5D" w:rsidRPr="003B5B5D" w:rsidRDefault="003B5B5D" w:rsidP="003B5B5D">
      <w:pPr>
        <w:pBdr>
          <w:top w:val="single" w:sz="4" w:space="1" w:color="000000"/>
          <w:left w:val="single" w:sz="4" w:space="4" w:color="000000"/>
          <w:bottom w:val="single" w:sz="4" w:space="1" w:color="000000"/>
          <w:right w:val="single" w:sz="4" w:space="4" w:color="000000"/>
        </w:pBdr>
        <w:tabs>
          <w:tab w:val="left" w:pos="3045"/>
        </w:tabs>
        <w:suppressAutoHyphens/>
        <w:spacing w:after="0" w:line="240" w:lineRule="auto"/>
        <w:jc w:val="both"/>
        <w:rPr>
          <w:rFonts w:ascii="Times New Roman" w:eastAsia="Courier 10cpi" w:hAnsi="Times New Roman" w:cs="Courier 10cpi"/>
          <w:i/>
          <w:sz w:val="24"/>
          <w:szCs w:val="24"/>
          <w:lang w:eastAsia="ar-SA"/>
        </w:rPr>
      </w:pPr>
      <w:r w:rsidRPr="003B5B5D">
        <w:rPr>
          <w:rFonts w:ascii="Times New Roman" w:eastAsia="Courier 10cpi" w:hAnsi="Times New Roman" w:cs="Courier 10cpi"/>
          <w:sz w:val="24"/>
          <w:szCs w:val="24"/>
          <w:lang w:eastAsia="ar-SA"/>
        </w:rPr>
        <w:tab/>
      </w:r>
      <w:r w:rsidRPr="003B5B5D">
        <w:rPr>
          <w:rFonts w:ascii="Times New Roman" w:eastAsia="Courier 10cpi" w:hAnsi="Times New Roman" w:cs="Courier 10cpi"/>
          <w:sz w:val="24"/>
          <w:szCs w:val="24"/>
          <w:lang w:eastAsia="ar-SA"/>
        </w:rPr>
        <w:tab/>
      </w:r>
      <w:r w:rsidRPr="003B5B5D">
        <w:rPr>
          <w:rFonts w:ascii="Times New Roman" w:eastAsia="Courier 10cpi" w:hAnsi="Times New Roman" w:cs="Courier 10cpi"/>
          <w:sz w:val="24"/>
          <w:szCs w:val="24"/>
          <w:lang w:eastAsia="ar-SA"/>
        </w:rPr>
        <w:tab/>
      </w:r>
      <w:r w:rsidRPr="003B5B5D">
        <w:rPr>
          <w:rFonts w:ascii="Times New Roman" w:eastAsia="Courier 10cpi" w:hAnsi="Times New Roman" w:cs="Courier 10cpi"/>
          <w:i/>
          <w:sz w:val="24"/>
          <w:szCs w:val="24"/>
          <w:lang w:eastAsia="ar-SA"/>
        </w:rPr>
        <w:t>Athène/Grèce</w:t>
      </w:r>
    </w:p>
    <w:p w:rsidR="003B5B5D" w:rsidRPr="003B5B5D" w:rsidRDefault="003B5B5D" w:rsidP="003B5B5D">
      <w:pPr>
        <w:pBdr>
          <w:top w:val="single" w:sz="4" w:space="1" w:color="000000"/>
          <w:left w:val="single" w:sz="4" w:space="4" w:color="000000"/>
          <w:bottom w:val="single" w:sz="4" w:space="1" w:color="000000"/>
          <w:right w:val="single" w:sz="4" w:space="4" w:color="000000"/>
        </w:pBdr>
        <w:tabs>
          <w:tab w:val="left" w:pos="3045"/>
        </w:tabs>
        <w:suppressAutoHyphens/>
        <w:spacing w:after="0" w:line="240" w:lineRule="auto"/>
        <w:jc w:val="both"/>
        <w:rPr>
          <w:rFonts w:ascii="Times New Roman" w:eastAsia="Courier 10cpi" w:hAnsi="Times New Roman" w:cs="Courier 10cpi"/>
          <w:b/>
          <w:sz w:val="40"/>
          <w:szCs w:val="40"/>
          <w:lang w:eastAsia="ar-SA"/>
        </w:rPr>
      </w:pPr>
      <w:r w:rsidRPr="003B5B5D">
        <w:rPr>
          <w:rFonts w:ascii="Times New Roman" w:eastAsia="Courier 10cpi" w:hAnsi="Times New Roman" w:cs="Courier 10cpi"/>
          <w:b/>
          <w:sz w:val="40"/>
          <w:szCs w:val="40"/>
          <w:lang w:eastAsia="ar-SA"/>
        </w:rPr>
        <w:t>2019</w:t>
      </w:r>
    </w:p>
    <w:p w:rsidR="003B5B5D" w:rsidRPr="003B5B5D" w:rsidRDefault="003B5B5D" w:rsidP="003B5B5D">
      <w:pPr>
        <w:pBdr>
          <w:top w:val="single" w:sz="4" w:space="1" w:color="000000"/>
          <w:left w:val="single" w:sz="4" w:space="4" w:color="000000"/>
          <w:bottom w:val="single" w:sz="4" w:space="1" w:color="000000"/>
          <w:right w:val="single" w:sz="4" w:space="4" w:color="000000"/>
        </w:pBdr>
        <w:tabs>
          <w:tab w:val="left" w:pos="3045"/>
        </w:tabs>
        <w:suppressAutoHyphens/>
        <w:spacing w:after="0" w:line="240" w:lineRule="auto"/>
        <w:jc w:val="both"/>
        <w:rPr>
          <w:rFonts w:ascii="Times New Roman" w:eastAsia="Courier 10cpi" w:hAnsi="Times New Roman" w:cs="Courier 10cpi"/>
          <w:sz w:val="24"/>
          <w:szCs w:val="24"/>
          <w:lang w:eastAsia="ar-SA"/>
        </w:rPr>
      </w:pPr>
    </w:p>
    <w:p w:rsidR="003B5B5D" w:rsidRPr="003B5B5D" w:rsidRDefault="003B5B5D" w:rsidP="003B5B5D">
      <w:pPr>
        <w:pBdr>
          <w:top w:val="single" w:sz="4" w:space="1" w:color="000000"/>
          <w:left w:val="single" w:sz="4" w:space="4" w:color="000000"/>
          <w:bottom w:val="single" w:sz="4" w:space="1" w:color="000000"/>
          <w:right w:val="single" w:sz="4" w:space="4" w:color="000000"/>
        </w:pBdr>
        <w:tabs>
          <w:tab w:val="left" w:pos="3045"/>
        </w:tabs>
        <w:suppressAutoHyphens/>
        <w:spacing w:after="0" w:line="240" w:lineRule="auto"/>
        <w:jc w:val="both"/>
        <w:rPr>
          <w:rFonts w:ascii="Times New Roman" w:eastAsia="Courier 10cpi" w:hAnsi="Times New Roman" w:cs="Courier 10cpi"/>
          <w:b/>
          <w:sz w:val="24"/>
          <w:szCs w:val="24"/>
          <w:lang w:eastAsia="ar-SA"/>
        </w:rPr>
      </w:pPr>
      <w:r w:rsidRPr="003B5B5D">
        <w:rPr>
          <w:rFonts w:ascii="Times New Roman" w:eastAsia="Courier 10cpi" w:hAnsi="Times New Roman" w:cs="Courier 10cpi"/>
          <w:b/>
          <w:sz w:val="24"/>
          <w:szCs w:val="24"/>
          <w:lang w:eastAsia="ar-SA"/>
        </w:rPr>
        <w:t>25 &amp; 26 Septembre</w:t>
      </w:r>
      <w:r w:rsidRPr="003B5B5D">
        <w:rPr>
          <w:rFonts w:ascii="Times New Roman" w:eastAsia="Courier 10cpi" w:hAnsi="Times New Roman" w:cs="Courier 10cpi"/>
          <w:sz w:val="24"/>
          <w:szCs w:val="24"/>
          <w:lang w:eastAsia="ar-SA"/>
        </w:rPr>
        <w:tab/>
      </w:r>
      <w:r w:rsidRPr="003B5B5D">
        <w:rPr>
          <w:rFonts w:ascii="Times New Roman" w:eastAsia="Courier 10cpi" w:hAnsi="Times New Roman" w:cs="Courier 10cpi"/>
          <w:sz w:val="24"/>
          <w:szCs w:val="24"/>
          <w:lang w:eastAsia="ar-SA"/>
        </w:rPr>
        <w:tab/>
      </w:r>
      <w:r w:rsidRPr="003B5B5D">
        <w:rPr>
          <w:rFonts w:ascii="Times New Roman" w:eastAsia="Courier 10cpi" w:hAnsi="Times New Roman" w:cs="Courier 10cpi"/>
          <w:sz w:val="24"/>
          <w:szCs w:val="24"/>
          <w:lang w:eastAsia="ar-SA"/>
        </w:rPr>
        <w:tab/>
      </w:r>
      <w:r w:rsidRPr="003B5B5D">
        <w:rPr>
          <w:rFonts w:ascii="Times New Roman" w:eastAsia="Courier 10cpi" w:hAnsi="Times New Roman" w:cs="Courier 10cpi"/>
          <w:b/>
          <w:sz w:val="24"/>
          <w:szCs w:val="24"/>
          <w:lang w:eastAsia="ar-SA"/>
        </w:rPr>
        <w:t>INSOL Europe/Forum Universitaire</w:t>
      </w:r>
    </w:p>
    <w:p w:rsidR="003B5B5D" w:rsidRPr="003B5B5D" w:rsidRDefault="003B5B5D" w:rsidP="003B5B5D">
      <w:pPr>
        <w:pBdr>
          <w:top w:val="single" w:sz="4" w:space="1" w:color="000000"/>
          <w:left w:val="single" w:sz="4" w:space="4" w:color="000000"/>
          <w:bottom w:val="single" w:sz="4" w:space="1" w:color="000000"/>
          <w:right w:val="single" w:sz="4" w:space="4" w:color="000000"/>
        </w:pBdr>
        <w:tabs>
          <w:tab w:val="left" w:pos="3045"/>
        </w:tabs>
        <w:suppressAutoHyphens/>
        <w:spacing w:after="0" w:line="240" w:lineRule="auto"/>
        <w:jc w:val="both"/>
        <w:rPr>
          <w:rFonts w:ascii="Times New Roman" w:eastAsia="Courier 10cpi" w:hAnsi="Times New Roman" w:cs="Courier 10cpi"/>
          <w:sz w:val="24"/>
          <w:szCs w:val="24"/>
          <w:lang w:eastAsia="ar-SA"/>
        </w:rPr>
      </w:pPr>
      <w:r w:rsidRPr="003B5B5D">
        <w:rPr>
          <w:rFonts w:ascii="Times New Roman" w:eastAsia="Courier 10cpi" w:hAnsi="Times New Roman" w:cs="Courier 10cpi"/>
          <w:b/>
          <w:sz w:val="24"/>
          <w:szCs w:val="24"/>
          <w:lang w:eastAsia="ar-SA"/>
        </w:rPr>
        <w:tab/>
      </w:r>
      <w:r w:rsidRPr="003B5B5D">
        <w:rPr>
          <w:rFonts w:ascii="Times New Roman" w:eastAsia="Courier 10cpi" w:hAnsi="Times New Roman" w:cs="Courier 10cpi"/>
          <w:b/>
          <w:sz w:val="24"/>
          <w:szCs w:val="24"/>
          <w:lang w:eastAsia="ar-SA"/>
        </w:rPr>
        <w:tab/>
      </w:r>
      <w:r w:rsidRPr="003B5B5D">
        <w:rPr>
          <w:rFonts w:ascii="Times New Roman" w:eastAsia="Courier 10cpi" w:hAnsi="Times New Roman" w:cs="Courier 10cpi"/>
          <w:b/>
          <w:sz w:val="24"/>
          <w:szCs w:val="24"/>
          <w:lang w:eastAsia="ar-SA"/>
        </w:rPr>
        <w:tab/>
        <w:t>Conférence Annuelle</w:t>
      </w:r>
    </w:p>
    <w:p w:rsidR="003B5B5D" w:rsidRPr="003B5B5D" w:rsidRDefault="003B5B5D" w:rsidP="003B5B5D">
      <w:pPr>
        <w:pBdr>
          <w:top w:val="single" w:sz="4" w:space="1" w:color="000000"/>
          <w:left w:val="single" w:sz="4" w:space="4" w:color="000000"/>
          <w:bottom w:val="single" w:sz="4" w:space="1" w:color="000000"/>
          <w:right w:val="single" w:sz="4" w:space="4" w:color="000000"/>
        </w:pBdr>
        <w:tabs>
          <w:tab w:val="left" w:pos="3045"/>
        </w:tabs>
        <w:suppressAutoHyphens/>
        <w:spacing w:after="0" w:line="240" w:lineRule="auto"/>
        <w:jc w:val="both"/>
        <w:rPr>
          <w:rFonts w:ascii="Times New Roman" w:eastAsia="Courier 10cpi" w:hAnsi="Times New Roman" w:cs="Courier 10cpi"/>
          <w:i/>
          <w:sz w:val="24"/>
          <w:szCs w:val="24"/>
          <w:lang w:eastAsia="ar-SA"/>
        </w:rPr>
      </w:pPr>
      <w:r w:rsidRPr="003B5B5D">
        <w:rPr>
          <w:rFonts w:ascii="Times New Roman" w:eastAsia="Courier 10cpi" w:hAnsi="Times New Roman" w:cs="Courier 10cpi"/>
          <w:sz w:val="24"/>
          <w:szCs w:val="24"/>
          <w:lang w:eastAsia="ar-SA"/>
        </w:rPr>
        <w:tab/>
      </w:r>
      <w:r w:rsidRPr="003B5B5D">
        <w:rPr>
          <w:rFonts w:ascii="Times New Roman" w:eastAsia="Courier 10cpi" w:hAnsi="Times New Roman" w:cs="Courier 10cpi"/>
          <w:sz w:val="24"/>
          <w:szCs w:val="24"/>
          <w:lang w:eastAsia="ar-SA"/>
        </w:rPr>
        <w:tab/>
      </w:r>
      <w:r w:rsidRPr="003B5B5D">
        <w:rPr>
          <w:rFonts w:ascii="Times New Roman" w:eastAsia="Courier 10cpi" w:hAnsi="Times New Roman" w:cs="Courier 10cpi"/>
          <w:sz w:val="24"/>
          <w:szCs w:val="24"/>
          <w:lang w:eastAsia="ar-SA"/>
        </w:rPr>
        <w:tab/>
      </w:r>
      <w:r w:rsidRPr="003B5B5D">
        <w:rPr>
          <w:rFonts w:ascii="Times New Roman" w:eastAsia="Courier 10cpi" w:hAnsi="Times New Roman" w:cs="Courier 10cpi"/>
          <w:i/>
          <w:sz w:val="24"/>
          <w:szCs w:val="24"/>
          <w:lang w:eastAsia="ar-SA"/>
        </w:rPr>
        <w:t>Copenhague, Danemark</w:t>
      </w:r>
    </w:p>
    <w:p w:rsidR="003B5B5D" w:rsidRPr="003B5B5D" w:rsidRDefault="003B5B5D" w:rsidP="003B5B5D">
      <w:pPr>
        <w:pBdr>
          <w:top w:val="single" w:sz="4" w:space="1" w:color="000000"/>
          <w:left w:val="single" w:sz="4" w:space="4" w:color="000000"/>
          <w:bottom w:val="single" w:sz="4" w:space="1" w:color="000000"/>
          <w:right w:val="single" w:sz="4" w:space="4" w:color="000000"/>
        </w:pBdr>
        <w:tabs>
          <w:tab w:val="left" w:pos="3045"/>
        </w:tabs>
        <w:suppressAutoHyphens/>
        <w:spacing w:after="0" w:line="240" w:lineRule="auto"/>
        <w:jc w:val="both"/>
        <w:rPr>
          <w:rFonts w:ascii="Times New Roman" w:eastAsia="Courier 10cpi" w:hAnsi="Times New Roman" w:cs="Courier 10cpi"/>
          <w:b/>
          <w:sz w:val="24"/>
          <w:szCs w:val="24"/>
          <w:lang w:eastAsia="ar-SA"/>
        </w:rPr>
      </w:pPr>
      <w:r w:rsidRPr="003B5B5D">
        <w:rPr>
          <w:rFonts w:ascii="Times New Roman" w:eastAsia="Courier 10cpi" w:hAnsi="Times New Roman" w:cs="Courier 10cpi"/>
          <w:b/>
          <w:sz w:val="24"/>
          <w:szCs w:val="24"/>
          <w:lang w:eastAsia="ar-SA"/>
        </w:rPr>
        <w:t>26-29 Septembre</w:t>
      </w:r>
      <w:r w:rsidRPr="003B5B5D">
        <w:rPr>
          <w:rFonts w:ascii="Times New Roman" w:eastAsia="Courier 10cpi" w:hAnsi="Times New Roman" w:cs="Courier 10cpi"/>
          <w:sz w:val="24"/>
          <w:szCs w:val="24"/>
          <w:lang w:eastAsia="ar-SA"/>
        </w:rPr>
        <w:tab/>
      </w:r>
      <w:r w:rsidRPr="003B5B5D">
        <w:rPr>
          <w:rFonts w:ascii="Times New Roman" w:eastAsia="Courier 10cpi" w:hAnsi="Times New Roman" w:cs="Courier 10cpi"/>
          <w:sz w:val="24"/>
          <w:szCs w:val="24"/>
          <w:lang w:eastAsia="ar-SA"/>
        </w:rPr>
        <w:tab/>
      </w:r>
      <w:r w:rsidRPr="003B5B5D">
        <w:rPr>
          <w:rFonts w:ascii="Times New Roman" w:eastAsia="Courier 10cpi" w:hAnsi="Times New Roman" w:cs="Courier 10cpi"/>
          <w:sz w:val="24"/>
          <w:szCs w:val="24"/>
          <w:lang w:eastAsia="ar-SA"/>
        </w:rPr>
        <w:tab/>
      </w:r>
      <w:r w:rsidRPr="003B5B5D">
        <w:rPr>
          <w:rFonts w:ascii="Times New Roman" w:eastAsia="Courier 10cpi" w:hAnsi="Times New Roman" w:cs="Courier 10cpi"/>
          <w:b/>
          <w:sz w:val="24"/>
          <w:szCs w:val="24"/>
          <w:lang w:eastAsia="ar-SA"/>
        </w:rPr>
        <w:t>INSOL Europe – Congrès annuel</w:t>
      </w:r>
    </w:p>
    <w:p w:rsidR="003B5B5D" w:rsidRPr="003B5B5D" w:rsidRDefault="003B5B5D" w:rsidP="003B5B5D">
      <w:pPr>
        <w:pBdr>
          <w:top w:val="single" w:sz="4" w:space="1" w:color="000000"/>
          <w:left w:val="single" w:sz="4" w:space="4" w:color="000000"/>
          <w:bottom w:val="single" w:sz="4" w:space="1" w:color="000000"/>
          <w:right w:val="single" w:sz="4" w:space="4" w:color="000000"/>
        </w:pBdr>
        <w:tabs>
          <w:tab w:val="left" w:pos="3045"/>
        </w:tabs>
        <w:suppressAutoHyphens/>
        <w:spacing w:after="0" w:line="240" w:lineRule="auto"/>
        <w:jc w:val="both"/>
        <w:rPr>
          <w:rFonts w:ascii="Times New Roman" w:eastAsia="Courier 10cpi" w:hAnsi="Times New Roman" w:cs="Courier 10cpi"/>
          <w:i/>
          <w:sz w:val="24"/>
          <w:szCs w:val="24"/>
          <w:lang w:eastAsia="ar-SA"/>
        </w:rPr>
      </w:pPr>
      <w:r w:rsidRPr="003B5B5D">
        <w:rPr>
          <w:rFonts w:ascii="Times New Roman" w:eastAsia="Courier 10cpi" w:hAnsi="Times New Roman" w:cs="Courier 10cpi"/>
          <w:sz w:val="24"/>
          <w:szCs w:val="24"/>
          <w:lang w:eastAsia="ar-SA"/>
        </w:rPr>
        <w:tab/>
      </w:r>
      <w:r w:rsidRPr="003B5B5D">
        <w:rPr>
          <w:rFonts w:ascii="Times New Roman" w:eastAsia="Courier 10cpi" w:hAnsi="Times New Roman" w:cs="Courier 10cpi"/>
          <w:sz w:val="24"/>
          <w:szCs w:val="24"/>
          <w:lang w:eastAsia="ar-SA"/>
        </w:rPr>
        <w:tab/>
      </w:r>
      <w:r w:rsidRPr="003B5B5D">
        <w:rPr>
          <w:rFonts w:ascii="Times New Roman" w:eastAsia="Courier 10cpi" w:hAnsi="Times New Roman" w:cs="Courier 10cpi"/>
          <w:sz w:val="24"/>
          <w:szCs w:val="24"/>
          <w:lang w:eastAsia="ar-SA"/>
        </w:rPr>
        <w:tab/>
      </w:r>
      <w:r w:rsidRPr="003B5B5D">
        <w:rPr>
          <w:rFonts w:ascii="Times New Roman" w:eastAsia="Courier 10cpi" w:hAnsi="Times New Roman" w:cs="Courier 10cpi"/>
          <w:i/>
          <w:sz w:val="24"/>
          <w:szCs w:val="24"/>
          <w:lang w:eastAsia="ar-SA"/>
        </w:rPr>
        <w:t>Copenhague/Danemark</w:t>
      </w:r>
    </w:p>
    <w:p w:rsidR="003B5B5D" w:rsidRPr="003B5B5D" w:rsidRDefault="003B5B5D" w:rsidP="003B5B5D">
      <w:pPr>
        <w:pBdr>
          <w:top w:val="single" w:sz="4" w:space="1" w:color="000000"/>
          <w:left w:val="single" w:sz="4" w:space="4" w:color="000000"/>
          <w:bottom w:val="single" w:sz="4" w:space="1" w:color="000000"/>
          <w:right w:val="single" w:sz="4" w:space="4" w:color="000000"/>
        </w:pBdr>
        <w:tabs>
          <w:tab w:val="left" w:pos="3045"/>
        </w:tabs>
        <w:suppressAutoHyphens/>
        <w:spacing w:after="0" w:line="240" w:lineRule="auto"/>
        <w:jc w:val="both"/>
        <w:rPr>
          <w:rFonts w:ascii="Times New Roman" w:eastAsia="Courier 10cpi" w:hAnsi="Times New Roman" w:cs="Courier 10cpi"/>
          <w:b/>
          <w:sz w:val="40"/>
          <w:szCs w:val="40"/>
          <w:lang w:eastAsia="ar-SA"/>
        </w:rPr>
      </w:pPr>
      <w:r w:rsidRPr="003B5B5D">
        <w:rPr>
          <w:rFonts w:ascii="Times New Roman" w:eastAsia="Courier 10cpi" w:hAnsi="Times New Roman" w:cs="Courier 10cpi"/>
          <w:b/>
          <w:sz w:val="40"/>
          <w:szCs w:val="40"/>
          <w:lang w:eastAsia="ar-SA"/>
        </w:rPr>
        <w:t>2020</w:t>
      </w:r>
    </w:p>
    <w:p w:rsidR="003B5B5D" w:rsidRPr="003B5B5D" w:rsidRDefault="003B5B5D" w:rsidP="003B5B5D">
      <w:pPr>
        <w:pBdr>
          <w:top w:val="single" w:sz="4" w:space="1" w:color="000000"/>
          <w:left w:val="single" w:sz="4" w:space="4" w:color="000000"/>
          <w:bottom w:val="single" w:sz="4" w:space="1" w:color="000000"/>
          <w:right w:val="single" w:sz="4" w:space="4" w:color="000000"/>
        </w:pBdr>
        <w:tabs>
          <w:tab w:val="left" w:pos="3045"/>
        </w:tabs>
        <w:suppressAutoHyphens/>
        <w:spacing w:after="0" w:line="240" w:lineRule="auto"/>
        <w:jc w:val="both"/>
        <w:rPr>
          <w:rFonts w:ascii="Times New Roman" w:eastAsia="Courier 10cpi" w:hAnsi="Times New Roman" w:cs="Courier 10cpi"/>
          <w:sz w:val="24"/>
          <w:szCs w:val="24"/>
          <w:lang w:eastAsia="ar-SA"/>
        </w:rPr>
      </w:pPr>
    </w:p>
    <w:p w:rsidR="003B5B5D" w:rsidRPr="003B5B5D" w:rsidRDefault="003B5B5D" w:rsidP="003B5B5D">
      <w:pPr>
        <w:pBdr>
          <w:top w:val="single" w:sz="4" w:space="1" w:color="000000"/>
          <w:left w:val="single" w:sz="4" w:space="4" w:color="000000"/>
          <w:bottom w:val="single" w:sz="4" w:space="1" w:color="000000"/>
          <w:right w:val="single" w:sz="4" w:space="4" w:color="000000"/>
        </w:pBdr>
        <w:tabs>
          <w:tab w:val="left" w:pos="3045"/>
        </w:tabs>
        <w:suppressAutoHyphens/>
        <w:spacing w:after="0" w:line="240" w:lineRule="auto"/>
        <w:jc w:val="both"/>
        <w:rPr>
          <w:rFonts w:ascii="Times New Roman" w:eastAsia="Courier 10cpi" w:hAnsi="Times New Roman" w:cs="Courier 10cpi"/>
          <w:b/>
          <w:sz w:val="24"/>
          <w:szCs w:val="24"/>
          <w:lang w:eastAsia="ar-SA"/>
        </w:rPr>
      </w:pPr>
      <w:r w:rsidRPr="003B5B5D">
        <w:rPr>
          <w:rFonts w:ascii="Times New Roman" w:eastAsia="Courier 10cpi" w:hAnsi="Times New Roman" w:cs="Courier 10cpi"/>
          <w:b/>
          <w:sz w:val="24"/>
          <w:szCs w:val="24"/>
          <w:lang w:eastAsia="ar-SA"/>
        </w:rPr>
        <w:t>30 Septembre &amp; 1</w:t>
      </w:r>
      <w:r w:rsidRPr="003B5B5D">
        <w:rPr>
          <w:rFonts w:ascii="Times New Roman" w:eastAsia="Courier 10cpi" w:hAnsi="Times New Roman" w:cs="Courier 10cpi"/>
          <w:b/>
          <w:sz w:val="24"/>
          <w:szCs w:val="24"/>
          <w:vertAlign w:val="superscript"/>
          <w:lang w:eastAsia="ar-SA"/>
        </w:rPr>
        <w:t>er</w:t>
      </w:r>
      <w:r w:rsidRPr="003B5B5D">
        <w:rPr>
          <w:rFonts w:ascii="Times New Roman" w:eastAsia="Courier 10cpi" w:hAnsi="Times New Roman" w:cs="Courier 10cpi"/>
          <w:b/>
          <w:sz w:val="24"/>
          <w:szCs w:val="24"/>
          <w:lang w:eastAsia="ar-SA"/>
        </w:rPr>
        <w:t xml:space="preserve"> octobre</w:t>
      </w:r>
      <w:r w:rsidRPr="003B5B5D">
        <w:rPr>
          <w:rFonts w:ascii="Times New Roman" w:eastAsia="Courier 10cpi" w:hAnsi="Times New Roman" w:cs="Courier 10cpi"/>
          <w:sz w:val="24"/>
          <w:szCs w:val="24"/>
          <w:lang w:eastAsia="ar-SA"/>
        </w:rPr>
        <w:tab/>
      </w:r>
      <w:r w:rsidRPr="003B5B5D">
        <w:rPr>
          <w:rFonts w:ascii="Times New Roman" w:eastAsia="Courier 10cpi" w:hAnsi="Times New Roman" w:cs="Courier 10cpi"/>
          <w:sz w:val="24"/>
          <w:szCs w:val="24"/>
          <w:lang w:eastAsia="ar-SA"/>
        </w:rPr>
        <w:tab/>
      </w:r>
      <w:r w:rsidRPr="003B5B5D">
        <w:rPr>
          <w:rFonts w:ascii="Times New Roman" w:eastAsia="Courier 10cpi" w:hAnsi="Times New Roman" w:cs="Courier 10cpi"/>
          <w:sz w:val="24"/>
          <w:szCs w:val="24"/>
          <w:lang w:eastAsia="ar-SA"/>
        </w:rPr>
        <w:tab/>
      </w:r>
      <w:r w:rsidRPr="003B5B5D">
        <w:rPr>
          <w:rFonts w:ascii="Times New Roman" w:eastAsia="Courier 10cpi" w:hAnsi="Times New Roman" w:cs="Courier 10cpi"/>
          <w:b/>
          <w:sz w:val="24"/>
          <w:szCs w:val="24"/>
          <w:lang w:eastAsia="ar-SA"/>
        </w:rPr>
        <w:t>INSOL Europe/Forum Universitaire</w:t>
      </w:r>
    </w:p>
    <w:p w:rsidR="003B5B5D" w:rsidRPr="003B5B5D" w:rsidRDefault="003B5B5D" w:rsidP="003B5B5D">
      <w:pPr>
        <w:pBdr>
          <w:top w:val="single" w:sz="4" w:space="1" w:color="000000"/>
          <w:left w:val="single" w:sz="4" w:space="4" w:color="000000"/>
          <w:bottom w:val="single" w:sz="4" w:space="1" w:color="000000"/>
          <w:right w:val="single" w:sz="4" w:space="4" w:color="000000"/>
        </w:pBdr>
        <w:tabs>
          <w:tab w:val="left" w:pos="3045"/>
        </w:tabs>
        <w:suppressAutoHyphens/>
        <w:spacing w:after="0" w:line="240" w:lineRule="auto"/>
        <w:jc w:val="both"/>
        <w:rPr>
          <w:rFonts w:ascii="Times New Roman" w:eastAsia="Courier 10cpi" w:hAnsi="Times New Roman" w:cs="Courier 10cpi"/>
          <w:b/>
          <w:sz w:val="24"/>
          <w:szCs w:val="24"/>
          <w:lang w:eastAsia="ar-SA"/>
        </w:rPr>
      </w:pPr>
      <w:r w:rsidRPr="003B5B5D">
        <w:rPr>
          <w:rFonts w:ascii="Times New Roman" w:eastAsia="Courier 10cpi" w:hAnsi="Times New Roman" w:cs="Courier 10cpi"/>
          <w:b/>
          <w:sz w:val="24"/>
          <w:szCs w:val="24"/>
          <w:lang w:eastAsia="ar-SA"/>
        </w:rPr>
        <w:tab/>
      </w:r>
      <w:r w:rsidRPr="003B5B5D">
        <w:rPr>
          <w:rFonts w:ascii="Times New Roman" w:eastAsia="Courier 10cpi" w:hAnsi="Times New Roman" w:cs="Courier 10cpi"/>
          <w:b/>
          <w:sz w:val="24"/>
          <w:szCs w:val="24"/>
          <w:lang w:eastAsia="ar-SA"/>
        </w:rPr>
        <w:tab/>
      </w:r>
      <w:r w:rsidRPr="003B5B5D">
        <w:rPr>
          <w:rFonts w:ascii="Times New Roman" w:eastAsia="Courier 10cpi" w:hAnsi="Times New Roman" w:cs="Courier 10cpi"/>
          <w:b/>
          <w:sz w:val="24"/>
          <w:szCs w:val="24"/>
          <w:lang w:eastAsia="ar-SA"/>
        </w:rPr>
        <w:tab/>
        <w:t>Conférence Annuelle</w:t>
      </w:r>
    </w:p>
    <w:p w:rsidR="003B5B5D" w:rsidRPr="003B5B5D" w:rsidRDefault="003B5B5D" w:rsidP="003B5B5D">
      <w:pPr>
        <w:pBdr>
          <w:top w:val="single" w:sz="4" w:space="1" w:color="000000"/>
          <w:left w:val="single" w:sz="4" w:space="4" w:color="000000"/>
          <w:bottom w:val="single" w:sz="4" w:space="1" w:color="000000"/>
          <w:right w:val="single" w:sz="4" w:space="4" w:color="000000"/>
        </w:pBdr>
        <w:tabs>
          <w:tab w:val="left" w:pos="3045"/>
        </w:tabs>
        <w:suppressAutoHyphens/>
        <w:spacing w:after="0" w:line="240" w:lineRule="auto"/>
        <w:jc w:val="both"/>
        <w:rPr>
          <w:rFonts w:ascii="Times New Roman" w:eastAsia="Courier 10cpi" w:hAnsi="Times New Roman" w:cs="Courier 10cpi"/>
          <w:i/>
          <w:sz w:val="24"/>
          <w:szCs w:val="24"/>
          <w:lang w:eastAsia="ar-SA"/>
        </w:rPr>
      </w:pPr>
      <w:r w:rsidRPr="003B5B5D">
        <w:rPr>
          <w:rFonts w:ascii="Times New Roman" w:eastAsia="Courier 10cpi" w:hAnsi="Times New Roman" w:cs="Courier 10cpi"/>
          <w:b/>
          <w:sz w:val="24"/>
          <w:szCs w:val="24"/>
          <w:lang w:eastAsia="ar-SA"/>
        </w:rPr>
        <w:tab/>
      </w:r>
      <w:r w:rsidRPr="003B5B5D">
        <w:rPr>
          <w:rFonts w:ascii="Times New Roman" w:eastAsia="Courier 10cpi" w:hAnsi="Times New Roman" w:cs="Courier 10cpi"/>
          <w:b/>
          <w:sz w:val="24"/>
          <w:szCs w:val="24"/>
          <w:lang w:eastAsia="ar-SA"/>
        </w:rPr>
        <w:tab/>
      </w:r>
      <w:r w:rsidRPr="003B5B5D">
        <w:rPr>
          <w:rFonts w:ascii="Times New Roman" w:eastAsia="Courier 10cpi" w:hAnsi="Times New Roman" w:cs="Courier 10cpi"/>
          <w:b/>
          <w:sz w:val="24"/>
          <w:szCs w:val="24"/>
          <w:lang w:eastAsia="ar-SA"/>
        </w:rPr>
        <w:tab/>
      </w:r>
      <w:r w:rsidRPr="003B5B5D">
        <w:rPr>
          <w:rFonts w:ascii="Times New Roman" w:eastAsia="Courier 10cpi" w:hAnsi="Times New Roman" w:cs="Courier 10cpi"/>
          <w:i/>
          <w:sz w:val="24"/>
          <w:szCs w:val="24"/>
          <w:lang w:eastAsia="ar-SA"/>
        </w:rPr>
        <w:t>Sorrento/Italie</w:t>
      </w:r>
    </w:p>
    <w:p w:rsidR="003B5B5D" w:rsidRPr="003B5B5D" w:rsidRDefault="003B5B5D" w:rsidP="003B5B5D">
      <w:pPr>
        <w:pBdr>
          <w:top w:val="single" w:sz="4" w:space="1" w:color="000000"/>
          <w:left w:val="single" w:sz="4" w:space="4" w:color="000000"/>
          <w:bottom w:val="single" w:sz="4" w:space="1" w:color="000000"/>
          <w:right w:val="single" w:sz="4" w:space="4" w:color="000000"/>
        </w:pBdr>
        <w:tabs>
          <w:tab w:val="left" w:pos="3045"/>
        </w:tabs>
        <w:suppressAutoHyphens/>
        <w:spacing w:after="0" w:line="240" w:lineRule="auto"/>
        <w:jc w:val="both"/>
        <w:rPr>
          <w:rFonts w:ascii="Times New Roman" w:eastAsia="Courier 10cpi" w:hAnsi="Times New Roman" w:cs="Courier 10cpi"/>
          <w:b/>
          <w:sz w:val="24"/>
          <w:szCs w:val="24"/>
          <w:lang w:eastAsia="ar-SA"/>
        </w:rPr>
      </w:pPr>
      <w:r w:rsidRPr="003B5B5D">
        <w:rPr>
          <w:rFonts w:ascii="Times New Roman" w:eastAsia="Courier 10cpi" w:hAnsi="Times New Roman" w:cs="Courier 10cpi"/>
          <w:b/>
          <w:sz w:val="24"/>
          <w:szCs w:val="24"/>
          <w:lang w:eastAsia="ar-SA"/>
        </w:rPr>
        <w:t>1 – 4 Octobre</w:t>
      </w:r>
      <w:r w:rsidRPr="003B5B5D">
        <w:rPr>
          <w:rFonts w:ascii="Times New Roman" w:eastAsia="Courier 10cpi" w:hAnsi="Times New Roman" w:cs="Courier 10cpi"/>
          <w:sz w:val="24"/>
          <w:szCs w:val="24"/>
          <w:lang w:eastAsia="ar-SA"/>
        </w:rPr>
        <w:tab/>
      </w:r>
      <w:r w:rsidRPr="003B5B5D">
        <w:rPr>
          <w:rFonts w:ascii="Times New Roman" w:eastAsia="Courier 10cpi" w:hAnsi="Times New Roman" w:cs="Courier 10cpi"/>
          <w:sz w:val="24"/>
          <w:szCs w:val="24"/>
          <w:lang w:eastAsia="ar-SA"/>
        </w:rPr>
        <w:tab/>
      </w:r>
      <w:r w:rsidRPr="003B5B5D">
        <w:rPr>
          <w:rFonts w:ascii="Times New Roman" w:eastAsia="Courier 10cpi" w:hAnsi="Times New Roman" w:cs="Courier 10cpi"/>
          <w:sz w:val="24"/>
          <w:szCs w:val="24"/>
          <w:lang w:eastAsia="ar-SA"/>
        </w:rPr>
        <w:tab/>
      </w:r>
      <w:r w:rsidRPr="003B5B5D">
        <w:rPr>
          <w:rFonts w:ascii="Times New Roman" w:eastAsia="Courier 10cpi" w:hAnsi="Times New Roman" w:cs="Courier 10cpi"/>
          <w:b/>
          <w:sz w:val="24"/>
          <w:szCs w:val="24"/>
          <w:lang w:eastAsia="ar-SA"/>
        </w:rPr>
        <w:t>INSOL Europe – Congrès annuel</w:t>
      </w:r>
    </w:p>
    <w:p w:rsidR="003B5B5D" w:rsidRPr="003B5B5D" w:rsidRDefault="003B5B5D" w:rsidP="003B5B5D">
      <w:pPr>
        <w:pBdr>
          <w:top w:val="single" w:sz="4" w:space="1" w:color="000000"/>
          <w:left w:val="single" w:sz="4" w:space="4" w:color="000000"/>
          <w:bottom w:val="single" w:sz="4" w:space="1" w:color="000000"/>
          <w:right w:val="single" w:sz="4" w:space="4" w:color="000000"/>
        </w:pBdr>
        <w:tabs>
          <w:tab w:val="left" w:pos="3045"/>
        </w:tabs>
        <w:suppressAutoHyphens/>
        <w:spacing w:after="0" w:line="240" w:lineRule="auto"/>
        <w:jc w:val="both"/>
        <w:rPr>
          <w:rFonts w:ascii="Times New Roman" w:eastAsia="Courier 10cpi" w:hAnsi="Times New Roman" w:cs="Courier 10cpi"/>
          <w:i/>
          <w:sz w:val="24"/>
          <w:szCs w:val="24"/>
          <w:lang w:eastAsia="ar-SA"/>
        </w:rPr>
      </w:pPr>
      <w:r w:rsidRPr="003B5B5D">
        <w:rPr>
          <w:rFonts w:ascii="Times New Roman" w:eastAsia="Courier 10cpi" w:hAnsi="Times New Roman" w:cs="Courier 10cpi"/>
          <w:sz w:val="24"/>
          <w:szCs w:val="24"/>
          <w:lang w:eastAsia="ar-SA"/>
        </w:rPr>
        <w:tab/>
      </w:r>
      <w:r w:rsidRPr="003B5B5D">
        <w:rPr>
          <w:rFonts w:ascii="Times New Roman" w:eastAsia="Courier 10cpi" w:hAnsi="Times New Roman" w:cs="Courier 10cpi"/>
          <w:sz w:val="24"/>
          <w:szCs w:val="24"/>
          <w:lang w:eastAsia="ar-SA"/>
        </w:rPr>
        <w:tab/>
      </w:r>
      <w:r w:rsidRPr="003B5B5D">
        <w:rPr>
          <w:rFonts w:ascii="Times New Roman" w:eastAsia="Courier 10cpi" w:hAnsi="Times New Roman" w:cs="Courier 10cpi"/>
          <w:sz w:val="24"/>
          <w:szCs w:val="24"/>
          <w:lang w:eastAsia="ar-SA"/>
        </w:rPr>
        <w:tab/>
      </w:r>
      <w:r w:rsidRPr="003B5B5D">
        <w:rPr>
          <w:rFonts w:ascii="Times New Roman" w:eastAsia="Courier 10cpi" w:hAnsi="Times New Roman" w:cs="Courier 10cpi"/>
          <w:i/>
          <w:sz w:val="24"/>
          <w:szCs w:val="24"/>
          <w:lang w:eastAsia="ar-SA"/>
        </w:rPr>
        <w:t>Sorrento/Italie</w:t>
      </w:r>
    </w:p>
    <w:p w:rsidR="003B5B5D" w:rsidRPr="003B5B5D" w:rsidRDefault="003B5B5D" w:rsidP="003B5B5D">
      <w:pPr>
        <w:pBdr>
          <w:top w:val="single" w:sz="4" w:space="1" w:color="000000"/>
          <w:left w:val="single" w:sz="4" w:space="4" w:color="000000"/>
          <w:bottom w:val="single" w:sz="4" w:space="1" w:color="000000"/>
          <w:right w:val="single" w:sz="4" w:space="4" w:color="000000"/>
        </w:pBdr>
        <w:tabs>
          <w:tab w:val="left" w:pos="3045"/>
        </w:tabs>
        <w:suppressAutoHyphens/>
        <w:spacing w:after="0" w:line="240" w:lineRule="auto"/>
        <w:jc w:val="both"/>
        <w:rPr>
          <w:rFonts w:ascii="Times New Roman" w:eastAsia="Courier 10cpi" w:hAnsi="Times New Roman" w:cs="Courier 10cpi"/>
          <w:i/>
          <w:sz w:val="24"/>
          <w:szCs w:val="24"/>
          <w:lang w:eastAsia="ar-SA"/>
        </w:rPr>
      </w:pPr>
    </w:p>
    <w:p w:rsidR="003B5B5D" w:rsidRDefault="003B5B5D" w:rsidP="003B5B5D">
      <w:pPr>
        <w:tabs>
          <w:tab w:val="left" w:pos="3045"/>
        </w:tabs>
        <w:suppressAutoHyphens/>
        <w:spacing w:after="0" w:line="240" w:lineRule="auto"/>
        <w:rPr>
          <w:rFonts w:ascii="Arial Narrow" w:eastAsia="Courier 10cpi" w:hAnsi="Arial Narrow" w:cs="Courier 10cpi"/>
          <w:b/>
          <w:sz w:val="28"/>
          <w:szCs w:val="28"/>
          <w:lang w:eastAsia="ar-SA"/>
        </w:rPr>
      </w:pPr>
    </w:p>
    <w:p w:rsidR="002C5EDC" w:rsidRDefault="002C5EDC" w:rsidP="003B5B5D">
      <w:pPr>
        <w:tabs>
          <w:tab w:val="left" w:pos="3045"/>
        </w:tabs>
        <w:suppressAutoHyphens/>
        <w:spacing w:after="0" w:line="240" w:lineRule="auto"/>
        <w:rPr>
          <w:rFonts w:ascii="Arial Narrow" w:eastAsia="Courier 10cpi" w:hAnsi="Arial Narrow" w:cs="Courier 10cpi"/>
          <w:b/>
          <w:sz w:val="28"/>
          <w:szCs w:val="28"/>
          <w:lang w:eastAsia="ar-SA"/>
        </w:rPr>
      </w:pPr>
    </w:p>
    <w:p w:rsidR="002C5EDC" w:rsidRPr="003B5B5D" w:rsidRDefault="002C5EDC" w:rsidP="003B5B5D">
      <w:pPr>
        <w:tabs>
          <w:tab w:val="left" w:pos="3045"/>
        </w:tabs>
        <w:suppressAutoHyphens/>
        <w:spacing w:after="0" w:line="240" w:lineRule="auto"/>
        <w:rPr>
          <w:rFonts w:ascii="Arial Narrow" w:eastAsia="Courier 10cpi" w:hAnsi="Arial Narrow" w:cs="Courier 10cpi"/>
          <w:b/>
          <w:sz w:val="28"/>
          <w:szCs w:val="28"/>
          <w:lang w:eastAsia="ar-SA"/>
        </w:rPr>
      </w:pPr>
    </w:p>
    <w:p w:rsidR="003B5B5D" w:rsidRPr="003B5B5D" w:rsidRDefault="003B5B5D" w:rsidP="003B5B5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8"/>
        <w:rPr>
          <w:rFonts w:ascii="Times New Roman" w:eastAsia="Times New Roman" w:hAnsi="Times New Roman" w:cs="Times New Roman"/>
          <w:b/>
          <w:i/>
          <w:iCs/>
          <w:sz w:val="20"/>
          <w:szCs w:val="20"/>
          <w:lang w:eastAsia="fr-FR"/>
        </w:rPr>
      </w:pPr>
      <w:r w:rsidRPr="003B5B5D">
        <w:rPr>
          <w:rFonts w:ascii="Times New Roman" w:eastAsia="Times New Roman" w:hAnsi="Times New Roman" w:cs="Times New Roman"/>
          <w:b/>
          <w:sz w:val="20"/>
          <w:szCs w:val="20"/>
          <w:lang w:eastAsia="fr-FR"/>
        </w:rPr>
        <w:t>Vous souhaitez participer au prochain numéro d’</w:t>
      </w:r>
      <w:r w:rsidRPr="003B5B5D">
        <w:rPr>
          <w:rFonts w:ascii="Times New Roman" w:eastAsia="Times New Roman" w:hAnsi="Times New Roman" w:cs="Times New Roman"/>
          <w:b/>
          <w:i/>
          <w:iCs/>
          <w:sz w:val="20"/>
          <w:szCs w:val="20"/>
          <w:lang w:eastAsia="fr-FR"/>
        </w:rPr>
        <w:t>eurofenix </w:t>
      </w:r>
      <w:r w:rsidRPr="003B5B5D">
        <w:rPr>
          <w:rFonts w:ascii="Times New Roman" w:eastAsia="Times New Roman" w:hAnsi="Times New Roman" w:cs="Times New Roman"/>
          <w:b/>
          <w:iCs/>
          <w:sz w:val="20"/>
          <w:szCs w:val="20"/>
          <w:lang w:eastAsia="fr-FR"/>
        </w:rPr>
        <w:t>?</w:t>
      </w:r>
    </w:p>
    <w:p w:rsidR="003B5B5D" w:rsidRPr="003B5B5D" w:rsidRDefault="003B5B5D" w:rsidP="003B5B5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b/>
          <w:sz w:val="20"/>
          <w:szCs w:val="20"/>
          <w:lang w:eastAsia="fr-FR"/>
        </w:rPr>
      </w:pPr>
      <w:r w:rsidRPr="003B5B5D">
        <w:rPr>
          <w:rFonts w:ascii="Times New Roman" w:eastAsia="Times New Roman" w:hAnsi="Times New Roman" w:cs="Times New Roman"/>
          <w:b/>
          <w:sz w:val="20"/>
          <w:szCs w:val="20"/>
          <w:lang w:eastAsia="fr-FR"/>
        </w:rPr>
        <w:t xml:space="preserve">Nous accueillons volontiers les propositions d’articles et d’actualités. Pour en savoir plus sur les modalités de rédaction et sur le calendrier de remise des articles pour le numéro d’hiver et pour l’année prochaine, veuillez contacter Paul Newson, directeur de publication, à l’adresse </w:t>
      </w:r>
      <w:hyperlink r:id="rId93" w:history="1">
        <w:r w:rsidRPr="003B5B5D">
          <w:rPr>
            <w:rFonts w:ascii="Times New Roman" w:eastAsia="Times New Roman" w:hAnsi="Times New Roman" w:cs="Times New Roman"/>
            <w:b/>
            <w:color w:val="0000FF"/>
            <w:sz w:val="20"/>
            <w:szCs w:val="20"/>
            <w:u w:val="single"/>
            <w:lang w:eastAsia="fr-FR"/>
          </w:rPr>
          <w:t>paulnewson@insol-europe.org</w:t>
        </w:r>
      </w:hyperlink>
      <w:r w:rsidRPr="003B5B5D">
        <w:rPr>
          <w:rFonts w:ascii="Times New Roman" w:eastAsia="Times New Roman" w:hAnsi="Times New Roman" w:cs="Times New Roman"/>
          <w:b/>
          <w:sz w:val="20"/>
          <w:szCs w:val="20"/>
          <w:lang w:eastAsia="fr-FR"/>
        </w:rPr>
        <w:t xml:space="preserve">. </w:t>
      </w:r>
    </w:p>
    <w:p w:rsidR="003B5B5D" w:rsidRPr="003B5B5D" w:rsidRDefault="003B5B5D" w:rsidP="003B5B5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8"/>
        <w:jc w:val="both"/>
        <w:rPr>
          <w:rFonts w:ascii="Times New Roman" w:eastAsia="Times New Roman" w:hAnsi="Times New Roman" w:cs="Times New Roman"/>
          <w:b/>
          <w:sz w:val="20"/>
          <w:szCs w:val="20"/>
          <w:lang w:eastAsia="fr-FR"/>
        </w:rPr>
      </w:pPr>
      <w:r w:rsidRPr="003B5B5D">
        <w:rPr>
          <w:rFonts w:ascii="Times New Roman" w:eastAsia="Times New Roman" w:hAnsi="Times New Roman" w:cs="Times New Roman"/>
          <w:b/>
          <w:sz w:val="20"/>
          <w:szCs w:val="20"/>
          <w:lang w:eastAsia="fr-FR"/>
        </w:rPr>
        <w:t xml:space="preserve">Pour la France, Florica Sincu :  </w:t>
      </w:r>
      <w:hyperlink r:id="rId94" w:history="1">
        <w:r w:rsidRPr="003B5B5D">
          <w:rPr>
            <w:rFonts w:ascii="Times New Roman" w:eastAsia="Times New Roman" w:hAnsi="Times New Roman" w:cs="Times New Roman"/>
            <w:b/>
            <w:color w:val="0000FF"/>
            <w:sz w:val="20"/>
            <w:szCs w:val="20"/>
            <w:u w:val="single"/>
            <w:lang w:eastAsia="fr-FR"/>
          </w:rPr>
          <w:t>floricasincu@insol-europe.org</w:t>
        </w:r>
      </w:hyperlink>
    </w:p>
    <w:p w:rsidR="00F31E17" w:rsidRDefault="00F31E17" w:rsidP="00F31E17">
      <w:pPr>
        <w:tabs>
          <w:tab w:val="left" w:pos="3045"/>
        </w:tabs>
        <w:suppressAutoHyphens/>
        <w:spacing w:after="0" w:line="240" w:lineRule="auto"/>
        <w:jc w:val="center"/>
        <w:rPr>
          <w:rFonts w:ascii="Arial Narrow" w:eastAsia="Courier 10cpi" w:hAnsi="Arial Narrow" w:cs="Courier 10cpi"/>
          <w:b/>
          <w:sz w:val="28"/>
          <w:szCs w:val="28"/>
          <w:lang w:eastAsia="ar-SA"/>
        </w:rPr>
      </w:pPr>
    </w:p>
    <w:p w:rsidR="00F31E17" w:rsidRDefault="003B5B5D" w:rsidP="00F31E17">
      <w:pPr>
        <w:tabs>
          <w:tab w:val="left" w:pos="3045"/>
        </w:tabs>
        <w:suppressAutoHyphens/>
        <w:spacing w:after="0" w:line="240" w:lineRule="auto"/>
        <w:jc w:val="center"/>
        <w:rPr>
          <w:rFonts w:ascii="Arial Narrow" w:eastAsia="Courier 10cpi" w:hAnsi="Arial Narrow" w:cs="Courier 10cpi"/>
          <w:b/>
          <w:sz w:val="28"/>
          <w:szCs w:val="28"/>
          <w:lang w:eastAsia="ar-SA"/>
        </w:rPr>
      </w:pPr>
      <w:r w:rsidRPr="003B5B5D">
        <w:rPr>
          <w:rFonts w:ascii="Arial Narrow" w:eastAsia="Courier 10cpi" w:hAnsi="Arial Narrow" w:cs="Courier 10cpi"/>
          <w:b/>
          <w:sz w:val="28"/>
          <w:szCs w:val="28"/>
          <w:lang w:eastAsia="ar-SA"/>
        </w:rPr>
        <w:t>Pour opportunités de parrainage contactez Hannah Denney</w:t>
      </w:r>
      <w:r w:rsidR="00F31E17">
        <w:rPr>
          <w:rFonts w:ascii="Arial Narrow" w:eastAsia="Courier 10cpi" w:hAnsi="Arial Narrow" w:cs="Courier 10cpi"/>
          <w:b/>
          <w:sz w:val="28"/>
          <w:szCs w:val="28"/>
          <w:lang w:eastAsia="ar-SA"/>
        </w:rPr>
        <w:t xml:space="preserve"> </w:t>
      </w:r>
    </w:p>
    <w:p w:rsidR="003B5B5D" w:rsidRPr="003B5B5D" w:rsidRDefault="003B5B5D" w:rsidP="00F31E17">
      <w:pPr>
        <w:tabs>
          <w:tab w:val="left" w:pos="3045"/>
        </w:tabs>
        <w:suppressAutoHyphens/>
        <w:spacing w:after="0" w:line="240" w:lineRule="auto"/>
        <w:jc w:val="center"/>
        <w:rPr>
          <w:rFonts w:ascii="Arial Narrow" w:eastAsia="Courier 10cpi" w:hAnsi="Arial Narrow" w:cs="Courier 10cpi"/>
          <w:b/>
          <w:sz w:val="28"/>
          <w:szCs w:val="28"/>
          <w:lang w:eastAsia="ar-SA"/>
        </w:rPr>
      </w:pPr>
      <w:r w:rsidRPr="003B5B5D">
        <w:rPr>
          <w:rFonts w:ascii="Arial Narrow" w:eastAsia="Courier 10cpi" w:hAnsi="Arial Narrow" w:cs="Courier 10cpi"/>
          <w:b/>
          <w:sz w:val="28"/>
          <w:szCs w:val="28"/>
          <w:lang w:eastAsia="ar-SA"/>
        </w:rPr>
        <w:t>(</w:t>
      </w:r>
      <w:hyperlink r:id="rId95" w:history="1">
        <w:r w:rsidRPr="003B5B5D">
          <w:rPr>
            <w:rFonts w:ascii="Arial Narrow" w:eastAsia="Courier 10cpi" w:hAnsi="Arial Narrow" w:cs="Courier 10cpi"/>
            <w:b/>
            <w:color w:val="0000FF"/>
            <w:sz w:val="28"/>
            <w:szCs w:val="28"/>
            <w:u w:val="single"/>
            <w:lang w:eastAsia="ar-SA"/>
          </w:rPr>
          <w:t>hannahdenney@insol-europe.org</w:t>
        </w:r>
      </w:hyperlink>
      <w:r w:rsidRPr="003B5B5D">
        <w:rPr>
          <w:rFonts w:ascii="Arial Narrow" w:eastAsia="Courier 10cpi" w:hAnsi="Arial Narrow" w:cs="Courier 10cpi"/>
          <w:b/>
          <w:sz w:val="28"/>
          <w:szCs w:val="28"/>
          <w:lang w:eastAsia="ar-SA"/>
        </w:rPr>
        <w:t xml:space="preserve"> )</w:t>
      </w:r>
    </w:p>
    <w:p w:rsidR="0052658C" w:rsidRDefault="0052658C"/>
    <w:sectPr w:rsidR="0052658C" w:rsidSect="0052658C">
      <w:headerReference w:type="even" r:id="rId96"/>
      <w:headerReference w:type="default" r:id="rId97"/>
      <w:pgSz w:w="12240" w:h="15840"/>
      <w:pgMar w:top="1417" w:right="1417" w:bottom="1417" w:left="12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8AB" w:rsidRDefault="006058AB" w:rsidP="003B5B5D">
      <w:pPr>
        <w:spacing w:after="0" w:line="240" w:lineRule="auto"/>
      </w:pPr>
      <w:r>
        <w:separator/>
      </w:r>
    </w:p>
  </w:endnote>
  <w:endnote w:type="continuationSeparator" w:id="0">
    <w:p w:rsidR="006058AB" w:rsidRDefault="006058AB" w:rsidP="003B5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Lato">
    <w:altName w:val="Calibri"/>
    <w:panose1 w:val="00000000000000000000"/>
    <w:charset w:val="00"/>
    <w:family w:val="swiss"/>
    <w:notTrueType/>
    <w:pitch w:val="default"/>
    <w:sig w:usb0="00000003" w:usb1="00000000" w:usb2="00000000" w:usb3="00000000" w:csb0="00000001" w:csb1="00000000"/>
  </w:font>
  <w:font w:name="AvantGarde-Demi">
    <w:panose1 w:val="00000000000000000000"/>
    <w:charset w:val="00"/>
    <w:family w:val="roman"/>
    <w:notTrueType/>
    <w:pitch w:val="default"/>
    <w:sig w:usb0="000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Courier 10cpi">
    <w:altName w:val="Times New Roman"/>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8AB" w:rsidRDefault="006058AB" w:rsidP="003B5B5D">
      <w:pPr>
        <w:spacing w:after="0" w:line="240" w:lineRule="auto"/>
      </w:pPr>
      <w:r>
        <w:separator/>
      </w:r>
    </w:p>
  </w:footnote>
  <w:footnote w:type="continuationSeparator" w:id="0">
    <w:p w:rsidR="006058AB" w:rsidRDefault="006058AB" w:rsidP="003B5B5D">
      <w:pPr>
        <w:spacing w:after="0" w:line="240" w:lineRule="auto"/>
      </w:pPr>
      <w:r>
        <w:continuationSeparator/>
      </w:r>
    </w:p>
  </w:footnote>
  <w:footnote w:id="1">
    <w:p w:rsidR="0023188F" w:rsidRPr="009C44E1" w:rsidRDefault="0023188F" w:rsidP="003B5B5D">
      <w:pPr>
        <w:pStyle w:val="Notedebasdepage"/>
      </w:pPr>
      <w:r w:rsidRPr="009C44E1">
        <w:rPr>
          <w:rStyle w:val="Appelnotedebasdep"/>
        </w:rPr>
        <w:footnoteRef/>
      </w:r>
      <w:r w:rsidRPr="009C44E1">
        <w:t xml:space="preserve"> </w:t>
      </w:r>
      <w:r w:rsidRPr="00D40DB2">
        <w:rPr>
          <w:i/>
        </w:rPr>
        <w:t>LegalTech</w:t>
      </w:r>
      <w:r w:rsidRPr="009C44E1">
        <w:t> : la technologie au service du droit, c’est-à-dire l’utilisation de technologies et de logiciels informatiques pour offrir des services juridiques (N. de la T.).</w:t>
      </w:r>
    </w:p>
  </w:footnote>
  <w:footnote w:id="2">
    <w:p w:rsidR="0023188F" w:rsidRPr="00805BD8" w:rsidRDefault="0023188F" w:rsidP="003B5B5D">
      <w:pPr>
        <w:pStyle w:val="Notedebasdepage"/>
      </w:pPr>
      <w:r w:rsidRPr="00805BD8">
        <w:rPr>
          <w:rStyle w:val="Appelnotedebasdep"/>
        </w:rPr>
        <w:footnoteRef/>
      </w:r>
      <w:r w:rsidRPr="00805BD8">
        <w:t xml:space="preserve"> </w:t>
      </w:r>
      <w:r w:rsidRPr="00D97650">
        <w:t>https://papers.ssrn.com/sol3/papers.cfm?abstract_id=2620309</w:t>
      </w:r>
    </w:p>
  </w:footnote>
  <w:footnote w:id="3">
    <w:p w:rsidR="0023188F" w:rsidRPr="00805BD8" w:rsidRDefault="0023188F" w:rsidP="003B5B5D">
      <w:pPr>
        <w:pStyle w:val="Notedebasdepage"/>
      </w:pPr>
      <w:r w:rsidRPr="00805BD8">
        <w:rPr>
          <w:rStyle w:val="Appelnotedebasdep"/>
        </w:rPr>
        <w:footnoteRef/>
      </w:r>
      <w:r w:rsidRPr="00805BD8">
        <w:t xml:space="preserve"> </w:t>
      </w:r>
      <w:r w:rsidRPr="00D97650">
        <w:t>https://coinmarketcap.com/</w:t>
      </w:r>
    </w:p>
  </w:footnote>
  <w:footnote w:id="4">
    <w:p w:rsidR="0023188F" w:rsidRPr="00805BD8" w:rsidRDefault="0023188F" w:rsidP="00007A92">
      <w:pPr>
        <w:pStyle w:val="Notedebasdepage"/>
      </w:pPr>
      <w:r w:rsidRPr="00805BD8">
        <w:rPr>
          <w:rStyle w:val="Appelnotedebasdep"/>
        </w:rPr>
        <w:footnoteRef/>
      </w:r>
      <w:r w:rsidRPr="00805BD8">
        <w:t xml:space="preserve"> </w:t>
      </w:r>
      <w:r w:rsidRPr="00D97650">
        <w:t>http://www.legalalignment.com/blog/blockchain-for-lawyers-101-parti# http://scet.berkeley.edu/wpcontent/uploads/BlockchainPaper.pdf</w:t>
      </w:r>
    </w:p>
  </w:footnote>
  <w:footnote w:id="5">
    <w:p w:rsidR="0023188F" w:rsidRPr="00805BD8" w:rsidRDefault="0023188F" w:rsidP="00007A92">
      <w:pPr>
        <w:pStyle w:val="Notedebasdepage"/>
      </w:pPr>
      <w:r w:rsidRPr="00805BD8">
        <w:rPr>
          <w:rStyle w:val="Appelnotedebasdep"/>
        </w:rPr>
        <w:footnoteRef/>
      </w:r>
      <w:r w:rsidRPr="00805BD8">
        <w:t xml:space="preserve"> </w:t>
      </w:r>
      <w:r w:rsidRPr="00D97650">
        <w:t>http://www.blockchainstudies.org/</w:t>
      </w:r>
    </w:p>
  </w:footnote>
  <w:footnote w:id="6">
    <w:p w:rsidR="0023188F" w:rsidRPr="00805BD8" w:rsidRDefault="0023188F" w:rsidP="003B5B5D">
      <w:pPr>
        <w:pStyle w:val="Notedebasdepage"/>
      </w:pPr>
      <w:r w:rsidRPr="00805BD8">
        <w:rPr>
          <w:rStyle w:val="Appelnotedebasdep"/>
        </w:rPr>
        <w:footnoteRef/>
      </w:r>
      <w:r w:rsidRPr="00805BD8">
        <w:t xml:space="preserve"> </w:t>
      </w:r>
      <w:r w:rsidRPr="00D97650">
        <w:t>https://www.sec.gov/oiea/investor-alerts-and-bulletins/ib_coinofferings</w:t>
      </w:r>
    </w:p>
  </w:footnote>
  <w:footnote w:id="7">
    <w:p w:rsidR="0023188F" w:rsidRPr="00805BD8" w:rsidRDefault="0023188F" w:rsidP="003B5B5D">
      <w:pPr>
        <w:pStyle w:val="Notedebasdepage"/>
      </w:pPr>
      <w:r w:rsidRPr="00805BD8">
        <w:rPr>
          <w:rStyle w:val="Appelnotedebasdep"/>
        </w:rPr>
        <w:footnoteRef/>
      </w:r>
      <w:r w:rsidRPr="00805BD8">
        <w:t xml:space="preserve"> </w:t>
      </w:r>
      <w:r w:rsidRPr="00D97650">
        <w:t>https://www.davispolk.com/files/bitcoin-def-brief.pdf</w:t>
      </w:r>
    </w:p>
  </w:footnote>
  <w:footnote w:id="8">
    <w:p w:rsidR="0023188F" w:rsidRPr="00805BD8" w:rsidRDefault="0023188F" w:rsidP="003B5B5D">
      <w:pPr>
        <w:pStyle w:val="Notedebasdepage"/>
      </w:pPr>
      <w:r w:rsidRPr="00805BD8">
        <w:rPr>
          <w:rStyle w:val="Appelnotedebasdep"/>
        </w:rPr>
        <w:footnoteRef/>
      </w:r>
      <w:r w:rsidRPr="00805BD8">
        <w:t xml:space="preserve"> </w:t>
      </w:r>
      <w:r w:rsidRPr="00D97650">
        <w:t>http://assaslegalinnovation.com/2018/03/26/la-reglementation-des-icos-un-defi-crucial-pour-le-legislateur-francais/</w:t>
      </w:r>
    </w:p>
  </w:footnote>
  <w:footnote w:id="9">
    <w:p w:rsidR="0023188F" w:rsidRPr="00805BD8" w:rsidRDefault="0023188F" w:rsidP="003B5B5D">
      <w:pPr>
        <w:pStyle w:val="Notedebasdepage"/>
      </w:pPr>
      <w:r w:rsidRPr="00805BD8">
        <w:rPr>
          <w:rStyle w:val="Appelnotedebasdep"/>
        </w:rPr>
        <w:footnoteRef/>
      </w:r>
      <w:r w:rsidRPr="00805BD8">
        <w:t xml:space="preserve"> </w:t>
      </w:r>
      <w:r w:rsidRPr="00D97650">
        <w:t>https://medium.com/@wulfkaal/initial-coin-offerings-the-top-25-jurisdictions-and-their-comparative-regulatory-responses-4b8c9ae7e8e8</w:t>
      </w:r>
    </w:p>
  </w:footnote>
  <w:footnote w:id="10">
    <w:p w:rsidR="0023188F" w:rsidRPr="00805BD8" w:rsidRDefault="0023188F" w:rsidP="003B5B5D">
      <w:pPr>
        <w:pStyle w:val="Notedebasdepage"/>
      </w:pPr>
      <w:r w:rsidRPr="00805BD8">
        <w:rPr>
          <w:rStyle w:val="Appelnotedebasdep"/>
        </w:rPr>
        <w:footnoteRef/>
      </w:r>
      <w:r w:rsidRPr="00805BD8">
        <w:t xml:space="preserve"> </w:t>
      </w:r>
      <w:r w:rsidRPr="00D97650">
        <w:t>http://www.fusions-acquisitions.fr/article/dossiers-5/blockchain-et-procedure-collective-du-partage-aux-interrogations-2743</w:t>
      </w:r>
    </w:p>
  </w:footnote>
  <w:footnote w:id="11">
    <w:p w:rsidR="0023188F" w:rsidRPr="00805BD8" w:rsidRDefault="0023188F" w:rsidP="003B5B5D">
      <w:pPr>
        <w:pStyle w:val="Notedebasdepage"/>
      </w:pPr>
      <w:r w:rsidRPr="00805BD8">
        <w:rPr>
          <w:rStyle w:val="Appelnotedebasdep"/>
        </w:rPr>
        <w:footnoteRef/>
      </w:r>
      <w:r w:rsidRPr="00805BD8">
        <w:t xml:space="preserve"> </w:t>
      </w:r>
      <w:r w:rsidRPr="00D97650">
        <w:t>http://leidenlawblog.nl/articles/the-end-of-comi-as-we-know-it-insolvency-rules-in-the-era-of-decentralisati</w:t>
      </w:r>
    </w:p>
  </w:footnote>
  <w:footnote w:id="12">
    <w:p w:rsidR="0023188F" w:rsidRPr="00805BD8" w:rsidRDefault="0023188F" w:rsidP="003B5B5D">
      <w:pPr>
        <w:pStyle w:val="Notedebasdepage"/>
      </w:pPr>
      <w:r w:rsidRPr="00805BD8">
        <w:rPr>
          <w:rStyle w:val="Appelnotedebasdep"/>
        </w:rPr>
        <w:footnoteRef/>
      </w:r>
      <w:r w:rsidRPr="00805BD8">
        <w:t xml:space="preserve"> </w:t>
      </w:r>
      <w:r w:rsidRPr="00D97650">
        <w:t>https://news.bitcoin.com/russian-bankruptcy-court-orders-debtor-disclose-cryptocurrency-holdings/</w:t>
      </w:r>
    </w:p>
  </w:footnote>
  <w:footnote w:id="13">
    <w:p w:rsidR="0023188F" w:rsidRPr="00D97650" w:rsidRDefault="0023188F" w:rsidP="003B5B5D">
      <w:pPr>
        <w:pStyle w:val="Notedebasdepage"/>
        <w:rPr>
          <w:lang w:val="en-US"/>
        </w:rPr>
      </w:pPr>
      <w:r w:rsidRPr="00805BD8">
        <w:rPr>
          <w:rStyle w:val="Appelnotedebasdep"/>
        </w:rPr>
        <w:footnoteRef/>
      </w:r>
      <w:r w:rsidRPr="00D97650">
        <w:rPr>
          <w:lang w:val="en-US"/>
        </w:rPr>
        <w:t xml:space="preserve"> </w:t>
      </w:r>
      <w:r w:rsidRPr="00805BD8">
        <w:rPr>
          <w:lang w:val="en-GB"/>
        </w:rPr>
        <w:t>http://www.rapsinews.com/judicial_news/ 20180312/282170768.html</w:t>
      </w:r>
    </w:p>
  </w:footnote>
  <w:footnote w:id="14">
    <w:p w:rsidR="0023188F" w:rsidRPr="00D97650" w:rsidRDefault="0023188F" w:rsidP="003B5B5D">
      <w:pPr>
        <w:pStyle w:val="Notedebasdepage"/>
        <w:rPr>
          <w:lang w:val="en-US"/>
        </w:rPr>
      </w:pPr>
      <w:r w:rsidRPr="00805BD8">
        <w:rPr>
          <w:rStyle w:val="Appelnotedebasdep"/>
        </w:rPr>
        <w:footnoteRef/>
      </w:r>
      <w:r w:rsidRPr="00D97650">
        <w:rPr>
          <w:lang w:val="en-US"/>
        </w:rPr>
        <w:t xml:space="preserve"> </w:t>
      </w:r>
      <w:r w:rsidRPr="00805BD8">
        <w:rPr>
          <w:lang w:val="en-GB"/>
        </w:rPr>
        <w:t>http://www.ldjcapital.com/singlepost/2018/02/15/Crypto-Regulation-France-and-Germany-Want-Issue-Included-in-G20-Summit-Agenda</w:t>
      </w:r>
    </w:p>
  </w:footnote>
  <w:footnote w:id="15">
    <w:p w:rsidR="0023188F" w:rsidRPr="009A356F" w:rsidRDefault="0023188F" w:rsidP="006C79CB">
      <w:pPr>
        <w:spacing w:after="0" w:line="240" w:lineRule="auto"/>
        <w:rPr>
          <w:rFonts w:ascii="Times New Roman" w:hAnsi="Times New Roman" w:cs="Times New Roman"/>
          <w:sz w:val="20"/>
          <w:szCs w:val="20"/>
        </w:rPr>
      </w:pPr>
      <w:r w:rsidRPr="00DC6AF1">
        <w:rPr>
          <w:rStyle w:val="Appelnotedebasdep"/>
          <w:sz w:val="20"/>
          <w:szCs w:val="20"/>
        </w:rPr>
        <w:footnoteRef/>
      </w:r>
      <w:r w:rsidRPr="00DC6AF1">
        <w:rPr>
          <w:rFonts w:ascii="Times New Roman" w:hAnsi="Times New Roman" w:cs="Times New Roman"/>
          <w:sz w:val="20"/>
          <w:szCs w:val="20"/>
        </w:rPr>
        <w:t xml:space="preserve"> </w:t>
      </w:r>
      <w:r w:rsidRPr="009A356F">
        <w:rPr>
          <w:rFonts w:ascii="Times New Roman" w:hAnsi="Times New Roman" w:cs="Times New Roman"/>
          <w:sz w:val="20"/>
          <w:szCs w:val="20"/>
        </w:rPr>
        <w:t xml:space="preserve">Voir Frank Heemann et Karolina Gasparke, « Tirage au sort et responsabilité », </w:t>
      </w:r>
      <w:r w:rsidRPr="009A356F">
        <w:rPr>
          <w:rFonts w:ascii="Times New Roman" w:hAnsi="Times New Roman" w:cs="Times New Roman"/>
          <w:i/>
          <w:sz w:val="20"/>
          <w:szCs w:val="20"/>
        </w:rPr>
        <w:t>eurofenix</w:t>
      </w:r>
      <w:r w:rsidRPr="009A356F">
        <w:rPr>
          <w:rFonts w:ascii="Times New Roman" w:hAnsi="Times New Roman" w:cs="Times New Roman"/>
          <w:sz w:val="20"/>
          <w:szCs w:val="20"/>
        </w:rPr>
        <w:t xml:space="preserve"> n° 59, printemps 2015.</w:t>
      </w:r>
    </w:p>
  </w:footnote>
  <w:footnote w:id="16">
    <w:p w:rsidR="0023188F" w:rsidRPr="009A356F" w:rsidRDefault="0023188F" w:rsidP="006C79CB">
      <w:pPr>
        <w:spacing w:after="0" w:line="240" w:lineRule="auto"/>
        <w:rPr>
          <w:rFonts w:ascii="Times New Roman" w:hAnsi="Times New Roman" w:cs="Times New Roman"/>
          <w:sz w:val="20"/>
          <w:szCs w:val="20"/>
        </w:rPr>
      </w:pPr>
      <w:r w:rsidRPr="00DC6AF1">
        <w:rPr>
          <w:rStyle w:val="Appelnotedebasdep"/>
          <w:sz w:val="20"/>
          <w:szCs w:val="20"/>
        </w:rPr>
        <w:footnoteRef/>
      </w:r>
      <w:r w:rsidRPr="00DC6AF1">
        <w:rPr>
          <w:rFonts w:ascii="Times New Roman" w:hAnsi="Times New Roman" w:cs="Times New Roman"/>
          <w:sz w:val="20"/>
          <w:szCs w:val="20"/>
        </w:rPr>
        <w:t xml:space="preserve"> </w:t>
      </w:r>
      <w:r w:rsidRPr="009A356F">
        <w:rPr>
          <w:rFonts w:ascii="Times New Roman" w:hAnsi="Times New Roman" w:cs="Times New Roman"/>
          <w:sz w:val="20"/>
          <w:szCs w:val="20"/>
        </w:rPr>
        <w:t>Il existe également des formes simplifiées de procédures d’insolvabilité et de restructuration en Lituanie.</w:t>
      </w:r>
    </w:p>
  </w:footnote>
  <w:footnote w:id="17">
    <w:p w:rsidR="0023188F" w:rsidRPr="009A356F" w:rsidRDefault="0023188F" w:rsidP="006C79CB">
      <w:pPr>
        <w:spacing w:after="0" w:line="240" w:lineRule="auto"/>
        <w:rPr>
          <w:rFonts w:ascii="Times New Roman" w:hAnsi="Times New Roman" w:cs="Times New Roman"/>
          <w:sz w:val="20"/>
          <w:szCs w:val="20"/>
        </w:rPr>
      </w:pPr>
      <w:r w:rsidRPr="00DC6AF1">
        <w:rPr>
          <w:rStyle w:val="Appelnotedebasdep"/>
          <w:sz w:val="20"/>
          <w:szCs w:val="20"/>
        </w:rPr>
        <w:footnoteRef/>
      </w:r>
      <w:r w:rsidRPr="00DC6AF1">
        <w:rPr>
          <w:rFonts w:ascii="Times New Roman" w:hAnsi="Times New Roman" w:cs="Times New Roman"/>
          <w:sz w:val="20"/>
          <w:szCs w:val="20"/>
        </w:rPr>
        <w:t xml:space="preserve"> </w:t>
      </w:r>
      <w:r w:rsidRPr="009A356F">
        <w:rPr>
          <w:rFonts w:ascii="Times New Roman" w:hAnsi="Times New Roman" w:cs="Times New Roman"/>
          <w:sz w:val="20"/>
          <w:szCs w:val="20"/>
        </w:rPr>
        <w:t>Depuis 2005 pour les procédures d’insolvabilité, depuis 20</w:t>
      </w:r>
      <w:r>
        <w:rPr>
          <w:rFonts w:ascii="Times New Roman" w:hAnsi="Times New Roman" w:cs="Times New Roman"/>
          <w:sz w:val="20"/>
          <w:szCs w:val="20"/>
        </w:rPr>
        <w:t>1</w:t>
      </w:r>
      <w:r w:rsidRPr="009A356F">
        <w:rPr>
          <w:rFonts w:ascii="Times New Roman" w:hAnsi="Times New Roman" w:cs="Times New Roman"/>
          <w:sz w:val="20"/>
          <w:szCs w:val="20"/>
        </w:rPr>
        <w:t>7 également pour les procédures de restructuration.</w:t>
      </w:r>
    </w:p>
  </w:footnote>
  <w:footnote w:id="18">
    <w:p w:rsidR="0023188F" w:rsidRPr="00C7111E" w:rsidRDefault="0023188F" w:rsidP="006C79CB">
      <w:pPr>
        <w:spacing w:after="0" w:line="240" w:lineRule="auto"/>
        <w:rPr>
          <w:rFonts w:ascii="Times New Roman" w:hAnsi="Times New Roman" w:cs="Times New Roman"/>
          <w:sz w:val="20"/>
          <w:szCs w:val="20"/>
        </w:rPr>
      </w:pPr>
      <w:r w:rsidRPr="00DC6AF1">
        <w:rPr>
          <w:rStyle w:val="Appelnotedebasdep"/>
          <w:sz w:val="20"/>
          <w:szCs w:val="20"/>
        </w:rPr>
        <w:footnoteRef/>
      </w:r>
      <w:r w:rsidRPr="00DC6AF1">
        <w:rPr>
          <w:rFonts w:ascii="Times New Roman" w:hAnsi="Times New Roman" w:cs="Times New Roman"/>
          <w:sz w:val="20"/>
          <w:szCs w:val="20"/>
        </w:rPr>
        <w:t xml:space="preserve"> </w:t>
      </w:r>
      <w:r w:rsidRPr="009A356F">
        <w:rPr>
          <w:rFonts w:ascii="Times New Roman" w:hAnsi="Times New Roman" w:cs="Times New Roman"/>
          <w:sz w:val="20"/>
          <w:szCs w:val="20"/>
        </w:rPr>
        <w:t xml:space="preserve">Parmi les autres objectifs, citons la protection des petits créanciers, la répartition équitable </w:t>
      </w:r>
      <w:r>
        <w:rPr>
          <w:rFonts w:ascii="Times New Roman" w:hAnsi="Times New Roman" w:cs="Times New Roman"/>
          <w:sz w:val="20"/>
          <w:szCs w:val="20"/>
        </w:rPr>
        <w:t>de la charge de</w:t>
      </w:r>
      <w:r w:rsidRPr="009A356F">
        <w:rPr>
          <w:rFonts w:ascii="Times New Roman" w:hAnsi="Times New Roman" w:cs="Times New Roman"/>
          <w:sz w:val="20"/>
          <w:szCs w:val="20"/>
        </w:rPr>
        <w:t xml:space="preserve"> travail entre PI, le soutien à l’installation des nouveaux PI.</w:t>
      </w:r>
    </w:p>
  </w:footnote>
  <w:footnote w:id="19">
    <w:p w:rsidR="0023188F" w:rsidRPr="009A356F" w:rsidRDefault="0023188F" w:rsidP="006C79CB">
      <w:pPr>
        <w:pStyle w:val="Notedebasdepage"/>
      </w:pPr>
      <w:r w:rsidRPr="00DC6AF1">
        <w:rPr>
          <w:rStyle w:val="Appelnotedebasdep"/>
        </w:rPr>
        <w:footnoteRef/>
      </w:r>
      <w:r w:rsidRPr="00DC6AF1">
        <w:t xml:space="preserve"> </w:t>
      </w:r>
      <w:r w:rsidRPr="009A356F">
        <w:t xml:space="preserve">Pour de plus amples renseignements, voir Frank Heemann et Karolina Gasparke, « Tirage au sort et responsabilité », </w:t>
      </w:r>
      <w:r w:rsidRPr="009A356F">
        <w:rPr>
          <w:i/>
        </w:rPr>
        <w:t>eurofenix</w:t>
      </w:r>
      <w:r w:rsidRPr="009A356F">
        <w:t xml:space="preserve"> n° 59, printemps 2015.</w:t>
      </w:r>
    </w:p>
  </w:footnote>
  <w:footnote w:id="20">
    <w:p w:rsidR="0023188F" w:rsidRPr="009A356F" w:rsidRDefault="0023188F" w:rsidP="006C79CB">
      <w:pPr>
        <w:spacing w:after="0" w:line="240" w:lineRule="auto"/>
        <w:rPr>
          <w:rFonts w:ascii="Times New Roman" w:hAnsi="Times New Roman" w:cs="Times New Roman"/>
          <w:sz w:val="20"/>
          <w:szCs w:val="20"/>
        </w:rPr>
      </w:pPr>
      <w:r w:rsidRPr="00DC6AF1">
        <w:rPr>
          <w:rStyle w:val="Appelnotedebasdep"/>
          <w:sz w:val="20"/>
          <w:szCs w:val="20"/>
        </w:rPr>
        <w:footnoteRef/>
      </w:r>
      <w:r w:rsidRPr="00DC6AF1">
        <w:rPr>
          <w:rFonts w:ascii="Times New Roman" w:hAnsi="Times New Roman" w:cs="Times New Roman"/>
          <w:sz w:val="20"/>
          <w:szCs w:val="20"/>
        </w:rPr>
        <w:t xml:space="preserve"> </w:t>
      </w:r>
      <w:r w:rsidRPr="009A356F">
        <w:rPr>
          <w:rFonts w:ascii="Times New Roman" w:hAnsi="Times New Roman" w:cs="Times New Roman"/>
          <w:sz w:val="20"/>
          <w:szCs w:val="20"/>
        </w:rPr>
        <w:t>Une autre méthode de sélection s’applique aux insolvabilités de personnes physiques.</w:t>
      </w:r>
      <w:r w:rsidRPr="00C7111E">
        <w:rPr>
          <w:rFonts w:ascii="Times New Roman" w:hAnsi="Times New Roman" w:cs="Times New Roman"/>
          <w:sz w:val="20"/>
          <w:szCs w:val="20"/>
        </w:rPr>
        <w:t xml:space="preserve"> </w:t>
      </w:r>
      <w:r w:rsidRPr="009A356F">
        <w:rPr>
          <w:rFonts w:ascii="Times New Roman" w:hAnsi="Times New Roman" w:cs="Times New Roman"/>
          <w:sz w:val="20"/>
          <w:szCs w:val="20"/>
        </w:rPr>
        <w:t>Essentiellement, l’un des créanciers principaux assume les fonctions de PI.</w:t>
      </w:r>
    </w:p>
  </w:footnote>
  <w:footnote w:id="21">
    <w:p w:rsidR="0023188F" w:rsidRPr="009A356F" w:rsidRDefault="0023188F" w:rsidP="006C79CB">
      <w:pPr>
        <w:spacing w:after="0" w:line="240" w:lineRule="auto"/>
        <w:rPr>
          <w:rFonts w:ascii="Times New Roman" w:hAnsi="Times New Roman" w:cs="Times New Roman"/>
          <w:sz w:val="20"/>
          <w:szCs w:val="20"/>
        </w:rPr>
      </w:pPr>
      <w:r w:rsidRPr="00DC6AF1">
        <w:rPr>
          <w:rStyle w:val="Appelnotedebasdep"/>
          <w:sz w:val="20"/>
          <w:szCs w:val="20"/>
        </w:rPr>
        <w:footnoteRef/>
      </w:r>
      <w:r w:rsidRPr="00DC6AF1">
        <w:rPr>
          <w:rFonts w:ascii="Times New Roman" w:hAnsi="Times New Roman" w:cs="Times New Roman"/>
          <w:sz w:val="20"/>
          <w:szCs w:val="20"/>
        </w:rPr>
        <w:t xml:space="preserve"> </w:t>
      </w:r>
      <w:r w:rsidRPr="009A356F">
        <w:rPr>
          <w:rFonts w:ascii="Times New Roman" w:hAnsi="Times New Roman" w:cs="Times New Roman"/>
          <w:sz w:val="20"/>
          <w:szCs w:val="20"/>
        </w:rPr>
        <w:t>Loi XLIX de 1991 sur les procédures de restructuration et d’insolvabilité.</w:t>
      </w:r>
    </w:p>
  </w:footnote>
  <w:footnote w:id="22">
    <w:p w:rsidR="0023188F" w:rsidRPr="009A356F" w:rsidRDefault="0023188F" w:rsidP="006C79CB">
      <w:pPr>
        <w:spacing w:after="0" w:line="240" w:lineRule="auto"/>
        <w:rPr>
          <w:rFonts w:ascii="Times New Roman" w:hAnsi="Times New Roman" w:cs="Times New Roman"/>
          <w:sz w:val="20"/>
          <w:szCs w:val="20"/>
        </w:rPr>
      </w:pPr>
      <w:r w:rsidRPr="00DC6AF1">
        <w:rPr>
          <w:rStyle w:val="Appelnotedebasdep"/>
          <w:sz w:val="20"/>
          <w:szCs w:val="20"/>
        </w:rPr>
        <w:footnoteRef/>
      </w:r>
      <w:r w:rsidRPr="00DC6AF1">
        <w:rPr>
          <w:rFonts w:ascii="Times New Roman" w:hAnsi="Times New Roman" w:cs="Times New Roman"/>
          <w:sz w:val="20"/>
          <w:szCs w:val="20"/>
        </w:rPr>
        <w:t xml:space="preserve"> </w:t>
      </w:r>
      <w:r w:rsidRPr="009A356F">
        <w:rPr>
          <w:rFonts w:ascii="Times New Roman" w:hAnsi="Times New Roman" w:cs="Times New Roman"/>
          <w:sz w:val="20"/>
          <w:szCs w:val="20"/>
        </w:rPr>
        <w:t>Loi 7/2005 Coll. sur l’insolvabilité et la restructuration.</w:t>
      </w:r>
    </w:p>
  </w:footnote>
  <w:footnote w:id="23">
    <w:p w:rsidR="0023188F" w:rsidRPr="009A356F" w:rsidRDefault="0023188F" w:rsidP="006C79CB">
      <w:pPr>
        <w:spacing w:after="0" w:line="240" w:lineRule="auto"/>
        <w:rPr>
          <w:rFonts w:ascii="Times New Roman" w:hAnsi="Times New Roman" w:cs="Times New Roman"/>
          <w:sz w:val="20"/>
          <w:szCs w:val="20"/>
        </w:rPr>
      </w:pPr>
      <w:r w:rsidRPr="00DC6AF1">
        <w:rPr>
          <w:rStyle w:val="Appelnotedebasdep"/>
          <w:sz w:val="20"/>
          <w:szCs w:val="20"/>
        </w:rPr>
        <w:footnoteRef/>
      </w:r>
      <w:r w:rsidRPr="00DC6AF1">
        <w:rPr>
          <w:rFonts w:ascii="Times New Roman" w:hAnsi="Times New Roman" w:cs="Times New Roman"/>
          <w:sz w:val="20"/>
          <w:szCs w:val="20"/>
        </w:rPr>
        <w:t xml:space="preserve"> </w:t>
      </w:r>
      <w:r w:rsidRPr="009A356F">
        <w:rPr>
          <w:rFonts w:ascii="Times New Roman" w:hAnsi="Times New Roman" w:cs="Times New Roman"/>
          <w:sz w:val="20"/>
          <w:szCs w:val="20"/>
        </w:rPr>
        <w:t xml:space="preserve">Les PI peuvent être des personnes physiques ou morales agréées. Le nombre de cabinets de PI agréés pouvant être établis par une personne physique possédant un certificat </w:t>
      </w:r>
      <w:r>
        <w:rPr>
          <w:rFonts w:ascii="Times New Roman" w:hAnsi="Times New Roman" w:cs="Times New Roman"/>
          <w:sz w:val="20"/>
          <w:szCs w:val="20"/>
        </w:rPr>
        <w:t>individuel</w:t>
      </w:r>
      <w:r w:rsidRPr="009A356F">
        <w:rPr>
          <w:rFonts w:ascii="Times New Roman" w:hAnsi="Times New Roman" w:cs="Times New Roman"/>
          <w:sz w:val="20"/>
          <w:szCs w:val="20"/>
        </w:rPr>
        <w:t xml:space="preserve"> de PI n’est soumis à aucune limite.</w:t>
      </w:r>
    </w:p>
  </w:footnote>
  <w:footnote w:id="24">
    <w:p w:rsidR="0023188F" w:rsidRPr="00DC6AF1" w:rsidRDefault="0023188F" w:rsidP="006C79CB">
      <w:pPr>
        <w:spacing w:after="0" w:line="240" w:lineRule="auto"/>
        <w:rPr>
          <w:rFonts w:ascii="Times New Roman" w:hAnsi="Times New Roman" w:cs="Times New Roman"/>
          <w:sz w:val="20"/>
          <w:szCs w:val="20"/>
        </w:rPr>
      </w:pPr>
      <w:r w:rsidRPr="00DC6AF1">
        <w:rPr>
          <w:rStyle w:val="Appelnotedebasdep"/>
          <w:sz w:val="20"/>
          <w:szCs w:val="20"/>
        </w:rPr>
        <w:footnoteRef/>
      </w:r>
      <w:r w:rsidRPr="00DC6AF1">
        <w:rPr>
          <w:rFonts w:ascii="Times New Roman" w:hAnsi="Times New Roman" w:cs="Times New Roman"/>
          <w:sz w:val="20"/>
          <w:szCs w:val="20"/>
        </w:rPr>
        <w:t xml:space="preserve"> </w:t>
      </w:r>
      <w:r w:rsidRPr="009A356F">
        <w:rPr>
          <w:rFonts w:ascii="Times New Roman" w:hAnsi="Times New Roman" w:cs="Times New Roman"/>
          <w:sz w:val="20"/>
          <w:szCs w:val="20"/>
        </w:rPr>
        <w:t>Entre janvier 2015 et octobre 2015, 114 agréments ont été délivrés à de nouveaux cabinets, tandis que le nombre total de cabinets agréés avant la mise en œuvre du système était de 522.</w:t>
      </w:r>
      <w:r w:rsidRPr="00C7111E">
        <w:rPr>
          <w:rFonts w:ascii="Times New Roman" w:hAnsi="Times New Roman" w:cs="Times New Roman"/>
          <w:sz w:val="20"/>
          <w:szCs w:val="20"/>
        </w:rPr>
        <w:t xml:space="preserve"> </w:t>
      </w:r>
      <w:r w:rsidRPr="009A356F">
        <w:rPr>
          <w:rFonts w:ascii="Times New Roman" w:hAnsi="Times New Roman" w:cs="Times New Roman"/>
          <w:sz w:val="20"/>
          <w:szCs w:val="20"/>
        </w:rPr>
        <w:t>(http://www.bankrotodep.lt/veiklossritys/nemokumas-2/administratoriai/bankroto-administratoriai/#Juridiniai)</w:t>
      </w:r>
      <w:r w:rsidRPr="00C7111E">
        <w:rPr>
          <w:rFonts w:ascii="Times New Roman" w:hAnsi="Times New Roman" w:cs="Times New Roman"/>
          <w:sz w:val="20"/>
          <w:szCs w:val="20"/>
        </w:rPr>
        <w:t xml:space="preserve"> </w:t>
      </w:r>
    </w:p>
  </w:footnote>
  <w:footnote w:id="25">
    <w:p w:rsidR="0023188F" w:rsidRPr="00C7111E" w:rsidRDefault="0023188F" w:rsidP="006C79CB">
      <w:pPr>
        <w:spacing w:after="0" w:line="240" w:lineRule="auto"/>
        <w:rPr>
          <w:rFonts w:ascii="Times New Roman" w:hAnsi="Times New Roman" w:cs="Times New Roman"/>
          <w:sz w:val="20"/>
          <w:szCs w:val="20"/>
        </w:rPr>
      </w:pPr>
      <w:r w:rsidRPr="00DC6AF1">
        <w:rPr>
          <w:rStyle w:val="Appelnotedebasdep"/>
          <w:sz w:val="20"/>
          <w:szCs w:val="20"/>
        </w:rPr>
        <w:footnoteRef/>
      </w:r>
      <w:r w:rsidRPr="00DC6AF1">
        <w:rPr>
          <w:rFonts w:ascii="Times New Roman" w:hAnsi="Times New Roman" w:cs="Times New Roman"/>
          <w:sz w:val="20"/>
          <w:szCs w:val="20"/>
        </w:rPr>
        <w:t xml:space="preserve"> </w:t>
      </w:r>
      <w:r w:rsidRPr="009A356F">
        <w:rPr>
          <w:rFonts w:ascii="Times New Roman" w:hAnsi="Times New Roman" w:cs="Times New Roman"/>
          <w:sz w:val="20"/>
          <w:szCs w:val="20"/>
        </w:rPr>
        <w:t>En Lituanie, il n’existe pas de tribunaux ou juges spécialisés en matière d’insolvabilité.</w:t>
      </w:r>
    </w:p>
  </w:footnote>
  <w:footnote w:id="26">
    <w:p w:rsidR="0023188F" w:rsidRPr="009A356F" w:rsidRDefault="0023188F" w:rsidP="006C79CB">
      <w:pPr>
        <w:pStyle w:val="Notedebasdepage"/>
      </w:pPr>
      <w:r w:rsidRPr="00DC6AF1">
        <w:rPr>
          <w:rStyle w:val="Appelnotedebasdep"/>
        </w:rPr>
        <w:footnoteRef/>
      </w:r>
      <w:r w:rsidRPr="00DC6AF1">
        <w:t xml:space="preserve"> </w:t>
      </w:r>
      <w:r w:rsidRPr="009A356F">
        <w:t>Page 5 de l’étude du 7 février 2018 pour 2017 portant sur les procédures d’insolvabilité et de restructuration des entreprises, etc., préparée par la direction Audit, Comptabilité, Évaluation patrimoniale et Gestion de l’insolvabilité du ministère des Finances.</w:t>
      </w:r>
    </w:p>
  </w:footnote>
  <w:footnote w:id="27">
    <w:p w:rsidR="0023188F" w:rsidRPr="004E544A" w:rsidRDefault="0023188F" w:rsidP="00CB0492">
      <w:pPr>
        <w:pStyle w:val="Notedebasdepage"/>
      </w:pPr>
      <w:r w:rsidRPr="004E544A">
        <w:rPr>
          <w:rStyle w:val="Appelnotedebasdep"/>
        </w:rPr>
        <w:footnoteRef/>
      </w:r>
      <w:r w:rsidRPr="004E544A">
        <w:t xml:space="preserve"> </w:t>
      </w:r>
      <w:r w:rsidRPr="00CB0492">
        <w:t>www.orange-business.com/fr/blogs/securite/actualites/infographie-barometre-cybersecurite-2017-ou-en-est-l-industrie-francaise-</w:t>
      </w:r>
    </w:p>
  </w:footnote>
  <w:footnote w:id="28">
    <w:p w:rsidR="0023188F" w:rsidRPr="004E544A" w:rsidRDefault="0023188F" w:rsidP="00CB0492">
      <w:pPr>
        <w:pStyle w:val="Notedebasdepage"/>
      </w:pPr>
      <w:r w:rsidRPr="004E544A">
        <w:rPr>
          <w:rStyle w:val="Appelnotedebasdep"/>
        </w:rPr>
        <w:footnoteRef/>
      </w:r>
      <w:r w:rsidRPr="004E544A">
        <w:t xml:space="preserve"> </w:t>
      </w:r>
      <w:r w:rsidRPr="00A867E1">
        <w:t>www.inc.com/thomas-koulopoulos/the-biggest-risk-to-your-business-cant-be-eliminated-heres-how-you-can-survive-i.html</w:t>
      </w:r>
    </w:p>
  </w:footnote>
  <w:footnote w:id="29">
    <w:p w:rsidR="0023188F" w:rsidRPr="004E544A" w:rsidRDefault="0023188F" w:rsidP="00CB0492">
      <w:pPr>
        <w:pStyle w:val="Notedebasdepage"/>
      </w:pPr>
      <w:r w:rsidRPr="004E544A">
        <w:rPr>
          <w:rStyle w:val="Appelnotedebasdep"/>
        </w:rPr>
        <w:footnoteRef/>
      </w:r>
      <w:r w:rsidRPr="004E544A">
        <w:t xml:space="preserve"> </w:t>
      </w:r>
      <w:r w:rsidRPr="00A867E1">
        <w:t>https://cofense.com/wp-content/uploads/2017/10/PhishMe_Malware_Review_2016_Q3.pdf</w:t>
      </w:r>
    </w:p>
  </w:footnote>
  <w:footnote w:id="30">
    <w:p w:rsidR="0023188F" w:rsidRPr="004E544A" w:rsidRDefault="0023188F" w:rsidP="00CB0492">
      <w:pPr>
        <w:pStyle w:val="Notedebasdepage"/>
      </w:pPr>
      <w:r w:rsidRPr="004E544A">
        <w:rPr>
          <w:rStyle w:val="Appelnotedebasdep"/>
        </w:rPr>
        <w:footnoteRef/>
      </w:r>
      <w:r w:rsidRPr="004E544A">
        <w:t xml:space="preserve"> </w:t>
      </w:r>
      <w:r w:rsidRPr="00A867E1">
        <w:t>www.privacy-regulation.eu/en/article-83-general-conditions-for-imposing-administrative-fines-GDPR.htm</w:t>
      </w:r>
    </w:p>
  </w:footnote>
  <w:footnote w:id="31">
    <w:p w:rsidR="0023188F" w:rsidRPr="002C1D49" w:rsidRDefault="0023188F" w:rsidP="00035770">
      <w:pPr>
        <w:pStyle w:val="Notedebasdepage"/>
        <w:rPr>
          <w:sz w:val="24"/>
        </w:rPr>
      </w:pPr>
      <w:r w:rsidRPr="00D34D37">
        <w:rPr>
          <w:rStyle w:val="Appelnotedebasdep"/>
        </w:rPr>
        <w:footnoteRef/>
      </w:r>
      <w:r w:rsidRPr="00D34D37">
        <w:t xml:space="preserve"> </w:t>
      </w:r>
      <w:r w:rsidRPr="002C1D49">
        <w:rPr>
          <w:sz w:val="24"/>
          <w:szCs w:val="24"/>
        </w:rPr>
        <w:t xml:space="preserve">Voir </w:t>
      </w:r>
      <w:r w:rsidRPr="002C1D49">
        <w:rPr>
          <w:i/>
          <w:sz w:val="24"/>
          <w:szCs w:val="24"/>
        </w:rPr>
        <w:t>Gestion de l’insolvabilité stratégique et sécurité nationale</w:t>
      </w:r>
      <w:r w:rsidRPr="002C1D49">
        <w:rPr>
          <w:sz w:val="24"/>
          <w:szCs w:val="24"/>
        </w:rPr>
        <w:t>, thèse de doctorat présentée au public le 27 septembre 2017 par l’auteur de cet article.</w:t>
      </w:r>
    </w:p>
  </w:footnote>
  <w:footnote w:id="32">
    <w:p w:rsidR="0023188F" w:rsidRPr="002C1D49" w:rsidRDefault="0023188F" w:rsidP="00035770">
      <w:pPr>
        <w:pStyle w:val="Notedebasdepage"/>
        <w:rPr>
          <w:sz w:val="24"/>
        </w:rPr>
      </w:pPr>
      <w:r w:rsidRPr="00D34D37">
        <w:rPr>
          <w:rStyle w:val="Appelnotedebasdep"/>
        </w:rPr>
        <w:footnoteRef/>
      </w:r>
      <w:r w:rsidRPr="00D34D37">
        <w:t xml:space="preserve"> </w:t>
      </w:r>
      <w:r w:rsidRPr="002C1D49">
        <w:rPr>
          <w:sz w:val="24"/>
          <w:szCs w:val="24"/>
        </w:rPr>
        <w:t>Infrastructure critique nationale.</w:t>
      </w:r>
    </w:p>
  </w:footnote>
  <w:footnote w:id="33">
    <w:p w:rsidR="0023188F" w:rsidRPr="002C1D49" w:rsidRDefault="0023188F" w:rsidP="00035770">
      <w:pPr>
        <w:pStyle w:val="Notedebasdepage"/>
        <w:rPr>
          <w:sz w:val="24"/>
        </w:rPr>
      </w:pPr>
      <w:r w:rsidRPr="00D34D37">
        <w:rPr>
          <w:rStyle w:val="Appelnotedebasdep"/>
        </w:rPr>
        <w:footnoteRef/>
      </w:r>
      <w:r w:rsidRPr="00D34D37">
        <w:t xml:space="preserve"> </w:t>
      </w:r>
      <w:r w:rsidRPr="002C1D49">
        <w:rPr>
          <w:sz w:val="24"/>
          <w:szCs w:val="24"/>
        </w:rPr>
        <w:t>En Roumanie, par le CSAT (Conseil supérieur de la défense nationale).</w:t>
      </w:r>
    </w:p>
  </w:footnote>
  <w:footnote w:id="34">
    <w:p w:rsidR="0023188F" w:rsidRPr="002C1D49" w:rsidRDefault="0023188F" w:rsidP="00035770">
      <w:pPr>
        <w:pStyle w:val="Notedebasdepage"/>
        <w:rPr>
          <w:sz w:val="24"/>
        </w:rPr>
      </w:pPr>
      <w:r w:rsidRPr="00D34D37">
        <w:rPr>
          <w:rStyle w:val="Appelnotedebasdep"/>
        </w:rPr>
        <w:footnoteRef/>
      </w:r>
      <w:r w:rsidRPr="00D34D37">
        <w:t xml:space="preserve"> </w:t>
      </w:r>
      <w:r w:rsidRPr="002C1D49">
        <w:rPr>
          <w:sz w:val="24"/>
          <w:szCs w:val="24"/>
        </w:rPr>
        <w:t>Contactez l’auteur pour en savoir plus.</w:t>
      </w:r>
    </w:p>
  </w:footnote>
  <w:footnote w:id="35">
    <w:p w:rsidR="0023188F" w:rsidRPr="002C1D49" w:rsidRDefault="0023188F" w:rsidP="00035770">
      <w:pPr>
        <w:pStyle w:val="Notedebasdepage"/>
        <w:rPr>
          <w:sz w:val="24"/>
        </w:rPr>
      </w:pPr>
      <w:r w:rsidRPr="00D34D37">
        <w:rPr>
          <w:rStyle w:val="Appelnotedebasdep"/>
        </w:rPr>
        <w:footnoteRef/>
      </w:r>
      <w:r w:rsidRPr="00D34D37">
        <w:t xml:space="preserve"> </w:t>
      </w:r>
      <w:r w:rsidRPr="002C1D49">
        <w:rPr>
          <w:sz w:val="24"/>
          <w:szCs w:val="24"/>
        </w:rPr>
        <w:t>Premier producteur d’électricité hydraulique en Roumanie.</w:t>
      </w:r>
    </w:p>
  </w:footnote>
  <w:footnote w:id="36">
    <w:p w:rsidR="0023188F" w:rsidRPr="001A50F1" w:rsidRDefault="0023188F" w:rsidP="00C44D1B">
      <w:pPr>
        <w:pStyle w:val="Notedebasdepage"/>
      </w:pPr>
      <w:r w:rsidRPr="00077A19">
        <w:rPr>
          <w:rStyle w:val="Appelnotedebasdep"/>
        </w:rPr>
        <w:footnoteRef/>
      </w:r>
      <w:r w:rsidRPr="00077A19">
        <w:t xml:space="preserve"> </w:t>
      </w:r>
      <w:r w:rsidRPr="001A50F1">
        <w:t>Voir la consultation publique publiée le 10 juillet 2017 :</w:t>
      </w:r>
      <w:r w:rsidRPr="00AE58AA">
        <w:t xml:space="preserve"> </w:t>
      </w:r>
      <w:r w:rsidRPr="001A50F1">
        <w:t>&lt;https://ec.europa.eu/info/consultations/finance-2017-non-performing-loans_en&gt;.</w:t>
      </w:r>
    </w:p>
  </w:footnote>
  <w:footnote w:id="37">
    <w:p w:rsidR="0023188F" w:rsidRPr="00682956" w:rsidRDefault="0023188F" w:rsidP="0076748B">
      <w:pPr>
        <w:pStyle w:val="Notedebasdepage"/>
      </w:pPr>
      <w:r w:rsidRPr="00607AC6">
        <w:rPr>
          <w:rStyle w:val="Appelnotedebasdep"/>
        </w:rPr>
        <w:footnoteRef/>
      </w:r>
      <w:r w:rsidRPr="00607AC6">
        <w:t xml:space="preserve"> </w:t>
      </w:r>
      <w:r>
        <w:t>(i) M</w:t>
      </w:r>
      <w:r w:rsidRPr="00682956">
        <w:t>athieu Plane, économiste à l’Observatoire français de la conjoncture économique</w:t>
      </w:r>
      <w:r>
        <w:t> ;</w:t>
      </w:r>
      <w:r w:rsidRPr="00E564C8">
        <w:t xml:space="preserve"> </w:t>
      </w:r>
      <w:r w:rsidRPr="00682956">
        <w:t>(ii) Europe 1 – « L’économie » – 30 janvier 2018</w:t>
      </w:r>
    </w:p>
  </w:footnote>
  <w:footnote w:id="38">
    <w:p w:rsidR="0023188F" w:rsidRPr="00682956" w:rsidRDefault="0023188F" w:rsidP="0076748B">
      <w:pPr>
        <w:pStyle w:val="Notedebasdepage"/>
      </w:pPr>
      <w:r w:rsidRPr="00607AC6">
        <w:rPr>
          <w:rStyle w:val="Appelnotedebasdep"/>
        </w:rPr>
        <w:footnoteRef/>
      </w:r>
      <w:r w:rsidRPr="00607AC6">
        <w:t xml:space="preserve"> </w:t>
      </w:r>
      <w:r w:rsidRPr="00682956">
        <w:t>Données publiées par la Banque de France le 16 mars 2018.</w:t>
      </w:r>
    </w:p>
  </w:footnote>
  <w:footnote w:id="39">
    <w:p w:rsidR="0023188F" w:rsidRPr="00682956" w:rsidRDefault="0023188F" w:rsidP="0076748B">
      <w:pPr>
        <w:pStyle w:val="Notedebasdepage"/>
      </w:pPr>
      <w:r w:rsidRPr="00607AC6">
        <w:rPr>
          <w:rStyle w:val="Appelnotedebasdep"/>
        </w:rPr>
        <w:footnoteRef/>
      </w:r>
      <w:r w:rsidRPr="00607AC6">
        <w:t xml:space="preserve"> </w:t>
      </w:r>
      <w:r w:rsidRPr="00682956">
        <w:t>Stat’ags – n° 19 – janvier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88F" w:rsidRDefault="0023188F" w:rsidP="0052658C">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3188F" w:rsidRDefault="0023188F" w:rsidP="0052658C">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88F" w:rsidRDefault="0023188F" w:rsidP="0052658C">
    <w:pPr>
      <w:pStyle w:val="En-tte"/>
      <w:framePr w:wrap="around" w:vAnchor="text" w:hAnchor="margin" w:xAlign="right" w:y="1"/>
      <w:rPr>
        <w:rStyle w:val="Numrodepage"/>
      </w:rPr>
    </w:pPr>
    <w:r>
      <w:rPr>
        <w:noProof/>
        <w:lang w:eastAsia="fr-FR"/>
      </w:rPr>
      <mc:AlternateContent>
        <mc:Choice Requires="wps">
          <w:drawing>
            <wp:anchor distT="0" distB="0" distL="114300" distR="114300" simplePos="0" relativeHeight="251659264" behindDoc="0" locked="0" layoutInCell="0" allowOverlap="1" wp14:anchorId="00A4809A" wp14:editId="41E63D88">
              <wp:simplePos x="0" y="0"/>
              <wp:positionH relativeFrom="page">
                <wp:posOffset>6941185</wp:posOffset>
              </wp:positionH>
              <wp:positionV relativeFrom="page">
                <wp:posOffset>4581525</wp:posOffset>
              </wp:positionV>
              <wp:extent cx="762000" cy="895350"/>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23188F" w:rsidRPr="008B14DF" w:rsidRDefault="0023188F">
                          <w:pPr>
                            <w:jc w:val="center"/>
                            <w:rPr>
                              <w:rFonts w:ascii="Cambria" w:hAnsi="Cambria"/>
                              <w:sz w:val="72"/>
                              <w:szCs w:val="72"/>
                            </w:rPr>
                          </w:pPr>
                          <w:r w:rsidRPr="008B14DF">
                            <w:rPr>
                              <w:rFonts w:ascii="Calibri" w:hAnsi="Calibri"/>
                            </w:rPr>
                            <w:fldChar w:fldCharType="begin"/>
                          </w:r>
                          <w:r>
                            <w:instrText>PAGE  \* MERGEFORMAT</w:instrText>
                          </w:r>
                          <w:r w:rsidRPr="008B14DF">
                            <w:rPr>
                              <w:rFonts w:ascii="Calibri" w:hAnsi="Calibri"/>
                            </w:rPr>
                            <w:fldChar w:fldCharType="separate"/>
                          </w:r>
                          <w:r w:rsidR="00A00A44" w:rsidRPr="00A00A44">
                            <w:rPr>
                              <w:rFonts w:ascii="Cambria" w:hAnsi="Cambria"/>
                              <w:noProof/>
                              <w:sz w:val="48"/>
                              <w:szCs w:val="48"/>
                            </w:rPr>
                            <w:t>66</w:t>
                          </w:r>
                          <w:r w:rsidRPr="008B14DF">
                            <w:rPr>
                              <w:rFonts w:ascii="Cambria"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46.55pt;margin-top:360.75pt;width:60pt;height: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" o:allowincell="f" stroked="f">
              <v:textbox>
                <w:txbxContent>
                  <w:p w:rsidR="0023188F" w:rsidRPr="008B14DF" w:rsidRDefault="0023188F">
                    <w:pPr>
                      <w:jc w:val="center"/>
                      <w:rPr>
                        <w:rFonts w:ascii="Cambria" w:hAnsi="Cambria"/>
                        <w:sz w:val="72"/>
                        <w:szCs w:val="72"/>
                      </w:rPr>
                    </w:pPr>
                    <w:r w:rsidRPr="008B14DF">
                      <w:rPr>
                        <w:rFonts w:ascii="Calibri" w:hAnsi="Calibri"/>
                      </w:rPr>
                      <w:fldChar w:fldCharType="begin"/>
                    </w:r>
                    <w:r>
                      <w:instrText>PAGE  \* MERGEFORMAT</w:instrText>
                    </w:r>
                    <w:r w:rsidRPr="008B14DF">
                      <w:rPr>
                        <w:rFonts w:ascii="Calibri" w:hAnsi="Calibri"/>
                      </w:rPr>
                      <w:fldChar w:fldCharType="separate"/>
                    </w:r>
                    <w:r w:rsidR="00A00A44" w:rsidRPr="00A00A44">
                      <w:rPr>
                        <w:rFonts w:ascii="Cambria" w:hAnsi="Cambria"/>
                        <w:noProof/>
                        <w:sz w:val="48"/>
                        <w:szCs w:val="48"/>
                      </w:rPr>
                      <w:t>66</w:t>
                    </w:r>
                    <w:r w:rsidRPr="008B14DF">
                      <w:rPr>
                        <w:rFonts w:ascii="Cambria" w:hAnsi="Cambria"/>
                        <w:sz w:val="48"/>
                        <w:szCs w:val="48"/>
                      </w:rPr>
                      <w:fldChar w:fldCharType="end"/>
                    </w:r>
                  </w:p>
                </w:txbxContent>
              </v:textbox>
              <w10:wrap anchorx="page" anchory="page"/>
            </v:rect>
          </w:pict>
        </mc:Fallback>
      </mc:AlternateContent>
    </w:r>
    <w:r>
      <w:rPr>
        <w:rStyle w:val="Numrodepage"/>
      </w:rPr>
      <w:fldChar w:fldCharType="begin"/>
    </w:r>
    <w:r>
      <w:rPr>
        <w:rStyle w:val="Numrodepage"/>
      </w:rPr>
      <w:instrText xml:space="preserve">PAGE  </w:instrText>
    </w:r>
    <w:r>
      <w:rPr>
        <w:rStyle w:val="Numrodepage"/>
      </w:rPr>
      <w:fldChar w:fldCharType="separate"/>
    </w:r>
    <w:r w:rsidR="00A00A44">
      <w:rPr>
        <w:rStyle w:val="Numrodepage"/>
        <w:noProof/>
      </w:rPr>
      <w:t>66</w:t>
    </w:r>
    <w:r>
      <w:rPr>
        <w:rStyle w:val="Numrodepage"/>
      </w:rPr>
      <w:fldChar w:fldCharType="end"/>
    </w:r>
  </w:p>
  <w:p w:rsidR="0023188F" w:rsidRDefault="0023188F" w:rsidP="0052658C">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2DEEAA2"/>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decimal"/>
      <w:pStyle w:val="Titre3"/>
      <w:lvlText w:val="%3."/>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570CBC"/>
    <w:multiLevelType w:val="hybridMultilevel"/>
    <w:tmpl w:val="67BE65B8"/>
    <w:lvl w:ilvl="0" w:tplc="166A55C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1BE0D31"/>
    <w:multiLevelType w:val="hybridMultilevel"/>
    <w:tmpl w:val="9C38A074"/>
    <w:lvl w:ilvl="0" w:tplc="8F80AAE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AD45DF"/>
    <w:multiLevelType w:val="hybridMultilevel"/>
    <w:tmpl w:val="3A3A2AFE"/>
    <w:lvl w:ilvl="0" w:tplc="82D0C564">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7865CFA"/>
    <w:multiLevelType w:val="hybridMultilevel"/>
    <w:tmpl w:val="F1A6ED00"/>
    <w:lvl w:ilvl="0" w:tplc="283AC4B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9897C85"/>
    <w:multiLevelType w:val="hybridMultilevel"/>
    <w:tmpl w:val="C1EAC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A687AF7"/>
    <w:multiLevelType w:val="hybridMultilevel"/>
    <w:tmpl w:val="E7506BA8"/>
    <w:lvl w:ilvl="0" w:tplc="4ECAF21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E07635A"/>
    <w:multiLevelType w:val="hybridMultilevel"/>
    <w:tmpl w:val="AC049FBE"/>
    <w:lvl w:ilvl="0" w:tplc="481814E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3D45BEA"/>
    <w:multiLevelType w:val="hybridMultilevel"/>
    <w:tmpl w:val="9C90EBE2"/>
    <w:lvl w:ilvl="0" w:tplc="496AB5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6422904"/>
    <w:multiLevelType w:val="hybridMultilevel"/>
    <w:tmpl w:val="F1FCF326"/>
    <w:lvl w:ilvl="0" w:tplc="9564C6A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8A36960"/>
    <w:multiLevelType w:val="hybridMultilevel"/>
    <w:tmpl w:val="6736F3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94F18A2"/>
    <w:multiLevelType w:val="hybridMultilevel"/>
    <w:tmpl w:val="FF3A109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ACF3F79"/>
    <w:multiLevelType w:val="hybridMultilevel"/>
    <w:tmpl w:val="C0C8445A"/>
    <w:lvl w:ilvl="0" w:tplc="040C0001">
      <w:start w:val="3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C825CD8"/>
    <w:multiLevelType w:val="hybridMultilevel"/>
    <w:tmpl w:val="A9F6B1E6"/>
    <w:lvl w:ilvl="0" w:tplc="BFACE22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E0858D3"/>
    <w:multiLevelType w:val="hybridMultilevel"/>
    <w:tmpl w:val="421219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1E170397"/>
    <w:multiLevelType w:val="hybridMultilevel"/>
    <w:tmpl w:val="2CCCF48A"/>
    <w:lvl w:ilvl="0" w:tplc="D09CA00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FFC4847"/>
    <w:multiLevelType w:val="hybridMultilevel"/>
    <w:tmpl w:val="2AE271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06876A9"/>
    <w:multiLevelType w:val="hybridMultilevel"/>
    <w:tmpl w:val="EAFC8C44"/>
    <w:lvl w:ilvl="0" w:tplc="E0D0250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19C12C3"/>
    <w:multiLevelType w:val="hybridMultilevel"/>
    <w:tmpl w:val="B0CE704C"/>
    <w:lvl w:ilvl="0" w:tplc="FFC6DE2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4F040E7"/>
    <w:multiLevelType w:val="hybridMultilevel"/>
    <w:tmpl w:val="E676DEC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258D4A72"/>
    <w:multiLevelType w:val="hybridMultilevel"/>
    <w:tmpl w:val="B1A80C9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CAB5653"/>
    <w:multiLevelType w:val="hybridMultilevel"/>
    <w:tmpl w:val="CBC01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DCB124A"/>
    <w:multiLevelType w:val="hybridMultilevel"/>
    <w:tmpl w:val="B63A507C"/>
    <w:lvl w:ilvl="0" w:tplc="33A0DC0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2EDC7049"/>
    <w:multiLevelType w:val="hybridMultilevel"/>
    <w:tmpl w:val="B5A87894"/>
    <w:lvl w:ilvl="0" w:tplc="2864CBC4">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0211332"/>
    <w:multiLevelType w:val="hybridMultilevel"/>
    <w:tmpl w:val="41FE395E"/>
    <w:lvl w:ilvl="0" w:tplc="DE82B794">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1E132A1"/>
    <w:multiLevelType w:val="hybridMultilevel"/>
    <w:tmpl w:val="B4BC1F16"/>
    <w:lvl w:ilvl="0" w:tplc="2864CBC4">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3EA4D7C"/>
    <w:multiLevelType w:val="hybridMultilevel"/>
    <w:tmpl w:val="A18278AC"/>
    <w:lvl w:ilvl="0" w:tplc="33A0DC0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3B0A30F6"/>
    <w:multiLevelType w:val="hybridMultilevel"/>
    <w:tmpl w:val="D630A78C"/>
    <w:lvl w:ilvl="0" w:tplc="588C829A">
      <w:start w:val="11"/>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D924788"/>
    <w:multiLevelType w:val="hybridMultilevel"/>
    <w:tmpl w:val="CD18C394"/>
    <w:lvl w:ilvl="0" w:tplc="D09CA0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045507C"/>
    <w:multiLevelType w:val="hybridMultilevel"/>
    <w:tmpl w:val="A302EC54"/>
    <w:lvl w:ilvl="0" w:tplc="DE82B79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0CC20DF"/>
    <w:multiLevelType w:val="hybridMultilevel"/>
    <w:tmpl w:val="914EFE14"/>
    <w:lvl w:ilvl="0" w:tplc="D8D4BC3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41E70B8D"/>
    <w:multiLevelType w:val="hybridMultilevel"/>
    <w:tmpl w:val="17429876"/>
    <w:lvl w:ilvl="0" w:tplc="5B149FF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42AE525E"/>
    <w:multiLevelType w:val="hybridMultilevel"/>
    <w:tmpl w:val="B69275BA"/>
    <w:lvl w:ilvl="0" w:tplc="6004FAA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3A837E4"/>
    <w:multiLevelType w:val="hybridMultilevel"/>
    <w:tmpl w:val="34FE6780"/>
    <w:lvl w:ilvl="0" w:tplc="ECC01D9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4A392629"/>
    <w:multiLevelType w:val="hybridMultilevel"/>
    <w:tmpl w:val="C53622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50BA3629"/>
    <w:multiLevelType w:val="hybridMultilevel"/>
    <w:tmpl w:val="ADAE7D74"/>
    <w:lvl w:ilvl="0" w:tplc="B870138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285719A"/>
    <w:multiLevelType w:val="hybridMultilevel"/>
    <w:tmpl w:val="C1320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32E5B18"/>
    <w:multiLevelType w:val="hybridMultilevel"/>
    <w:tmpl w:val="A34C048A"/>
    <w:lvl w:ilvl="0" w:tplc="01661FB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5AF83429"/>
    <w:multiLevelType w:val="hybridMultilevel"/>
    <w:tmpl w:val="47B2F6C8"/>
    <w:lvl w:ilvl="0" w:tplc="280010F8">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5B8A0AB0"/>
    <w:multiLevelType w:val="hybridMultilevel"/>
    <w:tmpl w:val="84EA6A6A"/>
    <w:lvl w:ilvl="0" w:tplc="5F66455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08C2412"/>
    <w:multiLevelType w:val="hybridMultilevel"/>
    <w:tmpl w:val="3FC4CEE0"/>
    <w:lvl w:ilvl="0" w:tplc="BC9E98B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61263E8A"/>
    <w:multiLevelType w:val="hybridMultilevel"/>
    <w:tmpl w:val="EF4E33AE"/>
    <w:lvl w:ilvl="0" w:tplc="FF38C1A8">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7CA7A53"/>
    <w:multiLevelType w:val="hybridMultilevel"/>
    <w:tmpl w:val="482AE23A"/>
    <w:lvl w:ilvl="0" w:tplc="937A4D2E">
      <w:start w:val="1"/>
      <w:numFmt w:val="decimal"/>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6AC547EB"/>
    <w:multiLevelType w:val="hybridMultilevel"/>
    <w:tmpl w:val="9CB8EC8E"/>
    <w:lvl w:ilvl="0" w:tplc="3D86B1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59A7368"/>
    <w:multiLevelType w:val="hybridMultilevel"/>
    <w:tmpl w:val="5712DA46"/>
    <w:lvl w:ilvl="0" w:tplc="CBC4D83E">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7F0156E"/>
    <w:multiLevelType w:val="hybridMultilevel"/>
    <w:tmpl w:val="C7DA937E"/>
    <w:lvl w:ilvl="0" w:tplc="4ECAF21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7D115853"/>
    <w:multiLevelType w:val="hybridMultilevel"/>
    <w:tmpl w:val="4EF0B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7"/>
  </w:num>
  <w:num w:numId="4">
    <w:abstractNumId w:val="37"/>
  </w:num>
  <w:num w:numId="5">
    <w:abstractNumId w:val="42"/>
  </w:num>
  <w:num w:numId="6">
    <w:abstractNumId w:val="30"/>
  </w:num>
  <w:num w:numId="7">
    <w:abstractNumId w:val="17"/>
  </w:num>
  <w:num w:numId="8">
    <w:abstractNumId w:val="7"/>
  </w:num>
  <w:num w:numId="9">
    <w:abstractNumId w:val="20"/>
  </w:num>
  <w:num w:numId="10">
    <w:abstractNumId w:val="15"/>
  </w:num>
  <w:num w:numId="11">
    <w:abstractNumId w:val="41"/>
  </w:num>
  <w:num w:numId="12">
    <w:abstractNumId w:val="32"/>
  </w:num>
  <w:num w:numId="13">
    <w:abstractNumId w:val="28"/>
  </w:num>
  <w:num w:numId="14">
    <w:abstractNumId w:val="46"/>
  </w:num>
  <w:num w:numId="15">
    <w:abstractNumId w:val="36"/>
  </w:num>
  <w:num w:numId="16">
    <w:abstractNumId w:val="21"/>
  </w:num>
  <w:num w:numId="17">
    <w:abstractNumId w:val="2"/>
  </w:num>
  <w:num w:numId="18">
    <w:abstractNumId w:val="19"/>
  </w:num>
  <w:num w:numId="19">
    <w:abstractNumId w:val="26"/>
  </w:num>
  <w:num w:numId="20">
    <w:abstractNumId w:val="23"/>
  </w:num>
  <w:num w:numId="21">
    <w:abstractNumId w:val="11"/>
  </w:num>
  <w:num w:numId="22">
    <w:abstractNumId w:val="25"/>
  </w:num>
  <w:num w:numId="23">
    <w:abstractNumId w:val="22"/>
  </w:num>
  <w:num w:numId="24">
    <w:abstractNumId w:val="1"/>
  </w:num>
  <w:num w:numId="25">
    <w:abstractNumId w:val="33"/>
  </w:num>
  <w:num w:numId="26">
    <w:abstractNumId w:val="35"/>
  </w:num>
  <w:num w:numId="27">
    <w:abstractNumId w:val="44"/>
  </w:num>
  <w:num w:numId="28">
    <w:abstractNumId w:val="9"/>
  </w:num>
  <w:num w:numId="29">
    <w:abstractNumId w:val="8"/>
  </w:num>
  <w:num w:numId="30">
    <w:abstractNumId w:val="18"/>
  </w:num>
  <w:num w:numId="31">
    <w:abstractNumId w:val="13"/>
  </w:num>
  <w:num w:numId="32">
    <w:abstractNumId w:val="40"/>
  </w:num>
  <w:num w:numId="33">
    <w:abstractNumId w:val="34"/>
  </w:num>
  <w:num w:numId="34">
    <w:abstractNumId w:val="38"/>
  </w:num>
  <w:num w:numId="35">
    <w:abstractNumId w:val="31"/>
  </w:num>
  <w:num w:numId="36">
    <w:abstractNumId w:val="14"/>
  </w:num>
  <w:num w:numId="37">
    <w:abstractNumId w:val="12"/>
  </w:num>
  <w:num w:numId="38">
    <w:abstractNumId w:val="16"/>
  </w:num>
  <w:num w:numId="39">
    <w:abstractNumId w:val="39"/>
  </w:num>
  <w:num w:numId="40">
    <w:abstractNumId w:val="29"/>
  </w:num>
  <w:num w:numId="41">
    <w:abstractNumId w:val="10"/>
  </w:num>
  <w:num w:numId="42">
    <w:abstractNumId w:val="45"/>
  </w:num>
  <w:num w:numId="43">
    <w:abstractNumId w:val="6"/>
  </w:num>
  <w:num w:numId="44">
    <w:abstractNumId w:val="5"/>
  </w:num>
  <w:num w:numId="45">
    <w:abstractNumId w:val="24"/>
  </w:num>
  <w:num w:numId="46">
    <w:abstractNumId w:val="3"/>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B5D"/>
    <w:rsid w:val="00007A92"/>
    <w:rsid w:val="00020502"/>
    <w:rsid w:val="00035770"/>
    <w:rsid w:val="000D634D"/>
    <w:rsid w:val="000E4227"/>
    <w:rsid w:val="000F5BC7"/>
    <w:rsid w:val="00113CF4"/>
    <w:rsid w:val="001251E8"/>
    <w:rsid w:val="001D0A9C"/>
    <w:rsid w:val="001E5D43"/>
    <w:rsid w:val="00224EEF"/>
    <w:rsid w:val="002275A1"/>
    <w:rsid w:val="0023188F"/>
    <w:rsid w:val="00231F32"/>
    <w:rsid w:val="00241560"/>
    <w:rsid w:val="002901FA"/>
    <w:rsid w:val="002B3085"/>
    <w:rsid w:val="002C5EDC"/>
    <w:rsid w:val="002F1A96"/>
    <w:rsid w:val="003517A7"/>
    <w:rsid w:val="00357DC4"/>
    <w:rsid w:val="00377C4B"/>
    <w:rsid w:val="003B5B5D"/>
    <w:rsid w:val="003E0617"/>
    <w:rsid w:val="003E307D"/>
    <w:rsid w:val="00456860"/>
    <w:rsid w:val="004623E2"/>
    <w:rsid w:val="004E062C"/>
    <w:rsid w:val="00504A3B"/>
    <w:rsid w:val="0052658C"/>
    <w:rsid w:val="005759EE"/>
    <w:rsid w:val="005D78E1"/>
    <w:rsid w:val="006058AB"/>
    <w:rsid w:val="00627CD5"/>
    <w:rsid w:val="00640BDB"/>
    <w:rsid w:val="006A5AC6"/>
    <w:rsid w:val="006C79CB"/>
    <w:rsid w:val="006E05A9"/>
    <w:rsid w:val="006E34EB"/>
    <w:rsid w:val="0076748B"/>
    <w:rsid w:val="0077507B"/>
    <w:rsid w:val="0079702A"/>
    <w:rsid w:val="007F24D0"/>
    <w:rsid w:val="008563A8"/>
    <w:rsid w:val="008A4AB2"/>
    <w:rsid w:val="008D04BF"/>
    <w:rsid w:val="00900169"/>
    <w:rsid w:val="00955A29"/>
    <w:rsid w:val="00960A0E"/>
    <w:rsid w:val="009942E5"/>
    <w:rsid w:val="009A1930"/>
    <w:rsid w:val="00A00A44"/>
    <w:rsid w:val="00A2033A"/>
    <w:rsid w:val="00A21260"/>
    <w:rsid w:val="00AD2382"/>
    <w:rsid w:val="00B240FB"/>
    <w:rsid w:val="00BD2829"/>
    <w:rsid w:val="00BD6EB1"/>
    <w:rsid w:val="00C03DD6"/>
    <w:rsid w:val="00C16376"/>
    <w:rsid w:val="00C42590"/>
    <w:rsid w:val="00C42672"/>
    <w:rsid w:val="00C44D1B"/>
    <w:rsid w:val="00CB0492"/>
    <w:rsid w:val="00CB28A0"/>
    <w:rsid w:val="00CC4377"/>
    <w:rsid w:val="00CE3674"/>
    <w:rsid w:val="00D21ACD"/>
    <w:rsid w:val="00D71EAC"/>
    <w:rsid w:val="00D85DB7"/>
    <w:rsid w:val="00DC3C27"/>
    <w:rsid w:val="00E348B8"/>
    <w:rsid w:val="00E43386"/>
    <w:rsid w:val="00E839FE"/>
    <w:rsid w:val="00EB197C"/>
    <w:rsid w:val="00ED42FE"/>
    <w:rsid w:val="00EE3652"/>
    <w:rsid w:val="00F12C62"/>
    <w:rsid w:val="00F31E17"/>
    <w:rsid w:val="00F52D53"/>
    <w:rsid w:val="00FA36A2"/>
    <w:rsid w:val="00FC3B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3B5B5D"/>
    <w:pPr>
      <w:keepNext/>
      <w:numPr>
        <w:numId w:val="1"/>
      </w:numPr>
      <w:suppressAutoHyphens/>
      <w:spacing w:after="0" w:line="240" w:lineRule="auto"/>
      <w:outlineLvl w:val="0"/>
    </w:pPr>
    <w:rPr>
      <w:rFonts w:ascii="Times New Roman" w:eastAsia="Times New Roman" w:hAnsi="Times New Roman" w:cs="Times New Roman"/>
      <w:b/>
      <w:bCs/>
      <w:sz w:val="32"/>
      <w:szCs w:val="24"/>
      <w:lang w:eastAsia="he-IL" w:bidi="he-IL"/>
    </w:rPr>
  </w:style>
  <w:style w:type="paragraph" w:styleId="Titre2">
    <w:name w:val="heading 2"/>
    <w:basedOn w:val="Normal"/>
    <w:next w:val="Normal"/>
    <w:link w:val="Titre2Car"/>
    <w:qFormat/>
    <w:rsid w:val="003B5B5D"/>
    <w:pPr>
      <w:keepNext/>
      <w:numPr>
        <w:ilvl w:val="1"/>
        <w:numId w:val="1"/>
      </w:numPr>
      <w:suppressAutoHyphens/>
      <w:spacing w:after="0" w:line="240" w:lineRule="auto"/>
      <w:outlineLvl w:val="1"/>
    </w:pPr>
    <w:rPr>
      <w:rFonts w:ascii="Times New Roman" w:eastAsia="Times New Roman" w:hAnsi="Times New Roman" w:cs="Times New Roman"/>
      <w:b/>
      <w:bCs/>
      <w:sz w:val="24"/>
      <w:szCs w:val="24"/>
      <w:lang w:eastAsia="he-IL" w:bidi="he-IL"/>
    </w:rPr>
  </w:style>
  <w:style w:type="paragraph" w:styleId="Titre3">
    <w:name w:val="heading 3"/>
    <w:basedOn w:val="Normal"/>
    <w:next w:val="Normal"/>
    <w:link w:val="Titre3Car"/>
    <w:qFormat/>
    <w:rsid w:val="003B5B5D"/>
    <w:pPr>
      <w:keepNext/>
      <w:numPr>
        <w:ilvl w:val="2"/>
        <w:numId w:val="1"/>
      </w:numPr>
      <w:suppressAutoHyphens/>
      <w:spacing w:after="0" w:line="240" w:lineRule="auto"/>
      <w:jc w:val="both"/>
      <w:outlineLvl w:val="2"/>
    </w:pPr>
    <w:rPr>
      <w:rFonts w:ascii="Times New Roman" w:eastAsia="Times New Roman" w:hAnsi="Times New Roman" w:cs="Times New Roman"/>
      <w:b/>
      <w:bCs/>
      <w:sz w:val="24"/>
      <w:szCs w:val="24"/>
      <w:lang w:eastAsia="he-IL" w:bidi="he-IL"/>
    </w:rPr>
  </w:style>
  <w:style w:type="paragraph" w:styleId="Titre4">
    <w:name w:val="heading 4"/>
    <w:basedOn w:val="Normal"/>
    <w:next w:val="Normal"/>
    <w:link w:val="Titre4Car"/>
    <w:qFormat/>
    <w:rsid w:val="003B5B5D"/>
    <w:pPr>
      <w:keepNext/>
      <w:numPr>
        <w:ilvl w:val="3"/>
        <w:numId w:val="1"/>
      </w:numPr>
      <w:suppressAutoHyphens/>
      <w:spacing w:after="0" w:line="240" w:lineRule="auto"/>
      <w:jc w:val="both"/>
      <w:outlineLvl w:val="3"/>
    </w:pPr>
    <w:rPr>
      <w:rFonts w:ascii="Times New Roman" w:eastAsia="Times New Roman" w:hAnsi="Times New Roman" w:cs="Times New Roman"/>
      <w:b/>
      <w:bCs/>
      <w:sz w:val="28"/>
      <w:szCs w:val="24"/>
      <w:lang w:eastAsia="he-IL" w:bidi="he-IL"/>
    </w:rPr>
  </w:style>
  <w:style w:type="paragraph" w:styleId="Titre5">
    <w:name w:val="heading 5"/>
    <w:basedOn w:val="Normal"/>
    <w:next w:val="Normal"/>
    <w:link w:val="Titre5Car"/>
    <w:qFormat/>
    <w:rsid w:val="003B5B5D"/>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B5B5D"/>
    <w:rPr>
      <w:rFonts w:ascii="Times New Roman" w:eastAsia="Times New Roman" w:hAnsi="Times New Roman" w:cs="Times New Roman"/>
      <w:b/>
      <w:bCs/>
      <w:sz w:val="32"/>
      <w:szCs w:val="24"/>
      <w:lang w:eastAsia="he-IL" w:bidi="he-IL"/>
    </w:rPr>
  </w:style>
  <w:style w:type="character" w:customStyle="1" w:styleId="Titre2Car">
    <w:name w:val="Titre 2 Car"/>
    <w:basedOn w:val="Policepardfaut"/>
    <w:link w:val="Titre2"/>
    <w:rsid w:val="003B5B5D"/>
    <w:rPr>
      <w:rFonts w:ascii="Times New Roman" w:eastAsia="Times New Roman" w:hAnsi="Times New Roman" w:cs="Times New Roman"/>
      <w:b/>
      <w:bCs/>
      <w:sz w:val="24"/>
      <w:szCs w:val="24"/>
      <w:lang w:eastAsia="he-IL" w:bidi="he-IL"/>
    </w:rPr>
  </w:style>
  <w:style w:type="character" w:customStyle="1" w:styleId="Titre3Car">
    <w:name w:val="Titre 3 Car"/>
    <w:basedOn w:val="Policepardfaut"/>
    <w:link w:val="Titre3"/>
    <w:rsid w:val="003B5B5D"/>
    <w:rPr>
      <w:rFonts w:ascii="Times New Roman" w:eastAsia="Times New Roman" w:hAnsi="Times New Roman" w:cs="Times New Roman"/>
      <w:b/>
      <w:bCs/>
      <w:sz w:val="24"/>
      <w:szCs w:val="24"/>
      <w:lang w:eastAsia="he-IL" w:bidi="he-IL"/>
    </w:rPr>
  </w:style>
  <w:style w:type="character" w:customStyle="1" w:styleId="Titre4Car">
    <w:name w:val="Titre 4 Car"/>
    <w:basedOn w:val="Policepardfaut"/>
    <w:link w:val="Titre4"/>
    <w:rsid w:val="003B5B5D"/>
    <w:rPr>
      <w:rFonts w:ascii="Times New Roman" w:eastAsia="Times New Roman" w:hAnsi="Times New Roman" w:cs="Times New Roman"/>
      <w:b/>
      <w:bCs/>
      <w:sz w:val="28"/>
      <w:szCs w:val="24"/>
      <w:lang w:eastAsia="he-IL" w:bidi="he-IL"/>
    </w:rPr>
  </w:style>
  <w:style w:type="character" w:customStyle="1" w:styleId="Titre5Car">
    <w:name w:val="Titre 5 Car"/>
    <w:basedOn w:val="Policepardfaut"/>
    <w:link w:val="Titre5"/>
    <w:rsid w:val="003B5B5D"/>
    <w:rPr>
      <w:rFonts w:ascii="Times New Roman" w:eastAsia="Times New Roman" w:hAnsi="Times New Roman" w:cs="Times New Roman"/>
      <w:b/>
      <w:bCs/>
      <w:i/>
      <w:iCs/>
      <w:sz w:val="26"/>
      <w:szCs w:val="26"/>
      <w:lang w:eastAsia="ar-SA"/>
    </w:rPr>
  </w:style>
  <w:style w:type="numbering" w:customStyle="1" w:styleId="Aucuneliste1">
    <w:name w:val="Aucune liste1"/>
    <w:next w:val="Aucuneliste"/>
    <w:uiPriority w:val="99"/>
    <w:semiHidden/>
    <w:unhideWhenUsed/>
    <w:rsid w:val="003B5B5D"/>
  </w:style>
  <w:style w:type="character" w:customStyle="1" w:styleId="WW8Num2z0">
    <w:name w:val="WW8Num2z0"/>
    <w:rsid w:val="003B5B5D"/>
    <w:rPr>
      <w:rFonts w:ascii="Symbol" w:hAnsi="Symbol"/>
    </w:rPr>
  </w:style>
  <w:style w:type="character" w:customStyle="1" w:styleId="WW8Num4z0">
    <w:name w:val="WW8Num4z0"/>
    <w:rsid w:val="003B5B5D"/>
    <w:rPr>
      <w:rFonts w:ascii="Symbol" w:hAnsi="Symbol"/>
    </w:rPr>
  </w:style>
  <w:style w:type="character" w:customStyle="1" w:styleId="WW8Num5z0">
    <w:name w:val="WW8Num5z0"/>
    <w:rsid w:val="003B5B5D"/>
    <w:rPr>
      <w:rFonts w:ascii="Symbol" w:hAnsi="Symbol"/>
    </w:rPr>
  </w:style>
  <w:style w:type="character" w:customStyle="1" w:styleId="WW8Num6z1">
    <w:name w:val="WW8Num6z1"/>
    <w:rsid w:val="003B5B5D"/>
    <w:rPr>
      <w:rFonts w:ascii="Symbol" w:hAnsi="Symbol"/>
    </w:rPr>
  </w:style>
  <w:style w:type="character" w:customStyle="1" w:styleId="WW8Num9z0">
    <w:name w:val="WW8Num9z0"/>
    <w:rsid w:val="003B5B5D"/>
    <w:rPr>
      <w:rFonts w:ascii="Symbol" w:hAnsi="Symbol"/>
    </w:rPr>
  </w:style>
  <w:style w:type="character" w:customStyle="1" w:styleId="WW8Num13z0">
    <w:name w:val="WW8Num13z0"/>
    <w:rsid w:val="003B5B5D"/>
    <w:rPr>
      <w:rFonts w:ascii="Symbol" w:hAnsi="Symbol"/>
    </w:rPr>
  </w:style>
  <w:style w:type="character" w:customStyle="1" w:styleId="WW8Num15z0">
    <w:name w:val="WW8Num15z0"/>
    <w:rsid w:val="003B5B5D"/>
    <w:rPr>
      <w:rFonts w:ascii="Symbol" w:hAnsi="Symbol"/>
    </w:rPr>
  </w:style>
  <w:style w:type="character" w:customStyle="1" w:styleId="WW8Num17z0">
    <w:name w:val="WW8Num17z0"/>
    <w:rsid w:val="003B5B5D"/>
    <w:rPr>
      <w:rFonts w:ascii="Symbol" w:hAnsi="Symbol"/>
    </w:rPr>
  </w:style>
  <w:style w:type="character" w:customStyle="1" w:styleId="WW8Num17z1">
    <w:name w:val="WW8Num17z1"/>
    <w:rsid w:val="003B5B5D"/>
    <w:rPr>
      <w:rFonts w:ascii="Courier New" w:hAnsi="Courier New" w:cs="Courier New"/>
    </w:rPr>
  </w:style>
  <w:style w:type="character" w:customStyle="1" w:styleId="WW8Num17z2">
    <w:name w:val="WW8Num17z2"/>
    <w:rsid w:val="003B5B5D"/>
    <w:rPr>
      <w:rFonts w:ascii="Wingdings" w:hAnsi="Wingdings"/>
    </w:rPr>
  </w:style>
  <w:style w:type="character" w:customStyle="1" w:styleId="WW8Num19z0">
    <w:name w:val="WW8Num19z0"/>
    <w:rsid w:val="003B5B5D"/>
    <w:rPr>
      <w:rFonts w:ascii="Symbol" w:hAnsi="Symbol"/>
    </w:rPr>
  </w:style>
  <w:style w:type="character" w:customStyle="1" w:styleId="WW8Num19z1">
    <w:name w:val="WW8Num19z1"/>
    <w:rsid w:val="003B5B5D"/>
    <w:rPr>
      <w:rFonts w:ascii="Courier New" w:hAnsi="Courier New" w:cs="Courier New"/>
    </w:rPr>
  </w:style>
  <w:style w:type="character" w:customStyle="1" w:styleId="WW8Num19z2">
    <w:name w:val="WW8Num19z2"/>
    <w:rsid w:val="003B5B5D"/>
    <w:rPr>
      <w:rFonts w:ascii="Wingdings" w:hAnsi="Wingdings"/>
    </w:rPr>
  </w:style>
  <w:style w:type="character" w:customStyle="1" w:styleId="WW8Num20z0">
    <w:name w:val="WW8Num20z0"/>
    <w:rsid w:val="003B5B5D"/>
    <w:rPr>
      <w:rFonts w:ascii="Symbol" w:hAnsi="Symbol"/>
    </w:rPr>
  </w:style>
  <w:style w:type="character" w:customStyle="1" w:styleId="WW8Num20z1">
    <w:name w:val="WW8Num20z1"/>
    <w:rsid w:val="003B5B5D"/>
    <w:rPr>
      <w:rFonts w:ascii="Courier New" w:hAnsi="Courier New" w:cs="Courier New"/>
    </w:rPr>
  </w:style>
  <w:style w:type="character" w:customStyle="1" w:styleId="WW8Num20z2">
    <w:name w:val="WW8Num20z2"/>
    <w:rsid w:val="003B5B5D"/>
    <w:rPr>
      <w:rFonts w:ascii="Wingdings" w:hAnsi="Wingdings"/>
    </w:rPr>
  </w:style>
  <w:style w:type="character" w:customStyle="1" w:styleId="WW8Num21z0">
    <w:name w:val="WW8Num21z0"/>
    <w:rsid w:val="003B5B5D"/>
    <w:rPr>
      <w:rFonts w:ascii="Symbol" w:hAnsi="Symbol"/>
    </w:rPr>
  </w:style>
  <w:style w:type="character" w:customStyle="1" w:styleId="WW8Num21z1">
    <w:name w:val="WW8Num21z1"/>
    <w:rsid w:val="003B5B5D"/>
    <w:rPr>
      <w:rFonts w:ascii="Courier New" w:hAnsi="Courier New" w:cs="Courier New"/>
    </w:rPr>
  </w:style>
  <w:style w:type="character" w:customStyle="1" w:styleId="WW8Num21z2">
    <w:name w:val="WW8Num21z2"/>
    <w:rsid w:val="003B5B5D"/>
    <w:rPr>
      <w:rFonts w:ascii="Wingdings" w:hAnsi="Wingdings"/>
    </w:rPr>
  </w:style>
  <w:style w:type="character" w:customStyle="1" w:styleId="WW8Num22z0">
    <w:name w:val="WW8Num22z0"/>
    <w:rsid w:val="003B5B5D"/>
    <w:rPr>
      <w:rFonts w:ascii="Symbol" w:hAnsi="Symbol"/>
    </w:rPr>
  </w:style>
  <w:style w:type="character" w:customStyle="1" w:styleId="WW8Num22z1">
    <w:name w:val="WW8Num22z1"/>
    <w:rsid w:val="003B5B5D"/>
    <w:rPr>
      <w:rFonts w:ascii="Courier New" w:hAnsi="Courier New" w:cs="Courier New"/>
    </w:rPr>
  </w:style>
  <w:style w:type="character" w:customStyle="1" w:styleId="WW8Num22z2">
    <w:name w:val="WW8Num22z2"/>
    <w:rsid w:val="003B5B5D"/>
    <w:rPr>
      <w:rFonts w:ascii="Wingdings" w:hAnsi="Wingdings"/>
    </w:rPr>
  </w:style>
  <w:style w:type="character" w:customStyle="1" w:styleId="WW8Num23z0">
    <w:name w:val="WW8Num23z0"/>
    <w:rsid w:val="003B5B5D"/>
    <w:rPr>
      <w:rFonts w:ascii="Symbol" w:hAnsi="Symbol"/>
    </w:rPr>
  </w:style>
  <w:style w:type="character" w:customStyle="1" w:styleId="WW8Num23z1">
    <w:name w:val="WW8Num23z1"/>
    <w:rsid w:val="003B5B5D"/>
    <w:rPr>
      <w:rFonts w:ascii="Courier New" w:hAnsi="Courier New" w:cs="Courier New"/>
    </w:rPr>
  </w:style>
  <w:style w:type="character" w:customStyle="1" w:styleId="WW8Num23z2">
    <w:name w:val="WW8Num23z2"/>
    <w:rsid w:val="003B5B5D"/>
    <w:rPr>
      <w:rFonts w:ascii="Wingdings" w:hAnsi="Wingdings"/>
    </w:rPr>
  </w:style>
  <w:style w:type="character" w:customStyle="1" w:styleId="WW8Num24z0">
    <w:name w:val="WW8Num24z0"/>
    <w:rsid w:val="003B5B5D"/>
    <w:rPr>
      <w:rFonts w:ascii="Symbol" w:hAnsi="Symbol"/>
      <w:sz w:val="20"/>
    </w:rPr>
  </w:style>
  <w:style w:type="character" w:customStyle="1" w:styleId="WW8Num24z2">
    <w:name w:val="WW8Num24z2"/>
    <w:rsid w:val="003B5B5D"/>
    <w:rPr>
      <w:rFonts w:ascii="Wingdings" w:hAnsi="Wingdings"/>
      <w:sz w:val="20"/>
    </w:rPr>
  </w:style>
  <w:style w:type="character" w:customStyle="1" w:styleId="Policepardfaut2">
    <w:name w:val="Police par défaut2"/>
    <w:rsid w:val="003B5B5D"/>
  </w:style>
  <w:style w:type="character" w:customStyle="1" w:styleId="WW8Num1z0">
    <w:name w:val="WW8Num1z0"/>
    <w:rsid w:val="003B5B5D"/>
    <w:rPr>
      <w:rFonts w:ascii="Symbol" w:hAnsi="Symbol"/>
    </w:rPr>
  </w:style>
  <w:style w:type="character" w:customStyle="1" w:styleId="WW8Num1z1">
    <w:name w:val="WW8Num1z1"/>
    <w:rsid w:val="003B5B5D"/>
    <w:rPr>
      <w:rFonts w:ascii="Courier New" w:hAnsi="Courier New" w:cs="Courier New"/>
    </w:rPr>
  </w:style>
  <w:style w:type="character" w:customStyle="1" w:styleId="WW8Num1z2">
    <w:name w:val="WW8Num1z2"/>
    <w:rsid w:val="003B5B5D"/>
    <w:rPr>
      <w:rFonts w:ascii="Wingdings" w:hAnsi="Wingdings"/>
    </w:rPr>
  </w:style>
  <w:style w:type="character" w:customStyle="1" w:styleId="WW8Num4z1">
    <w:name w:val="WW8Num4z1"/>
    <w:rsid w:val="003B5B5D"/>
    <w:rPr>
      <w:rFonts w:ascii="Courier New" w:hAnsi="Courier New" w:cs="Courier New"/>
    </w:rPr>
  </w:style>
  <w:style w:type="character" w:customStyle="1" w:styleId="WW8Num4z2">
    <w:name w:val="WW8Num4z2"/>
    <w:rsid w:val="003B5B5D"/>
    <w:rPr>
      <w:rFonts w:ascii="Wingdings" w:hAnsi="Wingdings"/>
    </w:rPr>
  </w:style>
  <w:style w:type="character" w:customStyle="1" w:styleId="WW8Num5z1">
    <w:name w:val="WW8Num5z1"/>
    <w:rsid w:val="003B5B5D"/>
    <w:rPr>
      <w:rFonts w:ascii="Courier New" w:hAnsi="Courier New" w:cs="Courier New"/>
    </w:rPr>
  </w:style>
  <w:style w:type="character" w:customStyle="1" w:styleId="WW8Num5z2">
    <w:name w:val="WW8Num5z2"/>
    <w:rsid w:val="003B5B5D"/>
    <w:rPr>
      <w:rFonts w:ascii="Wingdings" w:hAnsi="Wingdings"/>
    </w:rPr>
  </w:style>
  <w:style w:type="character" w:customStyle="1" w:styleId="WW8Num7z0">
    <w:name w:val="WW8Num7z0"/>
    <w:rsid w:val="003B5B5D"/>
    <w:rPr>
      <w:rFonts w:ascii="Symbol" w:hAnsi="Symbol"/>
    </w:rPr>
  </w:style>
  <w:style w:type="character" w:customStyle="1" w:styleId="WW8Num7z1">
    <w:name w:val="WW8Num7z1"/>
    <w:rsid w:val="003B5B5D"/>
    <w:rPr>
      <w:rFonts w:ascii="Courier New" w:hAnsi="Courier New" w:cs="Courier New"/>
    </w:rPr>
  </w:style>
  <w:style w:type="character" w:customStyle="1" w:styleId="WW8Num7z2">
    <w:name w:val="WW8Num7z2"/>
    <w:rsid w:val="003B5B5D"/>
    <w:rPr>
      <w:rFonts w:ascii="Wingdings" w:hAnsi="Wingdings"/>
    </w:rPr>
  </w:style>
  <w:style w:type="character" w:customStyle="1" w:styleId="WW8Num8z0">
    <w:name w:val="WW8Num8z0"/>
    <w:rsid w:val="003B5B5D"/>
    <w:rPr>
      <w:rFonts w:ascii="Symbol" w:hAnsi="Symbol"/>
    </w:rPr>
  </w:style>
  <w:style w:type="character" w:customStyle="1" w:styleId="WW8Num8z1">
    <w:name w:val="WW8Num8z1"/>
    <w:rsid w:val="003B5B5D"/>
    <w:rPr>
      <w:rFonts w:ascii="Courier New" w:hAnsi="Courier New" w:cs="Courier New"/>
    </w:rPr>
  </w:style>
  <w:style w:type="character" w:customStyle="1" w:styleId="WW8Num8z2">
    <w:name w:val="WW8Num8z2"/>
    <w:rsid w:val="003B5B5D"/>
    <w:rPr>
      <w:rFonts w:ascii="Wingdings" w:hAnsi="Wingdings"/>
    </w:rPr>
  </w:style>
  <w:style w:type="character" w:customStyle="1" w:styleId="WW8Num9z1">
    <w:name w:val="WW8Num9z1"/>
    <w:rsid w:val="003B5B5D"/>
    <w:rPr>
      <w:rFonts w:ascii="Courier New" w:hAnsi="Courier New" w:cs="Courier New"/>
    </w:rPr>
  </w:style>
  <w:style w:type="character" w:customStyle="1" w:styleId="WW8Num9z2">
    <w:name w:val="WW8Num9z2"/>
    <w:rsid w:val="003B5B5D"/>
    <w:rPr>
      <w:rFonts w:ascii="Wingdings" w:hAnsi="Wingdings"/>
    </w:rPr>
  </w:style>
  <w:style w:type="character" w:customStyle="1" w:styleId="WW8Num11z1">
    <w:name w:val="WW8Num11z1"/>
    <w:rsid w:val="003B5B5D"/>
    <w:rPr>
      <w:rFonts w:ascii="Symbol" w:hAnsi="Symbol"/>
    </w:rPr>
  </w:style>
  <w:style w:type="character" w:customStyle="1" w:styleId="WW8Num14z0">
    <w:name w:val="WW8Num14z0"/>
    <w:rsid w:val="003B5B5D"/>
    <w:rPr>
      <w:rFonts w:ascii="Symbol" w:hAnsi="Symbol"/>
    </w:rPr>
  </w:style>
  <w:style w:type="character" w:customStyle="1" w:styleId="WW8Num14z1">
    <w:name w:val="WW8Num14z1"/>
    <w:rsid w:val="003B5B5D"/>
    <w:rPr>
      <w:rFonts w:ascii="Courier New" w:hAnsi="Courier New" w:cs="Courier New"/>
    </w:rPr>
  </w:style>
  <w:style w:type="character" w:customStyle="1" w:styleId="WW8Num14z2">
    <w:name w:val="WW8Num14z2"/>
    <w:rsid w:val="003B5B5D"/>
    <w:rPr>
      <w:rFonts w:ascii="Wingdings" w:hAnsi="Wingdings"/>
    </w:rPr>
  </w:style>
  <w:style w:type="character" w:customStyle="1" w:styleId="WW8Num15z1">
    <w:name w:val="WW8Num15z1"/>
    <w:rsid w:val="003B5B5D"/>
    <w:rPr>
      <w:rFonts w:ascii="Courier New" w:hAnsi="Courier New" w:cs="Courier New"/>
    </w:rPr>
  </w:style>
  <w:style w:type="character" w:customStyle="1" w:styleId="WW8Num15z2">
    <w:name w:val="WW8Num15z2"/>
    <w:rsid w:val="003B5B5D"/>
    <w:rPr>
      <w:rFonts w:ascii="Wingdings" w:hAnsi="Wingdings"/>
    </w:rPr>
  </w:style>
  <w:style w:type="character" w:customStyle="1" w:styleId="Policepardfaut1">
    <w:name w:val="Police par défaut1"/>
    <w:rsid w:val="003B5B5D"/>
  </w:style>
  <w:style w:type="character" w:styleId="Lienhypertexte">
    <w:name w:val="Hyperlink"/>
    <w:uiPriority w:val="99"/>
    <w:rsid w:val="003B5B5D"/>
    <w:rPr>
      <w:color w:val="0000FF"/>
      <w:u w:val="single"/>
    </w:rPr>
  </w:style>
  <w:style w:type="character" w:customStyle="1" w:styleId="Caractresdenotedebasdepage">
    <w:name w:val="Caractères de note de bas de page"/>
    <w:rsid w:val="003B5B5D"/>
    <w:rPr>
      <w:vertAlign w:val="superscript"/>
    </w:rPr>
  </w:style>
  <w:style w:type="character" w:styleId="Accentuation">
    <w:name w:val="Emphasis"/>
    <w:uiPriority w:val="20"/>
    <w:qFormat/>
    <w:rsid w:val="003B5B5D"/>
    <w:rPr>
      <w:i/>
      <w:iCs/>
    </w:rPr>
  </w:style>
  <w:style w:type="character" w:styleId="Numrodepage">
    <w:name w:val="page number"/>
    <w:basedOn w:val="Policepardfaut1"/>
    <w:rsid w:val="003B5B5D"/>
  </w:style>
  <w:style w:type="character" w:customStyle="1" w:styleId="bold">
    <w:name w:val="bold"/>
    <w:basedOn w:val="Policepardfaut1"/>
    <w:rsid w:val="003B5B5D"/>
  </w:style>
  <w:style w:type="character" w:customStyle="1" w:styleId="Appelnotedebasdep1">
    <w:name w:val="Appel note de bas de p.1"/>
    <w:rsid w:val="003B5B5D"/>
    <w:rPr>
      <w:vertAlign w:val="superscript"/>
    </w:rPr>
  </w:style>
  <w:style w:type="character" w:customStyle="1" w:styleId="Caractresdenotedefin">
    <w:name w:val="Caractères de note de fin"/>
    <w:rsid w:val="003B5B5D"/>
    <w:rPr>
      <w:vertAlign w:val="superscript"/>
    </w:rPr>
  </w:style>
  <w:style w:type="character" w:customStyle="1" w:styleId="WW-Caractresdenotedefin">
    <w:name w:val="WW-Caractères de note de fin"/>
    <w:rsid w:val="003B5B5D"/>
  </w:style>
  <w:style w:type="character" w:customStyle="1" w:styleId="NotedebasdepageCar">
    <w:name w:val="Note de bas de page Car"/>
    <w:uiPriority w:val="99"/>
    <w:rsid w:val="003B5B5D"/>
  </w:style>
  <w:style w:type="character" w:styleId="Lienhypertextesuivivisit">
    <w:name w:val="FollowedHyperlink"/>
    <w:rsid w:val="003B5B5D"/>
    <w:rPr>
      <w:color w:val="800080"/>
      <w:u w:val="single"/>
    </w:rPr>
  </w:style>
  <w:style w:type="character" w:styleId="Appelnotedebasdep">
    <w:name w:val="footnote reference"/>
    <w:uiPriority w:val="99"/>
    <w:rsid w:val="003B5B5D"/>
    <w:rPr>
      <w:vertAlign w:val="superscript"/>
    </w:rPr>
  </w:style>
  <w:style w:type="character" w:customStyle="1" w:styleId="Caractresdenumrotation">
    <w:name w:val="Caractères de numérotation"/>
    <w:rsid w:val="003B5B5D"/>
  </w:style>
  <w:style w:type="character" w:styleId="Appeldenotedefin">
    <w:name w:val="endnote reference"/>
    <w:rsid w:val="003B5B5D"/>
    <w:rPr>
      <w:vertAlign w:val="superscript"/>
    </w:rPr>
  </w:style>
  <w:style w:type="paragraph" w:customStyle="1" w:styleId="Titre20">
    <w:name w:val="Titre2"/>
    <w:basedOn w:val="Normal"/>
    <w:next w:val="Corpsdetexte"/>
    <w:rsid w:val="003B5B5D"/>
    <w:pPr>
      <w:keepNext/>
      <w:suppressAutoHyphens/>
      <w:spacing w:before="240" w:after="120" w:line="240" w:lineRule="auto"/>
    </w:pPr>
    <w:rPr>
      <w:rFonts w:ascii="Arial" w:eastAsia="SimSun" w:hAnsi="Arial" w:cs="Mangal"/>
      <w:sz w:val="28"/>
      <w:szCs w:val="28"/>
      <w:lang w:eastAsia="ar-SA"/>
    </w:rPr>
  </w:style>
  <w:style w:type="paragraph" w:styleId="Corpsdetexte">
    <w:name w:val="Body Text"/>
    <w:basedOn w:val="Normal"/>
    <w:link w:val="CorpsdetexteCar"/>
    <w:rsid w:val="003B5B5D"/>
    <w:pPr>
      <w:suppressAutoHyphens/>
      <w:spacing w:after="120" w:line="240" w:lineRule="auto"/>
    </w:pPr>
    <w:rPr>
      <w:rFonts w:ascii="Times New Roman" w:eastAsia="Times New Roman" w:hAnsi="Times New Roman" w:cs="Times New Roman"/>
      <w:sz w:val="24"/>
      <w:szCs w:val="24"/>
      <w:lang w:eastAsia="ar-SA"/>
    </w:rPr>
  </w:style>
  <w:style w:type="character" w:customStyle="1" w:styleId="CorpsdetexteCar">
    <w:name w:val="Corps de texte Car"/>
    <w:basedOn w:val="Policepardfaut"/>
    <w:link w:val="Corpsdetexte"/>
    <w:rsid w:val="003B5B5D"/>
    <w:rPr>
      <w:rFonts w:ascii="Times New Roman" w:eastAsia="Times New Roman" w:hAnsi="Times New Roman" w:cs="Times New Roman"/>
      <w:sz w:val="24"/>
      <w:szCs w:val="24"/>
      <w:lang w:eastAsia="ar-SA"/>
    </w:rPr>
  </w:style>
  <w:style w:type="paragraph" w:styleId="Liste">
    <w:name w:val="List"/>
    <w:basedOn w:val="Corpsdetexte"/>
    <w:rsid w:val="003B5B5D"/>
    <w:rPr>
      <w:rFonts w:cs="Mangal"/>
    </w:rPr>
  </w:style>
  <w:style w:type="paragraph" w:customStyle="1" w:styleId="Lgende2">
    <w:name w:val="Légende2"/>
    <w:basedOn w:val="Normal"/>
    <w:rsid w:val="003B5B5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rsid w:val="003B5B5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itre10">
    <w:name w:val="Titre1"/>
    <w:basedOn w:val="Normal"/>
    <w:next w:val="Corpsdetexte"/>
    <w:rsid w:val="003B5B5D"/>
    <w:pPr>
      <w:keepNext/>
      <w:suppressAutoHyphens/>
      <w:spacing w:before="240" w:after="120" w:line="240" w:lineRule="auto"/>
    </w:pPr>
    <w:rPr>
      <w:rFonts w:ascii="Arial" w:eastAsia="SimSun" w:hAnsi="Arial" w:cs="Mangal"/>
      <w:sz w:val="28"/>
      <w:szCs w:val="28"/>
      <w:lang w:eastAsia="ar-SA"/>
    </w:rPr>
  </w:style>
  <w:style w:type="paragraph" w:customStyle="1" w:styleId="Lgende1">
    <w:name w:val="Légende1"/>
    <w:basedOn w:val="Normal"/>
    <w:rsid w:val="003B5B5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styleId="Notedebasdepage">
    <w:name w:val="footnote text"/>
    <w:basedOn w:val="Normal"/>
    <w:link w:val="NotedebasdepageCar1"/>
    <w:uiPriority w:val="99"/>
    <w:rsid w:val="003B5B5D"/>
    <w:pPr>
      <w:suppressAutoHyphens/>
      <w:spacing w:after="0" w:line="240" w:lineRule="auto"/>
    </w:pPr>
    <w:rPr>
      <w:rFonts w:ascii="Times New Roman" w:eastAsia="Times New Roman" w:hAnsi="Times New Roman" w:cs="Times New Roman"/>
      <w:sz w:val="20"/>
      <w:szCs w:val="20"/>
      <w:lang w:eastAsia="ar-SA"/>
    </w:rPr>
  </w:style>
  <w:style w:type="character" w:customStyle="1" w:styleId="NotedebasdepageCar1">
    <w:name w:val="Note de bas de page Car1"/>
    <w:basedOn w:val="Policepardfaut"/>
    <w:link w:val="Notedebasdepage"/>
    <w:uiPriority w:val="99"/>
    <w:rsid w:val="003B5B5D"/>
    <w:rPr>
      <w:rFonts w:ascii="Times New Roman" w:eastAsia="Times New Roman" w:hAnsi="Times New Roman" w:cs="Times New Roman"/>
      <w:sz w:val="20"/>
      <w:szCs w:val="20"/>
      <w:lang w:eastAsia="ar-SA"/>
    </w:rPr>
  </w:style>
  <w:style w:type="paragraph" w:styleId="Retraitcorpsdetexte">
    <w:name w:val="Body Text Indent"/>
    <w:basedOn w:val="Normal"/>
    <w:link w:val="RetraitcorpsdetexteCar"/>
    <w:rsid w:val="003B5B5D"/>
    <w:pPr>
      <w:suppressAutoHyphens/>
      <w:spacing w:after="0" w:line="240" w:lineRule="auto"/>
      <w:ind w:left="720"/>
    </w:pPr>
    <w:rPr>
      <w:rFonts w:ascii="Times New Roman" w:eastAsia="Times New Roman" w:hAnsi="Times New Roman" w:cs="Times New Roman"/>
      <w:sz w:val="24"/>
      <w:szCs w:val="24"/>
      <w:lang w:eastAsia="he-IL" w:bidi="he-IL"/>
    </w:rPr>
  </w:style>
  <w:style w:type="character" w:customStyle="1" w:styleId="RetraitcorpsdetexteCar">
    <w:name w:val="Retrait corps de texte Car"/>
    <w:basedOn w:val="Policepardfaut"/>
    <w:link w:val="Retraitcorpsdetexte"/>
    <w:rsid w:val="003B5B5D"/>
    <w:rPr>
      <w:rFonts w:ascii="Times New Roman" w:eastAsia="Times New Roman" w:hAnsi="Times New Roman" w:cs="Times New Roman"/>
      <w:sz w:val="24"/>
      <w:szCs w:val="24"/>
      <w:lang w:eastAsia="he-IL" w:bidi="he-IL"/>
    </w:rPr>
  </w:style>
  <w:style w:type="paragraph" w:styleId="Pieddepage">
    <w:name w:val="footer"/>
    <w:basedOn w:val="Normal"/>
    <w:link w:val="PieddepageCar"/>
    <w:rsid w:val="003B5B5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PieddepageCar">
    <w:name w:val="Pied de page Car"/>
    <w:basedOn w:val="Policepardfaut"/>
    <w:link w:val="Pieddepage"/>
    <w:rsid w:val="003B5B5D"/>
    <w:rPr>
      <w:rFonts w:ascii="Times New Roman" w:eastAsia="Times New Roman" w:hAnsi="Times New Roman" w:cs="Times New Roman"/>
      <w:sz w:val="24"/>
      <w:szCs w:val="24"/>
      <w:lang w:eastAsia="ar-SA"/>
    </w:rPr>
  </w:style>
  <w:style w:type="paragraph" w:customStyle="1" w:styleId="Contenudetableau">
    <w:name w:val="Contenu de tableau"/>
    <w:basedOn w:val="Normal"/>
    <w:rsid w:val="003B5B5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itredetableau">
    <w:name w:val="Titre de tableau"/>
    <w:basedOn w:val="Contenudetableau"/>
    <w:rsid w:val="003B5B5D"/>
    <w:pPr>
      <w:jc w:val="center"/>
    </w:pPr>
    <w:rPr>
      <w:b/>
      <w:bCs/>
    </w:rPr>
  </w:style>
  <w:style w:type="paragraph" w:customStyle="1" w:styleId="Contenuducadre">
    <w:name w:val="Contenu du cadre"/>
    <w:basedOn w:val="Corpsdetexte"/>
    <w:rsid w:val="003B5B5D"/>
  </w:style>
  <w:style w:type="paragraph" w:styleId="En-tte">
    <w:name w:val="header"/>
    <w:basedOn w:val="Normal"/>
    <w:link w:val="En-tteCar"/>
    <w:rsid w:val="003B5B5D"/>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En-tteCar">
    <w:name w:val="En-tête Car"/>
    <w:basedOn w:val="Policepardfaut"/>
    <w:link w:val="En-tte"/>
    <w:rsid w:val="003B5B5D"/>
    <w:rPr>
      <w:rFonts w:ascii="Times New Roman" w:eastAsia="Times New Roman" w:hAnsi="Times New Roman" w:cs="Times New Roman"/>
      <w:sz w:val="24"/>
      <w:szCs w:val="24"/>
      <w:lang w:eastAsia="ar-SA"/>
    </w:rPr>
  </w:style>
  <w:style w:type="paragraph" w:customStyle="1" w:styleId="Body1">
    <w:name w:val="Body 1"/>
    <w:rsid w:val="003B5B5D"/>
    <w:pPr>
      <w:suppressAutoHyphens/>
      <w:spacing w:after="0" w:line="240" w:lineRule="auto"/>
    </w:pPr>
    <w:rPr>
      <w:rFonts w:ascii="Helvetica" w:eastAsia="ヒラギノ角ゴ Pro W3" w:hAnsi="Helvetica" w:cs="Times New Roman"/>
      <w:color w:val="000000"/>
      <w:sz w:val="24"/>
      <w:szCs w:val="20"/>
      <w:lang w:val="en-US" w:eastAsia="ar-SA"/>
    </w:rPr>
  </w:style>
  <w:style w:type="paragraph" w:styleId="Paragraphedeliste">
    <w:name w:val="List Paragraph"/>
    <w:basedOn w:val="Normal"/>
    <w:uiPriority w:val="34"/>
    <w:qFormat/>
    <w:rsid w:val="003B5B5D"/>
    <w:pPr>
      <w:suppressAutoHyphens/>
      <w:spacing w:after="0" w:line="240" w:lineRule="auto"/>
      <w:ind w:left="708"/>
    </w:pPr>
    <w:rPr>
      <w:rFonts w:ascii="Times New Roman" w:eastAsia="Times New Roman" w:hAnsi="Times New Roman" w:cs="Times New Roman"/>
      <w:sz w:val="24"/>
      <w:szCs w:val="24"/>
      <w:lang w:eastAsia="ar-SA"/>
    </w:rPr>
  </w:style>
  <w:style w:type="paragraph" w:styleId="Textedebulles">
    <w:name w:val="Balloon Text"/>
    <w:basedOn w:val="Normal"/>
    <w:link w:val="TextedebullesCar"/>
    <w:uiPriority w:val="99"/>
    <w:semiHidden/>
    <w:unhideWhenUsed/>
    <w:rsid w:val="003B5B5D"/>
    <w:pPr>
      <w:suppressAutoHyphens/>
      <w:spacing w:after="0" w:line="240" w:lineRule="auto"/>
    </w:pPr>
    <w:rPr>
      <w:rFonts w:ascii="Tahoma" w:eastAsia="Times New Roman" w:hAnsi="Tahoma" w:cs="Tahoma"/>
      <w:sz w:val="16"/>
      <w:szCs w:val="16"/>
      <w:lang w:eastAsia="ar-SA"/>
    </w:rPr>
  </w:style>
  <w:style w:type="character" w:customStyle="1" w:styleId="TextedebullesCar">
    <w:name w:val="Texte de bulles Car"/>
    <w:basedOn w:val="Policepardfaut"/>
    <w:link w:val="Textedebulles"/>
    <w:uiPriority w:val="99"/>
    <w:semiHidden/>
    <w:rsid w:val="003B5B5D"/>
    <w:rPr>
      <w:rFonts w:ascii="Tahoma" w:eastAsia="Times New Roman" w:hAnsi="Tahoma" w:cs="Tahoma"/>
      <w:sz w:val="16"/>
      <w:szCs w:val="16"/>
      <w:lang w:eastAsia="ar-SA"/>
    </w:rPr>
  </w:style>
  <w:style w:type="character" w:styleId="Marquedecommentaire">
    <w:name w:val="annotation reference"/>
    <w:basedOn w:val="Policepardfaut"/>
    <w:uiPriority w:val="99"/>
    <w:semiHidden/>
    <w:rsid w:val="003B5B5D"/>
    <w:rPr>
      <w:sz w:val="16"/>
      <w:szCs w:val="16"/>
    </w:rPr>
  </w:style>
  <w:style w:type="paragraph" w:styleId="Commentaire">
    <w:name w:val="annotation text"/>
    <w:basedOn w:val="Normal"/>
    <w:link w:val="CommentaireCar"/>
    <w:uiPriority w:val="99"/>
    <w:semiHidden/>
    <w:rsid w:val="003B5B5D"/>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rsid w:val="003B5B5D"/>
    <w:rPr>
      <w:rFonts w:ascii="Times New Roman" w:eastAsia="Times New Roman" w:hAnsi="Times New Roman" w:cs="Times New Roman"/>
      <w:sz w:val="20"/>
      <w:szCs w:val="20"/>
      <w:lang w:eastAsia="fr-FR"/>
    </w:rPr>
  </w:style>
  <w:style w:type="paragraph" w:styleId="Retraitcorpsdetexte2">
    <w:name w:val="Body Text Indent 2"/>
    <w:basedOn w:val="Normal"/>
    <w:link w:val="Retraitcorpsdetexte2Car"/>
    <w:uiPriority w:val="99"/>
    <w:semiHidden/>
    <w:unhideWhenUsed/>
    <w:rsid w:val="003B5B5D"/>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Retraitcorpsdetexte2Car">
    <w:name w:val="Retrait corps de texte 2 Car"/>
    <w:basedOn w:val="Policepardfaut"/>
    <w:link w:val="Retraitcorpsdetexte2"/>
    <w:uiPriority w:val="99"/>
    <w:semiHidden/>
    <w:rsid w:val="003B5B5D"/>
    <w:rPr>
      <w:rFonts w:ascii="Times New Roman" w:eastAsia="Times New Roman" w:hAnsi="Times New Roman" w:cs="Times New Roman"/>
      <w:sz w:val="24"/>
      <w:szCs w:val="24"/>
      <w:lang w:eastAsia="ar-SA"/>
    </w:rPr>
  </w:style>
  <w:style w:type="table" w:styleId="Grilledutableau">
    <w:name w:val="Table Grid"/>
    <w:basedOn w:val="TableauNormal"/>
    <w:uiPriority w:val="59"/>
    <w:rsid w:val="003B5B5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1-Accent6">
    <w:name w:val="Medium Shading 1 Accent 6"/>
    <w:basedOn w:val="TableauNormal"/>
    <w:uiPriority w:val="63"/>
    <w:rsid w:val="003B5B5D"/>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rsid w:val="003B5B5D"/>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B5B5D"/>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lev">
    <w:name w:val="Strong"/>
    <w:basedOn w:val="Policepardfaut"/>
    <w:uiPriority w:val="22"/>
    <w:qFormat/>
    <w:rsid w:val="003B5B5D"/>
    <w:rPr>
      <w:b/>
      <w:bCs/>
    </w:rPr>
  </w:style>
  <w:style w:type="character" w:customStyle="1" w:styleId="at1">
    <w:name w:val="a__t1"/>
    <w:basedOn w:val="Policepardfaut"/>
    <w:rsid w:val="003B5B5D"/>
  </w:style>
  <w:style w:type="character" w:customStyle="1" w:styleId="italic">
    <w:name w:val="italic"/>
    <w:basedOn w:val="Policepardfaut"/>
    <w:rsid w:val="003B5B5D"/>
  </w:style>
  <w:style w:type="paragraph" w:styleId="NormalWeb">
    <w:name w:val="Normal (Web)"/>
    <w:basedOn w:val="Normal"/>
    <w:uiPriority w:val="99"/>
    <w:unhideWhenUsed/>
    <w:rsid w:val="003B5B5D"/>
    <w:pPr>
      <w:spacing w:before="100" w:beforeAutospacing="1" w:after="100" w:afterAutospacing="1" w:line="375" w:lineRule="atLeast"/>
      <w:jc w:val="both"/>
    </w:pPr>
    <w:rPr>
      <w:rFonts w:ascii="Times New Roman" w:eastAsia="Times New Roman" w:hAnsi="Times New Roman" w:cs="Times New Roman"/>
      <w:color w:val="53575A"/>
      <w:sz w:val="24"/>
      <w:szCs w:val="24"/>
      <w:lang w:eastAsia="fr-FR"/>
    </w:rPr>
  </w:style>
  <w:style w:type="character" w:customStyle="1" w:styleId="tw4winMark">
    <w:name w:val="tw4winMark"/>
    <w:basedOn w:val="Policepardfaut"/>
    <w:rsid w:val="003B5B5D"/>
    <w:rPr>
      <w:rFonts w:ascii="Courier New" w:hAnsi="Courier New" w:cs="Courier New"/>
      <w:b w:val="0"/>
      <w:i w:val="0"/>
      <w:dstrike w:val="0"/>
      <w:noProof/>
      <w:vanish/>
      <w:color w:val="800080"/>
      <w:spacing w:val="0"/>
      <w:kern w:val="30"/>
      <w:sz w:val="18"/>
      <w:effect w:val="none"/>
      <w:vertAlign w:val="subscript"/>
      <w:lang w:val="en-GB"/>
    </w:rPr>
  </w:style>
  <w:style w:type="table" w:customStyle="1" w:styleId="TableauGrille5Fonc-Accentuation11">
    <w:name w:val="Tableau Grille 5 Foncé - Accentuation 11"/>
    <w:basedOn w:val="TableauNormal"/>
    <w:uiPriority w:val="50"/>
    <w:rsid w:val="003B5B5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Default">
    <w:name w:val="Default"/>
    <w:rsid w:val="003B5B5D"/>
    <w:pPr>
      <w:autoSpaceDE w:val="0"/>
      <w:autoSpaceDN w:val="0"/>
      <w:adjustRightInd w:val="0"/>
      <w:spacing w:after="0" w:line="240" w:lineRule="auto"/>
    </w:pPr>
    <w:rPr>
      <w:rFonts w:ascii="Lato" w:hAnsi="Lato" w:cs="Lato"/>
      <w:color w:val="000000"/>
      <w:sz w:val="24"/>
      <w:szCs w:val="24"/>
      <w:lang w:val="en-GB"/>
    </w:rPr>
  </w:style>
  <w:style w:type="paragraph" w:styleId="Sansinterligne">
    <w:name w:val="No Spacing"/>
    <w:uiPriority w:val="1"/>
    <w:qFormat/>
    <w:rsid w:val="003E0617"/>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3B5B5D"/>
    <w:pPr>
      <w:keepNext/>
      <w:numPr>
        <w:numId w:val="1"/>
      </w:numPr>
      <w:suppressAutoHyphens/>
      <w:spacing w:after="0" w:line="240" w:lineRule="auto"/>
      <w:outlineLvl w:val="0"/>
    </w:pPr>
    <w:rPr>
      <w:rFonts w:ascii="Times New Roman" w:eastAsia="Times New Roman" w:hAnsi="Times New Roman" w:cs="Times New Roman"/>
      <w:b/>
      <w:bCs/>
      <w:sz w:val="32"/>
      <w:szCs w:val="24"/>
      <w:lang w:eastAsia="he-IL" w:bidi="he-IL"/>
    </w:rPr>
  </w:style>
  <w:style w:type="paragraph" w:styleId="Titre2">
    <w:name w:val="heading 2"/>
    <w:basedOn w:val="Normal"/>
    <w:next w:val="Normal"/>
    <w:link w:val="Titre2Car"/>
    <w:qFormat/>
    <w:rsid w:val="003B5B5D"/>
    <w:pPr>
      <w:keepNext/>
      <w:numPr>
        <w:ilvl w:val="1"/>
        <w:numId w:val="1"/>
      </w:numPr>
      <w:suppressAutoHyphens/>
      <w:spacing w:after="0" w:line="240" w:lineRule="auto"/>
      <w:outlineLvl w:val="1"/>
    </w:pPr>
    <w:rPr>
      <w:rFonts w:ascii="Times New Roman" w:eastAsia="Times New Roman" w:hAnsi="Times New Roman" w:cs="Times New Roman"/>
      <w:b/>
      <w:bCs/>
      <w:sz w:val="24"/>
      <w:szCs w:val="24"/>
      <w:lang w:eastAsia="he-IL" w:bidi="he-IL"/>
    </w:rPr>
  </w:style>
  <w:style w:type="paragraph" w:styleId="Titre3">
    <w:name w:val="heading 3"/>
    <w:basedOn w:val="Normal"/>
    <w:next w:val="Normal"/>
    <w:link w:val="Titre3Car"/>
    <w:qFormat/>
    <w:rsid w:val="003B5B5D"/>
    <w:pPr>
      <w:keepNext/>
      <w:numPr>
        <w:ilvl w:val="2"/>
        <w:numId w:val="1"/>
      </w:numPr>
      <w:suppressAutoHyphens/>
      <w:spacing w:after="0" w:line="240" w:lineRule="auto"/>
      <w:jc w:val="both"/>
      <w:outlineLvl w:val="2"/>
    </w:pPr>
    <w:rPr>
      <w:rFonts w:ascii="Times New Roman" w:eastAsia="Times New Roman" w:hAnsi="Times New Roman" w:cs="Times New Roman"/>
      <w:b/>
      <w:bCs/>
      <w:sz w:val="24"/>
      <w:szCs w:val="24"/>
      <w:lang w:eastAsia="he-IL" w:bidi="he-IL"/>
    </w:rPr>
  </w:style>
  <w:style w:type="paragraph" w:styleId="Titre4">
    <w:name w:val="heading 4"/>
    <w:basedOn w:val="Normal"/>
    <w:next w:val="Normal"/>
    <w:link w:val="Titre4Car"/>
    <w:qFormat/>
    <w:rsid w:val="003B5B5D"/>
    <w:pPr>
      <w:keepNext/>
      <w:numPr>
        <w:ilvl w:val="3"/>
        <w:numId w:val="1"/>
      </w:numPr>
      <w:suppressAutoHyphens/>
      <w:spacing w:after="0" w:line="240" w:lineRule="auto"/>
      <w:jc w:val="both"/>
      <w:outlineLvl w:val="3"/>
    </w:pPr>
    <w:rPr>
      <w:rFonts w:ascii="Times New Roman" w:eastAsia="Times New Roman" w:hAnsi="Times New Roman" w:cs="Times New Roman"/>
      <w:b/>
      <w:bCs/>
      <w:sz w:val="28"/>
      <w:szCs w:val="24"/>
      <w:lang w:eastAsia="he-IL" w:bidi="he-IL"/>
    </w:rPr>
  </w:style>
  <w:style w:type="paragraph" w:styleId="Titre5">
    <w:name w:val="heading 5"/>
    <w:basedOn w:val="Normal"/>
    <w:next w:val="Normal"/>
    <w:link w:val="Titre5Car"/>
    <w:qFormat/>
    <w:rsid w:val="003B5B5D"/>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B5B5D"/>
    <w:rPr>
      <w:rFonts w:ascii="Times New Roman" w:eastAsia="Times New Roman" w:hAnsi="Times New Roman" w:cs="Times New Roman"/>
      <w:b/>
      <w:bCs/>
      <w:sz w:val="32"/>
      <w:szCs w:val="24"/>
      <w:lang w:eastAsia="he-IL" w:bidi="he-IL"/>
    </w:rPr>
  </w:style>
  <w:style w:type="character" w:customStyle="1" w:styleId="Titre2Car">
    <w:name w:val="Titre 2 Car"/>
    <w:basedOn w:val="Policepardfaut"/>
    <w:link w:val="Titre2"/>
    <w:rsid w:val="003B5B5D"/>
    <w:rPr>
      <w:rFonts w:ascii="Times New Roman" w:eastAsia="Times New Roman" w:hAnsi="Times New Roman" w:cs="Times New Roman"/>
      <w:b/>
      <w:bCs/>
      <w:sz w:val="24"/>
      <w:szCs w:val="24"/>
      <w:lang w:eastAsia="he-IL" w:bidi="he-IL"/>
    </w:rPr>
  </w:style>
  <w:style w:type="character" w:customStyle="1" w:styleId="Titre3Car">
    <w:name w:val="Titre 3 Car"/>
    <w:basedOn w:val="Policepardfaut"/>
    <w:link w:val="Titre3"/>
    <w:rsid w:val="003B5B5D"/>
    <w:rPr>
      <w:rFonts w:ascii="Times New Roman" w:eastAsia="Times New Roman" w:hAnsi="Times New Roman" w:cs="Times New Roman"/>
      <w:b/>
      <w:bCs/>
      <w:sz w:val="24"/>
      <w:szCs w:val="24"/>
      <w:lang w:eastAsia="he-IL" w:bidi="he-IL"/>
    </w:rPr>
  </w:style>
  <w:style w:type="character" w:customStyle="1" w:styleId="Titre4Car">
    <w:name w:val="Titre 4 Car"/>
    <w:basedOn w:val="Policepardfaut"/>
    <w:link w:val="Titre4"/>
    <w:rsid w:val="003B5B5D"/>
    <w:rPr>
      <w:rFonts w:ascii="Times New Roman" w:eastAsia="Times New Roman" w:hAnsi="Times New Roman" w:cs="Times New Roman"/>
      <w:b/>
      <w:bCs/>
      <w:sz w:val="28"/>
      <w:szCs w:val="24"/>
      <w:lang w:eastAsia="he-IL" w:bidi="he-IL"/>
    </w:rPr>
  </w:style>
  <w:style w:type="character" w:customStyle="1" w:styleId="Titre5Car">
    <w:name w:val="Titre 5 Car"/>
    <w:basedOn w:val="Policepardfaut"/>
    <w:link w:val="Titre5"/>
    <w:rsid w:val="003B5B5D"/>
    <w:rPr>
      <w:rFonts w:ascii="Times New Roman" w:eastAsia="Times New Roman" w:hAnsi="Times New Roman" w:cs="Times New Roman"/>
      <w:b/>
      <w:bCs/>
      <w:i/>
      <w:iCs/>
      <w:sz w:val="26"/>
      <w:szCs w:val="26"/>
      <w:lang w:eastAsia="ar-SA"/>
    </w:rPr>
  </w:style>
  <w:style w:type="numbering" w:customStyle="1" w:styleId="Aucuneliste1">
    <w:name w:val="Aucune liste1"/>
    <w:next w:val="Aucuneliste"/>
    <w:uiPriority w:val="99"/>
    <w:semiHidden/>
    <w:unhideWhenUsed/>
    <w:rsid w:val="003B5B5D"/>
  </w:style>
  <w:style w:type="character" w:customStyle="1" w:styleId="WW8Num2z0">
    <w:name w:val="WW8Num2z0"/>
    <w:rsid w:val="003B5B5D"/>
    <w:rPr>
      <w:rFonts w:ascii="Symbol" w:hAnsi="Symbol"/>
    </w:rPr>
  </w:style>
  <w:style w:type="character" w:customStyle="1" w:styleId="WW8Num4z0">
    <w:name w:val="WW8Num4z0"/>
    <w:rsid w:val="003B5B5D"/>
    <w:rPr>
      <w:rFonts w:ascii="Symbol" w:hAnsi="Symbol"/>
    </w:rPr>
  </w:style>
  <w:style w:type="character" w:customStyle="1" w:styleId="WW8Num5z0">
    <w:name w:val="WW8Num5z0"/>
    <w:rsid w:val="003B5B5D"/>
    <w:rPr>
      <w:rFonts w:ascii="Symbol" w:hAnsi="Symbol"/>
    </w:rPr>
  </w:style>
  <w:style w:type="character" w:customStyle="1" w:styleId="WW8Num6z1">
    <w:name w:val="WW8Num6z1"/>
    <w:rsid w:val="003B5B5D"/>
    <w:rPr>
      <w:rFonts w:ascii="Symbol" w:hAnsi="Symbol"/>
    </w:rPr>
  </w:style>
  <w:style w:type="character" w:customStyle="1" w:styleId="WW8Num9z0">
    <w:name w:val="WW8Num9z0"/>
    <w:rsid w:val="003B5B5D"/>
    <w:rPr>
      <w:rFonts w:ascii="Symbol" w:hAnsi="Symbol"/>
    </w:rPr>
  </w:style>
  <w:style w:type="character" w:customStyle="1" w:styleId="WW8Num13z0">
    <w:name w:val="WW8Num13z0"/>
    <w:rsid w:val="003B5B5D"/>
    <w:rPr>
      <w:rFonts w:ascii="Symbol" w:hAnsi="Symbol"/>
    </w:rPr>
  </w:style>
  <w:style w:type="character" w:customStyle="1" w:styleId="WW8Num15z0">
    <w:name w:val="WW8Num15z0"/>
    <w:rsid w:val="003B5B5D"/>
    <w:rPr>
      <w:rFonts w:ascii="Symbol" w:hAnsi="Symbol"/>
    </w:rPr>
  </w:style>
  <w:style w:type="character" w:customStyle="1" w:styleId="WW8Num17z0">
    <w:name w:val="WW8Num17z0"/>
    <w:rsid w:val="003B5B5D"/>
    <w:rPr>
      <w:rFonts w:ascii="Symbol" w:hAnsi="Symbol"/>
    </w:rPr>
  </w:style>
  <w:style w:type="character" w:customStyle="1" w:styleId="WW8Num17z1">
    <w:name w:val="WW8Num17z1"/>
    <w:rsid w:val="003B5B5D"/>
    <w:rPr>
      <w:rFonts w:ascii="Courier New" w:hAnsi="Courier New" w:cs="Courier New"/>
    </w:rPr>
  </w:style>
  <w:style w:type="character" w:customStyle="1" w:styleId="WW8Num17z2">
    <w:name w:val="WW8Num17z2"/>
    <w:rsid w:val="003B5B5D"/>
    <w:rPr>
      <w:rFonts w:ascii="Wingdings" w:hAnsi="Wingdings"/>
    </w:rPr>
  </w:style>
  <w:style w:type="character" w:customStyle="1" w:styleId="WW8Num19z0">
    <w:name w:val="WW8Num19z0"/>
    <w:rsid w:val="003B5B5D"/>
    <w:rPr>
      <w:rFonts w:ascii="Symbol" w:hAnsi="Symbol"/>
    </w:rPr>
  </w:style>
  <w:style w:type="character" w:customStyle="1" w:styleId="WW8Num19z1">
    <w:name w:val="WW8Num19z1"/>
    <w:rsid w:val="003B5B5D"/>
    <w:rPr>
      <w:rFonts w:ascii="Courier New" w:hAnsi="Courier New" w:cs="Courier New"/>
    </w:rPr>
  </w:style>
  <w:style w:type="character" w:customStyle="1" w:styleId="WW8Num19z2">
    <w:name w:val="WW8Num19z2"/>
    <w:rsid w:val="003B5B5D"/>
    <w:rPr>
      <w:rFonts w:ascii="Wingdings" w:hAnsi="Wingdings"/>
    </w:rPr>
  </w:style>
  <w:style w:type="character" w:customStyle="1" w:styleId="WW8Num20z0">
    <w:name w:val="WW8Num20z0"/>
    <w:rsid w:val="003B5B5D"/>
    <w:rPr>
      <w:rFonts w:ascii="Symbol" w:hAnsi="Symbol"/>
    </w:rPr>
  </w:style>
  <w:style w:type="character" w:customStyle="1" w:styleId="WW8Num20z1">
    <w:name w:val="WW8Num20z1"/>
    <w:rsid w:val="003B5B5D"/>
    <w:rPr>
      <w:rFonts w:ascii="Courier New" w:hAnsi="Courier New" w:cs="Courier New"/>
    </w:rPr>
  </w:style>
  <w:style w:type="character" w:customStyle="1" w:styleId="WW8Num20z2">
    <w:name w:val="WW8Num20z2"/>
    <w:rsid w:val="003B5B5D"/>
    <w:rPr>
      <w:rFonts w:ascii="Wingdings" w:hAnsi="Wingdings"/>
    </w:rPr>
  </w:style>
  <w:style w:type="character" w:customStyle="1" w:styleId="WW8Num21z0">
    <w:name w:val="WW8Num21z0"/>
    <w:rsid w:val="003B5B5D"/>
    <w:rPr>
      <w:rFonts w:ascii="Symbol" w:hAnsi="Symbol"/>
    </w:rPr>
  </w:style>
  <w:style w:type="character" w:customStyle="1" w:styleId="WW8Num21z1">
    <w:name w:val="WW8Num21z1"/>
    <w:rsid w:val="003B5B5D"/>
    <w:rPr>
      <w:rFonts w:ascii="Courier New" w:hAnsi="Courier New" w:cs="Courier New"/>
    </w:rPr>
  </w:style>
  <w:style w:type="character" w:customStyle="1" w:styleId="WW8Num21z2">
    <w:name w:val="WW8Num21z2"/>
    <w:rsid w:val="003B5B5D"/>
    <w:rPr>
      <w:rFonts w:ascii="Wingdings" w:hAnsi="Wingdings"/>
    </w:rPr>
  </w:style>
  <w:style w:type="character" w:customStyle="1" w:styleId="WW8Num22z0">
    <w:name w:val="WW8Num22z0"/>
    <w:rsid w:val="003B5B5D"/>
    <w:rPr>
      <w:rFonts w:ascii="Symbol" w:hAnsi="Symbol"/>
    </w:rPr>
  </w:style>
  <w:style w:type="character" w:customStyle="1" w:styleId="WW8Num22z1">
    <w:name w:val="WW8Num22z1"/>
    <w:rsid w:val="003B5B5D"/>
    <w:rPr>
      <w:rFonts w:ascii="Courier New" w:hAnsi="Courier New" w:cs="Courier New"/>
    </w:rPr>
  </w:style>
  <w:style w:type="character" w:customStyle="1" w:styleId="WW8Num22z2">
    <w:name w:val="WW8Num22z2"/>
    <w:rsid w:val="003B5B5D"/>
    <w:rPr>
      <w:rFonts w:ascii="Wingdings" w:hAnsi="Wingdings"/>
    </w:rPr>
  </w:style>
  <w:style w:type="character" w:customStyle="1" w:styleId="WW8Num23z0">
    <w:name w:val="WW8Num23z0"/>
    <w:rsid w:val="003B5B5D"/>
    <w:rPr>
      <w:rFonts w:ascii="Symbol" w:hAnsi="Symbol"/>
    </w:rPr>
  </w:style>
  <w:style w:type="character" w:customStyle="1" w:styleId="WW8Num23z1">
    <w:name w:val="WW8Num23z1"/>
    <w:rsid w:val="003B5B5D"/>
    <w:rPr>
      <w:rFonts w:ascii="Courier New" w:hAnsi="Courier New" w:cs="Courier New"/>
    </w:rPr>
  </w:style>
  <w:style w:type="character" w:customStyle="1" w:styleId="WW8Num23z2">
    <w:name w:val="WW8Num23z2"/>
    <w:rsid w:val="003B5B5D"/>
    <w:rPr>
      <w:rFonts w:ascii="Wingdings" w:hAnsi="Wingdings"/>
    </w:rPr>
  </w:style>
  <w:style w:type="character" w:customStyle="1" w:styleId="WW8Num24z0">
    <w:name w:val="WW8Num24z0"/>
    <w:rsid w:val="003B5B5D"/>
    <w:rPr>
      <w:rFonts w:ascii="Symbol" w:hAnsi="Symbol"/>
      <w:sz w:val="20"/>
    </w:rPr>
  </w:style>
  <w:style w:type="character" w:customStyle="1" w:styleId="WW8Num24z2">
    <w:name w:val="WW8Num24z2"/>
    <w:rsid w:val="003B5B5D"/>
    <w:rPr>
      <w:rFonts w:ascii="Wingdings" w:hAnsi="Wingdings"/>
      <w:sz w:val="20"/>
    </w:rPr>
  </w:style>
  <w:style w:type="character" w:customStyle="1" w:styleId="Policepardfaut2">
    <w:name w:val="Police par défaut2"/>
    <w:rsid w:val="003B5B5D"/>
  </w:style>
  <w:style w:type="character" w:customStyle="1" w:styleId="WW8Num1z0">
    <w:name w:val="WW8Num1z0"/>
    <w:rsid w:val="003B5B5D"/>
    <w:rPr>
      <w:rFonts w:ascii="Symbol" w:hAnsi="Symbol"/>
    </w:rPr>
  </w:style>
  <w:style w:type="character" w:customStyle="1" w:styleId="WW8Num1z1">
    <w:name w:val="WW8Num1z1"/>
    <w:rsid w:val="003B5B5D"/>
    <w:rPr>
      <w:rFonts w:ascii="Courier New" w:hAnsi="Courier New" w:cs="Courier New"/>
    </w:rPr>
  </w:style>
  <w:style w:type="character" w:customStyle="1" w:styleId="WW8Num1z2">
    <w:name w:val="WW8Num1z2"/>
    <w:rsid w:val="003B5B5D"/>
    <w:rPr>
      <w:rFonts w:ascii="Wingdings" w:hAnsi="Wingdings"/>
    </w:rPr>
  </w:style>
  <w:style w:type="character" w:customStyle="1" w:styleId="WW8Num4z1">
    <w:name w:val="WW8Num4z1"/>
    <w:rsid w:val="003B5B5D"/>
    <w:rPr>
      <w:rFonts w:ascii="Courier New" w:hAnsi="Courier New" w:cs="Courier New"/>
    </w:rPr>
  </w:style>
  <w:style w:type="character" w:customStyle="1" w:styleId="WW8Num4z2">
    <w:name w:val="WW8Num4z2"/>
    <w:rsid w:val="003B5B5D"/>
    <w:rPr>
      <w:rFonts w:ascii="Wingdings" w:hAnsi="Wingdings"/>
    </w:rPr>
  </w:style>
  <w:style w:type="character" w:customStyle="1" w:styleId="WW8Num5z1">
    <w:name w:val="WW8Num5z1"/>
    <w:rsid w:val="003B5B5D"/>
    <w:rPr>
      <w:rFonts w:ascii="Courier New" w:hAnsi="Courier New" w:cs="Courier New"/>
    </w:rPr>
  </w:style>
  <w:style w:type="character" w:customStyle="1" w:styleId="WW8Num5z2">
    <w:name w:val="WW8Num5z2"/>
    <w:rsid w:val="003B5B5D"/>
    <w:rPr>
      <w:rFonts w:ascii="Wingdings" w:hAnsi="Wingdings"/>
    </w:rPr>
  </w:style>
  <w:style w:type="character" w:customStyle="1" w:styleId="WW8Num7z0">
    <w:name w:val="WW8Num7z0"/>
    <w:rsid w:val="003B5B5D"/>
    <w:rPr>
      <w:rFonts w:ascii="Symbol" w:hAnsi="Symbol"/>
    </w:rPr>
  </w:style>
  <w:style w:type="character" w:customStyle="1" w:styleId="WW8Num7z1">
    <w:name w:val="WW8Num7z1"/>
    <w:rsid w:val="003B5B5D"/>
    <w:rPr>
      <w:rFonts w:ascii="Courier New" w:hAnsi="Courier New" w:cs="Courier New"/>
    </w:rPr>
  </w:style>
  <w:style w:type="character" w:customStyle="1" w:styleId="WW8Num7z2">
    <w:name w:val="WW8Num7z2"/>
    <w:rsid w:val="003B5B5D"/>
    <w:rPr>
      <w:rFonts w:ascii="Wingdings" w:hAnsi="Wingdings"/>
    </w:rPr>
  </w:style>
  <w:style w:type="character" w:customStyle="1" w:styleId="WW8Num8z0">
    <w:name w:val="WW8Num8z0"/>
    <w:rsid w:val="003B5B5D"/>
    <w:rPr>
      <w:rFonts w:ascii="Symbol" w:hAnsi="Symbol"/>
    </w:rPr>
  </w:style>
  <w:style w:type="character" w:customStyle="1" w:styleId="WW8Num8z1">
    <w:name w:val="WW8Num8z1"/>
    <w:rsid w:val="003B5B5D"/>
    <w:rPr>
      <w:rFonts w:ascii="Courier New" w:hAnsi="Courier New" w:cs="Courier New"/>
    </w:rPr>
  </w:style>
  <w:style w:type="character" w:customStyle="1" w:styleId="WW8Num8z2">
    <w:name w:val="WW8Num8z2"/>
    <w:rsid w:val="003B5B5D"/>
    <w:rPr>
      <w:rFonts w:ascii="Wingdings" w:hAnsi="Wingdings"/>
    </w:rPr>
  </w:style>
  <w:style w:type="character" w:customStyle="1" w:styleId="WW8Num9z1">
    <w:name w:val="WW8Num9z1"/>
    <w:rsid w:val="003B5B5D"/>
    <w:rPr>
      <w:rFonts w:ascii="Courier New" w:hAnsi="Courier New" w:cs="Courier New"/>
    </w:rPr>
  </w:style>
  <w:style w:type="character" w:customStyle="1" w:styleId="WW8Num9z2">
    <w:name w:val="WW8Num9z2"/>
    <w:rsid w:val="003B5B5D"/>
    <w:rPr>
      <w:rFonts w:ascii="Wingdings" w:hAnsi="Wingdings"/>
    </w:rPr>
  </w:style>
  <w:style w:type="character" w:customStyle="1" w:styleId="WW8Num11z1">
    <w:name w:val="WW8Num11z1"/>
    <w:rsid w:val="003B5B5D"/>
    <w:rPr>
      <w:rFonts w:ascii="Symbol" w:hAnsi="Symbol"/>
    </w:rPr>
  </w:style>
  <w:style w:type="character" w:customStyle="1" w:styleId="WW8Num14z0">
    <w:name w:val="WW8Num14z0"/>
    <w:rsid w:val="003B5B5D"/>
    <w:rPr>
      <w:rFonts w:ascii="Symbol" w:hAnsi="Symbol"/>
    </w:rPr>
  </w:style>
  <w:style w:type="character" w:customStyle="1" w:styleId="WW8Num14z1">
    <w:name w:val="WW8Num14z1"/>
    <w:rsid w:val="003B5B5D"/>
    <w:rPr>
      <w:rFonts w:ascii="Courier New" w:hAnsi="Courier New" w:cs="Courier New"/>
    </w:rPr>
  </w:style>
  <w:style w:type="character" w:customStyle="1" w:styleId="WW8Num14z2">
    <w:name w:val="WW8Num14z2"/>
    <w:rsid w:val="003B5B5D"/>
    <w:rPr>
      <w:rFonts w:ascii="Wingdings" w:hAnsi="Wingdings"/>
    </w:rPr>
  </w:style>
  <w:style w:type="character" w:customStyle="1" w:styleId="WW8Num15z1">
    <w:name w:val="WW8Num15z1"/>
    <w:rsid w:val="003B5B5D"/>
    <w:rPr>
      <w:rFonts w:ascii="Courier New" w:hAnsi="Courier New" w:cs="Courier New"/>
    </w:rPr>
  </w:style>
  <w:style w:type="character" w:customStyle="1" w:styleId="WW8Num15z2">
    <w:name w:val="WW8Num15z2"/>
    <w:rsid w:val="003B5B5D"/>
    <w:rPr>
      <w:rFonts w:ascii="Wingdings" w:hAnsi="Wingdings"/>
    </w:rPr>
  </w:style>
  <w:style w:type="character" w:customStyle="1" w:styleId="Policepardfaut1">
    <w:name w:val="Police par défaut1"/>
    <w:rsid w:val="003B5B5D"/>
  </w:style>
  <w:style w:type="character" w:styleId="Lienhypertexte">
    <w:name w:val="Hyperlink"/>
    <w:uiPriority w:val="99"/>
    <w:rsid w:val="003B5B5D"/>
    <w:rPr>
      <w:color w:val="0000FF"/>
      <w:u w:val="single"/>
    </w:rPr>
  </w:style>
  <w:style w:type="character" w:customStyle="1" w:styleId="Caractresdenotedebasdepage">
    <w:name w:val="Caractères de note de bas de page"/>
    <w:rsid w:val="003B5B5D"/>
    <w:rPr>
      <w:vertAlign w:val="superscript"/>
    </w:rPr>
  </w:style>
  <w:style w:type="character" w:styleId="Accentuation">
    <w:name w:val="Emphasis"/>
    <w:uiPriority w:val="20"/>
    <w:qFormat/>
    <w:rsid w:val="003B5B5D"/>
    <w:rPr>
      <w:i/>
      <w:iCs/>
    </w:rPr>
  </w:style>
  <w:style w:type="character" w:styleId="Numrodepage">
    <w:name w:val="page number"/>
    <w:basedOn w:val="Policepardfaut1"/>
    <w:rsid w:val="003B5B5D"/>
  </w:style>
  <w:style w:type="character" w:customStyle="1" w:styleId="bold">
    <w:name w:val="bold"/>
    <w:basedOn w:val="Policepardfaut1"/>
    <w:rsid w:val="003B5B5D"/>
  </w:style>
  <w:style w:type="character" w:customStyle="1" w:styleId="Appelnotedebasdep1">
    <w:name w:val="Appel note de bas de p.1"/>
    <w:rsid w:val="003B5B5D"/>
    <w:rPr>
      <w:vertAlign w:val="superscript"/>
    </w:rPr>
  </w:style>
  <w:style w:type="character" w:customStyle="1" w:styleId="Caractresdenotedefin">
    <w:name w:val="Caractères de note de fin"/>
    <w:rsid w:val="003B5B5D"/>
    <w:rPr>
      <w:vertAlign w:val="superscript"/>
    </w:rPr>
  </w:style>
  <w:style w:type="character" w:customStyle="1" w:styleId="WW-Caractresdenotedefin">
    <w:name w:val="WW-Caractères de note de fin"/>
    <w:rsid w:val="003B5B5D"/>
  </w:style>
  <w:style w:type="character" w:customStyle="1" w:styleId="NotedebasdepageCar">
    <w:name w:val="Note de bas de page Car"/>
    <w:uiPriority w:val="99"/>
    <w:rsid w:val="003B5B5D"/>
  </w:style>
  <w:style w:type="character" w:styleId="Lienhypertextesuivivisit">
    <w:name w:val="FollowedHyperlink"/>
    <w:rsid w:val="003B5B5D"/>
    <w:rPr>
      <w:color w:val="800080"/>
      <w:u w:val="single"/>
    </w:rPr>
  </w:style>
  <w:style w:type="character" w:styleId="Appelnotedebasdep">
    <w:name w:val="footnote reference"/>
    <w:uiPriority w:val="99"/>
    <w:rsid w:val="003B5B5D"/>
    <w:rPr>
      <w:vertAlign w:val="superscript"/>
    </w:rPr>
  </w:style>
  <w:style w:type="character" w:customStyle="1" w:styleId="Caractresdenumrotation">
    <w:name w:val="Caractères de numérotation"/>
    <w:rsid w:val="003B5B5D"/>
  </w:style>
  <w:style w:type="character" w:styleId="Appeldenotedefin">
    <w:name w:val="endnote reference"/>
    <w:rsid w:val="003B5B5D"/>
    <w:rPr>
      <w:vertAlign w:val="superscript"/>
    </w:rPr>
  </w:style>
  <w:style w:type="paragraph" w:customStyle="1" w:styleId="Titre20">
    <w:name w:val="Titre2"/>
    <w:basedOn w:val="Normal"/>
    <w:next w:val="Corpsdetexte"/>
    <w:rsid w:val="003B5B5D"/>
    <w:pPr>
      <w:keepNext/>
      <w:suppressAutoHyphens/>
      <w:spacing w:before="240" w:after="120" w:line="240" w:lineRule="auto"/>
    </w:pPr>
    <w:rPr>
      <w:rFonts w:ascii="Arial" w:eastAsia="SimSun" w:hAnsi="Arial" w:cs="Mangal"/>
      <w:sz w:val="28"/>
      <w:szCs w:val="28"/>
      <w:lang w:eastAsia="ar-SA"/>
    </w:rPr>
  </w:style>
  <w:style w:type="paragraph" w:styleId="Corpsdetexte">
    <w:name w:val="Body Text"/>
    <w:basedOn w:val="Normal"/>
    <w:link w:val="CorpsdetexteCar"/>
    <w:rsid w:val="003B5B5D"/>
    <w:pPr>
      <w:suppressAutoHyphens/>
      <w:spacing w:after="120" w:line="240" w:lineRule="auto"/>
    </w:pPr>
    <w:rPr>
      <w:rFonts w:ascii="Times New Roman" w:eastAsia="Times New Roman" w:hAnsi="Times New Roman" w:cs="Times New Roman"/>
      <w:sz w:val="24"/>
      <w:szCs w:val="24"/>
      <w:lang w:eastAsia="ar-SA"/>
    </w:rPr>
  </w:style>
  <w:style w:type="character" w:customStyle="1" w:styleId="CorpsdetexteCar">
    <w:name w:val="Corps de texte Car"/>
    <w:basedOn w:val="Policepardfaut"/>
    <w:link w:val="Corpsdetexte"/>
    <w:rsid w:val="003B5B5D"/>
    <w:rPr>
      <w:rFonts w:ascii="Times New Roman" w:eastAsia="Times New Roman" w:hAnsi="Times New Roman" w:cs="Times New Roman"/>
      <w:sz w:val="24"/>
      <w:szCs w:val="24"/>
      <w:lang w:eastAsia="ar-SA"/>
    </w:rPr>
  </w:style>
  <w:style w:type="paragraph" w:styleId="Liste">
    <w:name w:val="List"/>
    <w:basedOn w:val="Corpsdetexte"/>
    <w:rsid w:val="003B5B5D"/>
    <w:rPr>
      <w:rFonts w:cs="Mangal"/>
    </w:rPr>
  </w:style>
  <w:style w:type="paragraph" w:customStyle="1" w:styleId="Lgende2">
    <w:name w:val="Légende2"/>
    <w:basedOn w:val="Normal"/>
    <w:rsid w:val="003B5B5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rsid w:val="003B5B5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itre10">
    <w:name w:val="Titre1"/>
    <w:basedOn w:val="Normal"/>
    <w:next w:val="Corpsdetexte"/>
    <w:rsid w:val="003B5B5D"/>
    <w:pPr>
      <w:keepNext/>
      <w:suppressAutoHyphens/>
      <w:spacing w:before="240" w:after="120" w:line="240" w:lineRule="auto"/>
    </w:pPr>
    <w:rPr>
      <w:rFonts w:ascii="Arial" w:eastAsia="SimSun" w:hAnsi="Arial" w:cs="Mangal"/>
      <w:sz w:val="28"/>
      <w:szCs w:val="28"/>
      <w:lang w:eastAsia="ar-SA"/>
    </w:rPr>
  </w:style>
  <w:style w:type="paragraph" w:customStyle="1" w:styleId="Lgende1">
    <w:name w:val="Légende1"/>
    <w:basedOn w:val="Normal"/>
    <w:rsid w:val="003B5B5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styleId="Notedebasdepage">
    <w:name w:val="footnote text"/>
    <w:basedOn w:val="Normal"/>
    <w:link w:val="NotedebasdepageCar1"/>
    <w:uiPriority w:val="99"/>
    <w:rsid w:val="003B5B5D"/>
    <w:pPr>
      <w:suppressAutoHyphens/>
      <w:spacing w:after="0" w:line="240" w:lineRule="auto"/>
    </w:pPr>
    <w:rPr>
      <w:rFonts w:ascii="Times New Roman" w:eastAsia="Times New Roman" w:hAnsi="Times New Roman" w:cs="Times New Roman"/>
      <w:sz w:val="20"/>
      <w:szCs w:val="20"/>
      <w:lang w:eastAsia="ar-SA"/>
    </w:rPr>
  </w:style>
  <w:style w:type="character" w:customStyle="1" w:styleId="NotedebasdepageCar1">
    <w:name w:val="Note de bas de page Car1"/>
    <w:basedOn w:val="Policepardfaut"/>
    <w:link w:val="Notedebasdepage"/>
    <w:uiPriority w:val="99"/>
    <w:rsid w:val="003B5B5D"/>
    <w:rPr>
      <w:rFonts w:ascii="Times New Roman" w:eastAsia="Times New Roman" w:hAnsi="Times New Roman" w:cs="Times New Roman"/>
      <w:sz w:val="20"/>
      <w:szCs w:val="20"/>
      <w:lang w:eastAsia="ar-SA"/>
    </w:rPr>
  </w:style>
  <w:style w:type="paragraph" w:styleId="Retraitcorpsdetexte">
    <w:name w:val="Body Text Indent"/>
    <w:basedOn w:val="Normal"/>
    <w:link w:val="RetraitcorpsdetexteCar"/>
    <w:rsid w:val="003B5B5D"/>
    <w:pPr>
      <w:suppressAutoHyphens/>
      <w:spacing w:after="0" w:line="240" w:lineRule="auto"/>
      <w:ind w:left="720"/>
    </w:pPr>
    <w:rPr>
      <w:rFonts w:ascii="Times New Roman" w:eastAsia="Times New Roman" w:hAnsi="Times New Roman" w:cs="Times New Roman"/>
      <w:sz w:val="24"/>
      <w:szCs w:val="24"/>
      <w:lang w:eastAsia="he-IL" w:bidi="he-IL"/>
    </w:rPr>
  </w:style>
  <w:style w:type="character" w:customStyle="1" w:styleId="RetraitcorpsdetexteCar">
    <w:name w:val="Retrait corps de texte Car"/>
    <w:basedOn w:val="Policepardfaut"/>
    <w:link w:val="Retraitcorpsdetexte"/>
    <w:rsid w:val="003B5B5D"/>
    <w:rPr>
      <w:rFonts w:ascii="Times New Roman" w:eastAsia="Times New Roman" w:hAnsi="Times New Roman" w:cs="Times New Roman"/>
      <w:sz w:val="24"/>
      <w:szCs w:val="24"/>
      <w:lang w:eastAsia="he-IL" w:bidi="he-IL"/>
    </w:rPr>
  </w:style>
  <w:style w:type="paragraph" w:styleId="Pieddepage">
    <w:name w:val="footer"/>
    <w:basedOn w:val="Normal"/>
    <w:link w:val="PieddepageCar"/>
    <w:rsid w:val="003B5B5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PieddepageCar">
    <w:name w:val="Pied de page Car"/>
    <w:basedOn w:val="Policepardfaut"/>
    <w:link w:val="Pieddepage"/>
    <w:rsid w:val="003B5B5D"/>
    <w:rPr>
      <w:rFonts w:ascii="Times New Roman" w:eastAsia="Times New Roman" w:hAnsi="Times New Roman" w:cs="Times New Roman"/>
      <w:sz w:val="24"/>
      <w:szCs w:val="24"/>
      <w:lang w:eastAsia="ar-SA"/>
    </w:rPr>
  </w:style>
  <w:style w:type="paragraph" w:customStyle="1" w:styleId="Contenudetableau">
    <w:name w:val="Contenu de tableau"/>
    <w:basedOn w:val="Normal"/>
    <w:rsid w:val="003B5B5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itredetableau">
    <w:name w:val="Titre de tableau"/>
    <w:basedOn w:val="Contenudetableau"/>
    <w:rsid w:val="003B5B5D"/>
    <w:pPr>
      <w:jc w:val="center"/>
    </w:pPr>
    <w:rPr>
      <w:b/>
      <w:bCs/>
    </w:rPr>
  </w:style>
  <w:style w:type="paragraph" w:customStyle="1" w:styleId="Contenuducadre">
    <w:name w:val="Contenu du cadre"/>
    <w:basedOn w:val="Corpsdetexte"/>
    <w:rsid w:val="003B5B5D"/>
  </w:style>
  <w:style w:type="paragraph" w:styleId="En-tte">
    <w:name w:val="header"/>
    <w:basedOn w:val="Normal"/>
    <w:link w:val="En-tteCar"/>
    <w:rsid w:val="003B5B5D"/>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En-tteCar">
    <w:name w:val="En-tête Car"/>
    <w:basedOn w:val="Policepardfaut"/>
    <w:link w:val="En-tte"/>
    <w:rsid w:val="003B5B5D"/>
    <w:rPr>
      <w:rFonts w:ascii="Times New Roman" w:eastAsia="Times New Roman" w:hAnsi="Times New Roman" w:cs="Times New Roman"/>
      <w:sz w:val="24"/>
      <w:szCs w:val="24"/>
      <w:lang w:eastAsia="ar-SA"/>
    </w:rPr>
  </w:style>
  <w:style w:type="paragraph" w:customStyle="1" w:styleId="Body1">
    <w:name w:val="Body 1"/>
    <w:rsid w:val="003B5B5D"/>
    <w:pPr>
      <w:suppressAutoHyphens/>
      <w:spacing w:after="0" w:line="240" w:lineRule="auto"/>
    </w:pPr>
    <w:rPr>
      <w:rFonts w:ascii="Helvetica" w:eastAsia="ヒラギノ角ゴ Pro W3" w:hAnsi="Helvetica" w:cs="Times New Roman"/>
      <w:color w:val="000000"/>
      <w:sz w:val="24"/>
      <w:szCs w:val="20"/>
      <w:lang w:val="en-US" w:eastAsia="ar-SA"/>
    </w:rPr>
  </w:style>
  <w:style w:type="paragraph" w:styleId="Paragraphedeliste">
    <w:name w:val="List Paragraph"/>
    <w:basedOn w:val="Normal"/>
    <w:uiPriority w:val="34"/>
    <w:qFormat/>
    <w:rsid w:val="003B5B5D"/>
    <w:pPr>
      <w:suppressAutoHyphens/>
      <w:spacing w:after="0" w:line="240" w:lineRule="auto"/>
      <w:ind w:left="708"/>
    </w:pPr>
    <w:rPr>
      <w:rFonts w:ascii="Times New Roman" w:eastAsia="Times New Roman" w:hAnsi="Times New Roman" w:cs="Times New Roman"/>
      <w:sz w:val="24"/>
      <w:szCs w:val="24"/>
      <w:lang w:eastAsia="ar-SA"/>
    </w:rPr>
  </w:style>
  <w:style w:type="paragraph" w:styleId="Textedebulles">
    <w:name w:val="Balloon Text"/>
    <w:basedOn w:val="Normal"/>
    <w:link w:val="TextedebullesCar"/>
    <w:uiPriority w:val="99"/>
    <w:semiHidden/>
    <w:unhideWhenUsed/>
    <w:rsid w:val="003B5B5D"/>
    <w:pPr>
      <w:suppressAutoHyphens/>
      <w:spacing w:after="0" w:line="240" w:lineRule="auto"/>
    </w:pPr>
    <w:rPr>
      <w:rFonts w:ascii="Tahoma" w:eastAsia="Times New Roman" w:hAnsi="Tahoma" w:cs="Tahoma"/>
      <w:sz w:val="16"/>
      <w:szCs w:val="16"/>
      <w:lang w:eastAsia="ar-SA"/>
    </w:rPr>
  </w:style>
  <w:style w:type="character" w:customStyle="1" w:styleId="TextedebullesCar">
    <w:name w:val="Texte de bulles Car"/>
    <w:basedOn w:val="Policepardfaut"/>
    <w:link w:val="Textedebulles"/>
    <w:uiPriority w:val="99"/>
    <w:semiHidden/>
    <w:rsid w:val="003B5B5D"/>
    <w:rPr>
      <w:rFonts w:ascii="Tahoma" w:eastAsia="Times New Roman" w:hAnsi="Tahoma" w:cs="Tahoma"/>
      <w:sz w:val="16"/>
      <w:szCs w:val="16"/>
      <w:lang w:eastAsia="ar-SA"/>
    </w:rPr>
  </w:style>
  <w:style w:type="character" w:styleId="Marquedecommentaire">
    <w:name w:val="annotation reference"/>
    <w:basedOn w:val="Policepardfaut"/>
    <w:uiPriority w:val="99"/>
    <w:semiHidden/>
    <w:rsid w:val="003B5B5D"/>
    <w:rPr>
      <w:sz w:val="16"/>
      <w:szCs w:val="16"/>
    </w:rPr>
  </w:style>
  <w:style w:type="paragraph" w:styleId="Commentaire">
    <w:name w:val="annotation text"/>
    <w:basedOn w:val="Normal"/>
    <w:link w:val="CommentaireCar"/>
    <w:uiPriority w:val="99"/>
    <w:semiHidden/>
    <w:rsid w:val="003B5B5D"/>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rsid w:val="003B5B5D"/>
    <w:rPr>
      <w:rFonts w:ascii="Times New Roman" w:eastAsia="Times New Roman" w:hAnsi="Times New Roman" w:cs="Times New Roman"/>
      <w:sz w:val="20"/>
      <w:szCs w:val="20"/>
      <w:lang w:eastAsia="fr-FR"/>
    </w:rPr>
  </w:style>
  <w:style w:type="paragraph" w:styleId="Retraitcorpsdetexte2">
    <w:name w:val="Body Text Indent 2"/>
    <w:basedOn w:val="Normal"/>
    <w:link w:val="Retraitcorpsdetexte2Car"/>
    <w:uiPriority w:val="99"/>
    <w:semiHidden/>
    <w:unhideWhenUsed/>
    <w:rsid w:val="003B5B5D"/>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Retraitcorpsdetexte2Car">
    <w:name w:val="Retrait corps de texte 2 Car"/>
    <w:basedOn w:val="Policepardfaut"/>
    <w:link w:val="Retraitcorpsdetexte2"/>
    <w:uiPriority w:val="99"/>
    <w:semiHidden/>
    <w:rsid w:val="003B5B5D"/>
    <w:rPr>
      <w:rFonts w:ascii="Times New Roman" w:eastAsia="Times New Roman" w:hAnsi="Times New Roman" w:cs="Times New Roman"/>
      <w:sz w:val="24"/>
      <w:szCs w:val="24"/>
      <w:lang w:eastAsia="ar-SA"/>
    </w:rPr>
  </w:style>
  <w:style w:type="table" w:styleId="Grilledutableau">
    <w:name w:val="Table Grid"/>
    <w:basedOn w:val="TableauNormal"/>
    <w:uiPriority w:val="59"/>
    <w:rsid w:val="003B5B5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1-Accent6">
    <w:name w:val="Medium Shading 1 Accent 6"/>
    <w:basedOn w:val="TableauNormal"/>
    <w:uiPriority w:val="63"/>
    <w:rsid w:val="003B5B5D"/>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rsid w:val="003B5B5D"/>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B5B5D"/>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lev">
    <w:name w:val="Strong"/>
    <w:basedOn w:val="Policepardfaut"/>
    <w:uiPriority w:val="22"/>
    <w:qFormat/>
    <w:rsid w:val="003B5B5D"/>
    <w:rPr>
      <w:b/>
      <w:bCs/>
    </w:rPr>
  </w:style>
  <w:style w:type="character" w:customStyle="1" w:styleId="at1">
    <w:name w:val="a__t1"/>
    <w:basedOn w:val="Policepardfaut"/>
    <w:rsid w:val="003B5B5D"/>
  </w:style>
  <w:style w:type="character" w:customStyle="1" w:styleId="italic">
    <w:name w:val="italic"/>
    <w:basedOn w:val="Policepardfaut"/>
    <w:rsid w:val="003B5B5D"/>
  </w:style>
  <w:style w:type="paragraph" w:styleId="NormalWeb">
    <w:name w:val="Normal (Web)"/>
    <w:basedOn w:val="Normal"/>
    <w:uiPriority w:val="99"/>
    <w:unhideWhenUsed/>
    <w:rsid w:val="003B5B5D"/>
    <w:pPr>
      <w:spacing w:before="100" w:beforeAutospacing="1" w:after="100" w:afterAutospacing="1" w:line="375" w:lineRule="atLeast"/>
      <w:jc w:val="both"/>
    </w:pPr>
    <w:rPr>
      <w:rFonts w:ascii="Times New Roman" w:eastAsia="Times New Roman" w:hAnsi="Times New Roman" w:cs="Times New Roman"/>
      <w:color w:val="53575A"/>
      <w:sz w:val="24"/>
      <w:szCs w:val="24"/>
      <w:lang w:eastAsia="fr-FR"/>
    </w:rPr>
  </w:style>
  <w:style w:type="character" w:customStyle="1" w:styleId="tw4winMark">
    <w:name w:val="tw4winMark"/>
    <w:basedOn w:val="Policepardfaut"/>
    <w:rsid w:val="003B5B5D"/>
    <w:rPr>
      <w:rFonts w:ascii="Courier New" w:hAnsi="Courier New" w:cs="Courier New"/>
      <w:b w:val="0"/>
      <w:i w:val="0"/>
      <w:dstrike w:val="0"/>
      <w:noProof/>
      <w:vanish/>
      <w:color w:val="800080"/>
      <w:spacing w:val="0"/>
      <w:kern w:val="30"/>
      <w:sz w:val="18"/>
      <w:effect w:val="none"/>
      <w:vertAlign w:val="subscript"/>
      <w:lang w:val="en-GB"/>
    </w:rPr>
  </w:style>
  <w:style w:type="table" w:customStyle="1" w:styleId="TableauGrille5Fonc-Accentuation11">
    <w:name w:val="Tableau Grille 5 Foncé - Accentuation 11"/>
    <w:basedOn w:val="TableauNormal"/>
    <w:uiPriority w:val="50"/>
    <w:rsid w:val="003B5B5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Default">
    <w:name w:val="Default"/>
    <w:rsid w:val="003B5B5D"/>
    <w:pPr>
      <w:autoSpaceDE w:val="0"/>
      <w:autoSpaceDN w:val="0"/>
      <w:adjustRightInd w:val="0"/>
      <w:spacing w:after="0" w:line="240" w:lineRule="auto"/>
    </w:pPr>
    <w:rPr>
      <w:rFonts w:ascii="Lato" w:hAnsi="Lato" w:cs="Lato"/>
      <w:color w:val="000000"/>
      <w:sz w:val="24"/>
      <w:szCs w:val="24"/>
      <w:lang w:val="en-GB"/>
    </w:rPr>
  </w:style>
  <w:style w:type="paragraph" w:styleId="Sansinterligne">
    <w:name w:val="No Spacing"/>
    <w:uiPriority w:val="1"/>
    <w:qFormat/>
    <w:rsid w:val="003E0617"/>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lberto.nunez-lagos@uria.com" TargetMode="External"/><Relationship Id="rId21" Type="http://schemas.openxmlformats.org/officeDocument/2006/relationships/hyperlink" Target="mailto:khaemwaset@yahoo.co.uk" TargetMode="External"/><Relationship Id="rId34" Type="http://schemas.openxmlformats.org/officeDocument/2006/relationships/hyperlink" Target="mailto:mandrelaw@aol.com" TargetMode="External"/><Relationship Id="rId42" Type="http://schemas.openxmlformats.org/officeDocument/2006/relationships/hyperlink" Target="mailto:abeveridge@alixpartners.com" TargetMode="External"/><Relationship Id="rId47" Type="http://schemas.openxmlformats.org/officeDocument/2006/relationships/hyperlink" Target="mailto:ww@onesquareadvisers.com" TargetMode="External"/><Relationship Id="rId50" Type="http://schemas.openxmlformats.org/officeDocument/2006/relationships/hyperlink" Target="mailto:csserra@gmail.com" TargetMode="External"/><Relationship Id="rId55" Type="http://schemas.openxmlformats.org/officeDocument/2006/relationships/hyperlink" Target="mailto:hbusshardt@schubra.de" TargetMode="External"/><Relationship Id="rId63" Type="http://schemas.openxmlformats.org/officeDocument/2006/relationships/hyperlink" Target="mailto:irina.sarcane@sarcane.ro" TargetMode="External"/><Relationship Id="rId68" Type="http://schemas.openxmlformats.org/officeDocument/2006/relationships/hyperlink" Target="mailto:jtv@delacour.dk" TargetMode="External"/><Relationship Id="rId76" Type="http://schemas.openxmlformats.org/officeDocument/2006/relationships/hyperlink" Target="http://www.insol-europe.org/events" TargetMode="External"/><Relationship Id="rId84" Type="http://schemas.openxmlformats.org/officeDocument/2006/relationships/hyperlink" Target="http://www.insol-europe.org/technical-content/how-to-become-an-insolvency-practitioner-across-europe" TargetMode="External"/><Relationship Id="rId89" Type="http://schemas.openxmlformats.org/officeDocument/2006/relationships/hyperlink" Target="http://tinyurl.com/y7tf2zc4" TargetMode="External"/><Relationship Id="rId97"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mailto:Signe.viimsalu@gmail.com" TargetMode="External"/><Relationship Id="rId92" Type="http://schemas.openxmlformats.org/officeDocument/2006/relationships/hyperlink" Target="http://www.insol-europe.org/" TargetMode="External"/><Relationship Id="rId2" Type="http://schemas.openxmlformats.org/officeDocument/2006/relationships/styles" Target="styles.xml"/><Relationship Id="rId16" Type="http://schemas.openxmlformats.org/officeDocument/2006/relationships/hyperlink" Target="mailto:carolinetaylor@insol-europe.org" TargetMode="External"/><Relationship Id="rId29" Type="http://schemas.openxmlformats.org/officeDocument/2006/relationships/hyperlink" Target="mailto:radu.lotrean@citr.ro" TargetMode="External"/><Relationship Id="rId11" Type="http://schemas.openxmlformats.org/officeDocument/2006/relationships/hyperlink" Target="mailto:radu.lotrean@citr.ro" TargetMode="External"/><Relationship Id="rId24" Type="http://schemas.openxmlformats.org/officeDocument/2006/relationships/hyperlink" Target="mailto:eitan@eitan-erez-law.com" TargetMode="External"/><Relationship Id="rId32" Type="http://schemas.openxmlformats.org/officeDocument/2006/relationships/hyperlink" Target="mailto:g.bazinas@bazinas.com" TargetMode="External"/><Relationship Id="rId37" Type="http://schemas.openxmlformats.org/officeDocument/2006/relationships/hyperlink" Target="mailto:sharris@uk.ey.com" TargetMode="External"/><Relationship Id="rId40" Type="http://schemas.openxmlformats.org/officeDocument/2006/relationships/hyperlink" Target="mailto:abach@goerg.de" TargetMode="External"/><Relationship Id="rId45" Type="http://schemas.openxmlformats.org/officeDocument/2006/relationships/hyperlink" Target="mailto:Ftschentscher@schubra.de" TargetMode="External"/><Relationship Id="rId53" Type="http://schemas.openxmlformats.org/officeDocument/2006/relationships/hyperlink" Target="mailto:floricasincu@insol-europe.org" TargetMode="External"/><Relationship Id="rId58" Type="http://schemas.openxmlformats.org/officeDocument/2006/relationships/hyperlink" Target="mailto:donat@gabinetebegur.com" TargetMode="External"/><Relationship Id="rId66" Type="http://schemas.openxmlformats.org/officeDocument/2006/relationships/hyperlink" Target="mailto:carolinetaylor@insol-europe.org" TargetMode="External"/><Relationship Id="rId74" Type="http://schemas.openxmlformats.org/officeDocument/2006/relationships/hyperlink" Target="mailto:eurofenix@mrp.uk.com" TargetMode="External"/><Relationship Id="rId79" Type="http://schemas.openxmlformats.org/officeDocument/2006/relationships/hyperlink" Target="http://www.linkedin.com" TargetMode="External"/><Relationship Id="rId87" Type="http://schemas.openxmlformats.org/officeDocument/2006/relationships/hyperlink" Target="http://www.insol-europe.org/technical-content/eir-reform-process" TargetMode="External"/><Relationship Id="rId5" Type="http://schemas.openxmlformats.org/officeDocument/2006/relationships/webSettings" Target="webSettings.xml"/><Relationship Id="rId61" Type="http://schemas.openxmlformats.org/officeDocument/2006/relationships/hyperlink" Target="mailto:guy.lofalk@lofalk.se" TargetMode="External"/><Relationship Id="rId82" Type="http://schemas.openxmlformats.org/officeDocument/2006/relationships/hyperlink" Target="http://www.insol-europe.org/technical-content/updated-insolvency-laws" TargetMode="External"/><Relationship Id="rId90" Type="http://schemas.openxmlformats.org/officeDocument/2006/relationships/hyperlink" Target="http://www.insol-europe.org/technical-content/insol-europe-studies" TargetMode="External"/><Relationship Id="rId95" Type="http://schemas.openxmlformats.org/officeDocument/2006/relationships/hyperlink" Target="mailto:hannahdenney@insol-europe.org" TargetMode="External"/><Relationship Id="rId19" Type="http://schemas.openxmlformats.org/officeDocument/2006/relationships/hyperlink" Target="mailto:wendycooper@insol-europe.org" TargetMode="External"/><Relationship Id="rId14" Type="http://schemas.openxmlformats.org/officeDocument/2006/relationships/hyperlink" Target="mailto:steffen.koch@hww-kanzlei.de" TargetMode="External"/><Relationship Id="rId22" Type="http://schemas.openxmlformats.org/officeDocument/2006/relationships/hyperlink" Target="mailto:technical@insol-europe.org" TargetMode="External"/><Relationship Id="rId27" Type="http://schemas.openxmlformats.org/officeDocument/2006/relationships/hyperlink" Target="mailto:rgismondi@gop.it" TargetMode="External"/><Relationship Id="rId30" Type="http://schemas.openxmlformats.org/officeDocument/2006/relationships/hyperlink" Target="mailto:evert.verwey@CliffordChance.com" TargetMode="External"/><Relationship Id="rId35" Type="http://schemas.openxmlformats.org/officeDocument/2006/relationships/hyperlink" Target="mailto:Fritz@hermann-law.com" TargetMode="External"/><Relationship Id="rId43" Type="http://schemas.openxmlformats.org/officeDocument/2006/relationships/hyperlink" Target="mailto:ottaway@hocheavocats.com" TargetMode="External"/><Relationship Id="rId48" Type="http://schemas.openxmlformats.org/officeDocument/2006/relationships/hyperlink" Target="mailto:JenniferL.L.Gant@gmail.com" TargetMode="External"/><Relationship Id="rId56" Type="http://schemas.openxmlformats.org/officeDocument/2006/relationships/hyperlink" Target="mailto:Gcherubini@explegal.it" TargetMode="External"/><Relationship Id="rId64" Type="http://schemas.openxmlformats.org/officeDocument/2006/relationships/hyperlink" Target="mailto:Daniel.staehelin@kelerhals-carrard.ch" TargetMode="External"/><Relationship Id="rId69" Type="http://schemas.openxmlformats.org/officeDocument/2006/relationships/hyperlink" Target="mailto:vallensjl@ymail.com" TargetMode="External"/><Relationship Id="rId77" Type="http://schemas.openxmlformats.org/officeDocument/2006/relationships/hyperlink" Target="mailto:jason@insol.ision.co.uk" TargetMode="External"/><Relationship Id="rId8" Type="http://schemas.openxmlformats.org/officeDocument/2006/relationships/image" Target="media/image1.jpeg"/><Relationship Id="rId51" Type="http://schemas.openxmlformats.org/officeDocument/2006/relationships/hyperlink" Target="mailto:technical@insol-europe.org" TargetMode="External"/><Relationship Id="rId72" Type="http://schemas.openxmlformats.org/officeDocument/2006/relationships/hyperlink" Target="mailto:floricasincu@insol-europe.org" TargetMode="External"/><Relationship Id="rId80" Type="http://schemas.openxmlformats.org/officeDocument/2006/relationships/hyperlink" Target="http://www.insol-europe.org/technical-content/glossaries/" TargetMode="External"/><Relationship Id="rId85" Type="http://schemas.openxmlformats.org/officeDocument/2006/relationships/hyperlink" Target="http://www.insol-europe.org/technical-content/national-insolvency-statistics" TargetMode="External"/><Relationship Id="rId93" Type="http://schemas.openxmlformats.org/officeDocument/2006/relationships/hyperlink" Target="mailto:paulnewson@insol-europe.org" TargetMode="External"/><Relationship Id="rId98"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mailto:abeveridge@alixpartners.com" TargetMode="External"/><Relationship Id="rId17" Type="http://schemas.openxmlformats.org/officeDocument/2006/relationships/hyperlink" Target="mailto:floricasincu@insol-europe.org" TargetMode="External"/><Relationship Id="rId25" Type="http://schemas.openxmlformats.org/officeDocument/2006/relationships/hyperlink" Target="mailto:hvallender@t-online.de" TargetMode="External"/><Relationship Id="rId33" Type="http://schemas.openxmlformats.org/officeDocument/2006/relationships/hyperlink" Target="mailto:emmanuelleinacio@insol-europe.org" TargetMode="External"/><Relationship Id="rId38" Type="http://schemas.openxmlformats.org/officeDocument/2006/relationships/hyperlink" Target="mailto:sschellenberg@froriep.ch" TargetMode="External"/><Relationship Id="rId46" Type="http://schemas.openxmlformats.org/officeDocument/2006/relationships/hyperlink" Target="mailto:robert.vangalen@nautadutilh.com" TargetMode="External"/><Relationship Id="rId59" Type="http://schemas.openxmlformats.org/officeDocument/2006/relationships/hyperlink" Target="mailto:edvins.draba@sorainen.com" TargetMode="External"/><Relationship Id="rId67" Type="http://schemas.openxmlformats.org/officeDocument/2006/relationships/hyperlink" Target="mailto:michael.thierhoff@tmpartner.de" TargetMode="External"/><Relationship Id="rId20" Type="http://schemas.openxmlformats.org/officeDocument/2006/relationships/hyperlink" Target="mailto:hannahdenney@insol-europe.org" TargetMode="External"/><Relationship Id="rId41" Type="http://schemas.openxmlformats.org/officeDocument/2006/relationships/hyperlink" Target="mailto:florian.joseph@helaba.de" TargetMode="External"/><Relationship Id="rId54" Type="http://schemas.openxmlformats.org/officeDocument/2006/relationships/hyperlink" Target="mailto:lverrill@brownrudnick.com" TargetMode="External"/><Relationship Id="rId62" Type="http://schemas.openxmlformats.org/officeDocument/2006/relationships/hyperlink" Target="mailto:lowry@mcstayluby@luby.ie" TargetMode="External"/><Relationship Id="rId70" Type="http://schemas.openxmlformats.org/officeDocument/2006/relationships/hyperlink" Target="mailto:evert.verwey@cliffordchance.com" TargetMode="External"/><Relationship Id="rId75" Type="http://schemas.openxmlformats.org/officeDocument/2006/relationships/hyperlink" Target="mailto:pndesign@icloud.com" TargetMode="External"/><Relationship Id="rId83" Type="http://schemas.openxmlformats.org/officeDocument/2006/relationships/hyperlink" Target="http://www.insol-europe.org/technical-content/state-reports" TargetMode="External"/><Relationship Id="rId88" Type="http://schemas.openxmlformats.org/officeDocument/2006/relationships/hyperlink" Target="http://www.insolvencycases.eu" TargetMode="External"/><Relationship Id="rId91" Type="http://schemas.openxmlformats.org/officeDocument/2006/relationships/hyperlink" Target="http://www.insol-europe.org/about-us/about-our-working-groups" TargetMode="External"/><Relationship Id="rId9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mailto:chrislaughton@mercerhole.co.uk" TargetMode="External"/><Relationship Id="rId23" Type="http://schemas.openxmlformats.org/officeDocument/2006/relationships/hyperlink" Target="mailto:david.ingram@uk.gt.com" TargetMode="External"/><Relationship Id="rId28" Type="http://schemas.openxmlformats.org/officeDocument/2006/relationships/hyperlink" Target="mailto:ottaway@hocheavocats.com" TargetMode="External"/><Relationship Id="rId36" Type="http://schemas.openxmlformats.org/officeDocument/2006/relationships/hyperlink" Target="mailto:robert.haenel@anchor.eu" TargetMode="External"/><Relationship Id="rId49" Type="http://schemas.openxmlformats.org/officeDocument/2006/relationships/hyperlink" Target="mailto:frank.heemann@bnt.eu" TargetMode="External"/><Relationship Id="rId57" Type="http://schemas.openxmlformats.org/officeDocument/2006/relationships/hyperlink" Target="mailto:dconaway@slk-law.co" TargetMode="External"/><Relationship Id="rId10" Type="http://schemas.openxmlformats.org/officeDocument/2006/relationships/hyperlink" Target="http://www.insol-europe.org/" TargetMode="External"/><Relationship Id="rId31" Type="http://schemas.openxmlformats.org/officeDocument/2006/relationships/hyperlink" Target="mailto:ftschentscher@schubra.de" TargetMode="External"/><Relationship Id="rId44" Type="http://schemas.openxmlformats.org/officeDocument/2006/relationships/hyperlink" Target="mailto:david@drpartners.com" TargetMode="External"/><Relationship Id="rId52" Type="http://schemas.openxmlformats.org/officeDocument/2006/relationships/hyperlink" Target="mailto:paulnewson@pndesign.co.uk" TargetMode="External"/><Relationship Id="rId60" Type="http://schemas.openxmlformats.org/officeDocument/2006/relationships/hyperlink" Target="mailto:mgerber@opf-partners.com" TargetMode="External"/><Relationship Id="rId65" Type="http://schemas.openxmlformats.org/officeDocument/2006/relationships/hyperlink" Target="mailto:atashiro@schubra.de" TargetMode="External"/><Relationship Id="rId73" Type="http://schemas.openxmlformats.org/officeDocument/2006/relationships/hyperlink" Target="mailto:gamtrad@free.fr" TargetMode="External"/><Relationship Id="rId78" Type="http://schemas.openxmlformats.org/officeDocument/2006/relationships/hyperlink" Target="mailto:technical@insol-europe.org" TargetMode="External"/><Relationship Id="rId81" Type="http://schemas.openxmlformats.org/officeDocument/2006/relationships/hyperlink" Target="http://www.insol-europe.org/resources" TargetMode="External"/><Relationship Id="rId86" Type="http://schemas.openxmlformats.org/officeDocument/2006/relationships/hyperlink" Target="http://www.insol-europe.org/technical-content/national-case-law" TargetMode="External"/><Relationship Id="rId94" Type="http://schemas.openxmlformats.org/officeDocument/2006/relationships/hyperlink" Target="mailto:floricasincu@insol-europe.org"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arolinetaylor@insol-europe.org" TargetMode="External"/><Relationship Id="rId13" Type="http://schemas.openxmlformats.org/officeDocument/2006/relationships/hyperlink" Target="mailto:pmu@horten.dk" TargetMode="External"/><Relationship Id="rId18" Type="http://schemas.openxmlformats.org/officeDocument/2006/relationships/hyperlink" Target="mailto:paulnewson@insol-europe.org" TargetMode="External"/><Relationship Id="rId39" Type="http://schemas.openxmlformats.org/officeDocument/2006/relationships/hyperlink" Target="mailto:harang@hoch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27600</Words>
  <Characters>151804</Characters>
  <Application>Microsoft Office Word</Application>
  <DocSecurity>0</DocSecurity>
  <Lines>1265</Lines>
  <Paragraphs>358</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
      <vt:lpstr>    La revue d’INSOL Europe</vt:lpstr>
      <vt:lpstr>        S O M M A I R E</vt:lpstr>
    </vt:vector>
  </TitlesOfParts>
  <Company>Hewlett-Packard Company</Company>
  <LinksUpToDate>false</LinksUpToDate>
  <CharactersWithSpaces>179046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Florica</dc:creator>
  <cp:lastModifiedBy>Florica</cp:lastModifiedBy>
  <cp:revision>2</cp:revision>
  <dcterms:created xsi:type="dcterms:W3CDTF">2018-04-18T23:14:00Z</dcterms:created>
  <dcterms:modified xsi:type="dcterms:W3CDTF">2018-04-18T23:14:00Z</dcterms:modified>
</cp:coreProperties>
</file>