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3CE2677D"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BD0697">
        <w:rPr>
          <w:rFonts w:ascii="Times New Roman" w:hAnsi="Times New Roman"/>
          <w:b/>
          <w:sz w:val="36"/>
          <w:szCs w:val="36"/>
        </w:rPr>
        <w:t>April</w:t>
      </w:r>
      <w:r w:rsidRPr="00617533">
        <w:rPr>
          <w:rFonts w:ascii="Times New Roman" w:hAnsi="Times New Roman"/>
          <w:b/>
          <w:sz w:val="36"/>
          <w:szCs w:val="36"/>
        </w:rPr>
        <w:t xml:space="preserve"> 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7ED3D80E" w14:textId="624F3AE3" w:rsidR="00F36532" w:rsidRDefault="00BD0697" w:rsidP="00AA741E">
      <w:pPr>
        <w:spacing w:after="0"/>
        <w:jc w:val="center"/>
        <w:rPr>
          <w:rFonts w:ascii="Times New Roman" w:hAnsi="Times New Roman"/>
          <w:b/>
          <w:sz w:val="24"/>
          <w:szCs w:val="24"/>
        </w:rPr>
      </w:pPr>
      <w:r>
        <w:rPr>
          <w:rFonts w:ascii="Times New Roman" w:hAnsi="Times New Roman"/>
          <w:b/>
          <w:sz w:val="24"/>
          <w:szCs w:val="24"/>
        </w:rPr>
        <w:t>Implementing the Recast EIR</w:t>
      </w:r>
      <w:r w:rsidR="009F52F0">
        <w:rPr>
          <w:rFonts w:ascii="Times New Roman" w:hAnsi="Times New Roman"/>
          <w:b/>
          <w:sz w:val="24"/>
          <w:szCs w:val="24"/>
        </w:rPr>
        <w:t>:</w:t>
      </w:r>
    </w:p>
    <w:p w14:paraId="032FD235" w14:textId="0ADE6223" w:rsidR="005D783E" w:rsidRDefault="00E37A5D" w:rsidP="00AA741E">
      <w:pPr>
        <w:spacing w:after="0"/>
        <w:jc w:val="center"/>
        <w:rPr>
          <w:rFonts w:ascii="Times New Roman" w:hAnsi="Times New Roman"/>
          <w:b/>
          <w:sz w:val="24"/>
          <w:szCs w:val="24"/>
        </w:rPr>
      </w:pPr>
      <w:r>
        <w:rPr>
          <w:rFonts w:ascii="Times New Roman" w:hAnsi="Times New Roman"/>
          <w:b/>
          <w:sz w:val="24"/>
          <w:szCs w:val="24"/>
        </w:rPr>
        <w:t xml:space="preserve">Potential Problems in </w:t>
      </w:r>
      <w:r w:rsidR="00F36532">
        <w:rPr>
          <w:rFonts w:ascii="Times New Roman" w:hAnsi="Times New Roman"/>
          <w:b/>
          <w:sz w:val="24"/>
          <w:szCs w:val="24"/>
        </w:rPr>
        <w:t xml:space="preserve">the </w:t>
      </w:r>
      <w:r w:rsidR="00BD0697">
        <w:rPr>
          <w:rFonts w:ascii="Times New Roman" w:hAnsi="Times New Roman"/>
          <w:b/>
          <w:sz w:val="24"/>
          <w:szCs w:val="24"/>
        </w:rPr>
        <w:t>Hungarian Legislation</w:t>
      </w:r>
    </w:p>
    <w:p w14:paraId="5C9FDC72" w14:textId="77777777" w:rsidR="00617533" w:rsidRDefault="00617533" w:rsidP="00AA741E">
      <w:pPr>
        <w:spacing w:after="0"/>
        <w:jc w:val="center"/>
        <w:rPr>
          <w:rFonts w:ascii="Times New Roman" w:hAnsi="Times New Roman"/>
          <w:b/>
          <w:sz w:val="24"/>
          <w:szCs w:val="24"/>
        </w:rPr>
      </w:pPr>
    </w:p>
    <w:p w14:paraId="21F39F84" w14:textId="7B9F97A5" w:rsidR="00AA741E" w:rsidRDefault="00BD0697" w:rsidP="00AA741E">
      <w:pPr>
        <w:spacing w:after="0"/>
        <w:jc w:val="center"/>
        <w:rPr>
          <w:rFonts w:ascii="Times New Roman" w:hAnsi="Times New Roman"/>
          <w:i/>
          <w:sz w:val="24"/>
          <w:szCs w:val="24"/>
        </w:rPr>
      </w:pPr>
      <w:r>
        <w:rPr>
          <w:rFonts w:ascii="Times New Roman" w:hAnsi="Times New Roman"/>
          <w:i/>
          <w:sz w:val="24"/>
          <w:szCs w:val="24"/>
        </w:rPr>
        <w:t>Zoltán Fabók</w:t>
      </w:r>
      <w:r w:rsidR="001258A8">
        <w:rPr>
          <w:rFonts w:ascii="Times New Roman" w:hAnsi="Times New Roman"/>
          <w:i/>
          <w:sz w:val="24"/>
          <w:szCs w:val="24"/>
        </w:rPr>
        <w:t xml:space="preserve">, </w:t>
      </w:r>
      <w:r>
        <w:rPr>
          <w:rFonts w:ascii="Times New Roman" w:hAnsi="Times New Roman"/>
          <w:i/>
          <w:sz w:val="24"/>
          <w:szCs w:val="24"/>
        </w:rPr>
        <w:t>Counsel</w:t>
      </w:r>
      <w:r w:rsidR="001258A8">
        <w:rPr>
          <w:rFonts w:ascii="Times New Roman" w:hAnsi="Times New Roman"/>
          <w:i/>
          <w:sz w:val="24"/>
          <w:szCs w:val="24"/>
        </w:rPr>
        <w:t xml:space="preserve">, </w:t>
      </w:r>
      <w:r>
        <w:rPr>
          <w:rFonts w:ascii="Times New Roman" w:hAnsi="Times New Roman"/>
          <w:i/>
          <w:sz w:val="24"/>
          <w:szCs w:val="24"/>
        </w:rPr>
        <w:t>DLA Piper Budapest</w:t>
      </w:r>
    </w:p>
    <w:p w14:paraId="34897C45" w14:textId="11EB426E" w:rsidR="00BD0697" w:rsidRDefault="00BD0697" w:rsidP="00AA741E">
      <w:pPr>
        <w:spacing w:after="0"/>
        <w:jc w:val="center"/>
        <w:rPr>
          <w:rFonts w:ascii="Times New Roman" w:hAnsi="Times New Roman"/>
          <w:i/>
          <w:sz w:val="24"/>
          <w:szCs w:val="24"/>
        </w:rPr>
      </w:pPr>
      <w:r>
        <w:rPr>
          <w:rFonts w:ascii="Times New Roman" w:hAnsi="Times New Roman"/>
          <w:i/>
          <w:sz w:val="24"/>
          <w:szCs w:val="24"/>
        </w:rPr>
        <w:t>Fellow, INSOL Global Insolvency Practice Course</w:t>
      </w:r>
    </w:p>
    <w:p w14:paraId="7BD8ED29" w14:textId="41EA7E00" w:rsidR="00617533" w:rsidRPr="003666A0" w:rsidRDefault="00BD0697" w:rsidP="00AA741E">
      <w:pPr>
        <w:spacing w:after="0"/>
        <w:jc w:val="center"/>
        <w:rPr>
          <w:rFonts w:ascii="Times New Roman" w:hAnsi="Times New Roman"/>
          <w:b/>
          <w:bCs/>
          <w:i/>
          <w:sz w:val="24"/>
          <w:szCs w:val="24"/>
          <w:lang w:val="en-US"/>
        </w:rPr>
      </w:pPr>
      <w:r w:rsidRPr="00BD0697">
        <w:rPr>
          <w:rFonts w:ascii="Times New Roman" w:hAnsi="Times New Roman"/>
          <w:i/>
          <w:sz w:val="24"/>
          <w:szCs w:val="24"/>
          <w:shd w:val="clear" w:color="auto" w:fill="F4F4F4"/>
        </w:rPr>
        <w:t>zoltan.fabok@dlapiper.com</w:t>
      </w:r>
    </w:p>
    <w:p w14:paraId="4C0F3661" w14:textId="77777777" w:rsidR="00617533" w:rsidRPr="00BF3D3E" w:rsidRDefault="00617533" w:rsidP="00AA741E">
      <w:pPr>
        <w:spacing w:after="0"/>
        <w:jc w:val="center"/>
        <w:rPr>
          <w:rFonts w:ascii="Times New Roman" w:hAnsi="Times New Roman"/>
          <w:b/>
          <w:sz w:val="24"/>
          <w:szCs w:val="24"/>
        </w:rPr>
      </w:pPr>
    </w:p>
    <w:p w14:paraId="7EA60412" w14:textId="77777777" w:rsidR="005D783E" w:rsidRPr="00BF3D3E" w:rsidRDefault="005D783E" w:rsidP="00AA741E">
      <w:pPr>
        <w:spacing w:after="0"/>
        <w:rPr>
          <w:rFonts w:ascii="Times New Roman" w:hAnsi="Times New Roman"/>
          <w:sz w:val="24"/>
          <w:szCs w:val="24"/>
        </w:rPr>
      </w:pPr>
    </w:p>
    <w:p w14:paraId="41F728C4" w14:textId="77777777" w:rsidR="005D783E" w:rsidRPr="00BF3D3E" w:rsidRDefault="005D783E" w:rsidP="00AA741E">
      <w:pPr>
        <w:spacing w:after="0"/>
        <w:rPr>
          <w:rFonts w:ascii="Times New Roman" w:hAnsi="Times New Roman"/>
          <w:i/>
          <w:sz w:val="24"/>
          <w:szCs w:val="24"/>
        </w:rPr>
      </w:pPr>
      <w:r w:rsidRPr="00BF3D3E">
        <w:rPr>
          <w:rFonts w:ascii="Times New Roman" w:hAnsi="Times New Roman"/>
          <w:i/>
          <w:sz w:val="24"/>
          <w:szCs w:val="24"/>
        </w:rPr>
        <w:t>Introduction</w:t>
      </w:r>
    </w:p>
    <w:p w14:paraId="41E3B55B" w14:textId="77777777" w:rsidR="005D783E" w:rsidRPr="00AA741E" w:rsidRDefault="005D783E" w:rsidP="00AA741E">
      <w:pPr>
        <w:spacing w:after="0"/>
        <w:rPr>
          <w:rFonts w:ascii="Times New Roman" w:eastAsia="Batang" w:hAnsi="Times New Roman"/>
          <w:sz w:val="24"/>
          <w:szCs w:val="24"/>
        </w:rPr>
      </w:pPr>
    </w:p>
    <w:p w14:paraId="2462304A" w14:textId="3062736C" w:rsidR="00BD0697" w:rsidRDefault="00BD0697" w:rsidP="00BD0697">
      <w:pPr>
        <w:pStyle w:val="NormalWeb"/>
        <w:spacing w:before="0" w:beforeAutospacing="0" w:after="0" w:afterAutospacing="0"/>
        <w:jc w:val="both"/>
        <w:rPr>
          <w:lang w:val="en-GB"/>
        </w:rPr>
      </w:pPr>
      <w:r>
        <w:rPr>
          <w:lang w:val="en-GB"/>
        </w:rPr>
        <w:t>Council Regulation (EC) No 1346/2000 of 29 May 2000 on insolvency proceedings</w:t>
      </w:r>
      <w:r>
        <w:rPr>
          <w:rStyle w:val="FootnoteReference"/>
          <w:lang w:val="en-GB"/>
        </w:rPr>
        <w:footnoteReference w:id="1"/>
      </w:r>
      <w:r>
        <w:rPr>
          <w:lang w:val="en-GB"/>
        </w:rPr>
        <w:t xml:space="preserve"> has been replaced by Regulation (EU) 2015/848 of the European Parliament and of the Council of 20 May 2015 on insolvency proceedings (recast) on 26 June 2017</w:t>
      </w:r>
      <w:r>
        <w:rPr>
          <w:rStyle w:val="FootnoteReference"/>
          <w:lang w:val="en-GB"/>
        </w:rPr>
        <w:footnoteReference w:id="2"/>
      </w:r>
      <w:r>
        <w:rPr>
          <w:lang w:val="en-GB"/>
        </w:rPr>
        <w:t xml:space="preserve"> (</w:t>
      </w:r>
      <w:r w:rsidR="00E37A5D">
        <w:rPr>
          <w:lang w:val="en-GB"/>
        </w:rPr>
        <w:t>“</w:t>
      </w:r>
      <w:r>
        <w:rPr>
          <w:lang w:val="en-GB"/>
        </w:rPr>
        <w:t>R</w:t>
      </w:r>
      <w:r>
        <w:rPr>
          <w:lang w:val="en-GB"/>
        </w:rPr>
        <w:t>ecast EIR</w:t>
      </w:r>
      <w:r w:rsidR="00E37A5D">
        <w:rPr>
          <w:lang w:val="en-GB"/>
        </w:rPr>
        <w:t>”</w:t>
      </w:r>
      <w:r>
        <w:rPr>
          <w:lang w:val="en-GB"/>
        </w:rPr>
        <w:t xml:space="preserve">). The </w:t>
      </w:r>
      <w:r>
        <w:rPr>
          <w:lang w:val="en-GB"/>
        </w:rPr>
        <w:t>R</w:t>
      </w:r>
      <w:r>
        <w:rPr>
          <w:lang w:val="en-GB"/>
        </w:rPr>
        <w:t xml:space="preserve">ecast EIR has not revolutionised European insolvency law. Instead, it codified the case law produced by European courts in the last more than one decade and addressed some further issues that emerged since the entry into force of the 2000 EIR. Notwithstanding, the </w:t>
      </w:r>
      <w:r w:rsidR="00694350">
        <w:rPr>
          <w:lang w:val="en-GB"/>
        </w:rPr>
        <w:t>Recast EIR</w:t>
      </w:r>
      <w:r>
        <w:rPr>
          <w:lang w:val="en-GB"/>
        </w:rPr>
        <w:t xml:space="preserve"> undoubtedly made it necessary to adjust the domestic insolvency regimes on some points.</w:t>
      </w:r>
    </w:p>
    <w:p w14:paraId="65E34033" w14:textId="77777777" w:rsidR="00BD0697" w:rsidRDefault="00BD0697" w:rsidP="00BD0697">
      <w:pPr>
        <w:pStyle w:val="NormalWeb"/>
        <w:spacing w:before="0" w:beforeAutospacing="0" w:after="0" w:afterAutospacing="0"/>
        <w:jc w:val="both"/>
        <w:rPr>
          <w:lang w:val="en-GB"/>
        </w:rPr>
      </w:pPr>
    </w:p>
    <w:p w14:paraId="5A22E301" w14:textId="0EF40F0A" w:rsidR="00BD0697" w:rsidRDefault="00BD0697" w:rsidP="00BD0697">
      <w:pPr>
        <w:pStyle w:val="NormalWeb"/>
        <w:spacing w:before="0" w:beforeAutospacing="0" w:after="0" w:afterAutospacing="0"/>
        <w:jc w:val="both"/>
        <w:rPr>
          <w:lang w:val="en-GB"/>
        </w:rPr>
      </w:pPr>
      <w:r>
        <w:rPr>
          <w:lang w:val="en-GB"/>
        </w:rPr>
        <w:t>The Hungarian Parliament adopted some amendments (</w:t>
      </w:r>
      <w:r w:rsidR="00E37A5D">
        <w:rPr>
          <w:lang w:val="en-GB"/>
        </w:rPr>
        <w:t>“</w:t>
      </w:r>
      <w:r>
        <w:rPr>
          <w:lang w:val="en-GB"/>
        </w:rPr>
        <w:t>Amendments</w:t>
      </w:r>
      <w:r w:rsidR="00E37A5D">
        <w:rPr>
          <w:lang w:val="en-GB"/>
        </w:rPr>
        <w:t>”</w:t>
      </w:r>
      <w:r>
        <w:rPr>
          <w:lang w:val="en-GB"/>
        </w:rPr>
        <w:t>) to the Hungarian Insolvency Act (</w:t>
      </w:r>
      <w:r w:rsidR="00E37A5D">
        <w:rPr>
          <w:lang w:val="en-GB"/>
        </w:rPr>
        <w:t>“</w:t>
      </w:r>
      <w:r>
        <w:rPr>
          <w:lang w:val="en-GB"/>
        </w:rPr>
        <w:t>HIA</w:t>
      </w:r>
      <w:r w:rsidR="00E37A5D">
        <w:rPr>
          <w:lang w:val="en-GB"/>
        </w:rPr>
        <w:t>”</w:t>
      </w:r>
      <w:r>
        <w:rPr>
          <w:lang w:val="en-GB"/>
        </w:rPr>
        <w:t>) in October 2017.</w:t>
      </w:r>
      <w:r>
        <w:rPr>
          <w:rStyle w:val="FootnoteReference"/>
          <w:lang w:val="en-GB"/>
        </w:rPr>
        <w:footnoteReference w:id="3"/>
      </w:r>
      <w:r>
        <w:rPr>
          <w:lang w:val="en-GB"/>
        </w:rPr>
        <w:t xml:space="preserve"> The purpose of the new legislation is to harmonise the domestic insolvency framework with the new provisions of the </w:t>
      </w:r>
      <w:r w:rsidR="00694350">
        <w:rPr>
          <w:lang w:val="en-GB"/>
        </w:rPr>
        <w:t>Recast EIR</w:t>
      </w:r>
      <w:r>
        <w:rPr>
          <w:lang w:val="en-GB"/>
        </w:rPr>
        <w:t xml:space="preserve">. While, admittedly, the legislative proposal went through significant improvements before adoption, there are still several legislative solutions that should be criticised. In this </w:t>
      </w:r>
      <w:r w:rsidR="00694350">
        <w:rPr>
          <w:lang w:val="en-GB"/>
        </w:rPr>
        <w:t>piece</w:t>
      </w:r>
      <w:r>
        <w:rPr>
          <w:lang w:val="en-GB"/>
        </w:rPr>
        <w:t>, some of those issues are pointed out.</w:t>
      </w:r>
    </w:p>
    <w:p w14:paraId="076B8E95" w14:textId="77777777" w:rsidR="00BD0697" w:rsidRDefault="00BD0697" w:rsidP="00BD0697">
      <w:pPr>
        <w:pStyle w:val="NormalWeb"/>
        <w:spacing w:before="0" w:beforeAutospacing="0" w:after="0" w:afterAutospacing="0"/>
        <w:jc w:val="both"/>
        <w:rPr>
          <w:lang w:val="en-GB"/>
        </w:rPr>
      </w:pPr>
      <w:bookmarkStart w:id="0" w:name="_GoBack"/>
      <w:bookmarkEnd w:id="0"/>
    </w:p>
    <w:p w14:paraId="4449AF36" w14:textId="1DFB22E7" w:rsidR="00BD0697" w:rsidRDefault="00BD0697" w:rsidP="00BD0697">
      <w:pPr>
        <w:pStyle w:val="NormalWeb"/>
        <w:spacing w:before="0" w:beforeAutospacing="0" w:after="0" w:afterAutospacing="0"/>
        <w:jc w:val="both"/>
        <w:rPr>
          <w:i/>
          <w:lang w:val="en-GB"/>
        </w:rPr>
      </w:pPr>
      <w:r>
        <w:rPr>
          <w:i/>
          <w:lang w:val="en-GB"/>
        </w:rPr>
        <w:t>Domestic Legislation in Relation to an EU Regulation?</w:t>
      </w:r>
    </w:p>
    <w:p w14:paraId="59D39696" w14:textId="77777777" w:rsidR="00BD0697" w:rsidRDefault="00BD0697" w:rsidP="00BD0697">
      <w:pPr>
        <w:pStyle w:val="NormalWeb"/>
        <w:spacing w:before="0" w:beforeAutospacing="0" w:after="0" w:afterAutospacing="0"/>
        <w:jc w:val="both"/>
        <w:rPr>
          <w:lang w:val="en-GB"/>
        </w:rPr>
      </w:pPr>
    </w:p>
    <w:p w14:paraId="2544EEE1" w14:textId="572B58C2" w:rsidR="00BD0697" w:rsidRDefault="00BD0697" w:rsidP="00BD0697">
      <w:pPr>
        <w:spacing w:after="0"/>
        <w:rPr>
          <w:rFonts w:ascii="Times New Roman" w:hAnsi="Times New Roman"/>
          <w:sz w:val="24"/>
        </w:rPr>
      </w:pPr>
      <w:r>
        <w:rPr>
          <w:rFonts w:ascii="Times New Roman" w:hAnsi="Times New Roman"/>
          <w:sz w:val="24"/>
        </w:rPr>
        <w:t>Article 288 of the TFEU</w:t>
      </w:r>
      <w:r>
        <w:rPr>
          <w:rStyle w:val="FootnoteReference"/>
          <w:rFonts w:ascii="Times New Roman" w:hAnsi="Times New Roman"/>
          <w:sz w:val="24"/>
        </w:rPr>
        <w:footnoteReference w:id="4"/>
      </w:r>
      <w:r>
        <w:rPr>
          <w:rFonts w:ascii="Times New Roman" w:hAnsi="Times New Roman"/>
          <w:sz w:val="24"/>
        </w:rPr>
        <w:t xml:space="preserve"> provides that regulations have general application. They shall be binding in their entirety and directly applicable in all member states. The CJEU has addressed </w:t>
      </w:r>
      <w:r>
        <w:rPr>
          <w:rFonts w:ascii="Times New Roman" w:hAnsi="Times New Roman"/>
          <w:sz w:val="24"/>
        </w:rPr>
        <w:lastRenderedPageBreak/>
        <w:t>the question of direct applicability in several rulings.</w:t>
      </w:r>
      <w:r>
        <w:rPr>
          <w:rStyle w:val="FootnoteReference"/>
          <w:rFonts w:ascii="Times New Roman" w:hAnsi="Times New Roman"/>
          <w:sz w:val="24"/>
        </w:rPr>
        <w:footnoteReference w:id="5"/>
      </w:r>
      <w:r>
        <w:rPr>
          <w:rFonts w:ascii="Times New Roman" w:hAnsi="Times New Roman"/>
          <w:sz w:val="24"/>
        </w:rPr>
        <w:t xml:space="preserve"> In the </w:t>
      </w:r>
      <w:r>
        <w:rPr>
          <w:rFonts w:ascii="Times New Roman" w:hAnsi="Times New Roman"/>
          <w:i/>
          <w:sz w:val="24"/>
        </w:rPr>
        <w:t>Variola</w:t>
      </w:r>
      <w:r>
        <w:rPr>
          <w:rFonts w:ascii="Times New Roman" w:hAnsi="Times New Roman"/>
          <w:sz w:val="24"/>
        </w:rPr>
        <w:t xml:space="preserve"> case,</w:t>
      </w:r>
      <w:r>
        <w:rPr>
          <w:rStyle w:val="FootnoteReference"/>
          <w:rFonts w:ascii="Times New Roman" w:hAnsi="Times New Roman"/>
          <w:sz w:val="24"/>
        </w:rPr>
        <w:footnoteReference w:id="6"/>
      </w:r>
      <w:r>
        <w:rPr>
          <w:rFonts w:ascii="Times New Roman" w:hAnsi="Times New Roman"/>
          <w:sz w:val="24"/>
        </w:rPr>
        <w:t xml:space="preserve"> the CJEU explained that the direct application of a </w:t>
      </w:r>
      <w:r w:rsidR="00694350">
        <w:rPr>
          <w:rFonts w:ascii="Times New Roman" w:hAnsi="Times New Roman"/>
          <w:sz w:val="24"/>
        </w:rPr>
        <w:t>r</w:t>
      </w:r>
      <w:r>
        <w:rPr>
          <w:rFonts w:ascii="Times New Roman" w:hAnsi="Times New Roman"/>
          <w:sz w:val="24"/>
        </w:rPr>
        <w:t>egulation means that its entry into force and its application in favour of or against those subject to it are independent of any measure of reception into national law. By virtue of the obligations arising from the Treaty and assumed on ratification, member states are under a duty not to obstruct the direct applicability inherent in regulations and other rules of Community law. Strict compliance with this obligation is an indispensable condition of simultaneous and uniform application of community regulations throughout the EU.</w:t>
      </w:r>
      <w:r>
        <w:t xml:space="preserve"> </w:t>
      </w:r>
      <w:r>
        <w:rPr>
          <w:rFonts w:ascii="Times New Roman" w:hAnsi="Times New Roman"/>
          <w:sz w:val="24"/>
        </w:rPr>
        <w:t>In practical terms</w:t>
      </w:r>
      <w:r w:rsidR="00694350">
        <w:rPr>
          <w:rFonts w:ascii="Times New Roman" w:hAnsi="Times New Roman"/>
          <w:sz w:val="24"/>
        </w:rPr>
        <w:t>,</w:t>
      </w:r>
      <w:r>
        <w:rPr>
          <w:rFonts w:ascii="Times New Roman" w:hAnsi="Times New Roman"/>
          <w:sz w:val="24"/>
        </w:rPr>
        <w:t xml:space="preserve"> it means that national laws may not reproduce or repeat provisions of EU legislation and any such reproduction would amount to a breach of EU law.</w:t>
      </w:r>
      <w:r>
        <w:rPr>
          <w:rStyle w:val="FootnoteReference"/>
          <w:rFonts w:ascii="Times New Roman" w:hAnsi="Times New Roman"/>
          <w:sz w:val="24"/>
        </w:rPr>
        <w:footnoteReference w:id="7"/>
      </w:r>
    </w:p>
    <w:p w14:paraId="608D0747" w14:textId="77777777" w:rsidR="00BD0697" w:rsidRDefault="00BD0697" w:rsidP="00BD0697">
      <w:pPr>
        <w:spacing w:after="0"/>
        <w:rPr>
          <w:rFonts w:ascii="Times New Roman" w:hAnsi="Times New Roman"/>
          <w:sz w:val="24"/>
        </w:rPr>
      </w:pPr>
    </w:p>
    <w:p w14:paraId="1D5D0AF5" w14:textId="77777777" w:rsidR="00BD0697" w:rsidRDefault="00BD0697" w:rsidP="00BD0697">
      <w:pPr>
        <w:spacing w:after="0"/>
        <w:rPr>
          <w:rFonts w:ascii="Times New Roman" w:hAnsi="Times New Roman"/>
          <w:sz w:val="24"/>
        </w:rPr>
      </w:pPr>
      <w:r>
        <w:rPr>
          <w:rFonts w:ascii="Times New Roman" w:hAnsi="Times New Roman"/>
          <w:sz w:val="24"/>
        </w:rPr>
        <w:t>The case law of the CJEU does not completely prevent member states from exercising some legislative powers in relation to EU regulations, however. Although it is true that in the event of difficulty of interpretation the national administration may be led to adopt detailed rules for the application of a Community regulation and at the same time to clarify any doubts raised, it can do so only in so far as it complies with the provisions of Community law and the national authorities cannot issue binding rules of interpretation.</w:t>
      </w:r>
      <w:r>
        <w:rPr>
          <w:rStyle w:val="FootnoteReference"/>
          <w:rFonts w:ascii="Times New Roman" w:hAnsi="Times New Roman"/>
          <w:sz w:val="24"/>
        </w:rPr>
        <w:footnoteReference w:id="8"/>
      </w:r>
      <w:r>
        <w:t xml:space="preserve"> </w:t>
      </w:r>
      <w:r>
        <w:rPr>
          <w:rFonts w:ascii="Times New Roman" w:hAnsi="Times New Roman"/>
          <w:sz w:val="24"/>
        </w:rPr>
        <w:t>The settled case-law suggests that member states may adopt rules for the application of a regulation if they do not obstruct its direct applicability and do not conceal its Community nature, and if they specify that a discretion granted to them by that regulation is being exercised, provided that they adhere to the parameters laid down under it.</w:t>
      </w:r>
      <w:r>
        <w:rPr>
          <w:rStyle w:val="FootnoteReference"/>
          <w:rFonts w:ascii="Times New Roman" w:hAnsi="Times New Roman"/>
          <w:sz w:val="24"/>
        </w:rPr>
        <w:footnoteReference w:id="9"/>
      </w:r>
    </w:p>
    <w:p w14:paraId="157A1C84" w14:textId="77777777" w:rsidR="00BD0697" w:rsidRDefault="00BD0697" w:rsidP="00BD0697">
      <w:pPr>
        <w:spacing w:after="0"/>
        <w:rPr>
          <w:rFonts w:ascii="Times New Roman" w:hAnsi="Times New Roman"/>
          <w:sz w:val="24"/>
        </w:rPr>
      </w:pPr>
    </w:p>
    <w:p w14:paraId="08A4C0AF" w14:textId="1D57004A" w:rsidR="00BD0697" w:rsidRDefault="00694350" w:rsidP="00BD0697">
      <w:pPr>
        <w:spacing w:after="0"/>
        <w:rPr>
          <w:rFonts w:ascii="Times New Roman" w:hAnsi="Times New Roman"/>
          <w:sz w:val="24"/>
        </w:rPr>
      </w:pPr>
      <w:r>
        <w:rPr>
          <w:rFonts w:ascii="Times New Roman" w:hAnsi="Times New Roman"/>
          <w:sz w:val="24"/>
        </w:rPr>
        <w:t xml:space="preserve">In that light, </w:t>
      </w:r>
      <w:r w:rsidR="00BD0697">
        <w:rPr>
          <w:rFonts w:ascii="Times New Roman" w:hAnsi="Times New Roman"/>
          <w:sz w:val="24"/>
        </w:rPr>
        <w:t>Article 291(1) of the TFEU states that member states shall adopt all measures of national law necessary to implement legally binding Union acts (like regulations). Also</w:t>
      </w:r>
      <w:r>
        <w:rPr>
          <w:rFonts w:ascii="Times New Roman" w:hAnsi="Times New Roman"/>
          <w:sz w:val="24"/>
        </w:rPr>
        <w:t>,</w:t>
      </w:r>
      <w:r w:rsidR="00BD0697">
        <w:rPr>
          <w:rFonts w:ascii="Times New Roman" w:hAnsi="Times New Roman"/>
          <w:sz w:val="24"/>
        </w:rPr>
        <w:t xml:space="preserve"> the </w:t>
      </w:r>
      <w:r>
        <w:rPr>
          <w:rFonts w:ascii="Times New Roman" w:hAnsi="Times New Roman"/>
          <w:sz w:val="24"/>
        </w:rPr>
        <w:t>Recast EIR</w:t>
      </w:r>
      <w:r w:rsidR="00BD0697">
        <w:rPr>
          <w:rFonts w:ascii="Times New Roman" w:hAnsi="Times New Roman"/>
          <w:sz w:val="24"/>
        </w:rPr>
        <w:t xml:space="preserve"> itself explicitly refers to measures of the domestic legislations being necessary in the context of </w:t>
      </w:r>
      <w:r w:rsidR="00E37A5D">
        <w:rPr>
          <w:rFonts w:ascii="Times New Roman" w:hAnsi="Times New Roman"/>
          <w:sz w:val="24"/>
        </w:rPr>
        <w:t>“</w:t>
      </w:r>
      <w:r w:rsidR="00BD0697">
        <w:rPr>
          <w:rFonts w:ascii="Times New Roman" w:hAnsi="Times New Roman"/>
          <w:sz w:val="24"/>
        </w:rPr>
        <w:t>implementing</w:t>
      </w:r>
      <w:r w:rsidR="00E37A5D">
        <w:rPr>
          <w:rFonts w:ascii="Times New Roman" w:hAnsi="Times New Roman"/>
          <w:sz w:val="24"/>
        </w:rPr>
        <w:t>”</w:t>
      </w:r>
      <w:r w:rsidR="00BD0697">
        <w:rPr>
          <w:rFonts w:ascii="Times New Roman" w:hAnsi="Times New Roman"/>
          <w:sz w:val="24"/>
        </w:rPr>
        <w:t xml:space="preserve"> the </w:t>
      </w:r>
      <w:r>
        <w:rPr>
          <w:rFonts w:ascii="Times New Roman" w:hAnsi="Times New Roman"/>
          <w:sz w:val="24"/>
        </w:rPr>
        <w:t>Recast EIR</w:t>
      </w:r>
      <w:r w:rsidR="00BD0697">
        <w:rPr>
          <w:rFonts w:ascii="Times New Roman" w:hAnsi="Times New Roman"/>
          <w:sz w:val="24"/>
        </w:rPr>
        <w:t>.</w:t>
      </w:r>
      <w:r w:rsidR="00BD0697">
        <w:rPr>
          <w:rStyle w:val="FootnoteReference"/>
          <w:rFonts w:ascii="Times New Roman" w:hAnsi="Times New Roman"/>
          <w:sz w:val="24"/>
        </w:rPr>
        <w:footnoteReference w:id="10"/>
      </w:r>
    </w:p>
    <w:p w14:paraId="3380AD0D" w14:textId="77777777" w:rsidR="00BD0697" w:rsidRDefault="00BD0697" w:rsidP="00BD0697">
      <w:pPr>
        <w:spacing w:after="0"/>
        <w:rPr>
          <w:rFonts w:ascii="Times New Roman" w:hAnsi="Times New Roman"/>
          <w:sz w:val="24"/>
        </w:rPr>
      </w:pPr>
    </w:p>
    <w:p w14:paraId="6A7B9D64" w14:textId="525ECC2C" w:rsidR="00BD0697" w:rsidRDefault="00BD0697" w:rsidP="00BD0697">
      <w:pPr>
        <w:spacing w:after="0"/>
        <w:rPr>
          <w:rFonts w:ascii="Times New Roman" w:hAnsi="Times New Roman"/>
          <w:i/>
          <w:sz w:val="24"/>
        </w:rPr>
      </w:pPr>
      <w:r>
        <w:rPr>
          <w:rFonts w:ascii="Times New Roman" w:hAnsi="Times New Roman"/>
          <w:i/>
          <w:sz w:val="24"/>
        </w:rPr>
        <w:t xml:space="preserve">The Definition of the </w:t>
      </w:r>
      <w:r w:rsidR="00E37A5D">
        <w:rPr>
          <w:rFonts w:ascii="Times New Roman" w:hAnsi="Times New Roman"/>
          <w:i/>
          <w:sz w:val="24"/>
        </w:rPr>
        <w:t>“</w:t>
      </w:r>
      <w:r>
        <w:rPr>
          <w:rFonts w:ascii="Times New Roman" w:hAnsi="Times New Roman"/>
          <w:i/>
          <w:sz w:val="24"/>
        </w:rPr>
        <w:t>Insolvency Practitioner</w:t>
      </w:r>
      <w:r w:rsidR="00E37A5D">
        <w:rPr>
          <w:rFonts w:ascii="Times New Roman" w:hAnsi="Times New Roman"/>
          <w:i/>
          <w:sz w:val="24"/>
        </w:rPr>
        <w:t>”</w:t>
      </w:r>
    </w:p>
    <w:p w14:paraId="23520515" w14:textId="77777777" w:rsidR="00BD0697" w:rsidRDefault="00BD0697" w:rsidP="00BD0697">
      <w:pPr>
        <w:spacing w:after="0"/>
        <w:rPr>
          <w:rFonts w:ascii="Times New Roman" w:hAnsi="Times New Roman"/>
          <w:i/>
          <w:sz w:val="24"/>
        </w:rPr>
      </w:pPr>
    </w:p>
    <w:p w14:paraId="1C99C4DB" w14:textId="7FAE305B" w:rsidR="00BD0697" w:rsidRDefault="00BD0697" w:rsidP="00BD0697">
      <w:pPr>
        <w:spacing w:after="0"/>
        <w:rPr>
          <w:rFonts w:ascii="Times New Roman" w:hAnsi="Times New Roman"/>
          <w:sz w:val="24"/>
        </w:rPr>
      </w:pPr>
      <w:r>
        <w:rPr>
          <w:rFonts w:ascii="Times New Roman" w:hAnsi="Times New Roman"/>
          <w:sz w:val="24"/>
        </w:rPr>
        <w:t xml:space="preserve">Article 2(5) of the </w:t>
      </w:r>
      <w:r w:rsidR="00694350">
        <w:rPr>
          <w:rFonts w:ascii="Times New Roman" w:hAnsi="Times New Roman"/>
          <w:sz w:val="24"/>
        </w:rPr>
        <w:t>R</w:t>
      </w:r>
      <w:r>
        <w:rPr>
          <w:rFonts w:ascii="Times New Roman" w:hAnsi="Times New Roman"/>
          <w:sz w:val="24"/>
        </w:rPr>
        <w:t xml:space="preserve">ecast EIR defines the characteristics of the insolvency practitioners. However, those elements of the legal definition bears relevance, mainly, for the EU legislators when listing insolvency practitioners in Annex B of the </w:t>
      </w:r>
      <w:r w:rsidR="00694350">
        <w:rPr>
          <w:rFonts w:ascii="Times New Roman" w:hAnsi="Times New Roman"/>
          <w:sz w:val="24"/>
        </w:rPr>
        <w:t>R</w:t>
      </w:r>
      <w:r>
        <w:rPr>
          <w:rFonts w:ascii="Times New Roman" w:hAnsi="Times New Roman"/>
          <w:sz w:val="24"/>
        </w:rPr>
        <w:t>ecast EIR.</w:t>
      </w:r>
      <w:r>
        <w:rPr>
          <w:rStyle w:val="FootnoteReference"/>
          <w:rFonts w:ascii="Times New Roman" w:hAnsi="Times New Roman"/>
          <w:sz w:val="24"/>
        </w:rPr>
        <w:footnoteReference w:id="11"/>
      </w:r>
      <w:r>
        <w:rPr>
          <w:rFonts w:ascii="Times New Roman" w:hAnsi="Times New Roman"/>
          <w:sz w:val="24"/>
        </w:rPr>
        <w:t xml:space="preserve"> Namely, the list provided in Annex B is exhaustive</w:t>
      </w:r>
      <w:r w:rsidR="00694350">
        <w:rPr>
          <w:rFonts w:ascii="Times New Roman" w:hAnsi="Times New Roman"/>
          <w:sz w:val="24"/>
        </w:rPr>
        <w:t>;</w:t>
      </w:r>
      <w:r>
        <w:rPr>
          <w:rFonts w:ascii="Times New Roman" w:hAnsi="Times New Roman"/>
          <w:sz w:val="24"/>
        </w:rPr>
        <w:t xml:space="preserve"> therefore, only those persons and bodies who are listed in Annex B qualify as insolvency practitioners in the system of the </w:t>
      </w:r>
      <w:r w:rsidR="00694350">
        <w:rPr>
          <w:rFonts w:ascii="Times New Roman" w:hAnsi="Times New Roman"/>
          <w:sz w:val="24"/>
        </w:rPr>
        <w:t>R</w:t>
      </w:r>
      <w:r>
        <w:rPr>
          <w:rFonts w:ascii="Times New Roman" w:hAnsi="Times New Roman"/>
          <w:sz w:val="24"/>
        </w:rPr>
        <w:t>ecast EIR.</w:t>
      </w:r>
      <w:r>
        <w:rPr>
          <w:rStyle w:val="FootnoteReference"/>
          <w:rFonts w:ascii="Times New Roman" w:hAnsi="Times New Roman"/>
          <w:sz w:val="24"/>
        </w:rPr>
        <w:footnoteReference w:id="12"/>
      </w:r>
    </w:p>
    <w:p w14:paraId="5221D14F" w14:textId="77777777" w:rsidR="00BD0697" w:rsidRDefault="00BD0697" w:rsidP="00BD0697">
      <w:pPr>
        <w:spacing w:after="0"/>
        <w:rPr>
          <w:rFonts w:ascii="Times New Roman" w:hAnsi="Times New Roman"/>
          <w:sz w:val="24"/>
        </w:rPr>
      </w:pPr>
    </w:p>
    <w:p w14:paraId="7667B609" w14:textId="5909F637" w:rsidR="00BD0697" w:rsidRDefault="00BD0697" w:rsidP="00BD0697">
      <w:pPr>
        <w:spacing w:after="0"/>
        <w:rPr>
          <w:rFonts w:ascii="Times New Roman" w:hAnsi="Times New Roman"/>
          <w:sz w:val="24"/>
        </w:rPr>
      </w:pPr>
      <w:r>
        <w:rPr>
          <w:rFonts w:ascii="Times New Roman" w:hAnsi="Times New Roman"/>
          <w:sz w:val="24"/>
        </w:rPr>
        <w:t xml:space="preserve">In the context of Hungary, Annex B indicates only </w:t>
      </w:r>
      <w:r w:rsidR="00E37A5D">
        <w:rPr>
          <w:rFonts w:ascii="Times New Roman" w:hAnsi="Times New Roman"/>
          <w:i/>
          <w:sz w:val="24"/>
        </w:rPr>
        <w:t>“</w:t>
      </w:r>
      <w:r>
        <w:rPr>
          <w:rFonts w:ascii="Times New Roman" w:hAnsi="Times New Roman"/>
          <w:i/>
          <w:sz w:val="24"/>
        </w:rPr>
        <w:t>felszámoló</w:t>
      </w:r>
      <w:r w:rsidR="00E37A5D">
        <w:rPr>
          <w:rFonts w:ascii="Times New Roman" w:hAnsi="Times New Roman"/>
          <w:i/>
          <w:sz w:val="24"/>
        </w:rPr>
        <w:t>”</w:t>
      </w:r>
      <w:r>
        <w:rPr>
          <w:rFonts w:ascii="Times New Roman" w:hAnsi="Times New Roman"/>
          <w:sz w:val="24"/>
        </w:rPr>
        <w:t xml:space="preserve"> and </w:t>
      </w:r>
      <w:r w:rsidR="00E37A5D">
        <w:rPr>
          <w:rFonts w:ascii="Times New Roman" w:hAnsi="Times New Roman"/>
          <w:i/>
          <w:sz w:val="24"/>
        </w:rPr>
        <w:t>“</w:t>
      </w:r>
      <w:r>
        <w:rPr>
          <w:rFonts w:ascii="Times New Roman" w:hAnsi="Times New Roman"/>
          <w:i/>
          <w:sz w:val="24"/>
        </w:rPr>
        <w:t>vagyonfelügyelő</w:t>
      </w:r>
      <w:r w:rsidR="00E37A5D">
        <w:rPr>
          <w:rFonts w:ascii="Times New Roman" w:hAnsi="Times New Roman"/>
          <w:i/>
          <w:sz w:val="24"/>
        </w:rPr>
        <w:t>”</w:t>
      </w:r>
      <w:r>
        <w:rPr>
          <w:rFonts w:ascii="Times New Roman" w:hAnsi="Times New Roman"/>
          <w:i/>
          <w:sz w:val="24"/>
        </w:rPr>
        <w:t xml:space="preserve">. Felszámoló </w:t>
      </w:r>
      <w:r>
        <w:rPr>
          <w:rFonts w:ascii="Times New Roman" w:hAnsi="Times New Roman"/>
          <w:sz w:val="24"/>
        </w:rPr>
        <w:t>(liquidator) refers to the body who is responsible for the collection, realisation and distribution of assets, registering creditors</w:t>
      </w:r>
      <w:r w:rsidR="00E37A5D">
        <w:rPr>
          <w:rFonts w:ascii="Times New Roman" w:hAnsi="Times New Roman"/>
          <w:sz w:val="24"/>
        </w:rPr>
        <w:t>’</w:t>
      </w:r>
      <w:r>
        <w:rPr>
          <w:rFonts w:ascii="Times New Roman" w:hAnsi="Times New Roman"/>
          <w:sz w:val="24"/>
        </w:rPr>
        <w:t xml:space="preserve"> claims and operating the debtor</w:t>
      </w:r>
      <w:r w:rsidR="00E37A5D">
        <w:rPr>
          <w:rFonts w:ascii="Times New Roman" w:hAnsi="Times New Roman"/>
          <w:sz w:val="24"/>
        </w:rPr>
        <w:t>’</w:t>
      </w:r>
      <w:r>
        <w:rPr>
          <w:rFonts w:ascii="Times New Roman" w:hAnsi="Times New Roman"/>
          <w:sz w:val="24"/>
        </w:rPr>
        <w:t>s business on a temporary basis in the course of insolvent liquidation proceedings (</w:t>
      </w:r>
      <w:r w:rsidR="00E37A5D">
        <w:rPr>
          <w:rFonts w:ascii="Times New Roman" w:hAnsi="Times New Roman"/>
          <w:sz w:val="24"/>
        </w:rPr>
        <w:t>“</w:t>
      </w:r>
      <w:r>
        <w:rPr>
          <w:rFonts w:ascii="Times New Roman" w:hAnsi="Times New Roman"/>
          <w:i/>
          <w:sz w:val="24"/>
        </w:rPr>
        <w:t>felszámolás</w:t>
      </w:r>
      <w:r w:rsidR="00E37A5D">
        <w:rPr>
          <w:rFonts w:ascii="Times New Roman" w:hAnsi="Times New Roman"/>
          <w:sz w:val="24"/>
        </w:rPr>
        <w:t>”</w:t>
      </w:r>
      <w:r>
        <w:rPr>
          <w:rFonts w:ascii="Times New Roman" w:hAnsi="Times New Roman"/>
          <w:sz w:val="24"/>
        </w:rPr>
        <w:t xml:space="preserve">). On the other hand, </w:t>
      </w:r>
      <w:r>
        <w:rPr>
          <w:rFonts w:ascii="Times New Roman" w:hAnsi="Times New Roman"/>
          <w:i/>
          <w:sz w:val="24"/>
        </w:rPr>
        <w:t>vagyonfelügyelő</w:t>
      </w:r>
      <w:r>
        <w:rPr>
          <w:rFonts w:ascii="Times New Roman" w:hAnsi="Times New Roman"/>
          <w:sz w:val="24"/>
        </w:rPr>
        <w:t xml:space="preserve"> (administrator) supervises the debtor</w:t>
      </w:r>
      <w:r w:rsidR="00E37A5D">
        <w:rPr>
          <w:rFonts w:ascii="Times New Roman" w:hAnsi="Times New Roman"/>
          <w:sz w:val="24"/>
        </w:rPr>
        <w:t>’</w:t>
      </w:r>
      <w:r>
        <w:rPr>
          <w:rFonts w:ascii="Times New Roman" w:hAnsi="Times New Roman"/>
          <w:sz w:val="24"/>
        </w:rPr>
        <w:t>s activity in the event of solvent liquidation proceedings (</w:t>
      </w:r>
      <w:r>
        <w:rPr>
          <w:rFonts w:ascii="Times New Roman" w:hAnsi="Times New Roman"/>
          <w:i/>
          <w:sz w:val="24"/>
        </w:rPr>
        <w:t>csődeljárás</w:t>
      </w:r>
      <w:r>
        <w:rPr>
          <w:rFonts w:ascii="Times New Roman" w:hAnsi="Times New Roman"/>
          <w:sz w:val="24"/>
        </w:rPr>
        <w:t>).</w:t>
      </w:r>
    </w:p>
    <w:p w14:paraId="03BF7E85" w14:textId="77777777" w:rsidR="00BD0697" w:rsidRDefault="00BD0697" w:rsidP="00BD0697">
      <w:pPr>
        <w:spacing w:after="0"/>
        <w:rPr>
          <w:rFonts w:ascii="Times New Roman" w:hAnsi="Times New Roman"/>
          <w:sz w:val="24"/>
        </w:rPr>
      </w:pPr>
    </w:p>
    <w:p w14:paraId="6465628C" w14:textId="7D82173D" w:rsidR="00BD0697" w:rsidRDefault="00BD0697" w:rsidP="00BD0697">
      <w:pPr>
        <w:spacing w:after="0"/>
        <w:rPr>
          <w:rFonts w:ascii="Times New Roman" w:hAnsi="Times New Roman"/>
          <w:sz w:val="24"/>
        </w:rPr>
      </w:pPr>
      <w:r>
        <w:rPr>
          <w:rFonts w:ascii="Times New Roman" w:hAnsi="Times New Roman"/>
          <w:sz w:val="24"/>
        </w:rPr>
        <w:t xml:space="preserve">By contrast, the Amendments extend the concept of </w:t>
      </w:r>
      <w:r>
        <w:rPr>
          <w:rFonts w:ascii="Times New Roman" w:hAnsi="Times New Roman"/>
          <w:i/>
          <w:sz w:val="24"/>
        </w:rPr>
        <w:t>felszámoló</w:t>
      </w:r>
      <w:r>
        <w:rPr>
          <w:rFonts w:ascii="Times New Roman" w:hAnsi="Times New Roman"/>
          <w:sz w:val="24"/>
        </w:rPr>
        <w:t xml:space="preserve"> (liquidator) in order that it consists also of </w:t>
      </w:r>
      <w:r w:rsidR="00E37A5D">
        <w:rPr>
          <w:rFonts w:ascii="Times New Roman" w:hAnsi="Times New Roman"/>
          <w:i/>
          <w:sz w:val="24"/>
        </w:rPr>
        <w:t>“</w:t>
      </w:r>
      <w:r>
        <w:rPr>
          <w:rFonts w:ascii="Times New Roman" w:hAnsi="Times New Roman"/>
          <w:i/>
          <w:sz w:val="24"/>
        </w:rPr>
        <w:t>ideiglenes vagyonfelügyelő</w:t>
      </w:r>
      <w:r w:rsidR="00E37A5D">
        <w:rPr>
          <w:rFonts w:ascii="Times New Roman" w:hAnsi="Times New Roman"/>
          <w:i/>
          <w:sz w:val="24"/>
        </w:rPr>
        <w:t>”</w:t>
      </w:r>
      <w:r>
        <w:rPr>
          <w:rFonts w:ascii="Times New Roman" w:hAnsi="Times New Roman"/>
          <w:sz w:val="24"/>
        </w:rPr>
        <w:t xml:space="preserve"> (provisional administrator) and </w:t>
      </w:r>
      <w:r w:rsidR="00E37A5D">
        <w:rPr>
          <w:rFonts w:ascii="Times New Roman" w:hAnsi="Times New Roman"/>
          <w:i/>
          <w:sz w:val="24"/>
        </w:rPr>
        <w:t>“</w:t>
      </w:r>
      <w:r>
        <w:rPr>
          <w:rFonts w:ascii="Times New Roman" w:hAnsi="Times New Roman"/>
          <w:i/>
          <w:sz w:val="24"/>
        </w:rPr>
        <w:t>rendkívüli vagyonfelügyelő</w:t>
      </w:r>
      <w:r w:rsidR="00E37A5D">
        <w:rPr>
          <w:rFonts w:ascii="Times New Roman" w:hAnsi="Times New Roman"/>
          <w:i/>
          <w:sz w:val="24"/>
        </w:rPr>
        <w:t>”</w:t>
      </w:r>
      <w:r>
        <w:rPr>
          <w:rFonts w:ascii="Times New Roman" w:hAnsi="Times New Roman"/>
          <w:sz w:val="24"/>
        </w:rPr>
        <w:t xml:space="preserve"> (extraordinary administrator). While it is true that those latter persons are appointed from among the list of qualified liquidators, the position of the </w:t>
      </w:r>
      <w:r>
        <w:rPr>
          <w:rFonts w:ascii="Times New Roman" w:hAnsi="Times New Roman"/>
          <w:i/>
          <w:sz w:val="24"/>
        </w:rPr>
        <w:t>ideiglenes vagyonfelügyelő</w:t>
      </w:r>
      <w:r>
        <w:rPr>
          <w:rFonts w:ascii="Times New Roman" w:hAnsi="Times New Roman"/>
          <w:sz w:val="24"/>
        </w:rPr>
        <w:t xml:space="preserve"> (provisional administrator) and </w:t>
      </w:r>
      <w:r>
        <w:rPr>
          <w:rFonts w:ascii="Times New Roman" w:hAnsi="Times New Roman"/>
          <w:i/>
          <w:sz w:val="24"/>
        </w:rPr>
        <w:t>rendkívüli vagyonfelügyelő</w:t>
      </w:r>
      <w:r>
        <w:rPr>
          <w:rFonts w:ascii="Times New Roman" w:hAnsi="Times New Roman"/>
          <w:sz w:val="24"/>
        </w:rPr>
        <w:t xml:space="preserve"> (extraordinary administrator) is certainly different from that of the </w:t>
      </w:r>
      <w:r>
        <w:rPr>
          <w:rFonts w:ascii="Times New Roman" w:hAnsi="Times New Roman"/>
          <w:i/>
          <w:sz w:val="24"/>
        </w:rPr>
        <w:t>felszámoló</w:t>
      </w:r>
      <w:r>
        <w:rPr>
          <w:rFonts w:ascii="Times New Roman" w:hAnsi="Times New Roman"/>
          <w:sz w:val="24"/>
        </w:rPr>
        <w:t xml:space="preserve"> (liquidator) in the system of the HIA. In other words, the Hungarian legislator attempted to bring those categories of insolvency practitioners under the umbrella of the </w:t>
      </w:r>
      <w:r w:rsidR="00694350">
        <w:rPr>
          <w:rFonts w:ascii="Times New Roman" w:hAnsi="Times New Roman"/>
          <w:sz w:val="24"/>
        </w:rPr>
        <w:t>Recast EIR</w:t>
      </w:r>
      <w:r>
        <w:rPr>
          <w:rFonts w:ascii="Times New Roman" w:hAnsi="Times New Roman"/>
          <w:sz w:val="24"/>
        </w:rPr>
        <w:t xml:space="preserve"> through the back door.</w:t>
      </w:r>
    </w:p>
    <w:p w14:paraId="20827179" w14:textId="77777777" w:rsidR="00BD0697" w:rsidRDefault="00BD0697" w:rsidP="00BD0697">
      <w:pPr>
        <w:spacing w:after="0"/>
        <w:rPr>
          <w:rFonts w:ascii="Times New Roman" w:hAnsi="Times New Roman"/>
          <w:sz w:val="24"/>
        </w:rPr>
      </w:pPr>
    </w:p>
    <w:p w14:paraId="4747F5EA" w14:textId="0A008ECE" w:rsidR="00BD0697" w:rsidRDefault="00BD0697" w:rsidP="00BD0697">
      <w:pPr>
        <w:spacing w:after="0"/>
        <w:rPr>
          <w:rFonts w:ascii="Times New Roman" w:hAnsi="Times New Roman"/>
          <w:sz w:val="24"/>
        </w:rPr>
      </w:pPr>
      <w:r>
        <w:rPr>
          <w:rFonts w:ascii="Times New Roman" w:hAnsi="Times New Roman"/>
          <w:sz w:val="24"/>
        </w:rPr>
        <w:t>Domestic legislation may not expand the scope of a definition used by an EU instrument. That would be in clear conflict with the requirement of simultaneous and uniform application of Community regulations throughout the EU.</w:t>
      </w:r>
      <w:r>
        <w:rPr>
          <w:rStyle w:val="FootnoteReference"/>
          <w:rFonts w:ascii="Times New Roman" w:hAnsi="Times New Roman"/>
          <w:sz w:val="24"/>
        </w:rPr>
        <w:footnoteReference w:id="13"/>
      </w:r>
      <w:r>
        <w:rPr>
          <w:rFonts w:ascii="Times New Roman" w:hAnsi="Times New Roman"/>
          <w:sz w:val="24"/>
        </w:rPr>
        <w:t xml:space="preserve"> Therefore, it is highly questionable if those categories of Hungarian insolvency practitioners not listed in Annex B will qualify as insolvency practitioners in the context of the </w:t>
      </w:r>
      <w:r w:rsidR="00694350">
        <w:rPr>
          <w:rFonts w:ascii="Times New Roman" w:hAnsi="Times New Roman"/>
          <w:sz w:val="24"/>
        </w:rPr>
        <w:t>Recast EIR</w:t>
      </w:r>
      <w:r>
        <w:rPr>
          <w:rFonts w:ascii="Times New Roman" w:hAnsi="Times New Roman"/>
          <w:sz w:val="24"/>
        </w:rPr>
        <w:t>.</w:t>
      </w:r>
    </w:p>
    <w:p w14:paraId="2EB1EC5F" w14:textId="77777777" w:rsidR="00BD0697" w:rsidRDefault="00BD0697" w:rsidP="00BD0697">
      <w:pPr>
        <w:spacing w:after="0"/>
        <w:rPr>
          <w:rFonts w:ascii="Times New Roman" w:hAnsi="Times New Roman"/>
          <w:sz w:val="24"/>
        </w:rPr>
      </w:pPr>
    </w:p>
    <w:p w14:paraId="7AC5D498" w14:textId="77777777" w:rsidR="00BD0697" w:rsidRDefault="00BD0697" w:rsidP="00BD0697">
      <w:pPr>
        <w:spacing w:after="0"/>
        <w:rPr>
          <w:rFonts w:ascii="Times New Roman" w:hAnsi="Times New Roman"/>
          <w:i/>
          <w:sz w:val="24"/>
        </w:rPr>
      </w:pPr>
      <w:r>
        <w:rPr>
          <w:rFonts w:ascii="Times New Roman" w:hAnsi="Times New Roman"/>
          <w:i/>
          <w:sz w:val="24"/>
        </w:rPr>
        <w:t>The Definition of the Debtor</w:t>
      </w:r>
    </w:p>
    <w:p w14:paraId="1279D47E" w14:textId="77777777" w:rsidR="00BD0697" w:rsidRDefault="00BD0697" w:rsidP="00BD0697">
      <w:pPr>
        <w:spacing w:after="0"/>
        <w:rPr>
          <w:rFonts w:ascii="Times New Roman" w:hAnsi="Times New Roman"/>
          <w:i/>
          <w:sz w:val="24"/>
        </w:rPr>
      </w:pPr>
    </w:p>
    <w:p w14:paraId="66D99041" w14:textId="30E80B3C" w:rsidR="00BD0697" w:rsidRDefault="00BD0697" w:rsidP="00BD0697">
      <w:pPr>
        <w:spacing w:after="0"/>
        <w:rPr>
          <w:rFonts w:ascii="Times New Roman" w:hAnsi="Times New Roman"/>
          <w:sz w:val="24"/>
        </w:rPr>
      </w:pPr>
      <w:r>
        <w:rPr>
          <w:rFonts w:ascii="Times New Roman" w:hAnsi="Times New Roman"/>
          <w:sz w:val="24"/>
        </w:rPr>
        <w:t xml:space="preserve">The </w:t>
      </w:r>
      <w:r w:rsidR="00694350">
        <w:rPr>
          <w:rFonts w:ascii="Times New Roman" w:hAnsi="Times New Roman"/>
          <w:sz w:val="24"/>
        </w:rPr>
        <w:t>Recast EIR</w:t>
      </w:r>
      <w:r>
        <w:rPr>
          <w:rFonts w:ascii="Times New Roman" w:hAnsi="Times New Roman"/>
          <w:sz w:val="24"/>
        </w:rPr>
        <w:t xml:space="preserve"> applies to insolvency proceedings irrespective of whether the debtor is a natural or legal person.</w:t>
      </w:r>
      <w:r>
        <w:rPr>
          <w:rStyle w:val="FootnoteReference"/>
          <w:rFonts w:ascii="Times New Roman" w:hAnsi="Times New Roman"/>
          <w:sz w:val="24"/>
        </w:rPr>
        <w:footnoteReference w:id="14"/>
      </w:r>
      <w:r>
        <w:rPr>
          <w:rFonts w:ascii="Times New Roman" w:hAnsi="Times New Roman"/>
          <w:sz w:val="24"/>
        </w:rPr>
        <w:t xml:space="preserve"> Basically, it is up to the domestic regimes to determine those categories of persons against whom domestic insolvency proceedings may be brought.</w:t>
      </w:r>
      <w:r>
        <w:rPr>
          <w:rStyle w:val="FootnoteReference"/>
          <w:rFonts w:ascii="Times New Roman" w:hAnsi="Times New Roman"/>
          <w:sz w:val="24"/>
        </w:rPr>
        <w:footnoteReference w:id="15"/>
      </w:r>
      <w:r>
        <w:rPr>
          <w:rFonts w:ascii="Times New Roman" w:hAnsi="Times New Roman"/>
          <w:sz w:val="24"/>
        </w:rPr>
        <w:t xml:space="preserve"> In other words, the </w:t>
      </w:r>
      <w:r w:rsidR="00694350">
        <w:rPr>
          <w:rFonts w:ascii="Times New Roman" w:hAnsi="Times New Roman"/>
          <w:sz w:val="24"/>
        </w:rPr>
        <w:t>Recast EIR</w:t>
      </w:r>
      <w:r>
        <w:rPr>
          <w:rFonts w:ascii="Times New Roman" w:hAnsi="Times New Roman"/>
          <w:sz w:val="24"/>
        </w:rPr>
        <w:t xml:space="preserve"> is neutral regarding the personal scope of the domestic insolvency proceedings: As long as national insolvency proceedings meet the condition set by the </w:t>
      </w:r>
      <w:r w:rsidR="00694350">
        <w:rPr>
          <w:rFonts w:ascii="Times New Roman" w:hAnsi="Times New Roman"/>
          <w:sz w:val="24"/>
        </w:rPr>
        <w:t>Recast EIR</w:t>
      </w:r>
      <w:r>
        <w:rPr>
          <w:rFonts w:ascii="Times New Roman" w:hAnsi="Times New Roman"/>
          <w:sz w:val="24"/>
        </w:rPr>
        <w:t xml:space="preserve"> (</w:t>
      </w:r>
      <w:r w:rsidR="00E37A5D">
        <w:rPr>
          <w:rFonts w:ascii="Times New Roman" w:hAnsi="Times New Roman"/>
          <w:sz w:val="24"/>
        </w:rPr>
        <w:t xml:space="preserve">primarily </w:t>
      </w:r>
      <w:r>
        <w:rPr>
          <w:rFonts w:ascii="Times New Roman" w:hAnsi="Times New Roman"/>
          <w:sz w:val="24"/>
        </w:rPr>
        <w:t>list</w:t>
      </w:r>
      <w:r w:rsidR="00E37A5D">
        <w:rPr>
          <w:rFonts w:ascii="Times New Roman" w:hAnsi="Times New Roman"/>
          <w:sz w:val="24"/>
        </w:rPr>
        <w:t>ing</w:t>
      </w:r>
      <w:r>
        <w:rPr>
          <w:rFonts w:ascii="Times New Roman" w:hAnsi="Times New Roman"/>
          <w:sz w:val="24"/>
        </w:rPr>
        <w:t xml:space="preserve"> in Annex A)</w:t>
      </w:r>
      <w:r w:rsidR="00E37A5D">
        <w:rPr>
          <w:rFonts w:ascii="Times New Roman" w:hAnsi="Times New Roman"/>
          <w:sz w:val="24"/>
        </w:rPr>
        <w:t>,</w:t>
      </w:r>
      <w:r>
        <w:rPr>
          <w:rStyle w:val="FootnoteReference"/>
          <w:rFonts w:ascii="Times New Roman" w:hAnsi="Times New Roman"/>
          <w:sz w:val="24"/>
        </w:rPr>
        <w:footnoteReference w:id="16"/>
      </w:r>
      <w:r>
        <w:rPr>
          <w:rFonts w:ascii="Times New Roman" w:hAnsi="Times New Roman"/>
          <w:sz w:val="24"/>
        </w:rPr>
        <w:t xml:space="preserve"> they fall within the scope of the </w:t>
      </w:r>
      <w:r w:rsidR="00694350">
        <w:rPr>
          <w:rFonts w:ascii="Times New Roman" w:hAnsi="Times New Roman"/>
          <w:sz w:val="24"/>
        </w:rPr>
        <w:t>Recast EIR</w:t>
      </w:r>
      <w:r>
        <w:rPr>
          <w:rFonts w:ascii="Times New Roman" w:hAnsi="Times New Roman"/>
          <w:sz w:val="24"/>
        </w:rPr>
        <w:t xml:space="preserve">. Therefore, there are several types of domestic insolvency proceedings dealing with personal insolvency (bankruptcy) falling within the scope of the </w:t>
      </w:r>
      <w:r w:rsidR="00694350">
        <w:rPr>
          <w:rFonts w:ascii="Times New Roman" w:hAnsi="Times New Roman"/>
          <w:sz w:val="24"/>
        </w:rPr>
        <w:t>Recast EIR</w:t>
      </w:r>
      <w:r>
        <w:rPr>
          <w:rFonts w:ascii="Times New Roman" w:hAnsi="Times New Roman"/>
          <w:sz w:val="24"/>
        </w:rPr>
        <w:t>.</w:t>
      </w:r>
      <w:r>
        <w:rPr>
          <w:rStyle w:val="FootnoteReference"/>
          <w:rFonts w:ascii="Times New Roman" w:hAnsi="Times New Roman"/>
          <w:sz w:val="24"/>
        </w:rPr>
        <w:footnoteReference w:id="17"/>
      </w:r>
    </w:p>
    <w:p w14:paraId="43800D71" w14:textId="77777777" w:rsidR="00BD0697" w:rsidRDefault="00BD0697" w:rsidP="00BD0697">
      <w:pPr>
        <w:spacing w:after="0"/>
        <w:rPr>
          <w:rFonts w:ascii="Times New Roman" w:hAnsi="Times New Roman"/>
          <w:sz w:val="24"/>
        </w:rPr>
      </w:pPr>
    </w:p>
    <w:p w14:paraId="22907D3F" w14:textId="614E5350" w:rsidR="00BD0697" w:rsidRDefault="00BD0697" w:rsidP="00BD0697">
      <w:pPr>
        <w:spacing w:after="0"/>
        <w:rPr>
          <w:rFonts w:ascii="Times New Roman" w:hAnsi="Times New Roman"/>
          <w:sz w:val="24"/>
        </w:rPr>
      </w:pPr>
      <w:r>
        <w:rPr>
          <w:rFonts w:ascii="Times New Roman" w:hAnsi="Times New Roman"/>
          <w:sz w:val="24"/>
        </w:rPr>
        <w:t>By contrast, in the regime set up by the HIA only organisations (economic operators) rather than private persons may qualify as debtor.</w:t>
      </w:r>
      <w:r>
        <w:rPr>
          <w:rStyle w:val="FootnoteReference"/>
          <w:rFonts w:ascii="Times New Roman" w:hAnsi="Times New Roman"/>
          <w:sz w:val="24"/>
        </w:rPr>
        <w:footnoteReference w:id="18"/>
      </w:r>
      <w:r>
        <w:rPr>
          <w:rFonts w:ascii="Times New Roman" w:hAnsi="Times New Roman"/>
          <w:sz w:val="24"/>
        </w:rPr>
        <w:t xml:space="preserve"> That appears to be the explanation why the HIA insists that</w:t>
      </w:r>
      <w:r w:rsidR="00E37A5D">
        <w:rPr>
          <w:rFonts w:ascii="Times New Roman" w:hAnsi="Times New Roman"/>
          <w:sz w:val="24"/>
        </w:rPr>
        <w:t>,</w:t>
      </w:r>
      <w:r>
        <w:rPr>
          <w:rFonts w:ascii="Times New Roman" w:hAnsi="Times New Roman"/>
          <w:sz w:val="24"/>
        </w:rPr>
        <w:t xml:space="preserve"> in the context of the </w:t>
      </w:r>
      <w:r w:rsidR="00694350">
        <w:rPr>
          <w:rFonts w:ascii="Times New Roman" w:hAnsi="Times New Roman"/>
          <w:sz w:val="24"/>
        </w:rPr>
        <w:t>Recast EIR</w:t>
      </w:r>
      <w:r>
        <w:rPr>
          <w:rFonts w:ascii="Times New Roman" w:hAnsi="Times New Roman"/>
          <w:sz w:val="24"/>
        </w:rPr>
        <w:t xml:space="preserve"> </w:t>
      </w:r>
      <w:r w:rsidR="00E37A5D">
        <w:rPr>
          <w:rFonts w:ascii="Times New Roman" w:hAnsi="Times New Roman"/>
          <w:sz w:val="24"/>
        </w:rPr>
        <w:t xml:space="preserve">as well, </w:t>
      </w:r>
      <w:r>
        <w:rPr>
          <w:rFonts w:ascii="Times New Roman" w:hAnsi="Times New Roman"/>
          <w:sz w:val="24"/>
        </w:rPr>
        <w:t>only organisations may be considered as debtors. The Amendments have not substantially changed that situation.</w:t>
      </w:r>
    </w:p>
    <w:p w14:paraId="1C21A185" w14:textId="77777777" w:rsidR="00BD0697" w:rsidRDefault="00BD0697" w:rsidP="00BD0697">
      <w:pPr>
        <w:spacing w:after="0"/>
        <w:rPr>
          <w:rFonts w:ascii="Times New Roman" w:hAnsi="Times New Roman"/>
          <w:sz w:val="24"/>
        </w:rPr>
      </w:pPr>
    </w:p>
    <w:p w14:paraId="513E37AB" w14:textId="20F9EB58" w:rsidR="00BD0697" w:rsidRDefault="00E37A5D" w:rsidP="00BD0697">
      <w:pPr>
        <w:spacing w:after="0"/>
        <w:rPr>
          <w:rFonts w:ascii="Times New Roman" w:hAnsi="Times New Roman"/>
          <w:sz w:val="24"/>
        </w:rPr>
      </w:pPr>
      <w:r>
        <w:rPr>
          <w:rFonts w:ascii="Times New Roman" w:hAnsi="Times New Roman"/>
          <w:sz w:val="24"/>
        </w:rPr>
        <w:t>Thus</w:t>
      </w:r>
      <w:r w:rsidR="00BD0697">
        <w:rPr>
          <w:rFonts w:ascii="Times New Roman" w:hAnsi="Times New Roman"/>
          <w:sz w:val="24"/>
        </w:rPr>
        <w:t xml:space="preserve">, the concept of the debtor in the HIA is narrower than it is in the </w:t>
      </w:r>
      <w:r w:rsidR="00694350">
        <w:rPr>
          <w:rFonts w:ascii="Times New Roman" w:hAnsi="Times New Roman"/>
          <w:sz w:val="24"/>
        </w:rPr>
        <w:t>Recast EIR</w:t>
      </w:r>
      <w:r w:rsidR="00BD0697">
        <w:rPr>
          <w:rFonts w:ascii="Times New Roman" w:hAnsi="Times New Roman"/>
          <w:sz w:val="24"/>
        </w:rPr>
        <w:t xml:space="preserve">. As long as the HIA applies </w:t>
      </w:r>
      <w:r>
        <w:rPr>
          <w:rFonts w:ascii="Times New Roman" w:hAnsi="Times New Roman"/>
          <w:sz w:val="24"/>
        </w:rPr>
        <w:t xml:space="preserve">only </w:t>
      </w:r>
      <w:r w:rsidR="00BD0697">
        <w:rPr>
          <w:rFonts w:ascii="Times New Roman" w:hAnsi="Times New Roman"/>
          <w:sz w:val="24"/>
        </w:rPr>
        <w:t>for domestic relations</w:t>
      </w:r>
      <w:r>
        <w:rPr>
          <w:rFonts w:ascii="Times New Roman" w:hAnsi="Times New Roman"/>
          <w:sz w:val="24"/>
        </w:rPr>
        <w:t>,</w:t>
      </w:r>
      <w:r w:rsidR="00BD0697">
        <w:rPr>
          <w:rFonts w:ascii="Times New Roman" w:hAnsi="Times New Roman"/>
          <w:sz w:val="24"/>
        </w:rPr>
        <w:t xml:space="preserve"> that is in compliance with the </w:t>
      </w:r>
      <w:r w:rsidR="00694350">
        <w:rPr>
          <w:rFonts w:ascii="Times New Roman" w:hAnsi="Times New Roman"/>
          <w:sz w:val="24"/>
        </w:rPr>
        <w:t>Recast EIR</w:t>
      </w:r>
      <w:r w:rsidR="00BD0697">
        <w:rPr>
          <w:rFonts w:ascii="Times New Roman" w:hAnsi="Times New Roman"/>
          <w:sz w:val="24"/>
        </w:rPr>
        <w:t>. By contrast, in cross-border situations</w:t>
      </w:r>
      <w:r>
        <w:rPr>
          <w:rFonts w:ascii="Times New Roman" w:hAnsi="Times New Roman"/>
          <w:sz w:val="24"/>
        </w:rPr>
        <w:t>,</w:t>
      </w:r>
      <w:r w:rsidR="00BD0697">
        <w:rPr>
          <w:rFonts w:ascii="Times New Roman" w:hAnsi="Times New Roman"/>
          <w:sz w:val="24"/>
        </w:rPr>
        <w:t xml:space="preserve"> the narrow concept of the debtor may cause difficulties. </w:t>
      </w:r>
      <w:r w:rsidR="00BD0697">
        <w:rPr>
          <w:rFonts w:ascii="Times New Roman" w:hAnsi="Times New Roman"/>
          <w:sz w:val="24"/>
        </w:rPr>
        <w:lastRenderedPageBreak/>
        <w:t xml:space="preserve">Namely, when the </w:t>
      </w:r>
      <w:r>
        <w:rPr>
          <w:rFonts w:ascii="Times New Roman" w:hAnsi="Times New Roman"/>
          <w:sz w:val="24"/>
        </w:rPr>
        <w:t>definition of “</w:t>
      </w:r>
      <w:r w:rsidR="00BD0697">
        <w:rPr>
          <w:rFonts w:ascii="Times New Roman" w:hAnsi="Times New Roman"/>
          <w:sz w:val="24"/>
        </w:rPr>
        <w:t>debtor</w:t>
      </w:r>
      <w:r>
        <w:rPr>
          <w:rFonts w:ascii="Times New Roman" w:hAnsi="Times New Roman"/>
          <w:sz w:val="24"/>
        </w:rPr>
        <w:t>”</w:t>
      </w:r>
      <w:r w:rsidR="00BD0697">
        <w:rPr>
          <w:rFonts w:ascii="Times New Roman" w:hAnsi="Times New Roman"/>
          <w:sz w:val="24"/>
        </w:rPr>
        <w:t xml:space="preserve"> in the HIA refers </w:t>
      </w:r>
      <w:r>
        <w:rPr>
          <w:rFonts w:ascii="Times New Roman" w:hAnsi="Times New Roman"/>
          <w:sz w:val="24"/>
        </w:rPr>
        <w:t xml:space="preserve">to </w:t>
      </w:r>
      <w:r w:rsidR="00BD0697">
        <w:rPr>
          <w:rFonts w:ascii="Times New Roman" w:hAnsi="Times New Roman"/>
          <w:sz w:val="24"/>
        </w:rPr>
        <w:t>persons whose COMI is situated in another member state</w:t>
      </w:r>
      <w:r>
        <w:rPr>
          <w:rFonts w:ascii="Times New Roman" w:hAnsi="Times New Roman"/>
          <w:sz w:val="24"/>
        </w:rPr>
        <w:t>,</w:t>
      </w:r>
      <w:r w:rsidR="00BD0697">
        <w:rPr>
          <w:rFonts w:ascii="Times New Roman" w:hAnsi="Times New Roman"/>
          <w:sz w:val="24"/>
        </w:rPr>
        <w:t xml:space="preserve"> the narrowly formulated concept does not cover </w:t>
      </w:r>
      <w:r w:rsidR="002E09E9">
        <w:rPr>
          <w:rFonts w:ascii="Times New Roman" w:hAnsi="Times New Roman"/>
          <w:sz w:val="24"/>
        </w:rPr>
        <w:t>those kinds of debtors</w:t>
      </w:r>
      <w:r w:rsidR="00BD0697">
        <w:rPr>
          <w:rFonts w:ascii="Times New Roman" w:hAnsi="Times New Roman"/>
          <w:sz w:val="24"/>
        </w:rPr>
        <w:t xml:space="preserve"> who are not organisations. Therefore, although the HIA obviously cannot narrow the direct application of the </w:t>
      </w:r>
      <w:r w:rsidR="00694350">
        <w:rPr>
          <w:rFonts w:ascii="Times New Roman" w:hAnsi="Times New Roman"/>
          <w:sz w:val="24"/>
        </w:rPr>
        <w:t>Recast EIR</w:t>
      </w:r>
      <w:r w:rsidR="00BD0697">
        <w:rPr>
          <w:rFonts w:ascii="Times New Roman" w:hAnsi="Times New Roman"/>
          <w:sz w:val="24"/>
        </w:rPr>
        <w:t xml:space="preserve">, somewhat different rules will apply for different types of debtors. This is because natural persons who are not covered by the HIA may </w:t>
      </w:r>
      <w:r>
        <w:rPr>
          <w:rFonts w:ascii="Times New Roman" w:hAnsi="Times New Roman"/>
          <w:sz w:val="24"/>
        </w:rPr>
        <w:t xml:space="preserve">only rely </w:t>
      </w:r>
      <w:r w:rsidR="00BD0697">
        <w:rPr>
          <w:rFonts w:ascii="Times New Roman" w:hAnsi="Times New Roman"/>
          <w:sz w:val="24"/>
        </w:rPr>
        <w:t xml:space="preserve">on the </w:t>
      </w:r>
      <w:r w:rsidR="00694350">
        <w:rPr>
          <w:rFonts w:ascii="Times New Roman" w:hAnsi="Times New Roman"/>
          <w:sz w:val="24"/>
        </w:rPr>
        <w:t>Recast EIR</w:t>
      </w:r>
      <w:r>
        <w:rPr>
          <w:rFonts w:ascii="Times New Roman" w:hAnsi="Times New Roman"/>
          <w:sz w:val="24"/>
        </w:rPr>
        <w:t>,</w:t>
      </w:r>
      <w:r w:rsidR="00BD0697">
        <w:rPr>
          <w:rFonts w:ascii="Times New Roman" w:hAnsi="Times New Roman"/>
          <w:sz w:val="24"/>
        </w:rPr>
        <w:t xml:space="preserve"> while those debtors who are organisations, </w:t>
      </w:r>
      <w:r>
        <w:rPr>
          <w:rFonts w:ascii="Times New Roman" w:hAnsi="Times New Roman"/>
          <w:sz w:val="24"/>
        </w:rPr>
        <w:t xml:space="preserve">and </w:t>
      </w:r>
      <w:r w:rsidR="00BD0697">
        <w:rPr>
          <w:rFonts w:ascii="Times New Roman" w:hAnsi="Times New Roman"/>
          <w:sz w:val="24"/>
        </w:rPr>
        <w:t>consequently are subject to the HIA, may also refer to the latter statute. Such parallel rules may not be in compliance with the requirement of uniform application of EU law.</w:t>
      </w:r>
    </w:p>
    <w:p w14:paraId="5AEA787B" w14:textId="77777777" w:rsidR="00BD0697" w:rsidRDefault="00BD0697" w:rsidP="00BD0697">
      <w:pPr>
        <w:spacing w:after="0"/>
        <w:rPr>
          <w:rFonts w:ascii="Times New Roman" w:hAnsi="Times New Roman"/>
          <w:sz w:val="24"/>
        </w:rPr>
      </w:pPr>
    </w:p>
    <w:p w14:paraId="701CECF5" w14:textId="387CA8F7" w:rsidR="00BD0697" w:rsidRDefault="00BD0697" w:rsidP="00BD0697">
      <w:pPr>
        <w:spacing w:after="0"/>
        <w:rPr>
          <w:rFonts w:ascii="Times New Roman" w:hAnsi="Times New Roman"/>
          <w:i/>
          <w:sz w:val="24"/>
        </w:rPr>
      </w:pPr>
      <w:r>
        <w:rPr>
          <w:rFonts w:ascii="Times New Roman" w:hAnsi="Times New Roman"/>
          <w:i/>
          <w:sz w:val="24"/>
        </w:rPr>
        <w:t xml:space="preserve">The Definition of </w:t>
      </w:r>
      <w:r w:rsidR="00E37A5D">
        <w:rPr>
          <w:rFonts w:ascii="Times New Roman" w:hAnsi="Times New Roman"/>
          <w:i/>
          <w:sz w:val="24"/>
        </w:rPr>
        <w:t>“</w:t>
      </w:r>
      <w:r>
        <w:rPr>
          <w:rFonts w:ascii="Times New Roman" w:hAnsi="Times New Roman"/>
          <w:i/>
          <w:sz w:val="24"/>
        </w:rPr>
        <w:t>Establishment</w:t>
      </w:r>
      <w:r w:rsidR="00E37A5D">
        <w:rPr>
          <w:rFonts w:ascii="Times New Roman" w:hAnsi="Times New Roman"/>
          <w:i/>
          <w:sz w:val="24"/>
        </w:rPr>
        <w:t>”</w:t>
      </w:r>
    </w:p>
    <w:p w14:paraId="20BB70E3" w14:textId="77777777" w:rsidR="00BD0697" w:rsidRDefault="00BD0697" w:rsidP="00BD0697">
      <w:pPr>
        <w:spacing w:after="0"/>
        <w:rPr>
          <w:rFonts w:ascii="Times New Roman" w:hAnsi="Times New Roman"/>
          <w:sz w:val="24"/>
        </w:rPr>
      </w:pPr>
    </w:p>
    <w:p w14:paraId="51E66DEF" w14:textId="2B61B2E6" w:rsidR="00BD0697" w:rsidRDefault="00BD0697" w:rsidP="00BD0697">
      <w:pPr>
        <w:spacing w:after="0"/>
        <w:rPr>
          <w:rFonts w:ascii="Times New Roman" w:hAnsi="Times New Roman"/>
          <w:sz w:val="24"/>
        </w:rPr>
      </w:pPr>
      <w:r>
        <w:rPr>
          <w:rFonts w:ascii="Times New Roman" w:hAnsi="Times New Roman"/>
          <w:sz w:val="24"/>
        </w:rPr>
        <w:t xml:space="preserve">Article 2(10) of the </w:t>
      </w:r>
      <w:r w:rsidR="00694350">
        <w:rPr>
          <w:rFonts w:ascii="Times New Roman" w:hAnsi="Times New Roman"/>
          <w:sz w:val="24"/>
        </w:rPr>
        <w:t>Recast EIR</w:t>
      </w:r>
      <w:r>
        <w:rPr>
          <w:rFonts w:ascii="Times New Roman" w:hAnsi="Times New Roman"/>
          <w:sz w:val="24"/>
        </w:rPr>
        <w:t xml:space="preserve"> provides for a legal definition of the concept of establishment by stating that it means any place of operations where a debtor carries out or has carried out in the 3-month period prior to the request to open main insolvency proceedings a non-transitory economic activity with human means and assets.</w:t>
      </w:r>
    </w:p>
    <w:p w14:paraId="10144FE1" w14:textId="77777777" w:rsidR="00BD0697" w:rsidRDefault="00BD0697" w:rsidP="00BD0697">
      <w:pPr>
        <w:spacing w:after="0"/>
        <w:rPr>
          <w:rFonts w:ascii="Times New Roman" w:hAnsi="Times New Roman"/>
          <w:sz w:val="24"/>
        </w:rPr>
      </w:pPr>
    </w:p>
    <w:p w14:paraId="76492D59" w14:textId="15FD85CB" w:rsidR="00BD0697" w:rsidRDefault="00BD0697" w:rsidP="00BD0697">
      <w:pPr>
        <w:spacing w:after="0"/>
        <w:rPr>
          <w:rFonts w:ascii="Times New Roman" w:hAnsi="Times New Roman"/>
          <w:sz w:val="24"/>
        </w:rPr>
      </w:pPr>
      <w:r>
        <w:rPr>
          <w:rFonts w:ascii="Times New Roman" w:hAnsi="Times New Roman"/>
          <w:sz w:val="24"/>
        </w:rPr>
        <w:t xml:space="preserve">The definition used by the Amendments refers, on the one hand, to the definition provided by the </w:t>
      </w:r>
      <w:r w:rsidR="00694350">
        <w:rPr>
          <w:rFonts w:ascii="Times New Roman" w:hAnsi="Times New Roman"/>
          <w:sz w:val="24"/>
        </w:rPr>
        <w:t>Recast EIR</w:t>
      </w:r>
      <w:r>
        <w:rPr>
          <w:rFonts w:ascii="Times New Roman" w:hAnsi="Times New Roman"/>
          <w:sz w:val="24"/>
        </w:rPr>
        <w:t xml:space="preserve">. On the other hand, the Amendments specify the concept of the establishment by stating that </w:t>
      </w:r>
      <w:r w:rsidR="00E37A5D">
        <w:rPr>
          <w:rFonts w:ascii="Times New Roman" w:hAnsi="Times New Roman"/>
          <w:sz w:val="24"/>
        </w:rPr>
        <w:t>“‘</w:t>
      </w:r>
      <w:r>
        <w:rPr>
          <w:rFonts w:ascii="Times New Roman" w:hAnsi="Times New Roman"/>
          <w:sz w:val="24"/>
        </w:rPr>
        <w:t>Hungarian establishment</w:t>
      </w:r>
      <w:r w:rsidR="00E37A5D">
        <w:rPr>
          <w:rFonts w:ascii="Times New Roman" w:hAnsi="Times New Roman"/>
          <w:sz w:val="24"/>
        </w:rPr>
        <w:t>’</w:t>
      </w:r>
      <w:r>
        <w:rPr>
          <w:rFonts w:ascii="Times New Roman" w:hAnsi="Times New Roman"/>
          <w:sz w:val="24"/>
        </w:rPr>
        <w:t xml:space="preserve"> shall mean any Hungarian place of operations provided for in point (10) of Article 2 of Regulation 2015/848/EU </w:t>
      </w:r>
      <w:r>
        <w:rPr>
          <w:rFonts w:ascii="Times New Roman" w:hAnsi="Times New Roman"/>
          <w:i/>
          <w:sz w:val="24"/>
        </w:rPr>
        <w:t>where the qualification as establishment under the Act on the Rules of Taxation, the Act on Corporate Tax and Dividend Tax, the Act on Value Added Tax or international treaties on taxation may also be a proper basis for establishing the place of operations</w:t>
      </w:r>
      <w:r>
        <w:rPr>
          <w:rFonts w:ascii="Times New Roman" w:hAnsi="Times New Roman"/>
          <w:sz w:val="24"/>
        </w:rPr>
        <w:t xml:space="preserve"> [emphasis added]</w:t>
      </w:r>
      <w:r w:rsidR="00E37A5D">
        <w:rPr>
          <w:rFonts w:ascii="Times New Roman" w:hAnsi="Times New Roman"/>
          <w:sz w:val="24"/>
        </w:rPr>
        <w:t>”</w:t>
      </w:r>
      <w:r>
        <w:rPr>
          <w:rFonts w:ascii="Times New Roman" w:hAnsi="Times New Roman"/>
          <w:sz w:val="24"/>
        </w:rPr>
        <w:t>.</w:t>
      </w:r>
    </w:p>
    <w:p w14:paraId="705D9B87" w14:textId="77777777" w:rsidR="00BD0697" w:rsidRDefault="00BD0697" w:rsidP="00BD0697">
      <w:pPr>
        <w:spacing w:after="0"/>
        <w:rPr>
          <w:rFonts w:ascii="Times New Roman" w:hAnsi="Times New Roman"/>
          <w:sz w:val="24"/>
        </w:rPr>
      </w:pPr>
    </w:p>
    <w:p w14:paraId="52246EF8" w14:textId="0D69C737" w:rsidR="00BD0697" w:rsidRDefault="00BD0697" w:rsidP="00BD0697">
      <w:pPr>
        <w:spacing w:after="0"/>
        <w:rPr>
          <w:rFonts w:ascii="Times New Roman" w:hAnsi="Times New Roman"/>
          <w:sz w:val="24"/>
        </w:rPr>
      </w:pPr>
      <w:r>
        <w:rPr>
          <w:rFonts w:ascii="Times New Roman" w:hAnsi="Times New Roman"/>
          <w:sz w:val="24"/>
        </w:rPr>
        <w:t>A provision of the domestic law providing for a binding interpretation of the EU law appears to be in clear conflict with the law of the Union.</w:t>
      </w:r>
      <w:r>
        <w:rPr>
          <w:rStyle w:val="FootnoteReference"/>
          <w:rFonts w:ascii="Times New Roman" w:hAnsi="Times New Roman"/>
          <w:sz w:val="24"/>
        </w:rPr>
        <w:footnoteReference w:id="19"/>
      </w:r>
      <w:r>
        <w:rPr>
          <w:rFonts w:ascii="Times New Roman" w:hAnsi="Times New Roman"/>
          <w:sz w:val="24"/>
        </w:rPr>
        <w:t xml:space="preserve"> The concept of establishment in the </w:t>
      </w:r>
      <w:r w:rsidR="00694350">
        <w:rPr>
          <w:rFonts w:ascii="Times New Roman" w:hAnsi="Times New Roman"/>
          <w:sz w:val="24"/>
        </w:rPr>
        <w:t>Recast EIR</w:t>
      </w:r>
      <w:r>
        <w:rPr>
          <w:rFonts w:ascii="Times New Roman" w:hAnsi="Times New Roman"/>
          <w:sz w:val="24"/>
        </w:rPr>
        <w:t xml:space="preserve"> is to be interpreted autonomously.</w:t>
      </w:r>
      <w:r>
        <w:rPr>
          <w:rStyle w:val="FootnoteReference"/>
          <w:rFonts w:ascii="Times New Roman" w:hAnsi="Times New Roman"/>
          <w:sz w:val="24"/>
        </w:rPr>
        <w:footnoteReference w:id="20"/>
      </w:r>
      <w:r>
        <w:rPr>
          <w:rFonts w:ascii="Times New Roman" w:hAnsi="Times New Roman"/>
          <w:sz w:val="24"/>
        </w:rPr>
        <w:t xml:space="preserve"> The autonomous interpretation is justified by the community nature of the regulation and the uniform application throughout the EU. Therefore, the legal definition provided by the Amendments seems to be incompatible with EU law.</w:t>
      </w:r>
    </w:p>
    <w:p w14:paraId="5AC213B5" w14:textId="77777777" w:rsidR="00BD0697" w:rsidRDefault="00BD0697" w:rsidP="00BD0697">
      <w:pPr>
        <w:spacing w:after="0"/>
        <w:rPr>
          <w:rFonts w:ascii="Times New Roman" w:hAnsi="Times New Roman"/>
          <w:sz w:val="24"/>
        </w:rPr>
      </w:pPr>
    </w:p>
    <w:p w14:paraId="627AEB02" w14:textId="266EC1BD" w:rsidR="00BD0697" w:rsidRDefault="00BD0697" w:rsidP="00BD0697">
      <w:pPr>
        <w:spacing w:after="0"/>
        <w:rPr>
          <w:rFonts w:ascii="Times New Roman" w:hAnsi="Times New Roman"/>
          <w:i/>
          <w:sz w:val="24"/>
        </w:rPr>
      </w:pPr>
      <w:r>
        <w:rPr>
          <w:rFonts w:ascii="Times New Roman" w:hAnsi="Times New Roman"/>
          <w:i/>
          <w:sz w:val="24"/>
        </w:rPr>
        <w:t xml:space="preserve">Provisional or Protective Measures in </w:t>
      </w:r>
      <w:r w:rsidR="00E37A5D">
        <w:rPr>
          <w:rFonts w:ascii="Times New Roman" w:hAnsi="Times New Roman"/>
          <w:i/>
          <w:sz w:val="24"/>
        </w:rPr>
        <w:t>“</w:t>
      </w:r>
      <w:r>
        <w:rPr>
          <w:rFonts w:ascii="Times New Roman" w:hAnsi="Times New Roman"/>
          <w:i/>
          <w:sz w:val="24"/>
        </w:rPr>
        <w:t>Synthetic</w:t>
      </w:r>
      <w:r w:rsidR="00E37A5D">
        <w:rPr>
          <w:rFonts w:ascii="Times New Roman" w:hAnsi="Times New Roman"/>
          <w:i/>
          <w:sz w:val="24"/>
        </w:rPr>
        <w:t>”</w:t>
      </w:r>
      <w:r>
        <w:rPr>
          <w:rFonts w:ascii="Times New Roman" w:hAnsi="Times New Roman"/>
          <w:i/>
          <w:sz w:val="24"/>
        </w:rPr>
        <w:t xml:space="preserve"> Secondary Proceedings</w:t>
      </w:r>
    </w:p>
    <w:p w14:paraId="209686EB" w14:textId="77777777" w:rsidR="00BD0697" w:rsidRDefault="00BD0697" w:rsidP="00BD0697">
      <w:pPr>
        <w:spacing w:after="0"/>
        <w:rPr>
          <w:rFonts w:ascii="Times New Roman" w:hAnsi="Times New Roman"/>
          <w:i/>
          <w:sz w:val="24"/>
        </w:rPr>
      </w:pPr>
    </w:p>
    <w:p w14:paraId="49C29B05" w14:textId="0DB903BD" w:rsidR="00BD0697" w:rsidRDefault="00BD0697" w:rsidP="00BD0697">
      <w:pPr>
        <w:spacing w:after="0"/>
        <w:rPr>
          <w:rFonts w:ascii="Times New Roman" w:hAnsi="Times New Roman"/>
          <w:sz w:val="24"/>
        </w:rPr>
      </w:pPr>
      <w:r>
        <w:rPr>
          <w:rFonts w:ascii="Times New Roman" w:hAnsi="Times New Roman"/>
          <w:sz w:val="24"/>
        </w:rPr>
        <w:t xml:space="preserve">One of the substantive novelties in the </w:t>
      </w:r>
      <w:r w:rsidR="00694350">
        <w:rPr>
          <w:rFonts w:ascii="Times New Roman" w:hAnsi="Times New Roman"/>
          <w:sz w:val="24"/>
        </w:rPr>
        <w:t>Recast EIR</w:t>
      </w:r>
      <w:r>
        <w:rPr>
          <w:rFonts w:ascii="Times New Roman" w:hAnsi="Times New Roman"/>
          <w:sz w:val="24"/>
        </w:rPr>
        <w:t xml:space="preserve"> is that, in order to avoid the opening of secondary insolvency proceedings, the insolvency practitioner in the main insolvency proceedings may give a unilateral undertaking in respect of the assets located in the member state in which secondary insolvency proceedings could be opened, that when distributing those assets or the proceeds received as a result of their realisation, it will comply with the distribution and priority rights under national law that creditors would have if secondary insolvency proceedings were opened in that member state.</w:t>
      </w:r>
      <w:r>
        <w:rPr>
          <w:rFonts w:ascii="Times New Roman" w:hAnsi="Times New Roman"/>
          <w:sz w:val="24"/>
          <w:vertAlign w:val="superscript"/>
        </w:rPr>
        <w:footnoteReference w:id="21"/>
      </w:r>
    </w:p>
    <w:p w14:paraId="49C1EAC1" w14:textId="77777777" w:rsidR="00BD0697" w:rsidRDefault="00BD0697" w:rsidP="00BD0697">
      <w:pPr>
        <w:spacing w:after="0"/>
        <w:rPr>
          <w:rFonts w:ascii="Times New Roman" w:hAnsi="Times New Roman"/>
          <w:sz w:val="24"/>
        </w:rPr>
      </w:pPr>
    </w:p>
    <w:p w14:paraId="2F57C315" w14:textId="296EC3DD" w:rsidR="00BD0697" w:rsidRDefault="00BD0697" w:rsidP="00BD0697">
      <w:pPr>
        <w:spacing w:after="0"/>
        <w:rPr>
          <w:color w:val="000000"/>
          <w:shd w:val="clear" w:color="auto" w:fill="FFFFFF"/>
        </w:rPr>
      </w:pPr>
      <w:r>
        <w:rPr>
          <w:rFonts w:ascii="Times New Roman" w:hAnsi="Times New Roman"/>
          <w:sz w:val="24"/>
        </w:rPr>
        <w:t xml:space="preserve">Article 36(9) of the </w:t>
      </w:r>
      <w:r w:rsidR="00694350">
        <w:rPr>
          <w:rFonts w:ascii="Times New Roman" w:hAnsi="Times New Roman"/>
          <w:sz w:val="24"/>
        </w:rPr>
        <w:t>Recast EIR</w:t>
      </w:r>
      <w:r>
        <w:rPr>
          <w:rFonts w:ascii="Times New Roman" w:hAnsi="Times New Roman"/>
          <w:sz w:val="24"/>
        </w:rPr>
        <w:t xml:space="preserve"> enables local creditors to apply to the courts of the member state in which secondary insolvency proceedings could have been opened in order to require </w:t>
      </w:r>
      <w:r>
        <w:rPr>
          <w:rFonts w:ascii="Times New Roman" w:hAnsi="Times New Roman"/>
          <w:sz w:val="24"/>
        </w:rPr>
        <w:lastRenderedPageBreak/>
        <w:t>the court to take provisional or protective measures to ensure compliance by the insolvency practitioner with the terms of the undertaking</w:t>
      </w:r>
      <w:r>
        <w:rPr>
          <w:color w:val="000000"/>
          <w:shd w:val="clear" w:color="auto" w:fill="FFFFFF"/>
        </w:rPr>
        <w:t>.</w:t>
      </w:r>
    </w:p>
    <w:p w14:paraId="54E3D5B8" w14:textId="77777777" w:rsidR="00BD0697" w:rsidRDefault="00BD0697" w:rsidP="00BD0697">
      <w:pPr>
        <w:spacing w:after="0"/>
        <w:rPr>
          <w:rFonts w:ascii="Times New Roman" w:hAnsi="Times New Roman"/>
          <w:sz w:val="24"/>
        </w:rPr>
      </w:pPr>
    </w:p>
    <w:p w14:paraId="438ACC8F" w14:textId="47383726" w:rsidR="00BD0697" w:rsidRDefault="00BD0697" w:rsidP="00BD0697">
      <w:pPr>
        <w:spacing w:after="0"/>
        <w:rPr>
          <w:rFonts w:ascii="Times New Roman" w:hAnsi="Times New Roman"/>
          <w:sz w:val="24"/>
        </w:rPr>
      </w:pPr>
      <w:r>
        <w:rPr>
          <w:rFonts w:ascii="Times New Roman" w:hAnsi="Times New Roman"/>
          <w:sz w:val="24"/>
        </w:rPr>
        <w:t xml:space="preserve">The Amendments explicitly determines what kind of measures may be applied by Hungarian courts. Article 6/J(8) of the HIA provides that the Hungarian court  may order the foreign insolvency practitioner to provide financial security in the form of cash deposited </w:t>
      </w:r>
      <w:r w:rsidR="00E37A5D">
        <w:rPr>
          <w:rFonts w:ascii="Times New Roman" w:hAnsi="Times New Roman"/>
          <w:sz w:val="24"/>
        </w:rPr>
        <w:t xml:space="preserve">on </w:t>
      </w:r>
      <w:r>
        <w:rPr>
          <w:rFonts w:ascii="Times New Roman" w:hAnsi="Times New Roman"/>
          <w:sz w:val="24"/>
        </w:rPr>
        <w:t>an escrow account at the court</w:t>
      </w:r>
      <w:r w:rsidR="00E37A5D">
        <w:rPr>
          <w:rFonts w:ascii="Times New Roman" w:hAnsi="Times New Roman"/>
          <w:sz w:val="24"/>
        </w:rPr>
        <w:t>’</w:t>
      </w:r>
      <w:r>
        <w:rPr>
          <w:rFonts w:ascii="Times New Roman" w:hAnsi="Times New Roman"/>
          <w:sz w:val="24"/>
        </w:rPr>
        <w:t>s financial administration office.</w:t>
      </w:r>
    </w:p>
    <w:p w14:paraId="3ED66630" w14:textId="77777777" w:rsidR="00BD0697" w:rsidRDefault="00BD0697" w:rsidP="00BD0697">
      <w:pPr>
        <w:spacing w:after="0"/>
        <w:rPr>
          <w:rFonts w:ascii="Times New Roman" w:hAnsi="Times New Roman"/>
          <w:sz w:val="24"/>
        </w:rPr>
      </w:pPr>
    </w:p>
    <w:p w14:paraId="2864610B" w14:textId="21ADBBD0" w:rsidR="00E37A5D" w:rsidRDefault="00BD0697" w:rsidP="00BD0697">
      <w:pPr>
        <w:spacing w:after="0"/>
        <w:rPr>
          <w:rFonts w:ascii="Times New Roman" w:hAnsi="Times New Roman"/>
          <w:sz w:val="24"/>
        </w:rPr>
      </w:pPr>
      <w:r>
        <w:rPr>
          <w:rFonts w:ascii="Times New Roman" w:hAnsi="Times New Roman"/>
          <w:sz w:val="24"/>
        </w:rPr>
        <w:t xml:space="preserve">Although the provision implemented by the Amendments is, </w:t>
      </w:r>
      <w:r w:rsidRPr="00E02723">
        <w:rPr>
          <w:rFonts w:ascii="Times New Roman" w:hAnsi="Times New Roman"/>
          <w:i/>
          <w:sz w:val="24"/>
        </w:rPr>
        <w:t>prima facie</w:t>
      </w:r>
      <w:r>
        <w:rPr>
          <w:rFonts w:ascii="Times New Roman" w:hAnsi="Times New Roman"/>
          <w:sz w:val="24"/>
        </w:rPr>
        <w:t xml:space="preserve">, not necessarily incompatible with the </w:t>
      </w:r>
      <w:r w:rsidR="00694350">
        <w:rPr>
          <w:rFonts w:ascii="Times New Roman" w:hAnsi="Times New Roman"/>
          <w:sz w:val="24"/>
        </w:rPr>
        <w:t>Recast EIR</w:t>
      </w:r>
      <w:r>
        <w:rPr>
          <w:rFonts w:ascii="Times New Roman" w:hAnsi="Times New Roman"/>
          <w:sz w:val="24"/>
        </w:rPr>
        <w:t>, the requirement of a financial deposit may frustrate synthetic secondary proceedings.</w:t>
      </w:r>
      <w:r>
        <w:rPr>
          <w:rStyle w:val="FootnoteReference"/>
          <w:rFonts w:ascii="Times New Roman" w:hAnsi="Times New Roman"/>
          <w:sz w:val="24"/>
        </w:rPr>
        <w:footnoteReference w:id="22"/>
      </w:r>
      <w:r>
        <w:rPr>
          <w:rFonts w:ascii="Times New Roman" w:hAnsi="Times New Roman"/>
          <w:sz w:val="24"/>
        </w:rPr>
        <w:t xml:space="preserve"> Local creditors enjoy </w:t>
      </w:r>
      <w:r>
        <w:rPr>
          <w:rFonts w:ascii="Times New Roman" w:hAnsi="Times New Roman"/>
          <w:i/>
          <w:sz w:val="24"/>
        </w:rPr>
        <w:t>in respect of the local assets</w:t>
      </w:r>
      <w:r>
        <w:rPr>
          <w:rFonts w:ascii="Times New Roman" w:hAnsi="Times New Roman"/>
          <w:sz w:val="24"/>
        </w:rPr>
        <w:t xml:space="preserve"> the distribution and priority rights under the national law of the synthetic secondary proceedings. Therefore, the measures </w:t>
      </w:r>
      <w:r w:rsidRPr="00131AC8">
        <w:rPr>
          <w:rFonts w:ascii="Times New Roman" w:hAnsi="Times New Roman"/>
          <w:sz w:val="24"/>
        </w:rPr>
        <w:t>to ensure compliance with the terms of the undertaking</w:t>
      </w:r>
      <w:r>
        <w:rPr>
          <w:rFonts w:ascii="Times New Roman" w:hAnsi="Times New Roman"/>
          <w:sz w:val="24"/>
        </w:rPr>
        <w:t xml:space="preserve"> should be limited to the local assets. Providing financial security from the assets belonging to the main proceedings to the creditors of the (synthetic) secondary proceedings would </w:t>
      </w:r>
      <w:r w:rsidR="00E37A5D">
        <w:rPr>
          <w:rFonts w:ascii="Times New Roman" w:hAnsi="Times New Roman"/>
          <w:sz w:val="24"/>
        </w:rPr>
        <w:t>“</w:t>
      </w:r>
      <w:r>
        <w:rPr>
          <w:rFonts w:ascii="Times New Roman" w:hAnsi="Times New Roman"/>
          <w:sz w:val="24"/>
        </w:rPr>
        <w:t>overprotect</w:t>
      </w:r>
      <w:r w:rsidR="00E37A5D">
        <w:rPr>
          <w:rFonts w:ascii="Times New Roman" w:hAnsi="Times New Roman"/>
          <w:sz w:val="24"/>
        </w:rPr>
        <w:t>”</w:t>
      </w:r>
      <w:r>
        <w:rPr>
          <w:rFonts w:ascii="Times New Roman" w:hAnsi="Times New Roman"/>
          <w:sz w:val="24"/>
        </w:rPr>
        <w:t xml:space="preserve"> the local creditors who already enjoy distribution rights </w:t>
      </w:r>
      <w:r w:rsidR="00E37A5D">
        <w:rPr>
          <w:rFonts w:ascii="Times New Roman" w:hAnsi="Times New Roman"/>
          <w:sz w:val="24"/>
        </w:rPr>
        <w:t xml:space="preserve">under </w:t>
      </w:r>
      <w:r>
        <w:rPr>
          <w:rFonts w:ascii="Times New Roman" w:hAnsi="Times New Roman"/>
          <w:sz w:val="24"/>
        </w:rPr>
        <w:t>the local insolvency law.</w:t>
      </w:r>
    </w:p>
    <w:p w14:paraId="454B4B59" w14:textId="77777777" w:rsidR="00E37A5D" w:rsidRDefault="00E37A5D" w:rsidP="00BD0697">
      <w:pPr>
        <w:spacing w:after="0"/>
        <w:rPr>
          <w:rFonts w:ascii="Times New Roman" w:hAnsi="Times New Roman"/>
          <w:sz w:val="24"/>
        </w:rPr>
      </w:pPr>
    </w:p>
    <w:p w14:paraId="421B09EB" w14:textId="35CEA78F" w:rsidR="00BD0697" w:rsidRDefault="00E37A5D" w:rsidP="00BD0697">
      <w:pPr>
        <w:spacing w:after="0"/>
        <w:rPr>
          <w:rFonts w:ascii="Times New Roman" w:hAnsi="Times New Roman"/>
          <w:sz w:val="24"/>
        </w:rPr>
      </w:pPr>
      <w:r>
        <w:rPr>
          <w:rFonts w:ascii="Times New Roman" w:hAnsi="Times New Roman"/>
          <w:sz w:val="24"/>
        </w:rPr>
        <w:t>Furthermore,</w:t>
      </w:r>
      <w:r w:rsidR="00BD0697">
        <w:rPr>
          <w:rFonts w:ascii="Times New Roman" w:hAnsi="Times New Roman"/>
          <w:sz w:val="24"/>
        </w:rPr>
        <w:t xml:space="preserve"> the cash-flow situation of the debtor would rarely enable insolvency practitioners of the main insolvency proceedings to place cash deposit at the Hungarian court (as the court of the synthetic secondary proceedings). Therefore, it would have been advisable for the Hungarian legislator to provide for provisional or protective measures which would concern local assets only and not involve assets from the main insolvency proceedings.</w:t>
      </w:r>
    </w:p>
    <w:p w14:paraId="225844FB" w14:textId="77777777" w:rsidR="00BD0697" w:rsidRDefault="00BD0697" w:rsidP="00BD0697">
      <w:pPr>
        <w:spacing w:after="0"/>
        <w:rPr>
          <w:rFonts w:ascii="Times New Roman" w:hAnsi="Times New Roman"/>
          <w:sz w:val="24"/>
        </w:rPr>
      </w:pPr>
    </w:p>
    <w:p w14:paraId="2F5B0509" w14:textId="210ACD97" w:rsidR="00BD0697" w:rsidRDefault="00BD0697" w:rsidP="00BD0697">
      <w:pPr>
        <w:spacing w:after="0"/>
        <w:rPr>
          <w:rFonts w:ascii="Times New Roman" w:hAnsi="Times New Roman"/>
          <w:i/>
          <w:sz w:val="24"/>
        </w:rPr>
      </w:pPr>
      <w:r>
        <w:rPr>
          <w:rFonts w:ascii="Times New Roman" w:hAnsi="Times New Roman"/>
          <w:i/>
          <w:sz w:val="24"/>
        </w:rPr>
        <w:t>The Question of Court Approval in the Context of Group Coordination Proceedings</w:t>
      </w:r>
    </w:p>
    <w:p w14:paraId="51DCF86B" w14:textId="77777777" w:rsidR="00BD0697" w:rsidRDefault="00BD0697" w:rsidP="00BD0697">
      <w:pPr>
        <w:spacing w:after="0"/>
        <w:rPr>
          <w:rFonts w:ascii="Times New Roman" w:hAnsi="Times New Roman"/>
          <w:sz w:val="24"/>
        </w:rPr>
      </w:pPr>
    </w:p>
    <w:p w14:paraId="4B475084" w14:textId="5214EBD3" w:rsidR="00BD0697" w:rsidRDefault="00BD0697" w:rsidP="00BD0697">
      <w:pPr>
        <w:spacing w:after="0"/>
        <w:rPr>
          <w:rFonts w:ascii="Times New Roman" w:hAnsi="Times New Roman"/>
          <w:sz w:val="24"/>
        </w:rPr>
      </w:pPr>
      <w:r>
        <w:rPr>
          <w:rFonts w:ascii="Times New Roman" w:hAnsi="Times New Roman"/>
          <w:sz w:val="24"/>
        </w:rPr>
        <w:t xml:space="preserve">The </w:t>
      </w:r>
      <w:r w:rsidR="00694350">
        <w:rPr>
          <w:rFonts w:ascii="Times New Roman" w:hAnsi="Times New Roman"/>
          <w:sz w:val="24"/>
        </w:rPr>
        <w:t>Recast EIR</w:t>
      </w:r>
      <w:r>
        <w:rPr>
          <w:rFonts w:ascii="Times New Roman" w:hAnsi="Times New Roman"/>
          <w:sz w:val="24"/>
        </w:rPr>
        <w:t xml:space="preserve"> empowers </w:t>
      </w:r>
      <w:r w:rsidR="00E37A5D">
        <w:rPr>
          <w:rFonts w:ascii="Times New Roman" w:hAnsi="Times New Roman"/>
          <w:sz w:val="24"/>
        </w:rPr>
        <w:t xml:space="preserve">a </w:t>
      </w:r>
      <w:r>
        <w:rPr>
          <w:rFonts w:ascii="Times New Roman" w:hAnsi="Times New Roman"/>
          <w:sz w:val="24"/>
        </w:rPr>
        <w:t xml:space="preserve">two-thirds majority of the insolvency practitioners appointed in insolvency proceedings </w:t>
      </w:r>
      <w:r w:rsidR="00E37A5D">
        <w:rPr>
          <w:rFonts w:ascii="Times New Roman" w:hAnsi="Times New Roman"/>
          <w:sz w:val="24"/>
        </w:rPr>
        <w:t xml:space="preserve">in respect of </w:t>
      </w:r>
      <w:r>
        <w:rPr>
          <w:rFonts w:ascii="Times New Roman" w:hAnsi="Times New Roman"/>
          <w:sz w:val="24"/>
        </w:rPr>
        <w:t xml:space="preserve">the members of a group to make a choice of court agreement and to place the group coordination proceedings under the exclusive jurisdiction of the </w:t>
      </w:r>
      <w:r w:rsidR="00E37A5D">
        <w:rPr>
          <w:rFonts w:ascii="Times New Roman" w:hAnsi="Times New Roman"/>
          <w:sz w:val="24"/>
        </w:rPr>
        <w:t xml:space="preserve">agreed </w:t>
      </w:r>
      <w:r>
        <w:rPr>
          <w:rFonts w:ascii="Times New Roman" w:hAnsi="Times New Roman"/>
          <w:sz w:val="24"/>
        </w:rPr>
        <w:t>court.</w:t>
      </w:r>
      <w:r>
        <w:rPr>
          <w:rStyle w:val="FootnoteReference"/>
          <w:rFonts w:ascii="Times New Roman" w:hAnsi="Times New Roman"/>
          <w:sz w:val="24"/>
        </w:rPr>
        <w:footnoteReference w:id="23"/>
      </w:r>
      <w:r w:rsidR="00276632">
        <w:rPr>
          <w:rFonts w:ascii="Times New Roman" w:hAnsi="Times New Roman"/>
          <w:sz w:val="24"/>
        </w:rPr>
        <w:t xml:space="preserve"> </w:t>
      </w:r>
      <w:r>
        <w:rPr>
          <w:rFonts w:ascii="Times New Roman" w:hAnsi="Times New Roman"/>
          <w:sz w:val="24"/>
        </w:rPr>
        <w:t>The Amendments</w:t>
      </w:r>
      <w:r w:rsidR="00276632">
        <w:rPr>
          <w:rFonts w:ascii="Times New Roman" w:hAnsi="Times New Roman"/>
          <w:sz w:val="24"/>
        </w:rPr>
        <w:t>, however,</w:t>
      </w:r>
      <w:r>
        <w:rPr>
          <w:rFonts w:ascii="Times New Roman" w:hAnsi="Times New Roman"/>
          <w:sz w:val="24"/>
        </w:rPr>
        <w:t xml:space="preserve"> provide that such choice of court agreement may be concluded only with the prior approval of Hungarian courts.</w:t>
      </w:r>
      <w:r>
        <w:rPr>
          <w:rStyle w:val="FootnoteReference"/>
          <w:rFonts w:ascii="Times New Roman" w:hAnsi="Times New Roman"/>
          <w:sz w:val="24"/>
        </w:rPr>
        <w:footnoteReference w:id="24"/>
      </w:r>
    </w:p>
    <w:p w14:paraId="09E8AFFF" w14:textId="77777777" w:rsidR="00BD0697" w:rsidRDefault="00BD0697" w:rsidP="00BD0697">
      <w:pPr>
        <w:spacing w:after="0"/>
        <w:rPr>
          <w:rFonts w:ascii="Times New Roman" w:hAnsi="Times New Roman"/>
          <w:sz w:val="24"/>
        </w:rPr>
      </w:pPr>
    </w:p>
    <w:p w14:paraId="3EB48D86" w14:textId="00CD56F4" w:rsidR="00BD0697" w:rsidRDefault="00BD0697" w:rsidP="00BD0697">
      <w:pPr>
        <w:spacing w:after="0"/>
        <w:rPr>
          <w:rFonts w:ascii="Times New Roman" w:hAnsi="Times New Roman"/>
          <w:sz w:val="24"/>
        </w:rPr>
      </w:pPr>
      <w:r>
        <w:rPr>
          <w:rFonts w:ascii="Times New Roman" w:hAnsi="Times New Roman"/>
          <w:sz w:val="24"/>
        </w:rPr>
        <w:t>Most probably</w:t>
      </w:r>
      <w:r w:rsidR="00E37A5D">
        <w:rPr>
          <w:rFonts w:ascii="Times New Roman" w:hAnsi="Times New Roman"/>
          <w:sz w:val="24"/>
        </w:rPr>
        <w:t>,</w:t>
      </w:r>
      <w:r>
        <w:rPr>
          <w:rFonts w:ascii="Times New Roman" w:hAnsi="Times New Roman"/>
          <w:sz w:val="24"/>
        </w:rPr>
        <w:t xml:space="preserve"> the intention of the Hungarian legislator was not to make the choice of court agreement concluded by other insolvency practitioners conditional on the prior approval of the Hungarian court. Rather, they intended to tie the Hungarian insolvency practitioner</w:t>
      </w:r>
      <w:r w:rsidR="00E37A5D">
        <w:rPr>
          <w:rFonts w:ascii="Times New Roman" w:hAnsi="Times New Roman"/>
          <w:sz w:val="24"/>
        </w:rPr>
        <w:t>’</w:t>
      </w:r>
      <w:r>
        <w:rPr>
          <w:rFonts w:ascii="Times New Roman" w:hAnsi="Times New Roman"/>
          <w:sz w:val="24"/>
        </w:rPr>
        <w:t xml:space="preserve">s hands </w:t>
      </w:r>
      <w:r w:rsidR="00E37A5D">
        <w:rPr>
          <w:rFonts w:ascii="Times New Roman" w:hAnsi="Times New Roman"/>
          <w:sz w:val="24"/>
        </w:rPr>
        <w:t xml:space="preserve">so </w:t>
      </w:r>
      <w:r>
        <w:rPr>
          <w:rFonts w:ascii="Times New Roman" w:hAnsi="Times New Roman"/>
          <w:sz w:val="24"/>
        </w:rPr>
        <w:t xml:space="preserve">that he </w:t>
      </w:r>
      <w:r w:rsidR="00E37A5D">
        <w:rPr>
          <w:rFonts w:ascii="Times New Roman" w:hAnsi="Times New Roman"/>
          <w:sz w:val="24"/>
        </w:rPr>
        <w:t xml:space="preserve">could </w:t>
      </w:r>
      <w:r>
        <w:rPr>
          <w:rFonts w:ascii="Times New Roman" w:hAnsi="Times New Roman"/>
          <w:sz w:val="24"/>
        </w:rPr>
        <w:t xml:space="preserve">not enter into a choice of court agreement without the approval of the court. However, even this latter interpretation appears to be in conflict with the concept underlying the </w:t>
      </w:r>
      <w:r w:rsidR="00694350">
        <w:rPr>
          <w:rFonts w:ascii="Times New Roman" w:hAnsi="Times New Roman"/>
          <w:sz w:val="24"/>
        </w:rPr>
        <w:t>Recast EIR</w:t>
      </w:r>
      <w:r>
        <w:rPr>
          <w:rFonts w:ascii="Times New Roman" w:hAnsi="Times New Roman"/>
          <w:sz w:val="24"/>
        </w:rPr>
        <w:t>. The latter explicitly empowered the qualified majority of the insolvency practitioners to determine the court having exclusive jurisdiction; other courts are required to respect that special prorogation of jurisdiction.</w:t>
      </w:r>
      <w:r>
        <w:rPr>
          <w:rStyle w:val="FootnoteReference"/>
          <w:rFonts w:ascii="Times New Roman" w:hAnsi="Times New Roman"/>
          <w:sz w:val="24"/>
        </w:rPr>
        <w:footnoteReference w:id="25"/>
      </w:r>
      <w:r>
        <w:rPr>
          <w:rFonts w:ascii="Times New Roman" w:hAnsi="Times New Roman"/>
          <w:sz w:val="24"/>
        </w:rPr>
        <w:t xml:space="preserve"> In other words, the European legislator placed the decision into the hands of the insolvency practitioners. Therefore, the provision of the Amendments requiring prior approval of the Hungarian court to the conclusion of the choice of court agreement by the Hungarian insolvency practitioner seems to contradict the aim of the </w:t>
      </w:r>
      <w:r w:rsidR="00694350">
        <w:rPr>
          <w:rFonts w:ascii="Times New Roman" w:hAnsi="Times New Roman"/>
          <w:sz w:val="24"/>
        </w:rPr>
        <w:t>Recast EIR</w:t>
      </w:r>
      <w:r>
        <w:rPr>
          <w:rFonts w:ascii="Times New Roman" w:hAnsi="Times New Roman"/>
          <w:sz w:val="24"/>
        </w:rPr>
        <w:t>.</w:t>
      </w:r>
    </w:p>
    <w:p w14:paraId="2FA616E3" w14:textId="77777777" w:rsidR="00BD0697" w:rsidRDefault="00BD0697" w:rsidP="00BD0697">
      <w:pPr>
        <w:spacing w:after="0"/>
        <w:rPr>
          <w:rFonts w:ascii="Times New Roman" w:hAnsi="Times New Roman"/>
          <w:sz w:val="24"/>
        </w:rPr>
      </w:pPr>
    </w:p>
    <w:p w14:paraId="11C8C7B4" w14:textId="6A2BE69C" w:rsidR="00BD0697" w:rsidRDefault="00BD0697" w:rsidP="00BD0697">
      <w:pPr>
        <w:spacing w:after="0"/>
        <w:rPr>
          <w:rFonts w:ascii="Times New Roman" w:hAnsi="Times New Roman"/>
          <w:i/>
          <w:sz w:val="24"/>
        </w:rPr>
      </w:pPr>
      <w:r>
        <w:rPr>
          <w:rFonts w:ascii="Times New Roman" w:hAnsi="Times New Roman"/>
          <w:i/>
          <w:sz w:val="24"/>
        </w:rPr>
        <w:t>Conclusion</w:t>
      </w:r>
    </w:p>
    <w:p w14:paraId="5EA1F192" w14:textId="77777777" w:rsidR="00BD0697" w:rsidRDefault="00BD0697" w:rsidP="00BD0697">
      <w:pPr>
        <w:spacing w:after="0"/>
        <w:rPr>
          <w:rFonts w:ascii="Times New Roman" w:hAnsi="Times New Roman"/>
          <w:i/>
          <w:sz w:val="24"/>
        </w:rPr>
      </w:pPr>
    </w:p>
    <w:p w14:paraId="6EBDDED6" w14:textId="30F0D64F" w:rsidR="00876BCD" w:rsidRPr="00AA741E" w:rsidRDefault="00BD0697" w:rsidP="00AA741E">
      <w:pPr>
        <w:spacing w:after="0"/>
        <w:rPr>
          <w:rFonts w:ascii="Times New Roman" w:hAnsi="Times New Roman"/>
          <w:sz w:val="24"/>
          <w:szCs w:val="24"/>
        </w:rPr>
      </w:pPr>
      <w:r>
        <w:rPr>
          <w:rFonts w:ascii="Times New Roman" w:hAnsi="Times New Roman"/>
          <w:sz w:val="24"/>
        </w:rPr>
        <w:t xml:space="preserve">As </w:t>
      </w:r>
      <w:r w:rsidR="00E37A5D">
        <w:rPr>
          <w:rFonts w:ascii="Times New Roman" w:hAnsi="Times New Roman"/>
          <w:sz w:val="24"/>
        </w:rPr>
        <w:t>explored in this piece</w:t>
      </w:r>
      <w:r>
        <w:rPr>
          <w:rFonts w:ascii="Times New Roman" w:hAnsi="Times New Roman"/>
          <w:sz w:val="24"/>
        </w:rPr>
        <w:t xml:space="preserve">, the adjustment of the HIA to the </w:t>
      </w:r>
      <w:r w:rsidR="00694350">
        <w:rPr>
          <w:rFonts w:ascii="Times New Roman" w:hAnsi="Times New Roman"/>
          <w:sz w:val="24"/>
        </w:rPr>
        <w:t>Recast EIR</w:t>
      </w:r>
      <w:r>
        <w:rPr>
          <w:rFonts w:ascii="Times New Roman" w:hAnsi="Times New Roman"/>
          <w:sz w:val="24"/>
        </w:rPr>
        <w:t xml:space="preserve"> in the national context may raise several questions. Time will tell if some of the problematic points of the new legislation analysed </w:t>
      </w:r>
      <w:r w:rsidR="00E37A5D">
        <w:rPr>
          <w:rFonts w:ascii="Times New Roman" w:hAnsi="Times New Roman"/>
          <w:sz w:val="24"/>
        </w:rPr>
        <w:t xml:space="preserve">here will </w:t>
      </w:r>
      <w:r w:rsidR="002E09E9">
        <w:rPr>
          <w:rFonts w:ascii="Times New Roman" w:hAnsi="Times New Roman"/>
          <w:sz w:val="24"/>
        </w:rPr>
        <w:t xml:space="preserve">end up being resolved by </w:t>
      </w:r>
      <w:r>
        <w:rPr>
          <w:rFonts w:ascii="Times New Roman" w:hAnsi="Times New Roman"/>
          <w:sz w:val="24"/>
        </w:rPr>
        <w:t xml:space="preserve">the case law </w:t>
      </w:r>
      <w:r w:rsidR="00E37A5D">
        <w:rPr>
          <w:rFonts w:ascii="Times New Roman" w:hAnsi="Times New Roman"/>
          <w:sz w:val="24"/>
        </w:rPr>
        <w:t xml:space="preserve">explaining </w:t>
      </w:r>
      <w:r>
        <w:rPr>
          <w:rFonts w:ascii="Times New Roman" w:hAnsi="Times New Roman"/>
          <w:sz w:val="24"/>
        </w:rPr>
        <w:t xml:space="preserve">the </w:t>
      </w:r>
      <w:r w:rsidR="00694350">
        <w:rPr>
          <w:rFonts w:ascii="Times New Roman" w:hAnsi="Times New Roman"/>
          <w:sz w:val="24"/>
        </w:rPr>
        <w:t>Recast EIR</w:t>
      </w:r>
      <w:r>
        <w:rPr>
          <w:rFonts w:ascii="Times New Roman" w:hAnsi="Times New Roman"/>
          <w:sz w:val="24"/>
        </w:rPr>
        <w:t>.</w:t>
      </w:r>
    </w:p>
    <w:sectPr w:rsidR="00876BCD" w:rsidRPr="00AA741E"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6A24" w14:textId="77777777" w:rsidR="004D1D7E" w:rsidRDefault="004D1D7E">
      <w:r>
        <w:separator/>
      </w:r>
    </w:p>
  </w:endnote>
  <w:endnote w:type="continuationSeparator" w:id="0">
    <w:p w14:paraId="16A25419" w14:textId="77777777" w:rsidR="004D1D7E" w:rsidRDefault="004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5C7C" w14:textId="77777777" w:rsidR="004D1D7E" w:rsidRDefault="004D1D7E">
      <w:r>
        <w:separator/>
      </w:r>
    </w:p>
  </w:footnote>
  <w:footnote w:type="continuationSeparator" w:id="0">
    <w:p w14:paraId="41637B17" w14:textId="77777777" w:rsidR="004D1D7E" w:rsidRDefault="004D1D7E">
      <w:r>
        <w:continuationSeparator/>
      </w:r>
    </w:p>
  </w:footnote>
  <w:footnote w:id="1">
    <w:p w14:paraId="4C86515D" w14:textId="7777777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eastAsia="hu-HU"/>
        </w:rPr>
        <w:t>Council Regulation (EC) 1346/2000 of 29 May 2000 on insolvency proceedings [2000] OJ L160/1.</w:t>
      </w:r>
    </w:p>
  </w:footnote>
  <w:footnote w:id="2">
    <w:p w14:paraId="57EC31E7" w14:textId="7777777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Regulation (EU) 2015/848 on insolvency proceedings (recast) [2015] OJ L141/19.</w:t>
      </w:r>
    </w:p>
  </w:footnote>
  <w:footnote w:id="3">
    <w:p w14:paraId="1B4351F2" w14:textId="6F3076DB"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Act CXXVI of 2017 on amendments to the Insolvency Act with view to legal harmonisation</w:t>
      </w:r>
      <w:r w:rsidR="00694350">
        <w:rPr>
          <w:rFonts w:ascii="Times New Roman" w:hAnsi="Times New Roman"/>
        </w:rPr>
        <w:t>.</w:t>
      </w:r>
    </w:p>
  </w:footnote>
  <w:footnote w:id="4">
    <w:p w14:paraId="00AB8164" w14:textId="7777777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Consolidated Version of the Treaty on the Functioning of the European Union [2012] OJ C326/47.</w:t>
      </w:r>
    </w:p>
  </w:footnote>
  <w:footnote w:id="5">
    <w:p w14:paraId="4E8F8FF3" w14:textId="25152983" w:rsidR="00BD0697" w:rsidRDefault="00BD0697" w:rsidP="00694350">
      <w:pPr>
        <w:pStyle w:val="FootnoteText"/>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For a concise summary of the relevant case law</w:t>
      </w:r>
      <w:r w:rsidR="00694350">
        <w:rPr>
          <w:rFonts w:ascii="Times New Roman" w:hAnsi="Times New Roman"/>
          <w:szCs w:val="18"/>
        </w:rPr>
        <w:t>,</w:t>
      </w:r>
      <w:r>
        <w:rPr>
          <w:rFonts w:ascii="Times New Roman" w:hAnsi="Times New Roman"/>
          <w:szCs w:val="18"/>
        </w:rPr>
        <w:t xml:space="preserve"> see Paul Craig and Gráinne de Búrca, </w:t>
      </w:r>
      <w:r>
        <w:rPr>
          <w:rFonts w:ascii="Times New Roman" w:hAnsi="Times New Roman"/>
          <w:i/>
          <w:szCs w:val="18"/>
        </w:rPr>
        <w:t>EU Law Text, Cases and Material</w:t>
      </w:r>
      <w:r>
        <w:rPr>
          <w:rFonts w:ascii="Times New Roman" w:hAnsi="Times New Roman"/>
          <w:szCs w:val="18"/>
        </w:rPr>
        <w:t xml:space="preserve"> (6th edn</w:t>
      </w:r>
      <w:r w:rsidR="00694350">
        <w:rPr>
          <w:rFonts w:ascii="Times New Roman" w:hAnsi="Times New Roman"/>
          <w:szCs w:val="18"/>
        </w:rPr>
        <w:t>)</w:t>
      </w:r>
      <w:r>
        <w:rPr>
          <w:rFonts w:ascii="Times New Roman" w:hAnsi="Times New Roman"/>
          <w:szCs w:val="18"/>
        </w:rPr>
        <w:t xml:space="preserve"> </w:t>
      </w:r>
      <w:r w:rsidR="00694350">
        <w:rPr>
          <w:rFonts w:ascii="Times New Roman" w:hAnsi="Times New Roman"/>
          <w:szCs w:val="18"/>
        </w:rPr>
        <w:t>(</w:t>
      </w:r>
      <w:r>
        <w:rPr>
          <w:rFonts w:ascii="Times New Roman" w:hAnsi="Times New Roman"/>
          <w:szCs w:val="18"/>
        </w:rPr>
        <w:t>OUP</w:t>
      </w:r>
      <w:r w:rsidR="00694350">
        <w:rPr>
          <w:rFonts w:ascii="Times New Roman" w:hAnsi="Times New Roman"/>
          <w:szCs w:val="18"/>
        </w:rPr>
        <w:t>,</w:t>
      </w:r>
      <w:r>
        <w:rPr>
          <w:rFonts w:ascii="Times New Roman" w:hAnsi="Times New Roman"/>
          <w:szCs w:val="18"/>
        </w:rPr>
        <w:t xml:space="preserve"> 2015)</w:t>
      </w:r>
      <w:r w:rsidR="00694350">
        <w:rPr>
          <w:rFonts w:ascii="Times New Roman" w:hAnsi="Times New Roman"/>
          <w:szCs w:val="18"/>
        </w:rPr>
        <w:t>,</w:t>
      </w:r>
      <w:r>
        <w:rPr>
          <w:rFonts w:ascii="Times New Roman" w:hAnsi="Times New Roman"/>
          <w:szCs w:val="18"/>
        </w:rPr>
        <w:t xml:space="preserve"> 198 ff.</w:t>
      </w:r>
    </w:p>
  </w:footnote>
  <w:footnote w:id="6">
    <w:p w14:paraId="74924713" w14:textId="34E94CB9"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Case 34/73 </w:t>
      </w:r>
      <w:r>
        <w:rPr>
          <w:rFonts w:ascii="Times New Roman" w:hAnsi="Times New Roman"/>
          <w:i/>
        </w:rPr>
        <w:t>Fratelli Variola SpA v Amministrazione Italiana delle Finanze</w:t>
      </w:r>
      <w:r>
        <w:rPr>
          <w:rFonts w:ascii="Times New Roman" w:hAnsi="Times New Roman"/>
        </w:rPr>
        <w:t xml:space="preserve"> [1973] ECR 981, para</w:t>
      </w:r>
      <w:r w:rsidR="00694350">
        <w:rPr>
          <w:rFonts w:ascii="Times New Roman" w:hAnsi="Times New Roman"/>
        </w:rPr>
        <w:t>graph</w:t>
      </w:r>
      <w:r>
        <w:rPr>
          <w:rFonts w:ascii="Times New Roman" w:hAnsi="Times New Roman"/>
        </w:rPr>
        <w:t xml:space="preserve"> 10; see also Case 50/76 </w:t>
      </w:r>
      <w:r>
        <w:rPr>
          <w:rFonts w:ascii="Times New Roman" w:hAnsi="Times New Roman"/>
          <w:i/>
        </w:rPr>
        <w:t>Amsterdam Bulb BV v Produktschap voor Siergewassen</w:t>
      </w:r>
      <w:r>
        <w:rPr>
          <w:rFonts w:ascii="Times New Roman" w:hAnsi="Times New Roman"/>
        </w:rPr>
        <w:t xml:space="preserve"> [1977] ECR 137, para</w:t>
      </w:r>
      <w:r w:rsidR="00E37A5D">
        <w:rPr>
          <w:rFonts w:ascii="Times New Roman" w:hAnsi="Times New Roman"/>
        </w:rPr>
        <w:t>graph</w:t>
      </w:r>
      <w:r>
        <w:rPr>
          <w:rFonts w:ascii="Times New Roman" w:hAnsi="Times New Roman"/>
        </w:rPr>
        <w:t xml:space="preserve">s 4-6; C-94/77 </w:t>
      </w:r>
      <w:r>
        <w:rPr>
          <w:rFonts w:ascii="Times New Roman" w:hAnsi="Times New Roman"/>
          <w:i/>
        </w:rPr>
        <w:t>Fratelli Zerbone Snc v Amministrazione delle finanze dello Stato</w:t>
      </w:r>
      <w:r>
        <w:rPr>
          <w:rFonts w:ascii="Times New Roman" w:hAnsi="Times New Roman"/>
        </w:rPr>
        <w:t xml:space="preserve"> [1978] ECR 0099, para</w:t>
      </w:r>
      <w:r w:rsidR="00E37A5D">
        <w:rPr>
          <w:rFonts w:ascii="Times New Roman" w:hAnsi="Times New Roman"/>
        </w:rPr>
        <w:t>graph</w:t>
      </w:r>
      <w:r>
        <w:rPr>
          <w:rFonts w:ascii="Times New Roman" w:hAnsi="Times New Roman"/>
        </w:rPr>
        <w:t>s 23-25.</w:t>
      </w:r>
    </w:p>
  </w:footnote>
  <w:footnote w:id="7">
    <w:p w14:paraId="2ABD9B7D" w14:textId="39D449CE"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Réka Somssich, </w:t>
      </w:r>
      <w:r w:rsidR="00E37A5D">
        <w:rPr>
          <w:rFonts w:ascii="Times New Roman" w:hAnsi="Times New Roman"/>
        </w:rPr>
        <w:t>“</w:t>
      </w:r>
      <w:r>
        <w:rPr>
          <w:rFonts w:ascii="Times New Roman" w:hAnsi="Times New Roman"/>
        </w:rPr>
        <w:t>Cohabitation of EU Regulations and National Laws in the Field of Conflict of Laws</w:t>
      </w:r>
      <w:r w:rsidR="00E37A5D">
        <w:rPr>
          <w:rFonts w:ascii="Times New Roman" w:hAnsi="Times New Roman"/>
        </w:rPr>
        <w:t>”</w:t>
      </w:r>
      <w:r>
        <w:rPr>
          <w:rFonts w:ascii="Times New Roman" w:hAnsi="Times New Roman"/>
        </w:rPr>
        <w:t xml:space="preserve"> </w:t>
      </w:r>
      <w:r w:rsidR="00694350">
        <w:rPr>
          <w:rFonts w:ascii="Times New Roman" w:hAnsi="Times New Roman"/>
        </w:rPr>
        <w:t>(</w:t>
      </w:r>
      <w:r>
        <w:rPr>
          <w:rFonts w:ascii="Times New Roman" w:hAnsi="Times New Roman"/>
        </w:rPr>
        <w:t>2015/2</w:t>
      </w:r>
      <w:r w:rsidR="00694350">
        <w:rPr>
          <w:rFonts w:ascii="Times New Roman" w:hAnsi="Times New Roman"/>
        </w:rPr>
        <w:t>)</w:t>
      </w:r>
      <w:r>
        <w:rPr>
          <w:rFonts w:ascii="Times New Roman" w:hAnsi="Times New Roman"/>
        </w:rPr>
        <w:t xml:space="preserve"> </w:t>
      </w:r>
      <w:r w:rsidRPr="00694350">
        <w:rPr>
          <w:rFonts w:ascii="Times New Roman" w:hAnsi="Times New Roman"/>
          <w:i/>
        </w:rPr>
        <w:t>ELTE Law Journal</w:t>
      </w:r>
      <w:r>
        <w:rPr>
          <w:rFonts w:ascii="Times New Roman" w:hAnsi="Times New Roman"/>
        </w:rPr>
        <w:t xml:space="preserve"> 69</w:t>
      </w:r>
      <w:r w:rsidR="00694350">
        <w:rPr>
          <w:rFonts w:ascii="Times New Roman" w:hAnsi="Times New Roman"/>
        </w:rPr>
        <w:t>, available at:</w:t>
      </w:r>
      <w:r>
        <w:rPr>
          <w:rFonts w:ascii="Times New Roman" w:hAnsi="Times New Roman"/>
        </w:rPr>
        <w:t xml:space="preserve"> &lt;http://eltelawjournal.hu/cohabitation-eu-regulations-national-laws-field-conflict-laws/&gt;</w:t>
      </w:r>
      <w:r w:rsidR="00694350">
        <w:rPr>
          <w:rFonts w:ascii="Times New Roman" w:hAnsi="Times New Roman"/>
        </w:rPr>
        <w:t>.</w:t>
      </w:r>
    </w:p>
  </w:footnote>
  <w:footnote w:id="8">
    <w:p w14:paraId="4702E05A" w14:textId="767EB039" w:rsidR="00BD0697" w:rsidRDefault="00BD0697" w:rsidP="00694350">
      <w:pPr>
        <w:pStyle w:val="FootnoteText"/>
        <w:rPr>
          <w:rFonts w:ascii="Times New Roman" w:hAnsi="Times New Roman"/>
          <w:lang w:val="de-DE"/>
        </w:rPr>
      </w:pPr>
      <w:r>
        <w:rPr>
          <w:rStyle w:val="FootnoteReference"/>
          <w:rFonts w:ascii="Times New Roman" w:hAnsi="Times New Roman"/>
        </w:rPr>
        <w:footnoteRef/>
      </w:r>
      <w:r>
        <w:rPr>
          <w:rFonts w:ascii="Times New Roman" w:hAnsi="Times New Roman"/>
          <w:lang w:val="de-DE"/>
        </w:rPr>
        <w:t xml:space="preserve"> </w:t>
      </w:r>
      <w:r>
        <w:rPr>
          <w:rFonts w:ascii="Times New Roman" w:hAnsi="Times New Roman"/>
          <w:lang w:val="de-DE"/>
        </w:rPr>
        <w:t xml:space="preserve">C-94/77 </w:t>
      </w:r>
      <w:r>
        <w:rPr>
          <w:rFonts w:ascii="Times New Roman" w:hAnsi="Times New Roman"/>
          <w:i/>
          <w:lang w:val="de-DE"/>
        </w:rPr>
        <w:t>Fratelli Zerbone Snc v Amministrazione delle finanze dello Stato</w:t>
      </w:r>
      <w:r>
        <w:rPr>
          <w:rFonts w:ascii="Times New Roman" w:hAnsi="Times New Roman"/>
          <w:lang w:val="de-DE"/>
        </w:rPr>
        <w:t xml:space="preserve"> [1978] ECR 0099, para</w:t>
      </w:r>
      <w:r w:rsidR="00694350">
        <w:rPr>
          <w:rFonts w:ascii="Times New Roman" w:hAnsi="Times New Roman"/>
          <w:lang w:val="de-DE"/>
        </w:rPr>
        <w:t>graph</w:t>
      </w:r>
      <w:r>
        <w:rPr>
          <w:rFonts w:ascii="Times New Roman" w:hAnsi="Times New Roman"/>
          <w:lang w:val="de-DE"/>
        </w:rPr>
        <w:t xml:space="preserve"> 27.</w:t>
      </w:r>
    </w:p>
  </w:footnote>
  <w:footnote w:id="9">
    <w:p w14:paraId="5F0F80CF" w14:textId="73782292"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Case C</w:t>
      </w:r>
      <w:r>
        <w:rPr>
          <w:rFonts w:ascii="Times New Roman" w:hAnsi="Times New Roman"/>
        </w:rPr>
        <w:noBreakHyphen/>
        <w:t xml:space="preserve">113/02 </w:t>
      </w:r>
      <w:r>
        <w:rPr>
          <w:rFonts w:ascii="Times New Roman" w:hAnsi="Times New Roman"/>
          <w:i/>
          <w:iCs/>
        </w:rPr>
        <w:t>Commission</w:t>
      </w:r>
      <w:r>
        <w:rPr>
          <w:rFonts w:ascii="Times New Roman" w:hAnsi="Times New Roman"/>
        </w:rPr>
        <w:t xml:space="preserve"> v </w:t>
      </w:r>
      <w:r>
        <w:rPr>
          <w:rFonts w:ascii="Times New Roman" w:hAnsi="Times New Roman"/>
          <w:i/>
          <w:iCs/>
        </w:rPr>
        <w:t>Netherlands</w:t>
      </w:r>
      <w:r>
        <w:rPr>
          <w:rFonts w:ascii="Times New Roman" w:hAnsi="Times New Roman"/>
        </w:rPr>
        <w:t xml:space="preserve"> [2004] ECR I</w:t>
      </w:r>
      <w:r>
        <w:rPr>
          <w:rFonts w:ascii="Times New Roman" w:hAnsi="Times New Roman"/>
        </w:rPr>
        <w:noBreakHyphen/>
        <w:t xml:space="preserve">9707, para 16; C-316/10 </w:t>
      </w:r>
      <w:r>
        <w:rPr>
          <w:rFonts w:ascii="Times New Roman" w:hAnsi="Times New Roman"/>
          <w:i/>
        </w:rPr>
        <w:t>Dankse Svineproducer</w:t>
      </w:r>
      <w:r w:rsidR="00694350">
        <w:rPr>
          <w:rFonts w:ascii="Times New Roman" w:hAnsi="Times New Roman"/>
        </w:rPr>
        <w:t xml:space="preserve"> </w:t>
      </w:r>
      <w:r>
        <w:rPr>
          <w:rFonts w:ascii="Times New Roman" w:hAnsi="Times New Roman"/>
        </w:rPr>
        <w:t>ECLI:EU:C:2011:863, para</w:t>
      </w:r>
      <w:r w:rsidR="00E37A5D">
        <w:rPr>
          <w:rFonts w:ascii="Times New Roman" w:hAnsi="Times New Roman"/>
        </w:rPr>
        <w:t>graph</w:t>
      </w:r>
      <w:r>
        <w:rPr>
          <w:rFonts w:ascii="Times New Roman" w:hAnsi="Times New Roman"/>
        </w:rPr>
        <w:t xml:space="preserve"> 41.</w:t>
      </w:r>
    </w:p>
  </w:footnote>
  <w:footnote w:id="10">
    <w:p w14:paraId="70CD664E" w14:textId="050F97B9"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694350">
        <w:rPr>
          <w:rFonts w:ascii="Times New Roman" w:hAnsi="Times New Roman"/>
        </w:rPr>
        <w:t>E.</w:t>
      </w:r>
      <w:r>
        <w:rPr>
          <w:rFonts w:ascii="Times New Roman" w:hAnsi="Times New Roman"/>
        </w:rPr>
        <w:t>g</w:t>
      </w:r>
      <w:r w:rsidR="00694350">
        <w:rPr>
          <w:rFonts w:ascii="Times New Roman" w:hAnsi="Times New Roman"/>
        </w:rPr>
        <w:t>.</w:t>
      </w:r>
      <w:r>
        <w:rPr>
          <w:rFonts w:ascii="Times New Roman" w:hAnsi="Times New Roman"/>
        </w:rPr>
        <w:t xml:space="preserve"> Recitals (21), (34) </w:t>
      </w:r>
      <w:r w:rsidR="00694350">
        <w:rPr>
          <w:rFonts w:ascii="Times New Roman" w:hAnsi="Times New Roman"/>
        </w:rPr>
        <w:t xml:space="preserve">and </w:t>
      </w:r>
      <w:r>
        <w:rPr>
          <w:rFonts w:ascii="Times New Roman" w:hAnsi="Times New Roman"/>
        </w:rPr>
        <w:t>(64); Art</w:t>
      </w:r>
      <w:r w:rsidR="00694350">
        <w:rPr>
          <w:rFonts w:ascii="Times New Roman" w:hAnsi="Times New Roman"/>
        </w:rPr>
        <w:t>icle</w:t>
      </w:r>
      <w:r>
        <w:rPr>
          <w:rFonts w:ascii="Times New Roman" w:hAnsi="Times New Roman"/>
        </w:rPr>
        <w:t>s 24, 27</w:t>
      </w:r>
      <w:r w:rsidR="00694350">
        <w:rPr>
          <w:rFonts w:ascii="Times New Roman" w:hAnsi="Times New Roman"/>
        </w:rPr>
        <w:t xml:space="preserve"> and</w:t>
      </w:r>
      <w:r>
        <w:rPr>
          <w:rFonts w:ascii="Times New Roman" w:hAnsi="Times New Roman"/>
        </w:rPr>
        <w:t xml:space="preserve"> 79, </w:t>
      </w:r>
      <w:r w:rsidR="00694350">
        <w:rPr>
          <w:rFonts w:ascii="Times New Roman" w:hAnsi="Times New Roman"/>
        </w:rPr>
        <w:t>R</w:t>
      </w:r>
      <w:r>
        <w:rPr>
          <w:rFonts w:ascii="Times New Roman" w:hAnsi="Times New Roman"/>
        </w:rPr>
        <w:t>ecast EIR.</w:t>
      </w:r>
    </w:p>
  </w:footnote>
  <w:footnote w:id="11">
    <w:p w14:paraId="6962AD31" w14:textId="316E7E6B"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w:t>
      </w:r>
      <w:r w:rsidR="00E37A5D">
        <w:rPr>
          <w:rFonts w:ascii="Times New Roman" w:hAnsi="Times New Roman"/>
        </w:rPr>
        <w:t>ri</w:t>
      </w:r>
      <w:r>
        <w:rPr>
          <w:rFonts w:ascii="Times New Roman" w:hAnsi="Times New Roman"/>
        </w:rPr>
        <w:t xml:space="preserve">stin van Zwieten, </w:t>
      </w:r>
      <w:r w:rsidR="00E37A5D">
        <w:rPr>
          <w:rFonts w:ascii="Times New Roman" w:hAnsi="Times New Roman"/>
        </w:rPr>
        <w:t>“</w:t>
      </w:r>
      <w:r>
        <w:rPr>
          <w:rFonts w:ascii="Times New Roman" w:hAnsi="Times New Roman"/>
        </w:rPr>
        <w:t>Article 2 – Definitions</w:t>
      </w:r>
      <w:r w:rsidR="00E37A5D">
        <w:rPr>
          <w:rFonts w:ascii="Times New Roman" w:hAnsi="Times New Roman"/>
        </w:rPr>
        <w:t>”</w:t>
      </w:r>
      <w:r>
        <w:rPr>
          <w:rFonts w:ascii="Times New Roman" w:hAnsi="Times New Roman"/>
        </w:rPr>
        <w:t xml:space="preserve"> in Reinhard Bork and K</w:t>
      </w:r>
      <w:r w:rsidR="00E37A5D">
        <w:rPr>
          <w:rFonts w:ascii="Times New Roman" w:hAnsi="Times New Roman"/>
        </w:rPr>
        <w:t>ri</w:t>
      </w:r>
      <w:r>
        <w:rPr>
          <w:rFonts w:ascii="Times New Roman" w:hAnsi="Times New Roman"/>
        </w:rPr>
        <w:t xml:space="preserve">stin van Zwieten (eds), </w:t>
      </w:r>
      <w:r>
        <w:rPr>
          <w:rFonts w:ascii="Times New Roman" w:hAnsi="Times New Roman"/>
          <w:i/>
        </w:rPr>
        <w:t>Commentary on the European Insolvency Regulation</w:t>
      </w:r>
      <w:r>
        <w:rPr>
          <w:rFonts w:ascii="Times New Roman" w:hAnsi="Times New Roman"/>
        </w:rPr>
        <w:t xml:space="preserve"> (OUP</w:t>
      </w:r>
      <w:r w:rsidR="00E37A5D">
        <w:rPr>
          <w:rFonts w:ascii="Times New Roman" w:hAnsi="Times New Roman"/>
        </w:rPr>
        <w:t>,</w:t>
      </w:r>
      <w:r>
        <w:rPr>
          <w:rFonts w:ascii="Times New Roman" w:hAnsi="Times New Roman"/>
        </w:rPr>
        <w:t xml:space="preserve"> 2016)</w:t>
      </w:r>
      <w:r w:rsidR="00E37A5D">
        <w:rPr>
          <w:rFonts w:ascii="Times New Roman" w:hAnsi="Times New Roman"/>
        </w:rPr>
        <w:t>,</w:t>
      </w:r>
      <w:r>
        <w:rPr>
          <w:rFonts w:ascii="Times New Roman" w:hAnsi="Times New Roman"/>
        </w:rPr>
        <w:t xml:space="preserve"> 103; Peter Mankowski, Michael Müller and Jessica Schmidt, </w:t>
      </w:r>
      <w:r>
        <w:rPr>
          <w:rFonts w:ascii="Times New Roman" w:hAnsi="Times New Roman"/>
          <w:i/>
        </w:rPr>
        <w:t>EuInsVO 2015 Kommentar</w:t>
      </w:r>
      <w:r>
        <w:rPr>
          <w:rFonts w:ascii="Times New Roman" w:hAnsi="Times New Roman"/>
        </w:rPr>
        <w:t xml:space="preserve"> (Beck, 2016)</w:t>
      </w:r>
      <w:r w:rsidR="00E37A5D">
        <w:rPr>
          <w:rFonts w:ascii="Times New Roman" w:hAnsi="Times New Roman"/>
        </w:rPr>
        <w:t>,</w:t>
      </w:r>
      <w:r>
        <w:rPr>
          <w:rFonts w:ascii="Times New Roman" w:hAnsi="Times New Roman"/>
        </w:rPr>
        <w:t xml:space="preserve"> 64.</w:t>
      </w:r>
    </w:p>
  </w:footnote>
  <w:footnote w:id="12">
    <w:p w14:paraId="099B2A57" w14:textId="0F4E02E6"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Gabriel Moss and Tom Smith, </w:t>
      </w:r>
      <w:r w:rsidR="00E37A5D">
        <w:rPr>
          <w:rFonts w:ascii="Times New Roman" w:hAnsi="Times New Roman"/>
        </w:rPr>
        <w:t>“</w:t>
      </w:r>
      <w:r>
        <w:rPr>
          <w:rFonts w:ascii="Times New Roman" w:hAnsi="Times New Roman"/>
        </w:rPr>
        <w:t>Commentary on Regulation 134/2000 and Recast Regulation 2015/848 on Insolvency Proceedings</w:t>
      </w:r>
      <w:r w:rsidR="00E37A5D">
        <w:rPr>
          <w:rFonts w:ascii="Times New Roman" w:hAnsi="Times New Roman"/>
        </w:rPr>
        <w:t>”</w:t>
      </w:r>
      <w:r>
        <w:rPr>
          <w:rFonts w:ascii="Times New Roman" w:hAnsi="Times New Roman"/>
        </w:rPr>
        <w:t xml:space="preserve"> in Gabriel Moss, Ian Fletcher and Stuart Isaacs (eds), </w:t>
      </w:r>
      <w:r>
        <w:rPr>
          <w:rFonts w:ascii="Times New Roman" w:hAnsi="Times New Roman"/>
          <w:i/>
        </w:rPr>
        <w:t>EU Regulation on Insolvency Proceedings</w:t>
      </w:r>
      <w:r>
        <w:rPr>
          <w:rFonts w:ascii="Times New Roman" w:hAnsi="Times New Roman"/>
        </w:rPr>
        <w:t xml:space="preserve"> (3rd edn</w:t>
      </w:r>
      <w:r w:rsidR="00E37A5D">
        <w:rPr>
          <w:rFonts w:ascii="Times New Roman" w:hAnsi="Times New Roman"/>
        </w:rPr>
        <w:t>)</w:t>
      </w:r>
      <w:r>
        <w:rPr>
          <w:rFonts w:ascii="Times New Roman" w:hAnsi="Times New Roman"/>
        </w:rPr>
        <w:t xml:space="preserve"> </w:t>
      </w:r>
      <w:r w:rsidR="00E37A5D">
        <w:rPr>
          <w:rFonts w:ascii="Times New Roman" w:hAnsi="Times New Roman"/>
        </w:rPr>
        <w:t>(</w:t>
      </w:r>
      <w:r>
        <w:rPr>
          <w:rFonts w:ascii="Times New Roman" w:hAnsi="Times New Roman"/>
        </w:rPr>
        <w:t>OUP</w:t>
      </w:r>
      <w:r w:rsidR="00E37A5D">
        <w:rPr>
          <w:rFonts w:ascii="Times New Roman" w:hAnsi="Times New Roman"/>
        </w:rPr>
        <w:t>,</w:t>
      </w:r>
      <w:r>
        <w:rPr>
          <w:rFonts w:ascii="Times New Roman" w:hAnsi="Times New Roman"/>
        </w:rPr>
        <w:t xml:space="preserve"> 2016)</w:t>
      </w:r>
      <w:r w:rsidR="00E37A5D">
        <w:rPr>
          <w:rFonts w:ascii="Times New Roman" w:hAnsi="Times New Roman"/>
        </w:rPr>
        <w:t>,</w:t>
      </w:r>
      <w:r>
        <w:rPr>
          <w:rFonts w:ascii="Times New Roman" w:hAnsi="Times New Roman"/>
        </w:rPr>
        <w:t xml:space="preserve"> 436; Christoph Thole, </w:t>
      </w:r>
      <w:r w:rsidR="00E37A5D">
        <w:rPr>
          <w:rFonts w:ascii="Times New Roman" w:hAnsi="Times New Roman"/>
        </w:rPr>
        <w:t>“</w:t>
      </w:r>
      <w:r>
        <w:rPr>
          <w:rFonts w:ascii="Times New Roman" w:hAnsi="Times New Roman"/>
        </w:rPr>
        <w:t>Art 2 EUInsVO 2015</w:t>
      </w:r>
      <w:r w:rsidR="00E37A5D">
        <w:rPr>
          <w:rFonts w:ascii="Times New Roman" w:hAnsi="Times New Roman"/>
        </w:rPr>
        <w:t>”</w:t>
      </w:r>
      <w:r>
        <w:rPr>
          <w:rFonts w:ascii="Times New Roman" w:hAnsi="Times New Roman"/>
        </w:rPr>
        <w:t xml:space="preserve"> in Hans-Peter Kirchhof, Rolf Stürner and Horst Eidenmüller (eds), </w:t>
      </w:r>
      <w:r>
        <w:rPr>
          <w:rFonts w:ascii="Times New Roman" w:hAnsi="Times New Roman"/>
          <w:i/>
        </w:rPr>
        <w:t>Münchener Kommentar zur Insolvenzordnung: InsO Band 4: EGInsO, EuInsVO, Länderberichte</w:t>
      </w:r>
      <w:r>
        <w:rPr>
          <w:rFonts w:ascii="Times New Roman" w:hAnsi="Times New Roman"/>
        </w:rPr>
        <w:t xml:space="preserve"> (4th edn</w:t>
      </w:r>
      <w:r w:rsidR="00E37A5D">
        <w:rPr>
          <w:rFonts w:ascii="Times New Roman" w:hAnsi="Times New Roman"/>
        </w:rPr>
        <w:t>)</w:t>
      </w:r>
      <w:r>
        <w:rPr>
          <w:rFonts w:ascii="Times New Roman" w:hAnsi="Times New Roman"/>
        </w:rPr>
        <w:t xml:space="preserve"> </w:t>
      </w:r>
      <w:r w:rsidR="00E37A5D">
        <w:rPr>
          <w:rFonts w:ascii="Times New Roman" w:hAnsi="Times New Roman"/>
        </w:rPr>
        <w:t>(</w:t>
      </w:r>
      <w:r>
        <w:rPr>
          <w:rFonts w:ascii="Times New Roman" w:hAnsi="Times New Roman"/>
        </w:rPr>
        <w:t>Beck</w:t>
      </w:r>
      <w:r w:rsidR="00E37A5D">
        <w:rPr>
          <w:rFonts w:ascii="Times New Roman" w:hAnsi="Times New Roman"/>
        </w:rPr>
        <w:t>,</w:t>
      </w:r>
      <w:r>
        <w:rPr>
          <w:rFonts w:ascii="Times New Roman" w:hAnsi="Times New Roman"/>
        </w:rPr>
        <w:t xml:space="preserve"> 2016)</w:t>
      </w:r>
      <w:r w:rsidR="00E37A5D">
        <w:rPr>
          <w:rFonts w:ascii="Times New Roman" w:hAnsi="Times New Roman"/>
        </w:rPr>
        <w:t>,</w:t>
      </w:r>
      <w:r>
        <w:rPr>
          <w:rFonts w:ascii="Times New Roman" w:hAnsi="Times New Roman"/>
        </w:rPr>
        <w:t xml:space="preserve"> 405; Mankowski</w:t>
      </w:r>
      <w:r w:rsidR="00470254">
        <w:rPr>
          <w:rFonts w:ascii="Times New Roman" w:hAnsi="Times New Roman"/>
        </w:rPr>
        <w:t xml:space="preserve"> </w:t>
      </w:r>
      <w:r w:rsidR="00470254" w:rsidRPr="00470254">
        <w:rPr>
          <w:rFonts w:ascii="Times New Roman" w:hAnsi="Times New Roman"/>
          <w:i/>
        </w:rPr>
        <w:t>et al.</w:t>
      </w:r>
      <w:r w:rsidR="00470254">
        <w:rPr>
          <w:rFonts w:ascii="Times New Roman" w:hAnsi="Times New Roman"/>
        </w:rPr>
        <w:t>,</w:t>
      </w:r>
      <w:r>
        <w:rPr>
          <w:rFonts w:ascii="Times New Roman" w:hAnsi="Times New Roman"/>
        </w:rPr>
        <w:t xml:space="preserve"> </w:t>
      </w:r>
      <w:r w:rsidR="00470254">
        <w:rPr>
          <w:rFonts w:ascii="Times New Roman" w:hAnsi="Times New Roman"/>
        </w:rPr>
        <w:t xml:space="preserve">above </w:t>
      </w:r>
      <w:r>
        <w:rPr>
          <w:rFonts w:ascii="Times New Roman" w:hAnsi="Times New Roman"/>
        </w:rPr>
        <w:t>n</w:t>
      </w:r>
      <w:r w:rsidR="00470254">
        <w:rPr>
          <w:rFonts w:ascii="Times New Roman" w:hAnsi="Times New Roman"/>
        </w:rPr>
        <w:t>ote</w:t>
      </w:r>
      <w:r>
        <w:rPr>
          <w:rFonts w:ascii="Times New Roman" w:hAnsi="Times New Roman"/>
        </w:rPr>
        <w:t xml:space="preserve"> 11</w:t>
      </w:r>
      <w:r w:rsidR="00470254">
        <w:rPr>
          <w:rFonts w:ascii="Times New Roman" w:hAnsi="Times New Roman"/>
        </w:rPr>
        <w:t>,</w:t>
      </w:r>
      <w:r>
        <w:rPr>
          <w:rFonts w:ascii="Times New Roman" w:hAnsi="Times New Roman"/>
        </w:rPr>
        <w:t xml:space="preserve"> 64.</w:t>
      </w:r>
    </w:p>
  </w:footnote>
  <w:footnote w:id="13">
    <w:p w14:paraId="20B3F08C" w14:textId="7A8C79C1"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cf Case 34/73 Fratelli Variola SpA v Amministrazione Italiana delle Finanze [1973] ECR 981, para</w:t>
      </w:r>
      <w:r w:rsidR="00470254">
        <w:rPr>
          <w:rFonts w:ascii="Times New Roman" w:hAnsi="Times New Roman"/>
        </w:rPr>
        <w:t>graph</w:t>
      </w:r>
      <w:r>
        <w:rPr>
          <w:rFonts w:ascii="Times New Roman" w:hAnsi="Times New Roman"/>
        </w:rPr>
        <w:t xml:space="preserve"> 10.</w:t>
      </w:r>
    </w:p>
  </w:footnote>
  <w:footnote w:id="14">
    <w:p w14:paraId="321FF364" w14:textId="1180F021"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cf Recital (9), </w:t>
      </w:r>
      <w:r w:rsidR="00694350">
        <w:rPr>
          <w:rFonts w:ascii="Times New Roman" w:hAnsi="Times New Roman"/>
        </w:rPr>
        <w:t>Recast EIR</w:t>
      </w:r>
      <w:r>
        <w:rPr>
          <w:rFonts w:ascii="Times New Roman" w:hAnsi="Times New Roman"/>
        </w:rPr>
        <w:t>.</w:t>
      </w:r>
    </w:p>
  </w:footnote>
  <w:footnote w:id="15">
    <w:p w14:paraId="0EC91694" w14:textId="3480982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470254">
        <w:rPr>
          <w:rFonts w:ascii="Times New Roman" w:hAnsi="Times New Roman"/>
        </w:rPr>
        <w:t xml:space="preserve">Ibid., </w:t>
      </w:r>
      <w:r>
        <w:rPr>
          <w:rFonts w:ascii="Times New Roman" w:hAnsi="Times New Roman"/>
        </w:rPr>
        <w:t>Art</w:t>
      </w:r>
      <w:r w:rsidR="00470254">
        <w:rPr>
          <w:rFonts w:ascii="Times New Roman" w:hAnsi="Times New Roman"/>
        </w:rPr>
        <w:t>icle</w:t>
      </w:r>
      <w:r>
        <w:rPr>
          <w:rFonts w:ascii="Times New Roman" w:hAnsi="Times New Roman"/>
        </w:rPr>
        <w:t xml:space="preserve"> 7(2)(a).</w:t>
      </w:r>
    </w:p>
  </w:footnote>
  <w:footnote w:id="16">
    <w:p w14:paraId="5373D7AC" w14:textId="436FBFF2"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470254">
        <w:rPr>
          <w:rFonts w:ascii="Times New Roman" w:hAnsi="Times New Roman"/>
        </w:rPr>
        <w:t xml:space="preserve">Ibid., </w:t>
      </w:r>
      <w:r>
        <w:rPr>
          <w:rFonts w:ascii="Times New Roman" w:hAnsi="Times New Roman"/>
        </w:rPr>
        <w:t>Art</w:t>
      </w:r>
      <w:r w:rsidR="00470254">
        <w:rPr>
          <w:rFonts w:ascii="Times New Roman" w:hAnsi="Times New Roman"/>
        </w:rPr>
        <w:t>icle</w:t>
      </w:r>
      <w:r>
        <w:rPr>
          <w:rFonts w:ascii="Times New Roman" w:hAnsi="Times New Roman"/>
        </w:rPr>
        <w:t xml:space="preserve"> 1.</w:t>
      </w:r>
    </w:p>
  </w:footnote>
  <w:footnote w:id="17">
    <w:p w14:paraId="1E25CC42" w14:textId="7FFF445E"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e.g. Bankruptcy in England, see Part IX</w:t>
      </w:r>
      <w:r w:rsidR="00470254">
        <w:rPr>
          <w:rFonts w:ascii="Times New Roman" w:hAnsi="Times New Roman"/>
        </w:rPr>
        <w:t>,</w:t>
      </w:r>
      <w:r>
        <w:rPr>
          <w:rFonts w:ascii="Times New Roman" w:hAnsi="Times New Roman"/>
        </w:rPr>
        <w:t xml:space="preserve"> </w:t>
      </w:r>
      <w:r w:rsidR="00470254">
        <w:rPr>
          <w:rFonts w:ascii="Times New Roman" w:hAnsi="Times New Roman"/>
        </w:rPr>
        <w:t>I</w:t>
      </w:r>
      <w:r>
        <w:rPr>
          <w:rFonts w:ascii="Times New Roman" w:hAnsi="Times New Roman"/>
        </w:rPr>
        <w:t>nsolvency Act 1986.</w:t>
      </w:r>
    </w:p>
  </w:footnote>
  <w:footnote w:id="18">
    <w:p w14:paraId="2B19D399" w14:textId="7777777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 3(1)(b), HIA.</w:t>
      </w:r>
    </w:p>
  </w:footnote>
  <w:footnote w:id="19">
    <w:p w14:paraId="18D76356" w14:textId="02187CB0"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C-94/77 </w:t>
      </w:r>
      <w:r>
        <w:rPr>
          <w:rFonts w:ascii="Times New Roman" w:hAnsi="Times New Roman"/>
          <w:i/>
        </w:rPr>
        <w:t>Fratelli Zerbone Snc v Amministrazione delle finanze dello Stato</w:t>
      </w:r>
      <w:r>
        <w:rPr>
          <w:rFonts w:ascii="Times New Roman" w:hAnsi="Times New Roman"/>
        </w:rPr>
        <w:t xml:space="preserve"> [1978] ECR 0099, para</w:t>
      </w:r>
      <w:r w:rsidR="00470254">
        <w:rPr>
          <w:rFonts w:ascii="Times New Roman" w:hAnsi="Times New Roman"/>
        </w:rPr>
        <w:t>graph</w:t>
      </w:r>
      <w:r>
        <w:rPr>
          <w:rFonts w:ascii="Times New Roman" w:hAnsi="Times New Roman"/>
        </w:rPr>
        <w:t xml:space="preserve"> 27.</w:t>
      </w:r>
    </w:p>
  </w:footnote>
  <w:footnote w:id="20">
    <w:p w14:paraId="1A0A8A0D" w14:textId="79DA5D4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hd w:val="clear" w:color="auto" w:fill="FFFFFF"/>
        </w:rPr>
        <w:t>van Zwieten</w:t>
      </w:r>
      <w:r w:rsidR="00470254">
        <w:rPr>
          <w:rFonts w:ascii="Times New Roman" w:hAnsi="Times New Roman"/>
          <w:shd w:val="clear" w:color="auto" w:fill="FFFFFF"/>
        </w:rPr>
        <w:t>, above</w:t>
      </w:r>
      <w:r>
        <w:rPr>
          <w:rFonts w:ascii="Times New Roman" w:hAnsi="Times New Roman"/>
          <w:shd w:val="clear" w:color="auto" w:fill="FFFFFF"/>
        </w:rPr>
        <w:t xml:space="preserve"> n</w:t>
      </w:r>
      <w:r w:rsidR="00470254">
        <w:rPr>
          <w:rFonts w:ascii="Times New Roman" w:hAnsi="Times New Roman"/>
          <w:shd w:val="clear" w:color="auto" w:fill="FFFFFF"/>
        </w:rPr>
        <w:t>ote</w:t>
      </w:r>
      <w:r>
        <w:rPr>
          <w:rFonts w:ascii="Times New Roman" w:hAnsi="Times New Roman"/>
          <w:shd w:val="clear" w:color="auto" w:fill="FFFFFF"/>
        </w:rPr>
        <w:t xml:space="preserve"> 11</w:t>
      </w:r>
      <w:r w:rsidR="00470254">
        <w:rPr>
          <w:rFonts w:ascii="Times New Roman" w:hAnsi="Times New Roman"/>
          <w:shd w:val="clear" w:color="auto" w:fill="FFFFFF"/>
        </w:rPr>
        <w:t>,</w:t>
      </w:r>
      <w:r>
        <w:rPr>
          <w:rFonts w:ascii="Times New Roman" w:hAnsi="Times New Roman"/>
          <w:shd w:val="clear" w:color="auto" w:fill="FFFFFF"/>
        </w:rPr>
        <w:t xml:space="preserve"> 97-98.; cf Miguel Virgós </w:t>
      </w:r>
      <w:r w:rsidR="00470254">
        <w:rPr>
          <w:rFonts w:ascii="Times New Roman" w:hAnsi="Times New Roman"/>
          <w:shd w:val="clear" w:color="auto" w:fill="FFFFFF"/>
        </w:rPr>
        <w:t>and</w:t>
      </w:r>
      <w:r>
        <w:rPr>
          <w:rFonts w:ascii="Times New Roman" w:hAnsi="Times New Roman"/>
          <w:shd w:val="clear" w:color="auto" w:fill="FFFFFF"/>
        </w:rPr>
        <w:t xml:space="preserve"> Etienne Schmit</w:t>
      </w:r>
      <w:r w:rsidR="00470254">
        <w:rPr>
          <w:rFonts w:ascii="Times New Roman" w:hAnsi="Times New Roman"/>
          <w:shd w:val="clear" w:color="auto" w:fill="FFFFFF"/>
        </w:rPr>
        <w:t>,</w:t>
      </w:r>
      <w:r>
        <w:rPr>
          <w:rFonts w:ascii="Times New Roman" w:hAnsi="Times New Roman"/>
          <w:shd w:val="clear" w:color="auto" w:fill="FFFFFF"/>
        </w:rPr>
        <w:t xml:space="preserve"> </w:t>
      </w:r>
      <w:r w:rsidRPr="00470254">
        <w:rPr>
          <w:rFonts w:ascii="Times New Roman" w:hAnsi="Times New Roman"/>
          <w:i/>
          <w:shd w:val="clear" w:color="auto" w:fill="FFFFFF"/>
        </w:rPr>
        <w:t>Report on the Convention of Insolvency Proceedings</w:t>
      </w:r>
      <w:r>
        <w:rPr>
          <w:rFonts w:ascii="Times New Roman" w:hAnsi="Times New Roman"/>
          <w:shd w:val="clear" w:color="auto" w:fill="FFFFFF"/>
        </w:rPr>
        <w:t>, para</w:t>
      </w:r>
      <w:r w:rsidR="00470254">
        <w:rPr>
          <w:rFonts w:ascii="Times New Roman" w:hAnsi="Times New Roman"/>
          <w:shd w:val="clear" w:color="auto" w:fill="FFFFFF"/>
        </w:rPr>
        <w:t>graph</w:t>
      </w:r>
      <w:r>
        <w:rPr>
          <w:rFonts w:ascii="Times New Roman" w:hAnsi="Times New Roman"/>
          <w:shd w:val="clear" w:color="auto" w:fill="FFFFFF"/>
        </w:rPr>
        <w:t xml:space="preserve"> 43.</w:t>
      </w:r>
    </w:p>
  </w:footnote>
  <w:footnote w:id="21">
    <w:p w14:paraId="215EC3DB" w14:textId="72A5D22D"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470254">
        <w:rPr>
          <w:rFonts w:ascii="Times New Roman" w:hAnsi="Times New Roman"/>
        </w:rPr>
        <w:t xml:space="preserve">Article 36, </w:t>
      </w:r>
      <w:r>
        <w:rPr>
          <w:rFonts w:ascii="Times New Roman" w:hAnsi="Times New Roman"/>
        </w:rPr>
        <w:t>Recast EIR</w:t>
      </w:r>
      <w:r w:rsidR="00470254">
        <w:rPr>
          <w:rFonts w:ascii="Times New Roman" w:hAnsi="Times New Roman"/>
        </w:rPr>
        <w:t>.</w:t>
      </w:r>
      <w:r>
        <w:rPr>
          <w:rFonts w:ascii="Times New Roman" w:hAnsi="Times New Roman"/>
        </w:rPr>
        <w:t xml:space="preserve"> </w:t>
      </w:r>
      <w:r w:rsidR="00470254">
        <w:rPr>
          <w:rFonts w:ascii="Times New Roman" w:hAnsi="Times New Roman"/>
        </w:rPr>
        <w:t>T</w:t>
      </w:r>
      <w:r>
        <w:rPr>
          <w:rFonts w:ascii="Times New Roman" w:hAnsi="Times New Roman"/>
        </w:rPr>
        <w:t>he concept has its roots in the English case law</w:t>
      </w:r>
      <w:r w:rsidR="00470254">
        <w:rPr>
          <w:rFonts w:ascii="Times New Roman" w:hAnsi="Times New Roman"/>
        </w:rPr>
        <w:t xml:space="preserve">: </w:t>
      </w:r>
      <w:r w:rsidRPr="00470254">
        <w:rPr>
          <w:rFonts w:ascii="Times New Roman" w:hAnsi="Times New Roman"/>
          <w:i/>
          <w:shd w:val="clear" w:color="auto" w:fill="FFFFFF"/>
        </w:rPr>
        <w:t>Re MG Rover Belux SA/NV (</w:t>
      </w:r>
      <w:r w:rsidR="00470254">
        <w:rPr>
          <w:rFonts w:ascii="Times New Roman" w:hAnsi="Times New Roman"/>
          <w:i/>
          <w:shd w:val="clear" w:color="auto" w:fill="FFFFFF"/>
        </w:rPr>
        <w:t>i</w:t>
      </w:r>
      <w:r w:rsidRPr="00470254">
        <w:rPr>
          <w:rFonts w:ascii="Times New Roman" w:hAnsi="Times New Roman"/>
          <w:i/>
          <w:shd w:val="clear" w:color="auto" w:fill="FFFFFF"/>
        </w:rPr>
        <w:t>n Administration)</w:t>
      </w:r>
      <w:r>
        <w:rPr>
          <w:rFonts w:ascii="Times New Roman" w:hAnsi="Times New Roman"/>
          <w:shd w:val="clear" w:color="auto" w:fill="FFFFFF"/>
        </w:rPr>
        <w:t xml:space="preserve"> [2006] EWCH 1296 (Ch); </w:t>
      </w:r>
      <w:r w:rsidRPr="00470254">
        <w:rPr>
          <w:rFonts w:ascii="Times New Roman" w:hAnsi="Times New Roman"/>
          <w:i/>
          <w:shd w:val="clear" w:color="auto" w:fill="FFFFFF"/>
        </w:rPr>
        <w:t>Re Collins &amp; Aikman Europe SA</w:t>
      </w:r>
      <w:r>
        <w:rPr>
          <w:rFonts w:ascii="Times New Roman" w:hAnsi="Times New Roman"/>
          <w:shd w:val="clear" w:color="auto" w:fill="FFFFFF"/>
        </w:rPr>
        <w:t xml:space="preserve"> [2006] EWHC 1343 (Ch); </w:t>
      </w:r>
      <w:r w:rsidR="00470254" w:rsidRPr="00470254">
        <w:rPr>
          <w:rFonts w:ascii="Times New Roman" w:hAnsi="Times New Roman"/>
          <w:i/>
          <w:shd w:val="clear" w:color="auto" w:fill="FFFFFF"/>
        </w:rPr>
        <w:t xml:space="preserve">Re </w:t>
      </w:r>
      <w:r w:rsidRPr="00470254">
        <w:rPr>
          <w:rFonts w:ascii="Times New Roman" w:hAnsi="Times New Roman"/>
          <w:i/>
          <w:shd w:val="clear" w:color="auto" w:fill="FFFFFF"/>
        </w:rPr>
        <w:t>Nortel Networks SA</w:t>
      </w:r>
      <w:r>
        <w:rPr>
          <w:rFonts w:ascii="Times New Roman" w:hAnsi="Times New Roman"/>
          <w:shd w:val="clear" w:color="auto" w:fill="FFFFFF"/>
        </w:rPr>
        <w:t xml:space="preserve"> [2009] EWHC 206 (Ch).</w:t>
      </w:r>
    </w:p>
  </w:footnote>
  <w:footnote w:id="22">
    <w:p w14:paraId="4B8C65B3" w14:textId="45DAD3B6"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Cf Burkhard Hess</w:t>
      </w:r>
      <w:r w:rsidR="00B10912">
        <w:rPr>
          <w:rFonts w:ascii="Times New Roman" w:hAnsi="Times New Roman"/>
        </w:rPr>
        <w:t xml:space="preserve"> </w:t>
      </w:r>
      <w:r w:rsidR="00B10912" w:rsidRPr="00B10912">
        <w:rPr>
          <w:rFonts w:ascii="Times New Roman" w:hAnsi="Times New Roman"/>
          <w:i/>
        </w:rPr>
        <w:t>et al</w:t>
      </w:r>
      <w:r w:rsidR="00B10912">
        <w:rPr>
          <w:rFonts w:ascii="Times New Roman" w:hAnsi="Times New Roman"/>
        </w:rPr>
        <w:t>.</w:t>
      </w:r>
      <w:r>
        <w:rPr>
          <w:rFonts w:ascii="Times New Roman" w:hAnsi="Times New Roman"/>
        </w:rPr>
        <w:t xml:space="preserve"> (eds), </w:t>
      </w:r>
      <w:r>
        <w:rPr>
          <w:rFonts w:ascii="Times New Roman" w:hAnsi="Times New Roman"/>
          <w:i/>
        </w:rPr>
        <w:t>The Implementation of the New Insolvency Regulation</w:t>
      </w:r>
      <w:r>
        <w:rPr>
          <w:rFonts w:ascii="Times New Roman" w:hAnsi="Times New Roman"/>
        </w:rPr>
        <w:t xml:space="preserve"> (Nomos</w:t>
      </w:r>
      <w:r w:rsidR="00B10912">
        <w:rPr>
          <w:rFonts w:ascii="Times New Roman" w:hAnsi="Times New Roman"/>
        </w:rPr>
        <w:t>,</w:t>
      </w:r>
      <w:r>
        <w:rPr>
          <w:rFonts w:ascii="Times New Roman" w:hAnsi="Times New Roman"/>
        </w:rPr>
        <w:t xml:space="preserve"> 2017)</w:t>
      </w:r>
      <w:r w:rsidR="00B10912">
        <w:rPr>
          <w:rFonts w:ascii="Times New Roman" w:hAnsi="Times New Roman"/>
        </w:rPr>
        <w:t>,</w:t>
      </w:r>
      <w:r>
        <w:rPr>
          <w:rFonts w:ascii="Times New Roman" w:hAnsi="Times New Roman"/>
        </w:rPr>
        <w:t xml:space="preserve"> 137</w:t>
      </w:r>
      <w:r w:rsidR="00B10912">
        <w:rPr>
          <w:rFonts w:ascii="Times New Roman" w:hAnsi="Times New Roman"/>
        </w:rPr>
        <w:t>f</w:t>
      </w:r>
      <w:r>
        <w:rPr>
          <w:rFonts w:ascii="Times New Roman" w:hAnsi="Times New Roman"/>
        </w:rPr>
        <w:t>f.</w:t>
      </w:r>
    </w:p>
  </w:footnote>
  <w:footnote w:id="23">
    <w:p w14:paraId="64266642" w14:textId="3F3B779C"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Art</w:t>
      </w:r>
      <w:r w:rsidR="00B10912">
        <w:rPr>
          <w:rFonts w:ascii="Times New Roman" w:hAnsi="Times New Roman"/>
        </w:rPr>
        <w:t>icle</w:t>
      </w:r>
      <w:r>
        <w:rPr>
          <w:rFonts w:ascii="Times New Roman" w:hAnsi="Times New Roman"/>
        </w:rPr>
        <w:t xml:space="preserve"> 66, </w:t>
      </w:r>
      <w:r w:rsidR="00694350">
        <w:rPr>
          <w:rFonts w:ascii="Times New Roman" w:hAnsi="Times New Roman"/>
        </w:rPr>
        <w:t>Recast EIR</w:t>
      </w:r>
      <w:r>
        <w:rPr>
          <w:rFonts w:ascii="Times New Roman" w:hAnsi="Times New Roman"/>
        </w:rPr>
        <w:t>.</w:t>
      </w:r>
    </w:p>
  </w:footnote>
  <w:footnote w:id="24">
    <w:p w14:paraId="302DD0D6" w14:textId="77777777"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 6/P (6), HIA.</w:t>
      </w:r>
    </w:p>
  </w:footnote>
  <w:footnote w:id="25">
    <w:p w14:paraId="68B179EE" w14:textId="69990EEB" w:rsidR="00BD0697" w:rsidRDefault="00BD0697" w:rsidP="006943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Art</w:t>
      </w:r>
      <w:r w:rsidR="00B10912">
        <w:rPr>
          <w:rFonts w:ascii="Times New Roman" w:hAnsi="Times New Roman"/>
        </w:rPr>
        <w:t>icle</w:t>
      </w:r>
      <w:r>
        <w:rPr>
          <w:rFonts w:ascii="Times New Roman" w:hAnsi="Times New Roman"/>
        </w:rPr>
        <w:t xml:space="preserve"> 66(3), </w:t>
      </w:r>
      <w:r w:rsidR="00694350">
        <w:rPr>
          <w:rFonts w:ascii="Times New Roman" w:hAnsi="Times New Roman"/>
        </w:rPr>
        <w:t>Recast EIR</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37F8BB8F" w:rsidR="00BF3D3E" w:rsidRPr="00C2522B" w:rsidRDefault="00BF3D3E" w:rsidP="00C2522B">
    <w:pPr>
      <w:pStyle w:val="Header"/>
      <w:spacing w:after="0"/>
      <w:rPr>
        <w:rFonts w:ascii="Arial" w:hAnsi="Arial" w:cs="Arial"/>
        <w:b/>
      </w:rPr>
    </w:pPr>
    <w:r w:rsidRPr="00C2522B">
      <w:rPr>
        <w:rFonts w:ascii="Arial" w:hAnsi="Arial" w:cs="Arial"/>
        <w:b/>
      </w:rPr>
      <w:t>Inside Story (</w:t>
    </w:r>
    <w:r w:rsidR="00BD0697">
      <w:rPr>
        <w:rFonts w:ascii="Arial" w:hAnsi="Arial" w:cs="Arial"/>
        <w:b/>
      </w:rPr>
      <w:t>April</w:t>
    </w:r>
    <w:r w:rsidR="003666A0">
      <w:rPr>
        <w:rFonts w:ascii="Arial" w:hAnsi="Arial" w:cs="Arial"/>
        <w:b/>
      </w:rPr>
      <w:t xml:space="preserve"> 2018</w:t>
    </w:r>
    <w:r w:rsidRPr="00C2522B">
      <w:rPr>
        <w:rFonts w:ascii="Arial" w:hAnsi="Arial" w:cs="Arial"/>
        <w:b/>
      </w:rPr>
      <w:t>)</w:t>
    </w:r>
  </w:p>
  <w:p w14:paraId="5CB97EE8" w14:textId="5F78E5CE" w:rsidR="00BF3D3E" w:rsidRPr="00C2522B" w:rsidRDefault="00BD0697" w:rsidP="00C2522B">
    <w:pPr>
      <w:pStyle w:val="Header"/>
      <w:spacing w:after="0"/>
      <w:rPr>
        <w:rFonts w:ascii="Arial" w:hAnsi="Arial" w:cs="Arial"/>
        <w:b/>
      </w:rPr>
    </w:pPr>
    <w:r>
      <w:rPr>
        <w:rFonts w:ascii="Arial" w:hAnsi="Arial" w:cs="Arial"/>
        <w:b/>
      </w:rPr>
      <w:t>Zoltan Fabok</w:t>
    </w:r>
    <w:r w:rsidR="009069C9">
      <w:rPr>
        <w:rFonts w:ascii="Arial" w:hAnsi="Arial" w:cs="Arial"/>
        <w:b/>
      </w:rPr>
      <w:t xml:space="preserve"> </w:t>
    </w:r>
    <w:r w:rsidR="00BF3D3E" w:rsidRPr="00C2522B">
      <w:rPr>
        <w:rFonts w:ascii="Arial" w:hAnsi="Arial" w:cs="Arial"/>
        <w:b/>
      </w:rPr>
      <w:t>(</w:t>
    </w:r>
    <w:r>
      <w:rPr>
        <w:rFonts w:ascii="Arial" w:hAnsi="Arial" w:cs="Arial"/>
        <w:b/>
      </w:rPr>
      <w:t>Hungary</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86E49"/>
    <w:rsid w:val="000921F0"/>
    <w:rsid w:val="00092307"/>
    <w:rsid w:val="000C4532"/>
    <w:rsid w:val="000D3C8B"/>
    <w:rsid w:val="001258A8"/>
    <w:rsid w:val="00127C4A"/>
    <w:rsid w:val="00141375"/>
    <w:rsid w:val="00145356"/>
    <w:rsid w:val="001835B2"/>
    <w:rsid w:val="001934CC"/>
    <w:rsid w:val="001A713B"/>
    <w:rsid w:val="001C5080"/>
    <w:rsid w:val="001D3A90"/>
    <w:rsid w:val="001F119D"/>
    <w:rsid w:val="00247BAC"/>
    <w:rsid w:val="00276632"/>
    <w:rsid w:val="00280030"/>
    <w:rsid w:val="002E09E9"/>
    <w:rsid w:val="003021B6"/>
    <w:rsid w:val="003217E3"/>
    <w:rsid w:val="0032563F"/>
    <w:rsid w:val="00340FF0"/>
    <w:rsid w:val="003518FD"/>
    <w:rsid w:val="003666A0"/>
    <w:rsid w:val="00367985"/>
    <w:rsid w:val="00395D89"/>
    <w:rsid w:val="00396E5A"/>
    <w:rsid w:val="003978ED"/>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72427"/>
    <w:rsid w:val="00790DFB"/>
    <w:rsid w:val="007C4484"/>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96534"/>
    <w:rsid w:val="00CE09C4"/>
    <w:rsid w:val="00D31877"/>
    <w:rsid w:val="00D32C99"/>
    <w:rsid w:val="00D6291C"/>
    <w:rsid w:val="00DE5F99"/>
    <w:rsid w:val="00E007BF"/>
    <w:rsid w:val="00E2501C"/>
    <w:rsid w:val="00E37A5D"/>
    <w:rsid w:val="00E53ABF"/>
    <w:rsid w:val="00EB6116"/>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BAFF-6B0C-4987-905B-02CC47E9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2036</Words>
  <Characters>11606</Characters>
  <Application>Microsoft Office Word</Application>
  <DocSecurity>0</DocSecurity>
  <PresentationFormat/>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cp:lastModifiedBy>
  <cp:revision>8</cp:revision>
  <cp:lastPrinted>2017-11-20T20:14:00Z</cp:lastPrinted>
  <dcterms:created xsi:type="dcterms:W3CDTF">2018-03-28T10:47:00Z</dcterms:created>
  <dcterms:modified xsi:type="dcterms:W3CDTF">2018-03-28T11:26:00Z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