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A2A3D" w14:textId="77777777" w:rsidR="005D783E" w:rsidRPr="00BF3D3E" w:rsidRDefault="005D783E" w:rsidP="00AA741E">
      <w:pPr>
        <w:spacing w:after="0"/>
        <w:rPr>
          <w:rFonts w:ascii="Times New Roman" w:hAnsi="Times New Roman"/>
          <w:sz w:val="24"/>
          <w:szCs w:val="24"/>
        </w:rPr>
      </w:pPr>
    </w:p>
    <w:p w14:paraId="00F31AC4" w14:textId="77777777" w:rsidR="00617533" w:rsidRDefault="00617533" w:rsidP="00AA741E">
      <w:pPr>
        <w:spacing w:after="0"/>
        <w:jc w:val="center"/>
        <w:rPr>
          <w:rFonts w:ascii="Times New Roman" w:hAnsi="Times New Roman"/>
          <w:b/>
          <w:sz w:val="24"/>
          <w:szCs w:val="24"/>
        </w:rPr>
      </w:pPr>
      <w:r w:rsidRPr="00357374">
        <w:rPr>
          <w:rFonts w:ascii="Verdana" w:eastAsia="Cambria" w:hAnsi="Verdana"/>
          <w:b/>
          <w:noProof/>
          <w:sz w:val="36"/>
          <w:szCs w:val="36"/>
        </w:rPr>
        <w:drawing>
          <wp:inline distT="0" distB="0" distL="0" distR="0" wp14:anchorId="28C02944" wp14:editId="6EFBE008">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5671F4" w14:textId="77777777" w:rsidR="00617533" w:rsidRDefault="00617533" w:rsidP="00AA741E">
      <w:pPr>
        <w:spacing w:after="0"/>
        <w:jc w:val="center"/>
        <w:rPr>
          <w:rFonts w:ascii="Times New Roman" w:hAnsi="Times New Roman"/>
          <w:b/>
          <w:sz w:val="24"/>
          <w:szCs w:val="24"/>
        </w:rPr>
      </w:pPr>
    </w:p>
    <w:p w14:paraId="545E44B6" w14:textId="2940E38E" w:rsidR="00617533" w:rsidRPr="00617533" w:rsidRDefault="00617533" w:rsidP="000707C3">
      <w:pPr>
        <w:spacing w:after="0"/>
        <w:jc w:val="center"/>
        <w:rPr>
          <w:rFonts w:ascii="Times New Roman" w:hAnsi="Times New Roman"/>
          <w:b/>
          <w:sz w:val="36"/>
          <w:szCs w:val="36"/>
        </w:rPr>
      </w:pPr>
      <w:r w:rsidRPr="00617533">
        <w:rPr>
          <w:rFonts w:ascii="Times New Roman" w:hAnsi="Times New Roman"/>
          <w:b/>
          <w:sz w:val="36"/>
          <w:szCs w:val="36"/>
        </w:rPr>
        <w:t xml:space="preserve">Inside Story – </w:t>
      </w:r>
      <w:r w:rsidR="00B565F1">
        <w:rPr>
          <w:rFonts w:ascii="Times New Roman" w:hAnsi="Times New Roman"/>
          <w:b/>
          <w:sz w:val="36"/>
          <w:szCs w:val="36"/>
        </w:rPr>
        <w:t>December</w:t>
      </w:r>
      <w:r w:rsidR="000707C3">
        <w:rPr>
          <w:rFonts w:ascii="Times New Roman" w:hAnsi="Times New Roman"/>
          <w:b/>
          <w:sz w:val="36"/>
          <w:szCs w:val="36"/>
        </w:rPr>
        <w:t xml:space="preserve"> </w:t>
      </w:r>
      <w:r w:rsidRPr="00617533">
        <w:rPr>
          <w:rFonts w:ascii="Times New Roman" w:hAnsi="Times New Roman"/>
          <w:b/>
          <w:sz w:val="36"/>
          <w:szCs w:val="36"/>
        </w:rPr>
        <w:t>201</w:t>
      </w:r>
      <w:r w:rsidR="003666A0">
        <w:rPr>
          <w:rFonts w:ascii="Times New Roman" w:hAnsi="Times New Roman"/>
          <w:b/>
          <w:sz w:val="36"/>
          <w:szCs w:val="36"/>
        </w:rPr>
        <w:t>8</w:t>
      </w:r>
    </w:p>
    <w:p w14:paraId="3F7EEBFB" w14:textId="77777777" w:rsidR="00617533" w:rsidRDefault="00617533" w:rsidP="00AA741E">
      <w:pPr>
        <w:spacing w:after="0"/>
        <w:jc w:val="center"/>
        <w:rPr>
          <w:rFonts w:ascii="Times New Roman" w:hAnsi="Times New Roman"/>
          <w:b/>
          <w:sz w:val="24"/>
          <w:szCs w:val="24"/>
        </w:rPr>
      </w:pPr>
    </w:p>
    <w:p w14:paraId="032FD235" w14:textId="227F31AB" w:rsidR="005D783E" w:rsidRDefault="00B565F1" w:rsidP="00AA741E">
      <w:pPr>
        <w:spacing w:after="0"/>
        <w:jc w:val="center"/>
        <w:rPr>
          <w:rFonts w:ascii="Times New Roman" w:hAnsi="Times New Roman"/>
          <w:b/>
          <w:sz w:val="24"/>
          <w:szCs w:val="24"/>
        </w:rPr>
      </w:pPr>
      <w:r>
        <w:rPr>
          <w:rFonts w:ascii="Times New Roman" w:hAnsi="Times New Roman"/>
          <w:b/>
          <w:sz w:val="24"/>
          <w:szCs w:val="24"/>
        </w:rPr>
        <w:t>Liability of Controllers and Insolvency Risks in Russia</w:t>
      </w:r>
      <w:r w:rsidR="000707C3">
        <w:rPr>
          <w:rFonts w:ascii="Times New Roman" w:hAnsi="Times New Roman"/>
          <w:b/>
          <w:sz w:val="24"/>
          <w:szCs w:val="24"/>
        </w:rPr>
        <w:t>:</w:t>
      </w:r>
    </w:p>
    <w:p w14:paraId="3BEC7BE8" w14:textId="1C592222" w:rsidR="000707C3" w:rsidRDefault="00B565F1" w:rsidP="00AA741E">
      <w:pPr>
        <w:spacing w:after="0"/>
        <w:jc w:val="center"/>
        <w:rPr>
          <w:rFonts w:ascii="Times New Roman" w:hAnsi="Times New Roman"/>
          <w:b/>
          <w:sz w:val="24"/>
          <w:szCs w:val="24"/>
        </w:rPr>
      </w:pPr>
      <w:r>
        <w:rPr>
          <w:rFonts w:ascii="Times New Roman" w:hAnsi="Times New Roman"/>
          <w:b/>
          <w:sz w:val="24"/>
          <w:szCs w:val="24"/>
        </w:rPr>
        <w:t>The Case of Dalnyaya Step LLC and HSBC</w:t>
      </w:r>
    </w:p>
    <w:p w14:paraId="5C9FDC72" w14:textId="77777777" w:rsidR="00617533" w:rsidRDefault="00617533" w:rsidP="00AA741E">
      <w:pPr>
        <w:spacing w:after="0"/>
        <w:jc w:val="center"/>
        <w:rPr>
          <w:rFonts w:ascii="Times New Roman" w:hAnsi="Times New Roman"/>
          <w:b/>
          <w:sz w:val="24"/>
          <w:szCs w:val="24"/>
        </w:rPr>
      </w:pPr>
    </w:p>
    <w:p w14:paraId="21F39F84" w14:textId="56A8290D" w:rsidR="00AA741E" w:rsidRDefault="000707C3" w:rsidP="00AA741E">
      <w:pPr>
        <w:spacing w:after="0"/>
        <w:jc w:val="center"/>
        <w:rPr>
          <w:rFonts w:ascii="Times New Roman" w:hAnsi="Times New Roman"/>
          <w:i/>
          <w:sz w:val="24"/>
          <w:szCs w:val="24"/>
        </w:rPr>
      </w:pPr>
      <w:r>
        <w:rPr>
          <w:rFonts w:ascii="Times New Roman" w:hAnsi="Times New Roman"/>
          <w:i/>
          <w:sz w:val="24"/>
          <w:szCs w:val="24"/>
        </w:rPr>
        <w:t>Ilya Kokorin</w:t>
      </w:r>
      <w:r w:rsidR="001258A8">
        <w:rPr>
          <w:rFonts w:ascii="Times New Roman" w:hAnsi="Times New Roman"/>
          <w:i/>
          <w:sz w:val="24"/>
          <w:szCs w:val="24"/>
        </w:rPr>
        <w:t xml:space="preserve">, </w:t>
      </w:r>
      <w:r w:rsidR="0002073A">
        <w:rPr>
          <w:rFonts w:ascii="Times New Roman" w:hAnsi="Times New Roman"/>
          <w:i/>
          <w:sz w:val="24"/>
          <w:szCs w:val="24"/>
        </w:rPr>
        <w:t>o</w:t>
      </w:r>
      <w:r>
        <w:rPr>
          <w:rFonts w:ascii="Times New Roman" w:hAnsi="Times New Roman"/>
          <w:i/>
          <w:sz w:val="24"/>
          <w:szCs w:val="24"/>
        </w:rPr>
        <w:t xml:space="preserve">f </w:t>
      </w:r>
      <w:r w:rsidR="00BD0697">
        <w:rPr>
          <w:rFonts w:ascii="Times New Roman" w:hAnsi="Times New Roman"/>
          <w:i/>
          <w:sz w:val="24"/>
          <w:szCs w:val="24"/>
        </w:rPr>
        <w:t>Counsel</w:t>
      </w:r>
      <w:r w:rsidR="001258A8">
        <w:rPr>
          <w:rFonts w:ascii="Times New Roman" w:hAnsi="Times New Roman"/>
          <w:i/>
          <w:sz w:val="24"/>
          <w:szCs w:val="24"/>
        </w:rPr>
        <w:t xml:space="preserve">, </w:t>
      </w:r>
      <w:r>
        <w:rPr>
          <w:rFonts w:ascii="Times New Roman" w:hAnsi="Times New Roman"/>
          <w:i/>
          <w:sz w:val="24"/>
          <w:szCs w:val="24"/>
        </w:rPr>
        <w:t>Buzko and Partners, Russia;</w:t>
      </w:r>
    </w:p>
    <w:p w14:paraId="34897C45" w14:textId="58590BC9" w:rsidR="00BD0697" w:rsidRPr="002825D6" w:rsidRDefault="000707C3" w:rsidP="00AA741E">
      <w:pPr>
        <w:spacing w:after="0"/>
        <w:jc w:val="center"/>
        <w:rPr>
          <w:rFonts w:ascii="Times New Roman" w:hAnsi="Times New Roman"/>
          <w:i/>
          <w:sz w:val="24"/>
          <w:szCs w:val="24"/>
          <w:lang w:val="nl-NL"/>
          <w:rPrChange w:id="0" w:author="Kokorin, I." w:date="2018-04-05T10:21:00Z">
            <w:rPr>
              <w:rFonts w:ascii="Times New Roman" w:hAnsi="Times New Roman"/>
              <w:i/>
              <w:sz w:val="24"/>
              <w:szCs w:val="24"/>
            </w:rPr>
          </w:rPrChange>
        </w:rPr>
      </w:pPr>
      <w:r w:rsidRPr="002825D6">
        <w:rPr>
          <w:rFonts w:ascii="Times New Roman" w:hAnsi="Times New Roman"/>
          <w:i/>
          <w:sz w:val="24"/>
          <w:szCs w:val="24"/>
          <w:lang w:val="nl-NL"/>
          <w:rPrChange w:id="1" w:author="Kokorin, I." w:date="2018-04-05T10:21:00Z">
            <w:rPr>
              <w:rFonts w:ascii="Times New Roman" w:hAnsi="Times New Roman"/>
              <w:i/>
              <w:sz w:val="24"/>
              <w:szCs w:val="24"/>
            </w:rPr>
          </w:rPrChange>
        </w:rPr>
        <w:t>Lecturer</w:t>
      </w:r>
      <w:r w:rsidR="00BD0697" w:rsidRPr="002825D6">
        <w:rPr>
          <w:rFonts w:ascii="Times New Roman" w:hAnsi="Times New Roman"/>
          <w:i/>
          <w:sz w:val="24"/>
          <w:szCs w:val="24"/>
          <w:lang w:val="nl-NL"/>
          <w:rPrChange w:id="2" w:author="Kokorin, I." w:date="2018-04-05T10:21:00Z">
            <w:rPr>
              <w:rFonts w:ascii="Times New Roman" w:hAnsi="Times New Roman"/>
              <w:i/>
              <w:sz w:val="24"/>
              <w:szCs w:val="24"/>
            </w:rPr>
          </w:rPrChange>
        </w:rPr>
        <w:t xml:space="preserve">, </w:t>
      </w:r>
      <w:r w:rsidRPr="002825D6">
        <w:rPr>
          <w:rFonts w:ascii="Times New Roman" w:hAnsi="Times New Roman"/>
          <w:i/>
          <w:sz w:val="24"/>
          <w:szCs w:val="24"/>
          <w:lang w:val="nl-NL"/>
          <w:rPrChange w:id="3" w:author="Kokorin, I." w:date="2018-04-05T10:21:00Z">
            <w:rPr>
              <w:rFonts w:ascii="Times New Roman" w:hAnsi="Times New Roman"/>
              <w:i/>
              <w:sz w:val="24"/>
              <w:szCs w:val="24"/>
            </w:rPr>
          </w:rPrChange>
        </w:rPr>
        <w:t>Leiden University</w:t>
      </w:r>
    </w:p>
    <w:p w14:paraId="4C0F3661" w14:textId="6B25F1A3" w:rsidR="00617533" w:rsidRPr="002825D6" w:rsidRDefault="00E56027" w:rsidP="00AA741E">
      <w:pPr>
        <w:spacing w:after="0"/>
        <w:jc w:val="center"/>
        <w:rPr>
          <w:rFonts w:ascii="Times New Roman" w:hAnsi="Times New Roman"/>
          <w:b/>
          <w:i/>
          <w:sz w:val="24"/>
          <w:szCs w:val="24"/>
          <w:lang w:val="nl-NL"/>
          <w:rPrChange w:id="4" w:author="Kokorin, I." w:date="2018-04-05T10:21:00Z">
            <w:rPr>
              <w:rFonts w:ascii="Times New Roman" w:hAnsi="Times New Roman"/>
              <w:b/>
              <w:i/>
              <w:sz w:val="24"/>
              <w:szCs w:val="24"/>
            </w:rPr>
          </w:rPrChange>
        </w:rPr>
      </w:pPr>
      <w:r>
        <w:fldChar w:fldCharType="begin"/>
      </w:r>
      <w:r w:rsidRPr="002825D6">
        <w:rPr>
          <w:lang w:val="nl-NL"/>
          <w:rPrChange w:id="5" w:author="Kokorin, I." w:date="2018-04-05T10:21:00Z">
            <w:rPr/>
          </w:rPrChange>
        </w:rPr>
        <w:instrText xml:space="preserve"> HYPERLINK "mailto:i.kokorin@law.leidenuniv.nl" </w:instrText>
      </w:r>
      <w:r>
        <w:fldChar w:fldCharType="separate"/>
      </w:r>
      <w:r w:rsidR="000707C3" w:rsidRPr="002825D6">
        <w:rPr>
          <w:rStyle w:val="Hyperlink"/>
          <w:rFonts w:ascii="Times New Roman" w:hAnsi="Times New Roman"/>
          <w:i/>
          <w:color w:val="auto"/>
          <w:sz w:val="24"/>
          <w:szCs w:val="24"/>
          <w:u w:val="none"/>
          <w:lang w:val="nl-NL"/>
          <w:rPrChange w:id="6" w:author="Kokorin, I." w:date="2018-04-05T10:21:00Z">
            <w:rPr>
              <w:rStyle w:val="Hyperlink"/>
              <w:rFonts w:ascii="Times New Roman" w:hAnsi="Times New Roman"/>
              <w:i/>
              <w:color w:val="auto"/>
              <w:sz w:val="24"/>
              <w:szCs w:val="24"/>
              <w:u w:val="none"/>
              <w:lang w:val="en-US"/>
            </w:rPr>
          </w:rPrChange>
        </w:rPr>
        <w:t>i.kokorin@law.leidenuniv.nl</w:t>
      </w:r>
      <w:r>
        <w:rPr>
          <w:rStyle w:val="Hyperlink"/>
          <w:rFonts w:ascii="Times New Roman" w:hAnsi="Times New Roman"/>
          <w:i/>
          <w:color w:val="auto"/>
          <w:sz w:val="24"/>
          <w:szCs w:val="24"/>
          <w:u w:val="none"/>
          <w:lang w:val="en-US"/>
        </w:rPr>
        <w:fldChar w:fldCharType="end"/>
      </w:r>
    </w:p>
    <w:p w14:paraId="7EA60412" w14:textId="77777777" w:rsidR="005D783E" w:rsidRPr="002825D6" w:rsidRDefault="005D783E" w:rsidP="00AA741E">
      <w:pPr>
        <w:spacing w:after="0"/>
        <w:rPr>
          <w:rFonts w:ascii="Times New Roman" w:hAnsi="Times New Roman"/>
          <w:i/>
          <w:sz w:val="24"/>
          <w:szCs w:val="24"/>
          <w:lang w:val="nl-NL"/>
          <w:rPrChange w:id="7" w:author="Kokorin, I." w:date="2018-04-05T10:21:00Z">
            <w:rPr>
              <w:rFonts w:ascii="Times New Roman" w:hAnsi="Times New Roman"/>
              <w:i/>
              <w:sz w:val="24"/>
              <w:szCs w:val="24"/>
            </w:rPr>
          </w:rPrChange>
        </w:rPr>
      </w:pPr>
    </w:p>
    <w:p w14:paraId="41F728C4" w14:textId="77777777" w:rsidR="005D783E" w:rsidRPr="00BF3D3E" w:rsidRDefault="005D783E" w:rsidP="00AA741E">
      <w:pPr>
        <w:spacing w:after="0"/>
        <w:rPr>
          <w:rFonts w:ascii="Times New Roman" w:hAnsi="Times New Roman"/>
          <w:i/>
          <w:sz w:val="24"/>
          <w:szCs w:val="24"/>
        </w:rPr>
      </w:pPr>
      <w:r w:rsidRPr="00BF3D3E">
        <w:rPr>
          <w:rFonts w:ascii="Times New Roman" w:hAnsi="Times New Roman"/>
          <w:i/>
          <w:sz w:val="24"/>
          <w:szCs w:val="24"/>
        </w:rPr>
        <w:t>Introduction</w:t>
      </w:r>
    </w:p>
    <w:p w14:paraId="41E3B55B" w14:textId="77777777" w:rsidR="005D783E" w:rsidRPr="00B565F1" w:rsidRDefault="005D783E" w:rsidP="00B565F1">
      <w:pPr>
        <w:spacing w:after="0"/>
        <w:rPr>
          <w:rFonts w:ascii="Times New Roman" w:eastAsia="Batang" w:hAnsi="Times New Roman"/>
          <w:sz w:val="24"/>
          <w:szCs w:val="24"/>
        </w:rPr>
      </w:pPr>
    </w:p>
    <w:p w14:paraId="0E6BE805" w14:textId="30D369EC" w:rsidR="00B565F1" w:rsidRDefault="00B565F1" w:rsidP="00B565F1">
      <w:pPr>
        <w:spacing w:after="0"/>
        <w:rPr>
          <w:rFonts w:ascii="Times New Roman" w:hAnsi="Times New Roman"/>
          <w:sz w:val="24"/>
          <w:szCs w:val="24"/>
        </w:rPr>
      </w:pPr>
      <w:r w:rsidRPr="00B565F1">
        <w:rPr>
          <w:rFonts w:ascii="Times New Roman" w:hAnsi="Times New Roman"/>
          <w:sz w:val="24"/>
          <w:szCs w:val="24"/>
        </w:rPr>
        <w:t xml:space="preserve">The insolvency case of Dalnyaya Step LLC (Dalnyaya Step, debtor) is well known both in Russia and abroad, particularly in the United Kingdom. It is unique for several reasons. First of all, the case spans across a decade, having started in 2006, closed in 2007 and reopened in 2015 (still pending). Secondly, the Russian insolvency proceedings were first recognized in the UK in 2016, </w:t>
      </w:r>
      <w:r>
        <w:rPr>
          <w:rFonts w:ascii="Times New Roman" w:hAnsi="Times New Roman"/>
          <w:sz w:val="24"/>
          <w:szCs w:val="24"/>
        </w:rPr>
        <w:t>only</w:t>
      </w:r>
      <w:r w:rsidRPr="00B565F1">
        <w:rPr>
          <w:rFonts w:ascii="Times New Roman" w:hAnsi="Times New Roman"/>
          <w:sz w:val="24"/>
          <w:szCs w:val="24"/>
        </w:rPr>
        <w:t xml:space="preserve"> to have the recognition order set aside </w:t>
      </w:r>
      <w:r w:rsidRPr="00B565F1">
        <w:rPr>
          <w:rFonts w:ascii="Times New Roman" w:hAnsi="Times New Roman"/>
          <w:i/>
          <w:sz w:val="24"/>
          <w:szCs w:val="24"/>
        </w:rPr>
        <w:t>ab initio</w:t>
      </w:r>
      <w:r w:rsidRPr="00B565F1">
        <w:rPr>
          <w:rFonts w:ascii="Times New Roman" w:hAnsi="Times New Roman"/>
          <w:sz w:val="24"/>
          <w:szCs w:val="24"/>
        </w:rPr>
        <w:t xml:space="preserve"> in 2017 on public policy grounds.</w:t>
      </w:r>
      <w:r w:rsidRPr="00B565F1">
        <w:rPr>
          <w:rStyle w:val="FootnoteReference"/>
          <w:rFonts w:ascii="Times New Roman" w:hAnsi="Times New Roman"/>
          <w:sz w:val="24"/>
          <w:szCs w:val="24"/>
        </w:rPr>
        <w:footnoteReference w:id="1"/>
      </w:r>
      <w:r w:rsidRPr="00B565F1">
        <w:rPr>
          <w:rFonts w:ascii="Times New Roman" w:hAnsi="Times New Roman"/>
          <w:sz w:val="24"/>
          <w:szCs w:val="24"/>
        </w:rPr>
        <w:t xml:space="preserve"> Thirdly, in August 2018</w:t>
      </w:r>
      <w:r>
        <w:rPr>
          <w:rFonts w:ascii="Times New Roman" w:hAnsi="Times New Roman"/>
          <w:sz w:val="24"/>
          <w:szCs w:val="24"/>
        </w:rPr>
        <w:t>,</w:t>
      </w:r>
      <w:r w:rsidRPr="00B565F1">
        <w:rPr>
          <w:rFonts w:ascii="Times New Roman" w:hAnsi="Times New Roman"/>
          <w:sz w:val="24"/>
          <w:szCs w:val="24"/>
        </w:rPr>
        <w:t xml:space="preserve"> the Russian Supreme Court refused to approve the settlement agreement reached between the liquidator of Dalnyaya Step and HSBC Bank LLC (HSBC Bank), a Russian entity affiliated with HSBC Bank PLC, and found the latter liable for the debtor’s insolvency with liab</w:t>
      </w:r>
      <w:r>
        <w:rPr>
          <w:rFonts w:ascii="Times New Roman" w:hAnsi="Times New Roman"/>
          <w:sz w:val="24"/>
          <w:szCs w:val="24"/>
        </w:rPr>
        <w:t>ility exceeding EUR 16 million.</w:t>
      </w:r>
    </w:p>
    <w:p w14:paraId="43B38D15" w14:textId="77777777" w:rsidR="00B565F1" w:rsidRPr="00B565F1" w:rsidRDefault="00B565F1" w:rsidP="00B565F1">
      <w:pPr>
        <w:spacing w:after="0"/>
        <w:rPr>
          <w:rFonts w:ascii="Times New Roman" w:hAnsi="Times New Roman"/>
          <w:sz w:val="24"/>
          <w:szCs w:val="24"/>
        </w:rPr>
      </w:pPr>
    </w:p>
    <w:p w14:paraId="5CB0B6DF" w14:textId="66503A84" w:rsidR="00B565F1" w:rsidRDefault="00B565F1" w:rsidP="00B565F1">
      <w:pPr>
        <w:spacing w:after="0"/>
        <w:rPr>
          <w:rFonts w:ascii="Times New Roman" w:hAnsi="Times New Roman"/>
          <w:sz w:val="24"/>
          <w:szCs w:val="24"/>
        </w:rPr>
      </w:pPr>
      <w:r>
        <w:rPr>
          <w:rFonts w:ascii="Times New Roman" w:hAnsi="Times New Roman"/>
          <w:sz w:val="24"/>
          <w:szCs w:val="24"/>
        </w:rPr>
        <w:t>T</w:t>
      </w:r>
      <w:r w:rsidRPr="00B565F1">
        <w:rPr>
          <w:rFonts w:ascii="Times New Roman" w:hAnsi="Times New Roman"/>
          <w:sz w:val="24"/>
          <w:szCs w:val="24"/>
        </w:rPr>
        <w:t xml:space="preserve">his </w:t>
      </w:r>
      <w:r>
        <w:rPr>
          <w:rFonts w:ascii="Times New Roman" w:hAnsi="Times New Roman"/>
          <w:sz w:val="24"/>
          <w:szCs w:val="24"/>
        </w:rPr>
        <w:t xml:space="preserve">Inside Story </w:t>
      </w:r>
      <w:r w:rsidRPr="00B565F1">
        <w:rPr>
          <w:rFonts w:ascii="Times New Roman" w:hAnsi="Times New Roman"/>
          <w:sz w:val="24"/>
          <w:szCs w:val="24"/>
        </w:rPr>
        <w:t>will analyse this recent decision of the Russian Supreme Court and describe the potential risks it entails for members of corporate groups and banks serving their interests in Russia.</w:t>
      </w:r>
    </w:p>
    <w:p w14:paraId="2EE1B67E" w14:textId="77777777" w:rsidR="00B565F1" w:rsidRPr="00B565F1" w:rsidRDefault="00B565F1" w:rsidP="00B565F1">
      <w:pPr>
        <w:spacing w:after="0"/>
        <w:rPr>
          <w:rFonts w:ascii="Times New Roman" w:hAnsi="Times New Roman"/>
          <w:sz w:val="24"/>
          <w:szCs w:val="24"/>
        </w:rPr>
      </w:pPr>
    </w:p>
    <w:p w14:paraId="0264658D" w14:textId="77777777" w:rsidR="00B565F1" w:rsidRPr="00B565F1" w:rsidRDefault="00B565F1" w:rsidP="00B565F1">
      <w:pPr>
        <w:spacing w:after="0"/>
        <w:rPr>
          <w:rFonts w:ascii="Times New Roman" w:hAnsi="Times New Roman"/>
          <w:b/>
          <w:sz w:val="24"/>
          <w:szCs w:val="24"/>
        </w:rPr>
      </w:pPr>
      <w:r w:rsidRPr="007809D8">
        <w:rPr>
          <w:rFonts w:ascii="Times New Roman" w:hAnsi="Times New Roman"/>
          <w:i/>
          <w:sz w:val="24"/>
          <w:szCs w:val="24"/>
        </w:rPr>
        <w:t>Background</w:t>
      </w:r>
    </w:p>
    <w:p w14:paraId="2422BFC4" w14:textId="77777777" w:rsidR="00B565F1" w:rsidRDefault="00B565F1" w:rsidP="00B565F1">
      <w:pPr>
        <w:spacing w:after="0"/>
        <w:rPr>
          <w:rFonts w:ascii="Times New Roman" w:hAnsi="Times New Roman"/>
          <w:sz w:val="24"/>
          <w:szCs w:val="24"/>
        </w:rPr>
      </w:pPr>
    </w:p>
    <w:p w14:paraId="60989236" w14:textId="77777777" w:rsidR="00B565F1" w:rsidRPr="00B565F1" w:rsidRDefault="00B565F1" w:rsidP="00B565F1">
      <w:pPr>
        <w:spacing w:after="0"/>
        <w:rPr>
          <w:rFonts w:ascii="Times New Roman" w:hAnsi="Times New Roman"/>
          <w:sz w:val="24"/>
          <w:szCs w:val="24"/>
        </w:rPr>
      </w:pPr>
      <w:r w:rsidRPr="00B565F1">
        <w:rPr>
          <w:rFonts w:ascii="Times New Roman" w:hAnsi="Times New Roman"/>
          <w:sz w:val="24"/>
          <w:szCs w:val="24"/>
        </w:rPr>
        <w:t>Dalnyaya Step LLC was established in 1998. It was one of the Russian subsidiaries through which the investment strategy of Hermitage, a Guernsey unit trust founded by William Browder, was pursued in Russia. In the early 2000s</w:t>
      </w:r>
      <w:r w:rsidRPr="00B565F1">
        <w:rPr>
          <w:rFonts w:ascii="Times New Roman" w:hAnsi="Times New Roman"/>
          <w:sz w:val="24"/>
          <w:szCs w:val="24"/>
          <w:lang w:val="en-US"/>
        </w:rPr>
        <w:t>,</w:t>
      </w:r>
      <w:r w:rsidRPr="00B565F1">
        <w:rPr>
          <w:rFonts w:ascii="Times New Roman" w:hAnsi="Times New Roman"/>
          <w:sz w:val="24"/>
          <w:szCs w:val="24"/>
        </w:rPr>
        <w:t xml:space="preserve"> Hermitage became one of the largest portfolio investors in Russia with investments in major state-owned or partially state-owned companies, including PAO Gazprom. The management of Hermitage was carried out by HSBC Management (Guernsey) Limited (HSBC Guernsey).</w:t>
      </w:r>
    </w:p>
    <w:p w14:paraId="64237A53" w14:textId="77777777" w:rsidR="00B565F1" w:rsidRDefault="00B565F1" w:rsidP="00B565F1">
      <w:pPr>
        <w:spacing w:after="0"/>
        <w:rPr>
          <w:rFonts w:ascii="Times New Roman" w:hAnsi="Times New Roman"/>
          <w:sz w:val="24"/>
          <w:szCs w:val="24"/>
        </w:rPr>
      </w:pPr>
    </w:p>
    <w:p w14:paraId="582E001A" w14:textId="46AA6008" w:rsidR="00B565F1" w:rsidRDefault="00B565F1" w:rsidP="00B565F1">
      <w:pPr>
        <w:spacing w:after="0"/>
        <w:rPr>
          <w:rFonts w:ascii="Times New Roman" w:hAnsi="Times New Roman"/>
          <w:sz w:val="24"/>
          <w:szCs w:val="24"/>
        </w:rPr>
      </w:pPr>
      <w:r w:rsidRPr="00B565F1">
        <w:rPr>
          <w:rFonts w:ascii="Times New Roman" w:hAnsi="Times New Roman"/>
          <w:sz w:val="24"/>
          <w:szCs w:val="24"/>
        </w:rPr>
        <w:lastRenderedPageBreak/>
        <w:t>In 2007</w:t>
      </w:r>
      <w:r w:rsidRPr="00B565F1">
        <w:rPr>
          <w:rFonts w:ascii="Times New Roman" w:hAnsi="Times New Roman"/>
          <w:sz w:val="24"/>
          <w:szCs w:val="24"/>
          <w:lang w:val="en-US"/>
        </w:rPr>
        <w:t>,</w:t>
      </w:r>
      <w:r w:rsidRPr="00B565F1">
        <w:rPr>
          <w:rFonts w:ascii="Times New Roman" w:hAnsi="Times New Roman"/>
          <w:sz w:val="24"/>
          <w:szCs w:val="24"/>
        </w:rPr>
        <w:t xml:space="preserve"> Dalnyaya Step LLC entered insolvency proceedings and was dissolved. In 2015</w:t>
      </w:r>
      <w:r w:rsidRPr="00B565F1">
        <w:rPr>
          <w:rFonts w:ascii="Times New Roman" w:hAnsi="Times New Roman"/>
          <w:sz w:val="24"/>
          <w:szCs w:val="24"/>
          <w:lang w:val="en-US"/>
        </w:rPr>
        <w:t>,</w:t>
      </w:r>
      <w:r w:rsidRPr="00B565F1">
        <w:rPr>
          <w:rFonts w:ascii="Times New Roman" w:hAnsi="Times New Roman"/>
          <w:sz w:val="24"/>
          <w:szCs w:val="24"/>
        </w:rPr>
        <w:t xml:space="preserve"> the Russian tax authority applied to the court to have the insolvency case reopened, asserting the debtor </w:t>
      </w:r>
      <w:r>
        <w:rPr>
          <w:rFonts w:ascii="Times New Roman" w:hAnsi="Times New Roman"/>
          <w:sz w:val="24"/>
          <w:szCs w:val="24"/>
        </w:rPr>
        <w:t>had been</w:t>
      </w:r>
      <w:r w:rsidRPr="00B565F1">
        <w:rPr>
          <w:rFonts w:ascii="Times New Roman" w:hAnsi="Times New Roman"/>
          <w:sz w:val="24"/>
          <w:szCs w:val="24"/>
        </w:rPr>
        <w:t xml:space="preserve"> </w:t>
      </w:r>
      <w:r>
        <w:rPr>
          <w:rFonts w:ascii="Times New Roman" w:hAnsi="Times New Roman"/>
          <w:sz w:val="24"/>
          <w:szCs w:val="24"/>
        </w:rPr>
        <w:t>the subject of asset-stripping</w:t>
      </w:r>
      <w:r w:rsidRPr="00B565F1">
        <w:rPr>
          <w:rFonts w:ascii="Times New Roman" w:hAnsi="Times New Roman"/>
          <w:sz w:val="24"/>
          <w:szCs w:val="24"/>
        </w:rPr>
        <w:t xml:space="preserve"> before the original insolvency filing. The tax authority (the only creditor in the case) </w:t>
      </w:r>
      <w:r>
        <w:rPr>
          <w:rFonts w:ascii="Times New Roman" w:hAnsi="Times New Roman"/>
          <w:sz w:val="24"/>
          <w:szCs w:val="24"/>
        </w:rPr>
        <w:t>claimed</w:t>
      </w:r>
      <w:r w:rsidRPr="00B565F1">
        <w:rPr>
          <w:rFonts w:ascii="Times New Roman" w:hAnsi="Times New Roman"/>
          <w:sz w:val="24"/>
          <w:szCs w:val="24"/>
        </w:rPr>
        <w:t xml:space="preserve"> that</w:t>
      </w:r>
      <w:r>
        <w:rPr>
          <w:rFonts w:ascii="Times New Roman" w:hAnsi="Times New Roman"/>
          <w:sz w:val="24"/>
          <w:szCs w:val="24"/>
        </w:rPr>
        <w:t>,</w:t>
      </w:r>
      <w:r w:rsidRPr="00B565F1">
        <w:rPr>
          <w:rFonts w:ascii="Times New Roman" w:hAnsi="Times New Roman"/>
          <w:sz w:val="24"/>
          <w:szCs w:val="24"/>
        </w:rPr>
        <w:t xml:space="preserve"> in the period </w:t>
      </w:r>
      <w:r>
        <w:rPr>
          <w:rFonts w:ascii="Times New Roman" w:hAnsi="Times New Roman"/>
          <w:sz w:val="24"/>
          <w:szCs w:val="24"/>
        </w:rPr>
        <w:t xml:space="preserve">between </w:t>
      </w:r>
      <w:r w:rsidRPr="00B565F1">
        <w:rPr>
          <w:rFonts w:ascii="Times New Roman" w:hAnsi="Times New Roman"/>
          <w:sz w:val="24"/>
          <w:szCs w:val="24"/>
        </w:rPr>
        <w:t xml:space="preserve">2004 </w:t>
      </w:r>
      <w:r>
        <w:rPr>
          <w:rFonts w:ascii="Times New Roman" w:hAnsi="Times New Roman"/>
          <w:sz w:val="24"/>
          <w:szCs w:val="24"/>
        </w:rPr>
        <w:t xml:space="preserve">and </w:t>
      </w:r>
      <w:r w:rsidRPr="00B565F1">
        <w:rPr>
          <w:rFonts w:ascii="Times New Roman" w:hAnsi="Times New Roman"/>
          <w:sz w:val="24"/>
          <w:szCs w:val="24"/>
        </w:rPr>
        <w:t xml:space="preserve">2005, more than EUR 24 million </w:t>
      </w:r>
      <w:r>
        <w:rPr>
          <w:rFonts w:ascii="Times New Roman" w:hAnsi="Times New Roman"/>
          <w:sz w:val="24"/>
          <w:szCs w:val="24"/>
        </w:rPr>
        <w:t>had been</w:t>
      </w:r>
      <w:r w:rsidRPr="00B565F1">
        <w:rPr>
          <w:rFonts w:ascii="Times New Roman" w:hAnsi="Times New Roman"/>
          <w:sz w:val="24"/>
          <w:szCs w:val="24"/>
        </w:rPr>
        <w:t xml:space="preserve"> funnelled from the accounts of the debtor to other entities in the Hermitage group, leaving tax claims exceeding EUR 16 million unsatisfied. In 2015 Dalnyaya Step LLC was reinstated in the companies’ register and Mr. Nogotkov was appointed as a liquidator. On 8 July 2016</w:t>
      </w:r>
      <w:r>
        <w:rPr>
          <w:rFonts w:ascii="Times New Roman" w:hAnsi="Times New Roman"/>
          <w:sz w:val="24"/>
          <w:szCs w:val="24"/>
        </w:rPr>
        <w:t>,</w:t>
      </w:r>
      <w:r w:rsidRPr="00B565F1">
        <w:rPr>
          <w:rFonts w:ascii="Times New Roman" w:hAnsi="Times New Roman"/>
          <w:sz w:val="24"/>
          <w:szCs w:val="24"/>
        </w:rPr>
        <w:t xml:space="preserve"> he was granted a recognition order under the UK’s CBIR 2006.</w:t>
      </w:r>
      <w:r w:rsidRPr="00B565F1">
        <w:rPr>
          <w:rStyle w:val="FootnoteReference"/>
          <w:rFonts w:ascii="Times New Roman" w:hAnsi="Times New Roman"/>
          <w:sz w:val="24"/>
          <w:szCs w:val="24"/>
        </w:rPr>
        <w:footnoteReference w:id="2"/>
      </w:r>
    </w:p>
    <w:p w14:paraId="0B6D0DB7" w14:textId="77777777" w:rsidR="00B565F1" w:rsidRPr="00B565F1" w:rsidRDefault="00B565F1" w:rsidP="00B565F1">
      <w:pPr>
        <w:spacing w:after="0"/>
        <w:rPr>
          <w:rFonts w:ascii="Times New Roman" w:hAnsi="Times New Roman"/>
          <w:sz w:val="24"/>
          <w:szCs w:val="24"/>
        </w:rPr>
      </w:pPr>
    </w:p>
    <w:p w14:paraId="77C6D828" w14:textId="2A049CF1" w:rsidR="00B565F1" w:rsidRDefault="00B565F1" w:rsidP="00B565F1">
      <w:pPr>
        <w:spacing w:after="0"/>
        <w:rPr>
          <w:rFonts w:ascii="Times New Roman" w:hAnsi="Times New Roman"/>
          <w:sz w:val="24"/>
          <w:szCs w:val="24"/>
        </w:rPr>
      </w:pPr>
      <w:r w:rsidRPr="00B565F1">
        <w:rPr>
          <w:rFonts w:ascii="Times New Roman" w:hAnsi="Times New Roman"/>
          <w:sz w:val="24"/>
          <w:szCs w:val="24"/>
        </w:rPr>
        <w:t>Meanwhile, in 2017</w:t>
      </w:r>
      <w:r>
        <w:rPr>
          <w:rFonts w:ascii="Times New Roman" w:hAnsi="Times New Roman"/>
          <w:sz w:val="24"/>
          <w:szCs w:val="24"/>
        </w:rPr>
        <w:t>,</w:t>
      </w:r>
      <w:r w:rsidRPr="00B565F1">
        <w:rPr>
          <w:rFonts w:ascii="Times New Roman" w:hAnsi="Times New Roman"/>
          <w:sz w:val="24"/>
          <w:szCs w:val="24"/>
        </w:rPr>
        <w:t xml:space="preserve"> the Russian liquidator filed a directors’ liability claim against both HSBC Guernsey and HSBC Bank (defendants), arguing that they asserted control over the debtor and</w:t>
      </w:r>
      <w:r>
        <w:rPr>
          <w:rFonts w:ascii="Times New Roman" w:hAnsi="Times New Roman"/>
          <w:sz w:val="24"/>
          <w:szCs w:val="24"/>
        </w:rPr>
        <w:t>,</w:t>
      </w:r>
      <w:r w:rsidRPr="00B565F1">
        <w:rPr>
          <w:rFonts w:ascii="Times New Roman" w:hAnsi="Times New Roman"/>
          <w:sz w:val="24"/>
          <w:szCs w:val="24"/>
        </w:rPr>
        <w:t xml:space="preserve"> as a result of their coordinated actions, Dalnyaya Step was forced into insolvency back in 2007. This was a rather difficult task to prove, considering the fact that HSBC Bank did not directly or indirectly control the debtor. In other words, it did not belong to the Hermitage corporate group allegedly orchestrating the </w:t>
      </w:r>
      <w:r>
        <w:rPr>
          <w:rFonts w:ascii="Times New Roman" w:hAnsi="Times New Roman"/>
          <w:sz w:val="24"/>
          <w:szCs w:val="24"/>
        </w:rPr>
        <w:t>asset-</w:t>
      </w:r>
      <w:r w:rsidRPr="00B565F1">
        <w:rPr>
          <w:rFonts w:ascii="Times New Roman" w:hAnsi="Times New Roman"/>
          <w:sz w:val="24"/>
          <w:szCs w:val="24"/>
        </w:rPr>
        <w:t>stripping. Nevertheless, the courts of the first instances ruled in favour of the tax authority. The case went to the Supreme Court.</w:t>
      </w:r>
    </w:p>
    <w:p w14:paraId="1D548CA2" w14:textId="77777777" w:rsidR="00B565F1" w:rsidRPr="00B565F1" w:rsidRDefault="00B565F1" w:rsidP="00B565F1">
      <w:pPr>
        <w:spacing w:after="0"/>
        <w:rPr>
          <w:rFonts w:ascii="Times New Roman" w:hAnsi="Times New Roman"/>
          <w:sz w:val="24"/>
          <w:szCs w:val="24"/>
        </w:rPr>
      </w:pPr>
    </w:p>
    <w:p w14:paraId="225F7A42" w14:textId="77777777" w:rsidR="00B565F1" w:rsidRPr="007809D8" w:rsidRDefault="00B565F1" w:rsidP="00B565F1">
      <w:pPr>
        <w:pStyle w:val="ListParagraph"/>
        <w:numPr>
          <w:ilvl w:val="0"/>
          <w:numId w:val="32"/>
        </w:numPr>
        <w:spacing w:after="0" w:line="240" w:lineRule="auto"/>
        <w:jc w:val="both"/>
        <w:rPr>
          <w:rFonts w:ascii="Times New Roman" w:hAnsi="Times New Roman" w:cs="Times New Roman"/>
          <w:i/>
          <w:sz w:val="24"/>
          <w:szCs w:val="24"/>
          <w:lang w:val="en-GB"/>
        </w:rPr>
      </w:pPr>
      <w:r w:rsidRPr="007809D8">
        <w:rPr>
          <w:rFonts w:ascii="Times New Roman" w:hAnsi="Times New Roman" w:cs="Times New Roman"/>
          <w:i/>
          <w:sz w:val="24"/>
          <w:szCs w:val="24"/>
          <w:lang w:val="en-GB"/>
        </w:rPr>
        <w:t>Decision of the Russian Supreme Court</w:t>
      </w:r>
    </w:p>
    <w:p w14:paraId="4FA3E35D" w14:textId="77777777" w:rsidR="00B565F1" w:rsidRDefault="00B565F1" w:rsidP="00B565F1">
      <w:pPr>
        <w:spacing w:after="0"/>
        <w:rPr>
          <w:rFonts w:ascii="Times New Roman" w:hAnsi="Times New Roman"/>
          <w:sz w:val="24"/>
          <w:szCs w:val="24"/>
        </w:rPr>
      </w:pPr>
    </w:p>
    <w:p w14:paraId="43E1F5E4" w14:textId="533BD1CD" w:rsidR="00B565F1" w:rsidRDefault="00B565F1" w:rsidP="00B565F1">
      <w:pPr>
        <w:spacing w:after="0"/>
        <w:rPr>
          <w:rFonts w:ascii="Times New Roman" w:hAnsi="Times New Roman"/>
          <w:sz w:val="24"/>
          <w:szCs w:val="24"/>
        </w:rPr>
      </w:pPr>
      <w:r w:rsidRPr="00B565F1">
        <w:rPr>
          <w:rFonts w:ascii="Times New Roman" w:hAnsi="Times New Roman"/>
          <w:sz w:val="24"/>
          <w:szCs w:val="24"/>
        </w:rPr>
        <w:t>The decision dated 6 August 2018</w:t>
      </w:r>
      <w:r w:rsidRPr="00B565F1">
        <w:rPr>
          <w:rStyle w:val="FootnoteReference"/>
          <w:rFonts w:ascii="Times New Roman" w:hAnsi="Times New Roman"/>
          <w:sz w:val="24"/>
          <w:szCs w:val="24"/>
        </w:rPr>
        <w:footnoteReference w:id="3"/>
      </w:r>
      <w:r>
        <w:rPr>
          <w:rFonts w:ascii="Times New Roman" w:hAnsi="Times New Roman"/>
          <w:sz w:val="24"/>
          <w:szCs w:val="24"/>
        </w:rPr>
        <w:t xml:space="preserve"> concerned two issues:</w:t>
      </w:r>
    </w:p>
    <w:p w14:paraId="38EC8E86" w14:textId="77777777" w:rsidR="00B565F1" w:rsidRPr="00B565F1" w:rsidRDefault="00B565F1" w:rsidP="00B565F1">
      <w:pPr>
        <w:spacing w:after="0"/>
        <w:rPr>
          <w:rFonts w:ascii="Times New Roman" w:hAnsi="Times New Roman"/>
          <w:sz w:val="24"/>
          <w:szCs w:val="24"/>
        </w:rPr>
      </w:pPr>
    </w:p>
    <w:p w14:paraId="4EA30358" w14:textId="366FD131" w:rsidR="00B565F1" w:rsidRPr="00B565F1" w:rsidRDefault="00B565F1" w:rsidP="00B565F1">
      <w:pPr>
        <w:pStyle w:val="ListParagraph"/>
        <w:numPr>
          <w:ilvl w:val="0"/>
          <w:numId w:val="33"/>
        </w:numPr>
        <w:spacing w:after="0" w:line="240" w:lineRule="auto"/>
        <w:jc w:val="both"/>
        <w:rPr>
          <w:rFonts w:ascii="Times New Roman" w:hAnsi="Times New Roman" w:cs="Times New Roman"/>
          <w:sz w:val="24"/>
          <w:szCs w:val="24"/>
          <w:lang w:val="en-GB"/>
        </w:rPr>
      </w:pPr>
      <w:r w:rsidRPr="00B565F1">
        <w:rPr>
          <w:rFonts w:ascii="Times New Roman" w:hAnsi="Times New Roman" w:cs="Times New Roman"/>
          <w:sz w:val="24"/>
          <w:szCs w:val="24"/>
          <w:lang w:val="en-GB"/>
        </w:rPr>
        <w:t xml:space="preserve">sanctioning of the settlement agreement reached by the parties to </w:t>
      </w:r>
      <w:r>
        <w:rPr>
          <w:rFonts w:ascii="Times New Roman" w:hAnsi="Times New Roman" w:cs="Times New Roman"/>
          <w:sz w:val="24"/>
          <w:szCs w:val="24"/>
          <w:lang w:val="en-GB"/>
        </w:rPr>
        <w:t>the insolvency proceedings, and</w:t>
      </w:r>
    </w:p>
    <w:p w14:paraId="5EC426CD" w14:textId="7BB5BB62" w:rsidR="00B565F1" w:rsidRPr="00B565F1" w:rsidRDefault="00B565F1" w:rsidP="00B565F1">
      <w:pPr>
        <w:pStyle w:val="ListParagraph"/>
        <w:numPr>
          <w:ilvl w:val="0"/>
          <w:numId w:val="33"/>
        </w:numPr>
        <w:spacing w:after="0" w:line="240" w:lineRule="auto"/>
        <w:jc w:val="both"/>
        <w:rPr>
          <w:rFonts w:ascii="Times New Roman" w:hAnsi="Times New Roman" w:cs="Times New Roman"/>
          <w:sz w:val="24"/>
          <w:szCs w:val="24"/>
          <w:lang w:val="en-GB"/>
        </w:rPr>
      </w:pPr>
      <w:r w:rsidRPr="00B565F1">
        <w:rPr>
          <w:rFonts w:ascii="Times New Roman" w:hAnsi="Times New Roman" w:cs="Times New Roman"/>
          <w:sz w:val="24"/>
          <w:szCs w:val="24"/>
          <w:lang w:val="en-GB"/>
        </w:rPr>
        <w:t xml:space="preserve">liability of </w:t>
      </w:r>
      <w:r>
        <w:rPr>
          <w:rFonts w:ascii="Times New Roman" w:hAnsi="Times New Roman" w:cs="Times New Roman"/>
          <w:sz w:val="24"/>
          <w:szCs w:val="24"/>
          <w:lang w:val="en-GB"/>
        </w:rPr>
        <w:t>“</w:t>
      </w:r>
      <w:r w:rsidRPr="00B565F1">
        <w:rPr>
          <w:rFonts w:ascii="Times New Roman" w:hAnsi="Times New Roman" w:cs="Times New Roman"/>
          <w:sz w:val="24"/>
          <w:szCs w:val="24"/>
          <w:lang w:val="en-GB"/>
        </w:rPr>
        <w:t>controlling parties</w:t>
      </w:r>
      <w:r>
        <w:rPr>
          <w:rFonts w:ascii="Times New Roman" w:hAnsi="Times New Roman" w:cs="Times New Roman"/>
          <w:sz w:val="24"/>
          <w:szCs w:val="24"/>
          <w:lang w:val="en-GB"/>
        </w:rPr>
        <w:t>”</w:t>
      </w:r>
      <w:r w:rsidRPr="00B565F1">
        <w:rPr>
          <w:rFonts w:ascii="Times New Roman" w:hAnsi="Times New Roman" w:cs="Times New Roman"/>
          <w:sz w:val="24"/>
          <w:szCs w:val="24"/>
          <w:lang w:val="en-GB"/>
        </w:rPr>
        <w:t xml:space="preserve"> for causing </w:t>
      </w:r>
      <w:r>
        <w:rPr>
          <w:rFonts w:ascii="Times New Roman" w:hAnsi="Times New Roman" w:cs="Times New Roman"/>
          <w:sz w:val="24"/>
          <w:szCs w:val="24"/>
          <w:lang w:val="en-GB"/>
        </w:rPr>
        <w:t xml:space="preserve">the </w:t>
      </w:r>
      <w:r w:rsidRPr="00B565F1">
        <w:rPr>
          <w:rFonts w:ascii="Times New Roman" w:hAnsi="Times New Roman" w:cs="Times New Roman"/>
          <w:sz w:val="24"/>
          <w:szCs w:val="24"/>
          <w:lang w:val="en-GB"/>
        </w:rPr>
        <w:t>insolvency of Dalnyaya Step.</w:t>
      </w:r>
    </w:p>
    <w:p w14:paraId="26116C87" w14:textId="77777777" w:rsidR="00B565F1" w:rsidRPr="00B565F1" w:rsidRDefault="00B565F1" w:rsidP="00B565F1">
      <w:pPr>
        <w:pStyle w:val="ListParagraph"/>
        <w:spacing w:after="0" w:line="240" w:lineRule="auto"/>
        <w:jc w:val="both"/>
        <w:rPr>
          <w:rFonts w:ascii="Times New Roman" w:hAnsi="Times New Roman" w:cs="Times New Roman"/>
          <w:sz w:val="24"/>
          <w:szCs w:val="24"/>
          <w:lang w:val="en-GB"/>
        </w:rPr>
      </w:pPr>
    </w:p>
    <w:p w14:paraId="057D39A8" w14:textId="29631C17" w:rsidR="00B565F1" w:rsidRPr="007809D8" w:rsidRDefault="00B565F1" w:rsidP="00B565F1">
      <w:pPr>
        <w:pStyle w:val="ListParagraph"/>
        <w:numPr>
          <w:ilvl w:val="0"/>
          <w:numId w:val="35"/>
        </w:numPr>
        <w:spacing w:after="0" w:line="240" w:lineRule="auto"/>
        <w:jc w:val="both"/>
        <w:rPr>
          <w:rFonts w:ascii="Times New Roman" w:hAnsi="Times New Roman" w:cs="Times New Roman"/>
          <w:sz w:val="24"/>
          <w:szCs w:val="24"/>
          <w:u w:val="single"/>
          <w:lang w:val="en-GB"/>
        </w:rPr>
      </w:pPr>
      <w:r w:rsidRPr="007809D8">
        <w:rPr>
          <w:rFonts w:ascii="Times New Roman" w:hAnsi="Times New Roman" w:cs="Times New Roman"/>
          <w:sz w:val="24"/>
          <w:szCs w:val="24"/>
          <w:u w:val="single"/>
          <w:lang w:val="en-GB"/>
        </w:rPr>
        <w:t>Settlement Agreement</w:t>
      </w:r>
    </w:p>
    <w:p w14:paraId="05E2A8D9" w14:textId="77777777" w:rsidR="00B565F1" w:rsidRDefault="00B565F1" w:rsidP="00B565F1">
      <w:pPr>
        <w:spacing w:after="0"/>
        <w:rPr>
          <w:rFonts w:ascii="Times New Roman" w:hAnsi="Times New Roman"/>
          <w:sz w:val="24"/>
          <w:szCs w:val="24"/>
        </w:rPr>
      </w:pPr>
    </w:p>
    <w:p w14:paraId="3019A7DE" w14:textId="2879E29A" w:rsidR="00B565F1" w:rsidRDefault="00B565F1" w:rsidP="00B565F1">
      <w:pPr>
        <w:spacing w:after="0"/>
        <w:rPr>
          <w:rFonts w:ascii="Times New Roman" w:hAnsi="Times New Roman"/>
          <w:sz w:val="24"/>
          <w:szCs w:val="24"/>
        </w:rPr>
      </w:pPr>
      <w:r w:rsidRPr="00B565F1">
        <w:rPr>
          <w:rFonts w:ascii="Times New Roman" w:hAnsi="Times New Roman"/>
          <w:sz w:val="24"/>
          <w:szCs w:val="24"/>
        </w:rPr>
        <w:t xml:space="preserve">The liquidator of Dalnyaya Step and defendants reached a settlement agreement, which was presented for approval to the Supreme Court. The court closely scrutinized the text of the settlement agreement and found some of its provisions suspicious. For instance, the fact that under the proposed settlement, HSBC Guernsey and HSBC Bank agreed to pay an extra EUR 5 million to the insolvency estate was interpreted as having the aim of overcoming </w:t>
      </w:r>
      <w:r w:rsidRPr="00B565F1">
        <w:rPr>
          <w:rFonts w:ascii="Times New Roman" w:hAnsi="Times New Roman"/>
          <w:i/>
          <w:sz w:val="24"/>
          <w:szCs w:val="24"/>
        </w:rPr>
        <w:t>res judicata</w:t>
      </w:r>
      <w:r w:rsidRPr="00B565F1">
        <w:rPr>
          <w:rFonts w:ascii="Times New Roman" w:hAnsi="Times New Roman"/>
          <w:sz w:val="24"/>
          <w:szCs w:val="24"/>
        </w:rPr>
        <w:t xml:space="preserve"> of previous decisions and was held unacceptable.</w:t>
      </w:r>
      <w:r w:rsidRPr="00B565F1">
        <w:rPr>
          <w:rStyle w:val="FootnoteReference"/>
          <w:rFonts w:ascii="Times New Roman" w:hAnsi="Times New Roman"/>
          <w:sz w:val="24"/>
          <w:szCs w:val="24"/>
        </w:rPr>
        <w:footnoteReference w:id="4"/>
      </w:r>
      <w:r>
        <w:rPr>
          <w:rFonts w:ascii="Times New Roman" w:hAnsi="Times New Roman"/>
          <w:sz w:val="24"/>
          <w:szCs w:val="24"/>
        </w:rPr>
        <w:t xml:space="preserve"> According to the court:</w:t>
      </w:r>
    </w:p>
    <w:p w14:paraId="33ADAAB0" w14:textId="77777777" w:rsidR="00B565F1" w:rsidRPr="00B565F1" w:rsidRDefault="00B565F1" w:rsidP="00B565F1">
      <w:pPr>
        <w:spacing w:after="0"/>
        <w:rPr>
          <w:rFonts w:ascii="Times New Roman" w:hAnsi="Times New Roman"/>
          <w:sz w:val="24"/>
          <w:szCs w:val="24"/>
        </w:rPr>
      </w:pPr>
    </w:p>
    <w:p w14:paraId="6349AE36" w14:textId="77777777" w:rsidR="00B565F1" w:rsidRPr="00B565F1" w:rsidRDefault="00B565F1" w:rsidP="00B565F1">
      <w:pPr>
        <w:spacing w:after="0"/>
        <w:ind w:left="720"/>
        <w:rPr>
          <w:rFonts w:ascii="Times New Roman" w:hAnsi="Times New Roman"/>
          <w:sz w:val="20"/>
        </w:rPr>
      </w:pPr>
      <w:r w:rsidRPr="00B565F1">
        <w:rPr>
          <w:rFonts w:ascii="Times New Roman" w:hAnsi="Times New Roman"/>
          <w:sz w:val="20"/>
        </w:rPr>
        <w:t>“Situations in which parties by means of ostensibly legal mechanisms (procedural tricks), manipulate the court in order to realize their doubtful intentions, are unacceptable.”</w:t>
      </w:r>
    </w:p>
    <w:p w14:paraId="66F6FE6B" w14:textId="77777777" w:rsidR="00B565F1" w:rsidRDefault="00B565F1" w:rsidP="00B565F1">
      <w:pPr>
        <w:spacing w:after="0"/>
        <w:rPr>
          <w:rFonts w:ascii="Times New Roman" w:hAnsi="Times New Roman"/>
          <w:sz w:val="24"/>
          <w:szCs w:val="24"/>
        </w:rPr>
      </w:pPr>
    </w:p>
    <w:p w14:paraId="1CAD4129" w14:textId="77777777" w:rsidR="00B565F1" w:rsidRDefault="00B565F1" w:rsidP="00B565F1">
      <w:pPr>
        <w:spacing w:after="0"/>
        <w:rPr>
          <w:rFonts w:ascii="Times New Roman" w:hAnsi="Times New Roman"/>
          <w:sz w:val="24"/>
          <w:szCs w:val="24"/>
        </w:rPr>
      </w:pPr>
      <w:r w:rsidRPr="00B565F1">
        <w:rPr>
          <w:rFonts w:ascii="Times New Roman" w:hAnsi="Times New Roman"/>
          <w:sz w:val="24"/>
          <w:szCs w:val="24"/>
        </w:rPr>
        <w:t xml:space="preserve">It is not entirely clear what were the doubtful intentions of the parties implied by the court. The desire to overcome certain conclusions, reached in the first instances, by way of the </w:t>
      </w:r>
      <w:r w:rsidRPr="00B565F1">
        <w:rPr>
          <w:rFonts w:ascii="Times New Roman" w:hAnsi="Times New Roman"/>
          <w:sz w:val="24"/>
          <w:szCs w:val="24"/>
        </w:rPr>
        <w:lastRenderedPageBreak/>
        <w:t>settlement appears completely legal and as such does not violate any rights of third parties, not involved in the settlement.</w:t>
      </w:r>
    </w:p>
    <w:p w14:paraId="0E059C33" w14:textId="77777777" w:rsidR="00B565F1" w:rsidRPr="00B565F1" w:rsidRDefault="00B565F1" w:rsidP="00B565F1">
      <w:pPr>
        <w:spacing w:after="0"/>
        <w:rPr>
          <w:rFonts w:ascii="Times New Roman" w:hAnsi="Times New Roman"/>
          <w:sz w:val="24"/>
          <w:szCs w:val="24"/>
        </w:rPr>
      </w:pPr>
    </w:p>
    <w:p w14:paraId="3DA978D1" w14:textId="2FC5ED6A" w:rsidR="00B565F1" w:rsidRDefault="00B565F1" w:rsidP="00B565F1">
      <w:pPr>
        <w:spacing w:after="0"/>
        <w:rPr>
          <w:rFonts w:ascii="Times New Roman" w:hAnsi="Times New Roman"/>
          <w:sz w:val="24"/>
          <w:szCs w:val="24"/>
        </w:rPr>
      </w:pPr>
      <w:r w:rsidRPr="00B565F1">
        <w:rPr>
          <w:rFonts w:ascii="Times New Roman" w:hAnsi="Times New Roman"/>
          <w:sz w:val="24"/>
          <w:szCs w:val="24"/>
        </w:rPr>
        <w:t xml:space="preserve">In addition, the court was very critical </w:t>
      </w:r>
      <w:r>
        <w:rPr>
          <w:rFonts w:ascii="Times New Roman" w:hAnsi="Times New Roman"/>
          <w:sz w:val="24"/>
          <w:szCs w:val="24"/>
        </w:rPr>
        <w:t>of</w:t>
      </w:r>
      <w:r w:rsidRPr="00B565F1">
        <w:rPr>
          <w:rFonts w:ascii="Times New Roman" w:hAnsi="Times New Roman"/>
          <w:sz w:val="24"/>
          <w:szCs w:val="24"/>
        </w:rPr>
        <w:t xml:space="preserve"> the provision under which HSBC Guernsey, while signing the settlement agreement, did not accept the jurisdiction of Russian courts for other related disputes. This legal instrument frequently phrased as </w:t>
      </w:r>
      <w:r>
        <w:rPr>
          <w:rFonts w:ascii="Times New Roman" w:hAnsi="Times New Roman"/>
          <w:sz w:val="24"/>
          <w:szCs w:val="24"/>
        </w:rPr>
        <w:t>“</w:t>
      </w:r>
      <w:r w:rsidRPr="00B565F1">
        <w:rPr>
          <w:rFonts w:ascii="Times New Roman" w:hAnsi="Times New Roman"/>
          <w:sz w:val="24"/>
          <w:szCs w:val="24"/>
        </w:rPr>
        <w:t>without prejudice</w:t>
      </w:r>
      <w:r>
        <w:rPr>
          <w:rFonts w:ascii="Times New Roman" w:hAnsi="Times New Roman"/>
          <w:sz w:val="24"/>
          <w:szCs w:val="24"/>
        </w:rPr>
        <w:t>”</w:t>
      </w:r>
      <w:r w:rsidRPr="00B565F1">
        <w:rPr>
          <w:rFonts w:ascii="Times New Roman" w:hAnsi="Times New Roman"/>
          <w:sz w:val="24"/>
          <w:szCs w:val="24"/>
        </w:rPr>
        <w:t xml:space="preserve"> is commonly used in settlement negotiations and aims to safeguard the right of the party to raise jurisdictional objections in the future. As opposed to the interpretation and conclusion of the Supreme Court, this provision could not have limited the jurisdiction of Russian courts in further disputes. As a result, the court did not approve the settlement agreement.</w:t>
      </w:r>
    </w:p>
    <w:p w14:paraId="7CD7B174" w14:textId="77777777" w:rsidR="00B565F1" w:rsidRPr="00B565F1" w:rsidRDefault="00B565F1" w:rsidP="00B565F1">
      <w:pPr>
        <w:spacing w:after="0"/>
        <w:rPr>
          <w:rFonts w:ascii="Times New Roman" w:hAnsi="Times New Roman"/>
          <w:sz w:val="24"/>
          <w:szCs w:val="24"/>
        </w:rPr>
      </w:pPr>
    </w:p>
    <w:p w14:paraId="298CC93C" w14:textId="14E0985C" w:rsidR="00B565F1" w:rsidRPr="007809D8" w:rsidRDefault="00B565F1" w:rsidP="00B565F1">
      <w:pPr>
        <w:pStyle w:val="ListParagraph"/>
        <w:numPr>
          <w:ilvl w:val="0"/>
          <w:numId w:val="35"/>
        </w:numPr>
        <w:spacing w:after="0" w:line="240" w:lineRule="auto"/>
        <w:jc w:val="both"/>
        <w:rPr>
          <w:rFonts w:ascii="Times New Roman" w:hAnsi="Times New Roman" w:cs="Times New Roman"/>
          <w:sz w:val="24"/>
          <w:szCs w:val="24"/>
          <w:u w:val="single"/>
          <w:lang w:val="en-GB"/>
        </w:rPr>
      </w:pPr>
      <w:r w:rsidRPr="007809D8">
        <w:rPr>
          <w:rFonts w:ascii="Times New Roman" w:hAnsi="Times New Roman" w:cs="Times New Roman"/>
          <w:sz w:val="24"/>
          <w:szCs w:val="24"/>
          <w:u w:val="single"/>
          <w:lang w:val="en-GB"/>
        </w:rPr>
        <w:t>Liability of Controlling Parties</w:t>
      </w:r>
    </w:p>
    <w:p w14:paraId="79BFB8B5" w14:textId="77777777" w:rsidR="00B565F1" w:rsidRDefault="00B565F1" w:rsidP="00B565F1">
      <w:pPr>
        <w:spacing w:after="0"/>
        <w:rPr>
          <w:rFonts w:ascii="Times New Roman" w:hAnsi="Times New Roman"/>
          <w:sz w:val="24"/>
          <w:szCs w:val="24"/>
        </w:rPr>
      </w:pPr>
    </w:p>
    <w:p w14:paraId="1910DE70" w14:textId="1AD7A38F" w:rsidR="00B565F1" w:rsidRDefault="00B565F1" w:rsidP="00B565F1">
      <w:pPr>
        <w:spacing w:after="0"/>
        <w:rPr>
          <w:rFonts w:ascii="Times New Roman" w:hAnsi="Times New Roman"/>
          <w:sz w:val="24"/>
          <w:szCs w:val="24"/>
        </w:rPr>
      </w:pPr>
      <w:r w:rsidRPr="00B565F1">
        <w:rPr>
          <w:rFonts w:ascii="Times New Roman" w:hAnsi="Times New Roman"/>
          <w:sz w:val="24"/>
          <w:szCs w:val="24"/>
        </w:rPr>
        <w:t xml:space="preserve">Having refused to sanction the settlement agreement, the Supreme Court needed to decide on the matter of directors’ liability. According to the applicable law as </w:t>
      </w:r>
      <w:r>
        <w:rPr>
          <w:rFonts w:ascii="Times New Roman" w:hAnsi="Times New Roman"/>
          <w:sz w:val="24"/>
          <w:szCs w:val="24"/>
        </w:rPr>
        <w:t>at</w:t>
      </w:r>
      <w:r w:rsidRPr="00B565F1">
        <w:rPr>
          <w:rFonts w:ascii="Times New Roman" w:hAnsi="Times New Roman"/>
          <w:sz w:val="24"/>
          <w:szCs w:val="24"/>
        </w:rPr>
        <w:t xml:space="preserve"> the time the payments were made, if insolvency of a company was caused by its shareholders or other persons, who could give binding instructions or otherwise had an opportunity to direct its actions, such persons can be held liable for the ou</w:t>
      </w:r>
      <w:r>
        <w:rPr>
          <w:rFonts w:ascii="Times New Roman" w:hAnsi="Times New Roman"/>
          <w:sz w:val="24"/>
          <w:szCs w:val="24"/>
        </w:rPr>
        <w:t>tstanding debtor’s obligations</w:t>
      </w:r>
      <w:r w:rsidRPr="00B565F1">
        <w:rPr>
          <w:rFonts w:ascii="Times New Roman" w:hAnsi="Times New Roman"/>
          <w:sz w:val="24"/>
          <w:szCs w:val="24"/>
        </w:rPr>
        <w:t>.</w:t>
      </w:r>
      <w:r>
        <w:rPr>
          <w:rStyle w:val="FootnoteReference"/>
          <w:rFonts w:ascii="Times New Roman" w:hAnsi="Times New Roman"/>
          <w:sz w:val="24"/>
          <w:szCs w:val="24"/>
        </w:rPr>
        <w:footnoteReference w:id="5"/>
      </w:r>
      <w:r w:rsidRPr="00B565F1">
        <w:rPr>
          <w:rFonts w:ascii="Times New Roman" w:hAnsi="Times New Roman"/>
          <w:sz w:val="24"/>
          <w:szCs w:val="24"/>
        </w:rPr>
        <w:t xml:space="preserve"> The crux of the dispute was whether HSBC Guernsey and HSBC Bank could give binding instructions or otherwise define the actions of Dalnyaya Step. The court answered affirmatively. Although the case of Dalnyaya Step is undoubtedly special due to the high political stakes involved (as confirmed by the courts in the UK), the reasoning of the Supreme Court </w:t>
      </w:r>
      <w:r>
        <w:rPr>
          <w:rFonts w:ascii="Times New Roman" w:hAnsi="Times New Roman"/>
          <w:sz w:val="24"/>
          <w:szCs w:val="24"/>
        </w:rPr>
        <w:t>could</w:t>
      </w:r>
      <w:r w:rsidRPr="00B565F1">
        <w:rPr>
          <w:rFonts w:ascii="Times New Roman" w:hAnsi="Times New Roman"/>
          <w:sz w:val="24"/>
          <w:szCs w:val="24"/>
        </w:rPr>
        <w:t xml:space="preserve"> prove instrumental for further cases involving international group structures and intra-group transfer of funds.</w:t>
      </w:r>
    </w:p>
    <w:p w14:paraId="0741B0EE" w14:textId="77777777" w:rsidR="00B565F1" w:rsidRPr="00B565F1" w:rsidRDefault="00B565F1" w:rsidP="00B565F1">
      <w:pPr>
        <w:spacing w:after="0"/>
        <w:rPr>
          <w:rFonts w:ascii="Times New Roman" w:hAnsi="Times New Roman"/>
          <w:sz w:val="24"/>
          <w:szCs w:val="24"/>
        </w:rPr>
      </w:pPr>
    </w:p>
    <w:p w14:paraId="373227C9" w14:textId="77777777" w:rsidR="00B565F1" w:rsidRDefault="00B565F1" w:rsidP="00B565F1">
      <w:pPr>
        <w:spacing w:after="0"/>
        <w:jc w:val="center"/>
        <w:rPr>
          <w:rFonts w:ascii="Times New Roman" w:hAnsi="Times New Roman"/>
          <w:b/>
          <w:sz w:val="24"/>
          <w:szCs w:val="24"/>
        </w:rPr>
      </w:pPr>
      <w:r w:rsidRPr="00B565F1">
        <w:rPr>
          <w:rFonts w:ascii="Times New Roman" w:hAnsi="Times New Roman"/>
          <w:b/>
          <w:sz w:val="24"/>
          <w:szCs w:val="24"/>
        </w:rPr>
        <w:t>Relations between parties involved</w:t>
      </w:r>
    </w:p>
    <w:p w14:paraId="7E2D5414" w14:textId="77777777" w:rsidR="00B565F1" w:rsidRPr="00B565F1" w:rsidRDefault="00B565F1" w:rsidP="00B565F1">
      <w:pPr>
        <w:spacing w:after="0"/>
        <w:jc w:val="center"/>
        <w:rPr>
          <w:rFonts w:ascii="Times New Roman" w:hAnsi="Times New Roman"/>
          <w:b/>
          <w:sz w:val="24"/>
          <w:szCs w:val="24"/>
          <w:lang w:val="ru-RU"/>
        </w:rPr>
      </w:pPr>
    </w:p>
    <w:p w14:paraId="1A2D0D3C" w14:textId="77777777" w:rsidR="00B565F1" w:rsidRPr="00B565F1" w:rsidRDefault="00B565F1" w:rsidP="00B565F1">
      <w:pPr>
        <w:spacing w:after="0"/>
        <w:jc w:val="center"/>
        <w:rPr>
          <w:rFonts w:ascii="Times New Roman" w:hAnsi="Times New Roman"/>
          <w:sz w:val="24"/>
          <w:szCs w:val="24"/>
        </w:rPr>
      </w:pPr>
      <w:r w:rsidRPr="00B565F1">
        <w:rPr>
          <w:rFonts w:ascii="Times New Roman" w:hAnsi="Times New Roman"/>
          <w:noProof/>
          <w:sz w:val="24"/>
          <w:szCs w:val="24"/>
        </w:rPr>
        <w:drawing>
          <wp:inline distT="0" distB="0" distL="0" distR="0" wp14:anchorId="423DD437" wp14:editId="59032855">
            <wp:extent cx="5343276" cy="29291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9720" cy="2932714"/>
                    </a:xfrm>
                    <a:prstGeom prst="rect">
                      <a:avLst/>
                    </a:prstGeom>
                    <a:noFill/>
                  </pic:spPr>
                </pic:pic>
              </a:graphicData>
            </a:graphic>
          </wp:inline>
        </w:drawing>
      </w:r>
    </w:p>
    <w:p w14:paraId="5DAA6BC1" w14:textId="77777777" w:rsidR="00B565F1" w:rsidRDefault="00B565F1" w:rsidP="00B565F1">
      <w:pPr>
        <w:spacing w:after="0"/>
        <w:rPr>
          <w:rFonts w:ascii="Times New Roman" w:hAnsi="Times New Roman"/>
          <w:sz w:val="24"/>
          <w:szCs w:val="24"/>
        </w:rPr>
      </w:pPr>
    </w:p>
    <w:p w14:paraId="4D6167A6" w14:textId="77777777" w:rsidR="00B565F1" w:rsidRDefault="00B565F1" w:rsidP="00B565F1">
      <w:pPr>
        <w:spacing w:after="0"/>
        <w:rPr>
          <w:rFonts w:ascii="Times New Roman" w:hAnsi="Times New Roman"/>
          <w:sz w:val="24"/>
          <w:szCs w:val="24"/>
        </w:rPr>
      </w:pPr>
      <w:r w:rsidRPr="00B565F1">
        <w:rPr>
          <w:rFonts w:ascii="Times New Roman" w:hAnsi="Times New Roman"/>
          <w:sz w:val="24"/>
          <w:szCs w:val="24"/>
        </w:rPr>
        <w:t>With respect to HSBC Guernsey, the court carried out the following deductive exercise:</w:t>
      </w:r>
    </w:p>
    <w:p w14:paraId="6DF4BDE7" w14:textId="77777777" w:rsidR="00B565F1" w:rsidRPr="00B565F1" w:rsidRDefault="00B565F1" w:rsidP="00B565F1">
      <w:pPr>
        <w:spacing w:after="0"/>
        <w:rPr>
          <w:rFonts w:ascii="Times New Roman" w:hAnsi="Times New Roman"/>
          <w:sz w:val="24"/>
          <w:szCs w:val="24"/>
        </w:rPr>
      </w:pPr>
    </w:p>
    <w:p w14:paraId="2CD235A1" w14:textId="31F8670D" w:rsidR="00B565F1" w:rsidRPr="00B565F1" w:rsidRDefault="00B565F1" w:rsidP="00B565F1">
      <w:pPr>
        <w:pStyle w:val="ListParagraph"/>
        <w:numPr>
          <w:ilvl w:val="0"/>
          <w:numId w:val="31"/>
        </w:numPr>
        <w:spacing w:after="0" w:line="240" w:lineRule="auto"/>
        <w:jc w:val="both"/>
        <w:rPr>
          <w:rFonts w:ascii="Times New Roman" w:hAnsi="Times New Roman" w:cs="Times New Roman"/>
          <w:sz w:val="24"/>
          <w:szCs w:val="24"/>
          <w:lang w:val="en-GB"/>
        </w:rPr>
      </w:pPr>
      <w:r w:rsidRPr="00B565F1">
        <w:rPr>
          <w:rFonts w:ascii="Times New Roman" w:hAnsi="Times New Roman" w:cs="Times New Roman"/>
          <w:sz w:val="24"/>
          <w:szCs w:val="24"/>
          <w:lang w:val="en-GB"/>
        </w:rPr>
        <w:t xml:space="preserve">HSBC Guernsey conducted </w:t>
      </w:r>
      <w:r>
        <w:rPr>
          <w:rFonts w:ascii="Times New Roman" w:hAnsi="Times New Roman" w:cs="Times New Roman"/>
          <w:sz w:val="24"/>
          <w:szCs w:val="24"/>
          <w:lang w:val="en-GB"/>
        </w:rPr>
        <w:t xml:space="preserve">the </w:t>
      </w:r>
      <w:r w:rsidRPr="00B565F1">
        <w:rPr>
          <w:rFonts w:ascii="Times New Roman" w:hAnsi="Times New Roman" w:cs="Times New Roman"/>
          <w:sz w:val="24"/>
          <w:szCs w:val="24"/>
          <w:lang w:val="en-GB"/>
        </w:rPr>
        <w:t xml:space="preserve">management of Hermitage, which owned the debtor through several subsidiaries. Thus, “the company [HSBC Guernsey] controlled the </w:t>
      </w:r>
      <w:r w:rsidRPr="00B565F1">
        <w:rPr>
          <w:rFonts w:ascii="Times New Roman" w:hAnsi="Times New Roman" w:cs="Times New Roman"/>
          <w:sz w:val="24"/>
          <w:szCs w:val="24"/>
          <w:lang w:val="en-GB"/>
        </w:rPr>
        <w:lastRenderedPageBreak/>
        <w:t xml:space="preserve">debtor by controlling intermediaries in the hierarchy of a complex corporate structure.” The court did not look at how the management over Dalnyaya Step was actually exercised at the level of </w:t>
      </w:r>
      <w:r>
        <w:rPr>
          <w:rFonts w:ascii="Times New Roman" w:hAnsi="Times New Roman" w:cs="Times New Roman"/>
          <w:sz w:val="24"/>
          <w:szCs w:val="24"/>
          <w:lang w:val="en-GB"/>
        </w:rPr>
        <w:t>“</w:t>
      </w:r>
      <w:r w:rsidRPr="00B565F1">
        <w:rPr>
          <w:rFonts w:ascii="Times New Roman" w:hAnsi="Times New Roman" w:cs="Times New Roman"/>
          <w:sz w:val="24"/>
          <w:szCs w:val="24"/>
          <w:lang w:val="en-GB"/>
        </w:rPr>
        <w:t>controlling</w:t>
      </w:r>
      <w:r>
        <w:rPr>
          <w:rFonts w:ascii="Times New Roman" w:hAnsi="Times New Roman" w:cs="Times New Roman"/>
          <w:sz w:val="24"/>
          <w:szCs w:val="24"/>
          <w:lang w:val="en-GB"/>
        </w:rPr>
        <w:t>”</w:t>
      </w:r>
      <w:r w:rsidRPr="00B565F1">
        <w:rPr>
          <w:rFonts w:ascii="Times New Roman" w:hAnsi="Times New Roman" w:cs="Times New Roman"/>
          <w:sz w:val="24"/>
          <w:szCs w:val="24"/>
          <w:lang w:val="en-GB"/>
        </w:rPr>
        <w:t xml:space="preserve"> entities in Guernsey.</w:t>
      </w:r>
    </w:p>
    <w:p w14:paraId="176031AA" w14:textId="77777777" w:rsidR="00B565F1" w:rsidRPr="00B565F1" w:rsidRDefault="00B565F1" w:rsidP="00B565F1">
      <w:pPr>
        <w:pStyle w:val="ListParagraph"/>
        <w:numPr>
          <w:ilvl w:val="0"/>
          <w:numId w:val="31"/>
        </w:numPr>
        <w:spacing w:after="0" w:line="240" w:lineRule="auto"/>
        <w:jc w:val="both"/>
        <w:rPr>
          <w:rFonts w:ascii="Times New Roman" w:hAnsi="Times New Roman" w:cs="Times New Roman"/>
          <w:sz w:val="24"/>
          <w:szCs w:val="24"/>
          <w:lang w:val="en-GB"/>
        </w:rPr>
      </w:pPr>
      <w:r w:rsidRPr="00B565F1">
        <w:rPr>
          <w:rFonts w:ascii="Times New Roman" w:hAnsi="Times New Roman" w:cs="Times New Roman"/>
          <w:sz w:val="24"/>
          <w:szCs w:val="24"/>
          <w:lang w:val="en-GB"/>
        </w:rPr>
        <w:t>HSBC Guernsey failed to produce convincing evidence refuting the argument of its control over the debtor. Besides, the fact of such control was previously established in the judgment convicting the former liquidator of Dalnyaya Step of insolvency fraud.</w:t>
      </w:r>
    </w:p>
    <w:p w14:paraId="605E07DE" w14:textId="440E2DFF" w:rsidR="00B565F1" w:rsidRPr="00B565F1" w:rsidRDefault="00B565F1" w:rsidP="00B565F1">
      <w:pPr>
        <w:pStyle w:val="ListParagraph"/>
        <w:numPr>
          <w:ilvl w:val="0"/>
          <w:numId w:val="31"/>
        </w:numPr>
        <w:spacing w:after="0" w:line="240" w:lineRule="auto"/>
        <w:jc w:val="both"/>
        <w:rPr>
          <w:rFonts w:ascii="Times New Roman" w:hAnsi="Times New Roman" w:cs="Times New Roman"/>
          <w:sz w:val="24"/>
          <w:szCs w:val="24"/>
          <w:lang w:val="en-GB"/>
        </w:rPr>
      </w:pPr>
      <w:r w:rsidRPr="00B565F1">
        <w:rPr>
          <w:rFonts w:ascii="Times New Roman" w:hAnsi="Times New Roman" w:cs="Times New Roman"/>
          <w:sz w:val="24"/>
          <w:szCs w:val="24"/>
          <w:lang w:val="en-GB"/>
        </w:rPr>
        <w:t xml:space="preserve">HSBC Guernsey was one of the beneficiaries of </w:t>
      </w:r>
      <w:r>
        <w:rPr>
          <w:rFonts w:ascii="Times New Roman" w:hAnsi="Times New Roman" w:cs="Times New Roman"/>
          <w:sz w:val="24"/>
          <w:szCs w:val="24"/>
          <w:lang w:val="en-GB"/>
        </w:rPr>
        <w:t>the asset-</w:t>
      </w:r>
      <w:r w:rsidRPr="00B565F1">
        <w:rPr>
          <w:rFonts w:ascii="Times New Roman" w:hAnsi="Times New Roman" w:cs="Times New Roman"/>
          <w:sz w:val="24"/>
          <w:szCs w:val="24"/>
          <w:lang w:val="en-GB"/>
        </w:rPr>
        <w:t>stripping, since</w:t>
      </w:r>
      <w:r>
        <w:rPr>
          <w:rFonts w:ascii="Times New Roman" w:hAnsi="Times New Roman" w:cs="Times New Roman"/>
          <w:sz w:val="24"/>
          <w:szCs w:val="24"/>
          <w:lang w:val="en-GB"/>
        </w:rPr>
        <w:t>,</w:t>
      </w:r>
      <w:r w:rsidRPr="00B565F1">
        <w:rPr>
          <w:rFonts w:ascii="Times New Roman" w:hAnsi="Times New Roman" w:cs="Times New Roman"/>
          <w:sz w:val="24"/>
          <w:szCs w:val="24"/>
          <w:lang w:val="en-GB"/>
        </w:rPr>
        <w:t xml:space="preserve"> as a result of money transfer from </w:t>
      </w:r>
      <w:r>
        <w:rPr>
          <w:rFonts w:ascii="Times New Roman" w:hAnsi="Times New Roman" w:cs="Times New Roman"/>
          <w:sz w:val="24"/>
          <w:szCs w:val="24"/>
          <w:lang w:val="en-GB"/>
        </w:rPr>
        <w:t>“</w:t>
      </w:r>
      <w:r w:rsidRPr="00B565F1">
        <w:rPr>
          <w:rFonts w:ascii="Times New Roman" w:hAnsi="Times New Roman" w:cs="Times New Roman"/>
          <w:sz w:val="24"/>
          <w:szCs w:val="24"/>
          <w:lang w:val="en-GB"/>
        </w:rPr>
        <w:t>bad</w:t>
      </w:r>
      <w:r>
        <w:rPr>
          <w:rFonts w:ascii="Times New Roman" w:hAnsi="Times New Roman" w:cs="Times New Roman"/>
          <w:sz w:val="24"/>
          <w:szCs w:val="24"/>
          <w:lang w:val="en-GB"/>
        </w:rPr>
        <w:t>”</w:t>
      </w:r>
      <w:r w:rsidRPr="00B565F1">
        <w:rPr>
          <w:rFonts w:ascii="Times New Roman" w:hAnsi="Times New Roman" w:cs="Times New Roman"/>
          <w:sz w:val="24"/>
          <w:szCs w:val="24"/>
          <w:lang w:val="en-GB"/>
        </w:rPr>
        <w:t xml:space="preserve"> (orphan) entity to </w:t>
      </w:r>
      <w:r>
        <w:rPr>
          <w:rFonts w:ascii="Times New Roman" w:hAnsi="Times New Roman" w:cs="Times New Roman"/>
          <w:sz w:val="24"/>
          <w:szCs w:val="24"/>
          <w:lang w:val="en-GB"/>
        </w:rPr>
        <w:t>“</w:t>
      </w:r>
      <w:r w:rsidRPr="00B565F1">
        <w:rPr>
          <w:rFonts w:ascii="Times New Roman" w:hAnsi="Times New Roman" w:cs="Times New Roman"/>
          <w:sz w:val="24"/>
          <w:szCs w:val="24"/>
          <w:lang w:val="en-GB"/>
        </w:rPr>
        <w:t>good</w:t>
      </w:r>
      <w:r>
        <w:rPr>
          <w:rFonts w:ascii="Times New Roman" w:hAnsi="Times New Roman" w:cs="Times New Roman"/>
          <w:sz w:val="24"/>
          <w:szCs w:val="24"/>
          <w:lang w:val="en-GB"/>
        </w:rPr>
        <w:t>”</w:t>
      </w:r>
      <w:r w:rsidRPr="00B565F1">
        <w:rPr>
          <w:rFonts w:ascii="Times New Roman" w:hAnsi="Times New Roman" w:cs="Times New Roman"/>
          <w:sz w:val="24"/>
          <w:szCs w:val="24"/>
          <w:lang w:val="en-GB"/>
        </w:rPr>
        <w:t xml:space="preserve"> entities within the Hermitage corporate group, the group as a whole profited.</w:t>
      </w:r>
    </w:p>
    <w:p w14:paraId="21963BC3" w14:textId="77777777" w:rsidR="00B565F1" w:rsidRDefault="00B565F1" w:rsidP="00B565F1">
      <w:pPr>
        <w:spacing w:after="0"/>
        <w:rPr>
          <w:rFonts w:ascii="Times New Roman" w:hAnsi="Times New Roman"/>
          <w:sz w:val="24"/>
          <w:szCs w:val="24"/>
        </w:rPr>
      </w:pPr>
    </w:p>
    <w:p w14:paraId="1260C9EF" w14:textId="77777777" w:rsidR="00B565F1" w:rsidRDefault="00B565F1" w:rsidP="00B565F1">
      <w:pPr>
        <w:spacing w:after="0"/>
        <w:rPr>
          <w:rFonts w:ascii="Times New Roman" w:hAnsi="Times New Roman"/>
          <w:sz w:val="24"/>
          <w:szCs w:val="24"/>
        </w:rPr>
      </w:pPr>
      <w:r w:rsidRPr="00B565F1">
        <w:rPr>
          <w:rFonts w:ascii="Times New Roman" w:hAnsi="Times New Roman"/>
          <w:sz w:val="24"/>
          <w:szCs w:val="24"/>
        </w:rPr>
        <w:t>Thus, the control over the debtor by HSBC Guernsey was established through the aggregation of corporate ownership and other relevant factors. The situation over HSBC Bank, however, was much more complicated, as the bank was not a part of the Hermitage corporate group and did directly benefit from the intra-group transfers of funds. Still, the Supreme Court recognized HSBC Bank as the debtor’s controlling person on the basis of the following:</w:t>
      </w:r>
    </w:p>
    <w:p w14:paraId="679E49D6" w14:textId="77777777" w:rsidR="007809D8" w:rsidRPr="00B565F1" w:rsidRDefault="007809D8" w:rsidP="00B565F1">
      <w:pPr>
        <w:spacing w:after="0"/>
        <w:rPr>
          <w:rFonts w:ascii="Times New Roman" w:hAnsi="Times New Roman"/>
          <w:sz w:val="24"/>
          <w:szCs w:val="24"/>
        </w:rPr>
      </w:pPr>
    </w:p>
    <w:p w14:paraId="262F9A16" w14:textId="77777777" w:rsidR="00B565F1" w:rsidRPr="00B565F1" w:rsidRDefault="00B565F1" w:rsidP="00B565F1">
      <w:pPr>
        <w:pStyle w:val="ListParagraph"/>
        <w:numPr>
          <w:ilvl w:val="0"/>
          <w:numId w:val="34"/>
        </w:numPr>
        <w:spacing w:after="0" w:line="240" w:lineRule="auto"/>
        <w:jc w:val="both"/>
        <w:rPr>
          <w:rFonts w:ascii="Times New Roman" w:hAnsi="Times New Roman" w:cs="Times New Roman"/>
          <w:sz w:val="24"/>
          <w:szCs w:val="24"/>
          <w:lang w:val="en-GB"/>
        </w:rPr>
      </w:pPr>
      <w:r w:rsidRPr="00B565F1">
        <w:rPr>
          <w:rFonts w:ascii="Times New Roman" w:hAnsi="Times New Roman" w:cs="Times New Roman"/>
          <w:sz w:val="24"/>
          <w:szCs w:val="24"/>
          <w:lang w:val="en-GB"/>
        </w:rPr>
        <w:t>HSBC Bank and HSBC Guernsey were part of the same HSBC group. Because of this, all subsidiaries of Hermitage in Russia were required to use the bank’s services. This was sufficient to hold HSBC Bank to be affiliated with HSBC Guernsey.</w:t>
      </w:r>
    </w:p>
    <w:p w14:paraId="0B3703AE" w14:textId="77777777" w:rsidR="00B565F1" w:rsidRPr="00B565F1" w:rsidRDefault="00B565F1" w:rsidP="00B565F1">
      <w:pPr>
        <w:pStyle w:val="ListParagraph"/>
        <w:numPr>
          <w:ilvl w:val="0"/>
          <w:numId w:val="34"/>
        </w:numPr>
        <w:spacing w:after="0" w:line="240" w:lineRule="auto"/>
        <w:jc w:val="both"/>
        <w:rPr>
          <w:rFonts w:ascii="Times New Roman" w:hAnsi="Times New Roman" w:cs="Times New Roman"/>
          <w:sz w:val="24"/>
          <w:szCs w:val="24"/>
          <w:lang w:val="en-GB"/>
        </w:rPr>
      </w:pPr>
      <w:r w:rsidRPr="00B565F1">
        <w:rPr>
          <w:rFonts w:ascii="Times New Roman" w:hAnsi="Times New Roman" w:cs="Times New Roman"/>
          <w:sz w:val="24"/>
          <w:szCs w:val="24"/>
          <w:lang w:val="en-GB"/>
        </w:rPr>
        <w:t>The applications for transfer of funds from the debtor’s accounts were either not signed or did not have a seal of Dalnyaya Step. This, according to the court, indicated that HSBC Bank acted on behalf of HSBC Guernsey as the “initiator of the controversial operations”. To the bank’s objections, the court replied: “It is extremely unlikely and unrealistic that the bank could grossly violate the provisions of civil legislation […] and banking rules and perform 14 expense transactions by accident. It is even more improbable that as a result of the accidental withdrawal of funds without the order, such funds could accidentally end up in the accounts of corporate entities […] in the same bank.”</w:t>
      </w:r>
    </w:p>
    <w:p w14:paraId="3E838B1B" w14:textId="77777777" w:rsidR="007809D8" w:rsidRDefault="007809D8" w:rsidP="00B565F1">
      <w:pPr>
        <w:spacing w:after="0"/>
        <w:rPr>
          <w:rFonts w:ascii="Times New Roman" w:hAnsi="Times New Roman"/>
          <w:sz w:val="24"/>
          <w:szCs w:val="24"/>
        </w:rPr>
      </w:pPr>
    </w:p>
    <w:p w14:paraId="5894DAD7" w14:textId="5AAF6028" w:rsidR="00B565F1" w:rsidRPr="00B565F1" w:rsidRDefault="00B565F1" w:rsidP="00B565F1">
      <w:pPr>
        <w:spacing w:after="0"/>
        <w:rPr>
          <w:rFonts w:ascii="Times New Roman" w:hAnsi="Times New Roman"/>
          <w:sz w:val="24"/>
          <w:szCs w:val="24"/>
        </w:rPr>
      </w:pPr>
      <w:r w:rsidRPr="00B565F1">
        <w:rPr>
          <w:rFonts w:ascii="Times New Roman" w:hAnsi="Times New Roman"/>
          <w:sz w:val="24"/>
          <w:szCs w:val="24"/>
        </w:rPr>
        <w:t xml:space="preserve">This reasoning is puzzling. It is based on assumptions and guesses, with no clear evidence of HSBC Bank’s involvement in the control or direction of Dalnyaya Step. Can </w:t>
      </w:r>
      <w:r w:rsidR="007809D8">
        <w:rPr>
          <w:rFonts w:ascii="Times New Roman" w:hAnsi="Times New Roman"/>
          <w:sz w:val="24"/>
          <w:szCs w:val="24"/>
        </w:rPr>
        <w:t xml:space="preserve">simply </w:t>
      </w:r>
      <w:r w:rsidRPr="00B565F1">
        <w:rPr>
          <w:rFonts w:ascii="Times New Roman" w:hAnsi="Times New Roman"/>
          <w:sz w:val="24"/>
          <w:szCs w:val="24"/>
        </w:rPr>
        <w:t>belonging to the same group of companies and alleged violation of banking rules create control? In the absence of convincing evidence, the answer should be a clear ‘No’. This is particularly so in light of the extraordinary nature of directors’ liability in insolvency, which should remain an exception rather than a rule.</w:t>
      </w:r>
      <w:r w:rsidRPr="00B565F1">
        <w:rPr>
          <w:rStyle w:val="FootnoteReference"/>
          <w:rFonts w:ascii="Times New Roman" w:hAnsi="Times New Roman"/>
          <w:sz w:val="24"/>
          <w:szCs w:val="24"/>
        </w:rPr>
        <w:footnoteReference w:id="6"/>
      </w:r>
    </w:p>
    <w:p w14:paraId="577C6805" w14:textId="77777777" w:rsidR="007809D8" w:rsidRDefault="007809D8" w:rsidP="00B565F1">
      <w:pPr>
        <w:spacing w:after="0"/>
        <w:rPr>
          <w:rFonts w:ascii="Times New Roman" w:hAnsi="Times New Roman"/>
          <w:sz w:val="24"/>
          <w:szCs w:val="24"/>
        </w:rPr>
      </w:pPr>
    </w:p>
    <w:p w14:paraId="1508BE4B" w14:textId="04F50E91" w:rsidR="007809D8" w:rsidRDefault="007809D8" w:rsidP="00B565F1">
      <w:pPr>
        <w:spacing w:after="0"/>
        <w:rPr>
          <w:rFonts w:ascii="Times New Roman" w:hAnsi="Times New Roman"/>
          <w:sz w:val="24"/>
          <w:szCs w:val="24"/>
        </w:rPr>
      </w:pPr>
      <w:r>
        <w:rPr>
          <w:rFonts w:ascii="Times New Roman" w:hAnsi="Times New Roman"/>
          <w:i/>
          <w:sz w:val="24"/>
          <w:szCs w:val="24"/>
        </w:rPr>
        <w:t>Su</w:t>
      </w:r>
      <w:r w:rsidRPr="007809D8">
        <w:rPr>
          <w:rFonts w:ascii="Times New Roman" w:hAnsi="Times New Roman"/>
          <w:i/>
          <w:sz w:val="24"/>
          <w:szCs w:val="24"/>
        </w:rPr>
        <w:t>mmary</w:t>
      </w:r>
    </w:p>
    <w:p w14:paraId="0B78FBF8" w14:textId="77777777" w:rsidR="007809D8" w:rsidRDefault="007809D8" w:rsidP="00B565F1">
      <w:pPr>
        <w:spacing w:after="0"/>
        <w:rPr>
          <w:rFonts w:ascii="Times New Roman" w:hAnsi="Times New Roman"/>
          <w:sz w:val="24"/>
          <w:szCs w:val="24"/>
        </w:rPr>
      </w:pPr>
    </w:p>
    <w:p w14:paraId="619C3F86" w14:textId="77777777" w:rsidR="00B565F1" w:rsidRPr="00B565F1" w:rsidRDefault="00B565F1" w:rsidP="00B565F1">
      <w:pPr>
        <w:spacing w:after="0"/>
        <w:rPr>
          <w:rFonts w:ascii="Times New Roman" w:hAnsi="Times New Roman"/>
          <w:sz w:val="24"/>
          <w:szCs w:val="24"/>
        </w:rPr>
      </w:pPr>
      <w:r w:rsidRPr="00B565F1">
        <w:rPr>
          <w:rFonts w:ascii="Times New Roman" w:hAnsi="Times New Roman"/>
          <w:sz w:val="24"/>
          <w:szCs w:val="24"/>
        </w:rPr>
        <w:t>Recent data shows an ever-growing number of claims filed against (former) directors and other controlling persons in insolvency proceedings opened in Russia. Roughly every third insolvency proceeding involves claims against controlling persons. More than 20% of such claims are successful.</w:t>
      </w:r>
      <w:r w:rsidRPr="00B565F1">
        <w:rPr>
          <w:rStyle w:val="FootnoteReference"/>
          <w:rFonts w:ascii="Times New Roman" w:hAnsi="Times New Roman"/>
          <w:sz w:val="24"/>
          <w:szCs w:val="24"/>
        </w:rPr>
        <w:footnoteReference w:id="7"/>
      </w:r>
      <w:r w:rsidRPr="00B565F1">
        <w:rPr>
          <w:rFonts w:ascii="Times New Roman" w:hAnsi="Times New Roman"/>
          <w:sz w:val="24"/>
          <w:szCs w:val="24"/>
        </w:rPr>
        <w:t xml:space="preserve"> The rules on ‘controlling persons’ and directors’ liability in insolvency </w:t>
      </w:r>
      <w:r w:rsidRPr="00B565F1">
        <w:rPr>
          <w:rFonts w:ascii="Times New Roman" w:hAnsi="Times New Roman"/>
          <w:sz w:val="24"/>
          <w:szCs w:val="24"/>
        </w:rPr>
        <w:lastRenderedPageBreak/>
        <w:t>are constantly evolving, both through case law and legislative reforms in this area.</w:t>
      </w:r>
      <w:r w:rsidRPr="00B565F1">
        <w:rPr>
          <w:rStyle w:val="FootnoteReference"/>
          <w:rFonts w:ascii="Times New Roman" w:hAnsi="Times New Roman"/>
          <w:sz w:val="24"/>
          <w:szCs w:val="24"/>
        </w:rPr>
        <w:footnoteReference w:id="8"/>
      </w:r>
      <w:r w:rsidRPr="00B565F1">
        <w:rPr>
          <w:rFonts w:ascii="Times New Roman" w:hAnsi="Times New Roman"/>
          <w:sz w:val="24"/>
          <w:szCs w:val="24"/>
        </w:rPr>
        <w:t xml:space="preserve"> This is why, when dealing with Russian companies, the insolvency-related risks should never be underestimated.</w:t>
      </w:r>
    </w:p>
    <w:p w14:paraId="6EBDDED6" w14:textId="63F378BD" w:rsidR="00876BCD" w:rsidRPr="00B565F1" w:rsidRDefault="00876BCD" w:rsidP="00B565F1">
      <w:pPr>
        <w:spacing w:after="0"/>
        <w:rPr>
          <w:rFonts w:ascii="Times New Roman" w:hAnsi="Times New Roman"/>
          <w:sz w:val="24"/>
          <w:szCs w:val="24"/>
        </w:rPr>
      </w:pPr>
    </w:p>
    <w:sectPr w:rsidR="00876BCD" w:rsidRPr="00B565F1" w:rsidSect="00086E49">
      <w:headerReference w:type="default" r:id="rId10"/>
      <w:footerReference w:type="default" r:id="rId11"/>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E7C61" w14:textId="77777777" w:rsidR="00A53AD6" w:rsidRDefault="00A53AD6">
      <w:r>
        <w:separator/>
      </w:r>
    </w:p>
  </w:endnote>
  <w:endnote w:type="continuationSeparator" w:id="0">
    <w:p w14:paraId="61364B40" w14:textId="77777777" w:rsidR="00A53AD6" w:rsidRDefault="00A5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New Roman Bold">
    <w:charset w:val="00"/>
    <w:family w:val="auto"/>
    <w:pitch w:val="variable"/>
    <w:sig w:usb0="E0002AF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Batang">
    <w:panose1 w:val="02030600000101010101"/>
    <w:charset w:val="81"/>
    <w:family w:val="auto"/>
    <w:pitch w:val="variable"/>
    <w:sig w:usb0="B00002AF" w:usb1="69D77CFB" w:usb2="00000030" w:usb3="00000000" w:csb0="0008009F" w:csb1="00000000"/>
  </w:font>
  <w:font w:name="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0F978" w14:textId="77777777" w:rsidR="00A53AD6" w:rsidRDefault="00A53AD6">
      <w:r>
        <w:separator/>
      </w:r>
    </w:p>
  </w:footnote>
  <w:footnote w:type="continuationSeparator" w:id="0">
    <w:p w14:paraId="3555CA28" w14:textId="77777777" w:rsidR="00A53AD6" w:rsidRDefault="00A53AD6">
      <w:r>
        <w:continuationSeparator/>
      </w:r>
    </w:p>
  </w:footnote>
  <w:footnote w:id="1">
    <w:p w14:paraId="692F235C" w14:textId="79927F86" w:rsidR="00B565F1" w:rsidRPr="00B565F1" w:rsidRDefault="00B565F1" w:rsidP="00B565F1">
      <w:pPr>
        <w:pStyle w:val="FootnoteText"/>
        <w:rPr>
          <w:rFonts w:ascii="Times New Roman" w:hAnsi="Times New Roman"/>
        </w:rPr>
      </w:pPr>
      <w:r w:rsidRPr="00B565F1">
        <w:rPr>
          <w:rStyle w:val="FootnoteReference"/>
          <w:rFonts w:ascii="Times New Roman" w:hAnsi="Times New Roman"/>
        </w:rPr>
        <w:footnoteRef/>
      </w:r>
      <w:r w:rsidRPr="00B565F1">
        <w:rPr>
          <w:rFonts w:ascii="Times New Roman" w:hAnsi="Times New Roman"/>
          <w:lang w:val="en-US"/>
        </w:rPr>
        <w:t xml:space="preserve"> </w:t>
      </w:r>
      <w:r w:rsidRPr="00B565F1">
        <w:rPr>
          <w:rFonts w:ascii="Times New Roman" w:hAnsi="Times New Roman"/>
        </w:rPr>
        <w:t xml:space="preserve">For more on this, see Sorin Dolea, </w:t>
      </w:r>
      <w:r w:rsidRPr="00B565F1">
        <w:rPr>
          <w:rFonts w:ascii="Times New Roman" w:hAnsi="Times New Roman"/>
          <w:i/>
        </w:rPr>
        <w:t>London High Court fails to recognize Russian insolvency proceedings</w:t>
      </w:r>
      <w:r w:rsidRPr="00B565F1">
        <w:rPr>
          <w:rFonts w:ascii="Times New Roman" w:hAnsi="Times New Roman"/>
        </w:rPr>
        <w:t xml:space="preserve"> (CIS Arbitration Forum, 23 February 2018).</w:t>
      </w:r>
    </w:p>
  </w:footnote>
  <w:footnote w:id="2">
    <w:p w14:paraId="6DD72890" w14:textId="1377FAA8" w:rsidR="00B565F1" w:rsidRPr="00B565F1" w:rsidRDefault="00B565F1" w:rsidP="00B565F1">
      <w:pPr>
        <w:pStyle w:val="FootnoteText"/>
        <w:rPr>
          <w:rFonts w:ascii="Times New Roman" w:hAnsi="Times New Roman"/>
        </w:rPr>
      </w:pPr>
      <w:r w:rsidRPr="00B565F1">
        <w:rPr>
          <w:rStyle w:val="FootnoteReference"/>
          <w:rFonts w:ascii="Times New Roman" w:hAnsi="Times New Roman"/>
        </w:rPr>
        <w:footnoteRef/>
      </w:r>
      <w:r w:rsidRPr="00B565F1">
        <w:rPr>
          <w:rFonts w:ascii="Times New Roman" w:hAnsi="Times New Roman"/>
          <w:lang w:val="en-US"/>
        </w:rPr>
        <w:t xml:space="preserve"> </w:t>
      </w:r>
      <w:r w:rsidRPr="00B565F1">
        <w:rPr>
          <w:rFonts w:ascii="Times New Roman" w:hAnsi="Times New Roman"/>
        </w:rPr>
        <w:t>This recognition was set aside by the High Court in December 2017 with the court finding that that the Russian liquidator failed to comply with the duty to provide full and frank disclosure in relation to the consequences for third parties that are not before the court that may flow from the recognition of the foreign proceeding. In the present case</w:t>
      </w:r>
      <w:r w:rsidRPr="00B565F1">
        <w:rPr>
          <w:rFonts w:ascii="Times New Roman" w:hAnsi="Times New Roman"/>
          <w:lang w:val="en-US"/>
        </w:rPr>
        <w:t>,</w:t>
      </w:r>
      <w:r w:rsidRPr="00B565F1">
        <w:rPr>
          <w:rFonts w:ascii="Times New Roman" w:hAnsi="Times New Roman"/>
        </w:rPr>
        <w:t xml:space="preserve"> such consequences concerned Hermitage-affiliated parties, including Mr. Browder (founder and CEO of Hermitage Capital Management Limited), and granting recognition to the insolvency proceedings potentially engaged political issues involving the Russian state. See </w:t>
      </w:r>
      <w:r w:rsidRPr="00B565F1">
        <w:rPr>
          <w:rFonts w:ascii="Times New Roman" w:hAnsi="Times New Roman"/>
          <w:i/>
        </w:rPr>
        <w:t>Re Dalnyaya Step LLC</w:t>
      </w:r>
      <w:r w:rsidRPr="00B565F1">
        <w:rPr>
          <w:rFonts w:ascii="Times New Roman" w:hAnsi="Times New Roman"/>
        </w:rPr>
        <w:t xml:space="preserve"> [2017] EWHC 756 (Ch).</w:t>
      </w:r>
    </w:p>
  </w:footnote>
  <w:footnote w:id="3">
    <w:p w14:paraId="723C01C3" w14:textId="77777777" w:rsidR="00B565F1" w:rsidRPr="00B565F1" w:rsidRDefault="00B565F1" w:rsidP="00B565F1">
      <w:pPr>
        <w:pStyle w:val="FootnoteText"/>
        <w:rPr>
          <w:rFonts w:ascii="Times New Roman" w:hAnsi="Times New Roman"/>
        </w:rPr>
      </w:pPr>
      <w:r w:rsidRPr="00B565F1">
        <w:rPr>
          <w:rStyle w:val="FootnoteReference"/>
          <w:rFonts w:ascii="Times New Roman" w:hAnsi="Times New Roman"/>
        </w:rPr>
        <w:footnoteRef/>
      </w:r>
      <w:r w:rsidRPr="00B565F1">
        <w:rPr>
          <w:rFonts w:ascii="Times New Roman" w:hAnsi="Times New Roman"/>
          <w:lang w:val="en-US"/>
        </w:rPr>
        <w:t xml:space="preserve"> </w:t>
      </w:r>
      <w:r w:rsidRPr="00B565F1">
        <w:rPr>
          <w:rFonts w:ascii="Times New Roman" w:hAnsi="Times New Roman"/>
        </w:rPr>
        <w:t>Decision of the Supreme Court of the Russian Federation dated 6 August 2018, case No. A22-941/2006.</w:t>
      </w:r>
    </w:p>
  </w:footnote>
  <w:footnote w:id="4">
    <w:p w14:paraId="031C93CC" w14:textId="0B89857A" w:rsidR="00B565F1" w:rsidRPr="00B565F1" w:rsidRDefault="00B565F1" w:rsidP="00B565F1">
      <w:pPr>
        <w:pStyle w:val="FootnoteText"/>
        <w:rPr>
          <w:rFonts w:ascii="Times New Roman" w:hAnsi="Times New Roman"/>
        </w:rPr>
      </w:pPr>
      <w:r w:rsidRPr="00B565F1">
        <w:rPr>
          <w:rStyle w:val="FootnoteReference"/>
          <w:rFonts w:ascii="Times New Roman" w:hAnsi="Times New Roman"/>
        </w:rPr>
        <w:footnoteRef/>
      </w:r>
      <w:r w:rsidRPr="00B565F1">
        <w:rPr>
          <w:rFonts w:ascii="Times New Roman" w:hAnsi="Times New Roman"/>
          <w:lang w:val="en-US"/>
        </w:rPr>
        <w:t xml:space="preserve"> </w:t>
      </w:r>
      <w:r w:rsidRPr="00B565F1">
        <w:rPr>
          <w:rFonts w:ascii="Times New Roman" w:hAnsi="Times New Roman"/>
        </w:rPr>
        <w:t>Most probably, the defendants wanted to cleanse themselves off the stigma attached to “controlling persons”.</w:t>
      </w:r>
    </w:p>
  </w:footnote>
  <w:footnote w:id="5">
    <w:p w14:paraId="2589B1FF" w14:textId="0FBA1471" w:rsidR="00B565F1" w:rsidRPr="00B565F1" w:rsidRDefault="00B565F1" w:rsidP="00B565F1">
      <w:pPr>
        <w:pStyle w:val="FootnoteText"/>
        <w:rPr>
          <w:rFonts w:ascii="Times New Roman" w:hAnsi="Times New Roman"/>
        </w:rPr>
      </w:pPr>
      <w:r w:rsidRPr="00B565F1">
        <w:rPr>
          <w:rStyle w:val="FootnoteReference"/>
          <w:rFonts w:ascii="Times New Roman" w:hAnsi="Times New Roman"/>
        </w:rPr>
        <w:footnoteRef/>
      </w:r>
      <w:r w:rsidRPr="00B565F1">
        <w:rPr>
          <w:rFonts w:ascii="Times New Roman" w:hAnsi="Times New Roman"/>
        </w:rPr>
        <w:t xml:space="preserve"> Article 56(3) Russian Civil Code; Article 10(4) Russian Bankruptcy Act.</w:t>
      </w:r>
    </w:p>
  </w:footnote>
  <w:footnote w:id="6">
    <w:p w14:paraId="7A5EB99F" w14:textId="257829F8" w:rsidR="00B565F1" w:rsidRPr="00B565F1" w:rsidRDefault="00B565F1" w:rsidP="00B565F1">
      <w:pPr>
        <w:pStyle w:val="FootnoteText"/>
        <w:rPr>
          <w:rFonts w:ascii="Times New Roman" w:hAnsi="Times New Roman"/>
        </w:rPr>
      </w:pPr>
      <w:r w:rsidRPr="00B565F1">
        <w:rPr>
          <w:rStyle w:val="FootnoteReference"/>
          <w:rFonts w:ascii="Times New Roman" w:hAnsi="Times New Roman"/>
        </w:rPr>
        <w:footnoteRef/>
      </w:r>
      <w:r w:rsidRPr="00B565F1">
        <w:rPr>
          <w:rFonts w:ascii="Times New Roman" w:hAnsi="Times New Roman"/>
          <w:lang w:val="en-US"/>
        </w:rPr>
        <w:t xml:space="preserve"> </w:t>
      </w:r>
      <w:r w:rsidRPr="00B565F1">
        <w:rPr>
          <w:rFonts w:ascii="Times New Roman" w:hAnsi="Times New Roman"/>
        </w:rPr>
        <w:t>See Resolution of the Plenum of the Supreme Court of the Russian Federation dated 21 December 2017, No.</w:t>
      </w:r>
      <w:r w:rsidR="007809D8">
        <w:rPr>
          <w:rFonts w:ascii="Times New Roman" w:hAnsi="Times New Roman"/>
        </w:rPr>
        <w:t xml:space="preserve"> </w:t>
      </w:r>
      <w:r w:rsidRPr="00B565F1">
        <w:rPr>
          <w:rFonts w:ascii="Times New Roman" w:hAnsi="Times New Roman"/>
        </w:rPr>
        <w:t xml:space="preserve">53 </w:t>
      </w:r>
      <w:r w:rsidR="007809D8">
        <w:rPr>
          <w:rFonts w:ascii="Times New Roman" w:hAnsi="Times New Roman"/>
        </w:rPr>
        <w:t>“</w:t>
      </w:r>
      <w:r w:rsidRPr="00B565F1">
        <w:rPr>
          <w:rFonts w:ascii="Times New Roman" w:hAnsi="Times New Roman"/>
        </w:rPr>
        <w:t>On some aspects related to holding controlling persons liable in insolvency</w:t>
      </w:r>
      <w:r w:rsidR="007809D8">
        <w:rPr>
          <w:rFonts w:ascii="Times New Roman" w:hAnsi="Times New Roman"/>
        </w:rPr>
        <w:t>”.</w:t>
      </w:r>
    </w:p>
  </w:footnote>
  <w:footnote w:id="7">
    <w:p w14:paraId="1F03F1AA" w14:textId="26E1E333" w:rsidR="00B565F1" w:rsidRPr="00B565F1" w:rsidRDefault="00B565F1" w:rsidP="00B565F1">
      <w:pPr>
        <w:pStyle w:val="FootnoteText"/>
        <w:rPr>
          <w:rFonts w:ascii="Times New Roman" w:hAnsi="Times New Roman"/>
        </w:rPr>
      </w:pPr>
      <w:r w:rsidRPr="00B565F1">
        <w:rPr>
          <w:rStyle w:val="FootnoteReference"/>
          <w:rFonts w:ascii="Times New Roman" w:hAnsi="Times New Roman"/>
        </w:rPr>
        <w:footnoteRef/>
      </w:r>
      <w:r w:rsidRPr="00B565F1">
        <w:rPr>
          <w:rFonts w:ascii="Times New Roman" w:hAnsi="Times New Roman"/>
          <w:lang w:val="en-US"/>
        </w:rPr>
        <w:t xml:space="preserve"> </w:t>
      </w:r>
      <w:r w:rsidRPr="00B565F1">
        <w:rPr>
          <w:rFonts w:ascii="Times New Roman" w:hAnsi="Times New Roman"/>
        </w:rPr>
        <w:t>The size and frequency of subsidiary liability in busin</w:t>
      </w:r>
      <w:r w:rsidR="007809D8">
        <w:rPr>
          <w:rFonts w:ascii="Times New Roman" w:hAnsi="Times New Roman"/>
        </w:rPr>
        <w:t>ess insolvency has beaten records</w:t>
      </w:r>
      <w:r w:rsidRPr="00B565F1">
        <w:rPr>
          <w:rFonts w:ascii="Times New Roman" w:hAnsi="Times New Roman"/>
        </w:rPr>
        <w:t xml:space="preserve"> </w:t>
      </w:r>
      <w:r w:rsidR="007809D8">
        <w:rPr>
          <w:rFonts w:ascii="Times New Roman" w:hAnsi="Times New Roman"/>
        </w:rPr>
        <w:t>(</w:t>
      </w:r>
      <w:r w:rsidRPr="00B565F1">
        <w:rPr>
          <w:rFonts w:ascii="Times New Roman" w:hAnsi="Times New Roman"/>
        </w:rPr>
        <w:t>Fedresurs, 19 November 2018</w:t>
      </w:r>
      <w:r w:rsidR="007809D8">
        <w:rPr>
          <w:rFonts w:ascii="Times New Roman" w:hAnsi="Times New Roman"/>
        </w:rPr>
        <w:t>)</w:t>
      </w:r>
      <w:r w:rsidRPr="00B565F1">
        <w:rPr>
          <w:rFonts w:ascii="Times New Roman" w:hAnsi="Times New Roman"/>
        </w:rPr>
        <w:t>.</w:t>
      </w:r>
    </w:p>
  </w:footnote>
  <w:footnote w:id="8">
    <w:p w14:paraId="755ADC8C" w14:textId="021EC1AB" w:rsidR="00B565F1" w:rsidRPr="00B565F1" w:rsidRDefault="00B565F1" w:rsidP="00B565F1">
      <w:pPr>
        <w:pStyle w:val="FootnoteText"/>
        <w:rPr>
          <w:rFonts w:ascii="Times New Roman" w:hAnsi="Times New Roman"/>
        </w:rPr>
      </w:pPr>
      <w:r w:rsidRPr="00B565F1">
        <w:rPr>
          <w:rStyle w:val="FootnoteReference"/>
          <w:rFonts w:ascii="Times New Roman" w:hAnsi="Times New Roman"/>
        </w:rPr>
        <w:footnoteRef/>
      </w:r>
      <w:r w:rsidRPr="00B565F1">
        <w:rPr>
          <w:rFonts w:ascii="Times New Roman" w:hAnsi="Times New Roman"/>
          <w:lang w:val="en-US"/>
        </w:rPr>
        <w:t xml:space="preserve"> </w:t>
      </w:r>
      <w:r w:rsidRPr="00B565F1">
        <w:rPr>
          <w:rFonts w:ascii="Times New Roman" w:hAnsi="Times New Roman"/>
        </w:rPr>
        <w:t xml:space="preserve">Recently, Federal Law No. 266-FZ dated 29 July 2017 added a whole new Chapter III.2 to the Russian Bankruptcy Act titled ‘Liability borne by the debtor's management and other persons in a bankruptcy case’, which consists of </w:t>
      </w:r>
      <w:r w:rsidR="00817A63">
        <w:rPr>
          <w:rFonts w:ascii="Times New Roman" w:hAnsi="Times New Roman"/>
        </w:rPr>
        <w:t>13</w:t>
      </w:r>
      <w:bookmarkStart w:id="8" w:name="_GoBack"/>
      <w:bookmarkEnd w:id="8"/>
      <w:r w:rsidRPr="00B565F1">
        <w:rPr>
          <w:rFonts w:ascii="Times New Roman" w:hAnsi="Times New Roman"/>
        </w:rPr>
        <w:t xml:space="preserve"> articles.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0D0DD" w14:textId="697E6F10" w:rsidR="00BF3D3E" w:rsidRPr="00C2522B" w:rsidRDefault="00BF3D3E" w:rsidP="00C2522B">
    <w:pPr>
      <w:pStyle w:val="Header"/>
      <w:spacing w:after="0"/>
      <w:rPr>
        <w:rFonts w:ascii="Arial" w:hAnsi="Arial" w:cs="Arial"/>
        <w:b/>
      </w:rPr>
    </w:pPr>
    <w:r w:rsidRPr="00C2522B">
      <w:rPr>
        <w:rFonts w:ascii="Arial" w:hAnsi="Arial" w:cs="Arial"/>
        <w:b/>
      </w:rPr>
      <w:t>Inside Story (</w:t>
    </w:r>
    <w:r w:rsidR="00B565F1">
      <w:rPr>
        <w:rFonts w:ascii="Arial" w:hAnsi="Arial" w:cs="Arial"/>
        <w:b/>
      </w:rPr>
      <w:t>December</w:t>
    </w:r>
    <w:r w:rsidR="003666A0">
      <w:rPr>
        <w:rFonts w:ascii="Arial" w:hAnsi="Arial" w:cs="Arial"/>
        <w:b/>
      </w:rPr>
      <w:t xml:space="preserve"> 2018</w:t>
    </w:r>
    <w:r w:rsidRPr="00C2522B">
      <w:rPr>
        <w:rFonts w:ascii="Arial" w:hAnsi="Arial" w:cs="Arial"/>
        <w:b/>
      </w:rPr>
      <w:t>)</w:t>
    </w:r>
  </w:p>
  <w:p w14:paraId="5CB97EE8" w14:textId="3277A562" w:rsidR="00BF3D3E" w:rsidRPr="00C2522B" w:rsidRDefault="000707C3" w:rsidP="00C2522B">
    <w:pPr>
      <w:pStyle w:val="Header"/>
      <w:spacing w:after="0"/>
      <w:rPr>
        <w:rFonts w:ascii="Arial" w:hAnsi="Arial" w:cs="Arial"/>
        <w:b/>
      </w:rPr>
    </w:pPr>
    <w:r>
      <w:rPr>
        <w:rFonts w:ascii="Arial" w:hAnsi="Arial" w:cs="Arial"/>
        <w:b/>
      </w:rPr>
      <w:t>Ilya Kokorin</w:t>
    </w:r>
    <w:r w:rsidR="009069C9">
      <w:rPr>
        <w:rFonts w:ascii="Arial" w:hAnsi="Arial" w:cs="Arial"/>
        <w:b/>
      </w:rPr>
      <w:t xml:space="preserve"> </w:t>
    </w:r>
    <w:r w:rsidR="00BF3D3E" w:rsidRPr="00C2522B">
      <w:rPr>
        <w:rFonts w:ascii="Arial" w:hAnsi="Arial" w:cs="Arial"/>
        <w:b/>
      </w:rPr>
      <w:t>(</w:t>
    </w:r>
    <w:r>
      <w:rPr>
        <w:rFonts w:ascii="Arial" w:hAnsi="Arial" w:cs="Arial"/>
        <w:b/>
      </w:rPr>
      <w:t>Russia</w:t>
    </w:r>
    <w:r w:rsidR="00BF3D3E" w:rsidRPr="00C2522B">
      <w:rPr>
        <w:rFonts w:ascii="Arial" w:hAnsi="Arial" w:cs="Arial"/>
        <w:b/>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0000001"/>
    <w:multiLevelType w:val="hybridMultilevel"/>
    <w:tmpl w:val="F516162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0000002"/>
    <w:multiLevelType w:val="hybridMultilevel"/>
    <w:tmpl w:val="5024FF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00000003"/>
    <w:multiLevelType w:val="hybridMultilevel"/>
    <w:tmpl w:val="6C0EF5B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00000004"/>
    <w:multiLevelType w:val="hybridMultilevel"/>
    <w:tmpl w:val="366EA5F4"/>
    <w:lvl w:ilvl="0" w:tplc="20000005">
      <w:start w:val="1"/>
      <w:numFmt w:val="bullet"/>
      <w:lvlText w:val=""/>
      <w:lvlJc w:val="left"/>
      <w:pPr>
        <w:ind w:left="720" w:hanging="360"/>
      </w:pPr>
      <w:rPr>
        <w:rFonts w:ascii="Wingdings" w:hAnsi="Wingding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00000005"/>
    <w:multiLevelType w:val="hybridMultilevel"/>
    <w:tmpl w:val="91D03B84"/>
    <w:lvl w:ilvl="0" w:tplc="8B2C94C4">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3">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5">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6">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1">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12"/>
  </w:num>
  <w:num w:numId="2">
    <w:abstractNumId w:val="9"/>
  </w:num>
  <w:num w:numId="3">
    <w:abstractNumId w:val="23"/>
  </w:num>
  <w:num w:numId="4">
    <w:abstractNumId w:val="14"/>
  </w:num>
  <w:num w:numId="5">
    <w:abstractNumId w:val="15"/>
  </w:num>
  <w:num w:numId="6">
    <w:abstractNumId w:val="24"/>
  </w:num>
  <w:num w:numId="7">
    <w:abstractNumId w:val="0"/>
  </w:num>
  <w:num w:numId="8">
    <w:abstractNumId w:val="11"/>
  </w:num>
  <w:num w:numId="9">
    <w:abstractNumId w:val="2"/>
  </w:num>
  <w:num w:numId="10">
    <w:abstractNumId w:val="1"/>
  </w:num>
  <w:num w:numId="11">
    <w:abstractNumId w:val="21"/>
  </w:num>
  <w:num w:numId="12">
    <w:abstractNumId w:val="10"/>
  </w:num>
  <w:num w:numId="13">
    <w:abstractNumId w:val="20"/>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9"/>
  </w:num>
  <w:num w:numId="21">
    <w:abstractNumId w:val="23"/>
  </w:num>
  <w:num w:numId="22">
    <w:abstractNumId w:val="15"/>
  </w:num>
  <w:num w:numId="23">
    <w:abstractNumId w:val="14"/>
  </w:num>
  <w:num w:numId="24">
    <w:abstractNumId w:val="22"/>
  </w:num>
  <w:num w:numId="25">
    <w:abstractNumId w:val="17"/>
  </w:num>
  <w:num w:numId="26">
    <w:abstractNumId w:val="19"/>
  </w:num>
  <w:num w:numId="27">
    <w:abstractNumId w:val="16"/>
  </w:num>
  <w:num w:numId="28">
    <w:abstractNumId w:val="18"/>
  </w:num>
  <w:num w:numId="29">
    <w:abstractNumId w:val="8"/>
  </w:num>
  <w:num w:numId="30">
    <w:abstractNumId w:val="13"/>
  </w:num>
  <w:num w:numId="31">
    <w:abstractNumId w:val="3"/>
  </w:num>
  <w:num w:numId="32">
    <w:abstractNumId w:val="7"/>
  </w:num>
  <w:num w:numId="33">
    <w:abstractNumId w:val="6"/>
  </w:num>
  <w:num w:numId="34">
    <w:abstractNumId w:val="5"/>
  </w:num>
  <w:num w:numId="35">
    <w:abstractNumId w:val="4"/>
  </w:num>
  <w:numIdMacAtCleanup w:val="5"/>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korin, I.">
    <w15:presenceInfo w15:providerId="None" w15:userId="Kokorin, 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C5"/>
    <w:rsid w:val="00001C5A"/>
    <w:rsid w:val="000033DF"/>
    <w:rsid w:val="0002073A"/>
    <w:rsid w:val="000707C3"/>
    <w:rsid w:val="00086E49"/>
    <w:rsid w:val="000921F0"/>
    <w:rsid w:val="00092307"/>
    <w:rsid w:val="000C4532"/>
    <w:rsid w:val="000D3C8B"/>
    <w:rsid w:val="000E2FAE"/>
    <w:rsid w:val="001258A8"/>
    <w:rsid w:val="00127C4A"/>
    <w:rsid w:val="00141375"/>
    <w:rsid w:val="00145356"/>
    <w:rsid w:val="001835B2"/>
    <w:rsid w:val="001934CC"/>
    <w:rsid w:val="001A713B"/>
    <w:rsid w:val="001C5080"/>
    <w:rsid w:val="001D3A90"/>
    <w:rsid w:val="001F119D"/>
    <w:rsid w:val="00247BAC"/>
    <w:rsid w:val="00276632"/>
    <w:rsid w:val="00280030"/>
    <w:rsid w:val="002825D6"/>
    <w:rsid w:val="002E09E9"/>
    <w:rsid w:val="003021B6"/>
    <w:rsid w:val="003217E3"/>
    <w:rsid w:val="0032563F"/>
    <w:rsid w:val="00340FF0"/>
    <w:rsid w:val="003518FD"/>
    <w:rsid w:val="003666A0"/>
    <w:rsid w:val="00367985"/>
    <w:rsid w:val="00395D89"/>
    <w:rsid w:val="00396E5A"/>
    <w:rsid w:val="003978ED"/>
    <w:rsid w:val="003C284E"/>
    <w:rsid w:val="003C69AB"/>
    <w:rsid w:val="00404D9A"/>
    <w:rsid w:val="00415AEE"/>
    <w:rsid w:val="00415DDB"/>
    <w:rsid w:val="00437BFE"/>
    <w:rsid w:val="00440CF8"/>
    <w:rsid w:val="004433C5"/>
    <w:rsid w:val="00470254"/>
    <w:rsid w:val="00484F6D"/>
    <w:rsid w:val="004B3FED"/>
    <w:rsid w:val="004D1D7E"/>
    <w:rsid w:val="004F57B8"/>
    <w:rsid w:val="00535342"/>
    <w:rsid w:val="00557280"/>
    <w:rsid w:val="00557A0F"/>
    <w:rsid w:val="005764A7"/>
    <w:rsid w:val="00577785"/>
    <w:rsid w:val="00593E77"/>
    <w:rsid w:val="005D6C09"/>
    <w:rsid w:val="005D783E"/>
    <w:rsid w:val="005D79E3"/>
    <w:rsid w:val="005E7C6B"/>
    <w:rsid w:val="00617533"/>
    <w:rsid w:val="00623598"/>
    <w:rsid w:val="006441B0"/>
    <w:rsid w:val="00645051"/>
    <w:rsid w:val="00651BBC"/>
    <w:rsid w:val="00694350"/>
    <w:rsid w:val="006D0A86"/>
    <w:rsid w:val="006E7E8D"/>
    <w:rsid w:val="00703D03"/>
    <w:rsid w:val="00707113"/>
    <w:rsid w:val="00740F50"/>
    <w:rsid w:val="00772427"/>
    <w:rsid w:val="007809D8"/>
    <w:rsid w:val="00782633"/>
    <w:rsid w:val="00790DFB"/>
    <w:rsid w:val="007C4484"/>
    <w:rsid w:val="007E1590"/>
    <w:rsid w:val="00807744"/>
    <w:rsid w:val="00817A63"/>
    <w:rsid w:val="008432D1"/>
    <w:rsid w:val="00847988"/>
    <w:rsid w:val="00867725"/>
    <w:rsid w:val="00876BCD"/>
    <w:rsid w:val="00877CBB"/>
    <w:rsid w:val="00886023"/>
    <w:rsid w:val="00895428"/>
    <w:rsid w:val="009069C9"/>
    <w:rsid w:val="00933B42"/>
    <w:rsid w:val="0093601D"/>
    <w:rsid w:val="00976F27"/>
    <w:rsid w:val="00977889"/>
    <w:rsid w:val="0098305D"/>
    <w:rsid w:val="009B5E68"/>
    <w:rsid w:val="009E51C4"/>
    <w:rsid w:val="009F52F0"/>
    <w:rsid w:val="00A34959"/>
    <w:rsid w:val="00A3654A"/>
    <w:rsid w:val="00A53AD6"/>
    <w:rsid w:val="00A81F5B"/>
    <w:rsid w:val="00AA741E"/>
    <w:rsid w:val="00AD3470"/>
    <w:rsid w:val="00AD6AE4"/>
    <w:rsid w:val="00AE7E16"/>
    <w:rsid w:val="00B10912"/>
    <w:rsid w:val="00B20510"/>
    <w:rsid w:val="00B40F88"/>
    <w:rsid w:val="00B46BCC"/>
    <w:rsid w:val="00B565F1"/>
    <w:rsid w:val="00BA1EF1"/>
    <w:rsid w:val="00BC4C0D"/>
    <w:rsid w:val="00BD0697"/>
    <w:rsid w:val="00BF3D3E"/>
    <w:rsid w:val="00C16DFA"/>
    <w:rsid w:val="00C2522B"/>
    <w:rsid w:val="00C96534"/>
    <w:rsid w:val="00CE09C4"/>
    <w:rsid w:val="00D31877"/>
    <w:rsid w:val="00D32C99"/>
    <w:rsid w:val="00D6291C"/>
    <w:rsid w:val="00DE5F99"/>
    <w:rsid w:val="00E007BF"/>
    <w:rsid w:val="00E2501C"/>
    <w:rsid w:val="00E37A5D"/>
    <w:rsid w:val="00E53ABF"/>
    <w:rsid w:val="00E56027"/>
    <w:rsid w:val="00EB6116"/>
    <w:rsid w:val="00ED5672"/>
    <w:rsid w:val="00F20AC6"/>
    <w:rsid w:val="00F36532"/>
    <w:rsid w:val="00F55F2D"/>
    <w:rsid w:val="00F77372"/>
    <w:rsid w:val="00F90C01"/>
    <w:rsid w:val="00FB7C3C"/>
    <w:rsid w:val="00FD11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
    <w:name w:val="Unresolved Mention"/>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FollowedHyperlink">
    <w:name w:val="FollowedHyperlink"/>
    <w:basedOn w:val="DefaultParagraphFont"/>
    <w:semiHidden/>
    <w:unhideWhenUsed/>
    <w:rsid w:val="000707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 w:id="208806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EA014-BAEF-EC48-8AE5-41CC44EA1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1424</Words>
  <Characters>8120</Characters>
  <Application>Microsoft Macintosh Word</Application>
  <DocSecurity>0</DocSecurity>
  <PresentationFormat/>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9525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5</cp:revision>
  <cp:lastPrinted>2017-11-20T20:14:00Z</cp:lastPrinted>
  <dcterms:created xsi:type="dcterms:W3CDTF">2018-04-05T08:32:00Z</dcterms:created>
  <dcterms:modified xsi:type="dcterms:W3CDTF">2018-11-28T12:00:00Z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