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A2A3D" w14:textId="77777777" w:rsidR="005D783E" w:rsidRPr="00BF3D3E" w:rsidRDefault="005D783E" w:rsidP="00AA741E">
      <w:pPr>
        <w:spacing w:after="0"/>
        <w:rPr>
          <w:rFonts w:ascii="Times New Roman" w:hAnsi="Times New Roman"/>
          <w:sz w:val="24"/>
          <w:szCs w:val="24"/>
        </w:rPr>
      </w:pPr>
      <w:bookmarkStart w:id="0" w:name="_GoBack"/>
      <w:bookmarkEnd w:id="0"/>
    </w:p>
    <w:p w14:paraId="00F31AC4" w14:textId="77777777" w:rsidR="00617533" w:rsidRDefault="00617533" w:rsidP="00AA741E">
      <w:pPr>
        <w:spacing w:after="0"/>
        <w:jc w:val="center"/>
        <w:rPr>
          <w:rFonts w:ascii="Times New Roman" w:hAnsi="Times New Roman"/>
          <w:b/>
          <w:sz w:val="24"/>
          <w:szCs w:val="24"/>
        </w:rPr>
      </w:pPr>
      <w:r w:rsidRPr="00357374">
        <w:rPr>
          <w:rFonts w:ascii="Verdana" w:eastAsia="Cambria" w:hAnsi="Verdana"/>
          <w:b/>
          <w:noProof/>
          <w:sz w:val="36"/>
          <w:szCs w:val="36"/>
        </w:rPr>
        <w:drawing>
          <wp:inline distT="0" distB="0" distL="0" distR="0" wp14:anchorId="28C02944" wp14:editId="6EFBE008">
            <wp:extent cx="1981200" cy="172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0" cy="1727200"/>
                    </a:xfrm>
                    <a:prstGeom prst="rect">
                      <a:avLst/>
                    </a:prstGeom>
                    <a:noFill/>
                    <a:ln>
                      <a:noFill/>
                    </a:ln>
                  </pic:spPr>
                </pic:pic>
              </a:graphicData>
            </a:graphic>
          </wp:inline>
        </w:drawing>
      </w:r>
    </w:p>
    <w:p w14:paraId="095671F4" w14:textId="77777777" w:rsidR="00617533" w:rsidRDefault="00617533" w:rsidP="00AA741E">
      <w:pPr>
        <w:spacing w:after="0"/>
        <w:jc w:val="center"/>
        <w:rPr>
          <w:rFonts w:ascii="Times New Roman" w:hAnsi="Times New Roman"/>
          <w:b/>
          <w:sz w:val="24"/>
          <w:szCs w:val="24"/>
        </w:rPr>
      </w:pPr>
    </w:p>
    <w:p w14:paraId="545E44B6" w14:textId="63FE09CF" w:rsidR="00617533" w:rsidRPr="00617533" w:rsidRDefault="00617533" w:rsidP="00AA741E">
      <w:pPr>
        <w:spacing w:after="0"/>
        <w:jc w:val="center"/>
        <w:rPr>
          <w:rFonts w:ascii="Times New Roman" w:hAnsi="Times New Roman"/>
          <w:b/>
          <w:sz w:val="36"/>
          <w:szCs w:val="36"/>
        </w:rPr>
      </w:pPr>
      <w:r w:rsidRPr="00617533">
        <w:rPr>
          <w:rFonts w:ascii="Times New Roman" w:hAnsi="Times New Roman"/>
          <w:b/>
          <w:sz w:val="36"/>
          <w:szCs w:val="36"/>
        </w:rPr>
        <w:t xml:space="preserve">Inside Story – </w:t>
      </w:r>
      <w:r w:rsidR="00BD0697">
        <w:rPr>
          <w:rFonts w:ascii="Times New Roman" w:hAnsi="Times New Roman"/>
          <w:b/>
          <w:sz w:val="36"/>
          <w:szCs w:val="36"/>
        </w:rPr>
        <w:t>April</w:t>
      </w:r>
      <w:r w:rsidRPr="00617533">
        <w:rPr>
          <w:rFonts w:ascii="Times New Roman" w:hAnsi="Times New Roman"/>
          <w:b/>
          <w:sz w:val="36"/>
          <w:szCs w:val="36"/>
        </w:rPr>
        <w:t xml:space="preserve"> 201</w:t>
      </w:r>
      <w:r w:rsidR="002A5779">
        <w:rPr>
          <w:rFonts w:ascii="Times New Roman" w:hAnsi="Times New Roman"/>
          <w:b/>
          <w:sz w:val="36"/>
          <w:szCs w:val="36"/>
        </w:rPr>
        <w:t>9</w:t>
      </w:r>
    </w:p>
    <w:p w14:paraId="3F7EEBFB" w14:textId="77777777" w:rsidR="00617533" w:rsidRDefault="00617533" w:rsidP="00AA741E">
      <w:pPr>
        <w:spacing w:after="0"/>
        <w:jc w:val="center"/>
        <w:rPr>
          <w:rFonts w:ascii="Times New Roman" w:hAnsi="Times New Roman"/>
          <w:b/>
          <w:sz w:val="24"/>
          <w:szCs w:val="24"/>
        </w:rPr>
      </w:pPr>
    </w:p>
    <w:p w14:paraId="7ED3D80E" w14:textId="183C3FFE" w:rsidR="00F36532" w:rsidRDefault="002A5779" w:rsidP="00AA741E">
      <w:pPr>
        <w:spacing w:after="0"/>
        <w:jc w:val="center"/>
        <w:rPr>
          <w:rFonts w:ascii="Times New Roman" w:hAnsi="Times New Roman"/>
          <w:b/>
          <w:sz w:val="24"/>
          <w:szCs w:val="24"/>
        </w:rPr>
      </w:pPr>
      <w:r>
        <w:rPr>
          <w:rFonts w:ascii="Times New Roman" w:hAnsi="Times New Roman"/>
          <w:b/>
          <w:sz w:val="24"/>
          <w:szCs w:val="24"/>
        </w:rPr>
        <w:t>The Recent ECB Intervention in Italy</w:t>
      </w:r>
      <w:r w:rsidR="009F52F0">
        <w:rPr>
          <w:rFonts w:ascii="Times New Roman" w:hAnsi="Times New Roman"/>
          <w:b/>
          <w:sz w:val="24"/>
          <w:szCs w:val="24"/>
        </w:rPr>
        <w:t>:</w:t>
      </w:r>
    </w:p>
    <w:p w14:paraId="032FD235" w14:textId="363CEB1A" w:rsidR="005D783E" w:rsidRDefault="002A5779" w:rsidP="00AA741E">
      <w:pPr>
        <w:spacing w:after="0"/>
        <w:jc w:val="center"/>
        <w:rPr>
          <w:rFonts w:ascii="Times New Roman" w:hAnsi="Times New Roman"/>
          <w:b/>
          <w:sz w:val="24"/>
          <w:szCs w:val="24"/>
        </w:rPr>
      </w:pPr>
      <w:r>
        <w:rPr>
          <w:rFonts w:ascii="Times New Roman" w:hAnsi="Times New Roman"/>
          <w:b/>
          <w:sz w:val="24"/>
          <w:szCs w:val="24"/>
        </w:rPr>
        <w:t>An Assessment</w:t>
      </w:r>
    </w:p>
    <w:p w14:paraId="5C9FDC72" w14:textId="77777777" w:rsidR="00617533" w:rsidRDefault="00617533" w:rsidP="00AA741E">
      <w:pPr>
        <w:spacing w:after="0"/>
        <w:jc w:val="center"/>
        <w:rPr>
          <w:rFonts w:ascii="Times New Roman" w:hAnsi="Times New Roman"/>
          <w:b/>
          <w:sz w:val="24"/>
          <w:szCs w:val="24"/>
        </w:rPr>
      </w:pPr>
    </w:p>
    <w:p w14:paraId="21F39F84" w14:textId="4E53A421" w:rsidR="002A5779" w:rsidRPr="002A5779" w:rsidRDefault="002A5779" w:rsidP="002A5779">
      <w:pPr>
        <w:spacing w:after="0"/>
        <w:jc w:val="center"/>
        <w:rPr>
          <w:rFonts w:ascii="Times New Roman" w:hAnsi="Times New Roman"/>
          <w:i/>
          <w:sz w:val="24"/>
          <w:szCs w:val="24"/>
        </w:rPr>
      </w:pPr>
      <w:r w:rsidRPr="002A5779">
        <w:rPr>
          <w:rFonts w:ascii="Times New Roman" w:hAnsi="Times New Roman"/>
          <w:i/>
          <w:sz w:val="24"/>
          <w:szCs w:val="24"/>
        </w:rPr>
        <w:t>Eugenio Vaccari</w:t>
      </w:r>
      <w:r w:rsidR="001258A8" w:rsidRPr="002A5779">
        <w:rPr>
          <w:rFonts w:ascii="Times New Roman" w:hAnsi="Times New Roman"/>
          <w:i/>
          <w:sz w:val="24"/>
          <w:szCs w:val="24"/>
        </w:rPr>
        <w:t xml:space="preserve">, </w:t>
      </w:r>
      <w:r w:rsidRPr="002A5779">
        <w:rPr>
          <w:rFonts w:ascii="Times New Roman" w:hAnsi="Times New Roman"/>
          <w:i/>
          <w:sz w:val="24"/>
          <w:szCs w:val="24"/>
        </w:rPr>
        <w:t>Lecturer, Essex Law School</w:t>
      </w:r>
    </w:p>
    <w:p w14:paraId="7BD8ED29" w14:textId="43657AD9" w:rsidR="00617533" w:rsidRPr="002A5779" w:rsidRDefault="002A5779" w:rsidP="00AA741E">
      <w:pPr>
        <w:spacing w:after="0"/>
        <w:jc w:val="center"/>
        <w:rPr>
          <w:rFonts w:ascii="Times New Roman" w:hAnsi="Times New Roman"/>
          <w:b/>
          <w:bCs/>
          <w:i/>
          <w:sz w:val="24"/>
          <w:szCs w:val="24"/>
          <w:lang w:val="en-US"/>
        </w:rPr>
      </w:pPr>
      <w:r w:rsidRPr="002A5779">
        <w:rPr>
          <w:rFonts w:ascii="Times New Roman" w:hAnsi="Times New Roman"/>
          <w:b/>
          <w:bCs/>
          <w:i/>
          <w:sz w:val="24"/>
          <w:szCs w:val="24"/>
          <w:shd w:val="clear" w:color="auto" w:fill="FFFFFF"/>
        </w:rPr>
        <w:t> </w:t>
      </w:r>
      <w:hyperlink r:id="rId9" w:tgtFrame="_blank" w:history="1">
        <w:r w:rsidRPr="002A5779">
          <w:rPr>
            <w:rStyle w:val="Hyperlink"/>
            <w:rFonts w:ascii="Times New Roman" w:hAnsi="Times New Roman"/>
            <w:i/>
            <w:color w:val="auto"/>
            <w:sz w:val="24"/>
            <w:szCs w:val="24"/>
            <w:u w:val="none"/>
            <w:shd w:val="clear" w:color="auto" w:fill="FFFFFF"/>
          </w:rPr>
          <w:t>e.vaccari@essex.ac.uk</w:t>
        </w:r>
      </w:hyperlink>
    </w:p>
    <w:p w14:paraId="4C0F3661" w14:textId="77777777" w:rsidR="00617533" w:rsidRPr="00BF3D3E" w:rsidRDefault="00617533" w:rsidP="00AA741E">
      <w:pPr>
        <w:spacing w:after="0"/>
        <w:jc w:val="center"/>
        <w:rPr>
          <w:rFonts w:ascii="Times New Roman" w:hAnsi="Times New Roman"/>
          <w:b/>
          <w:sz w:val="24"/>
          <w:szCs w:val="24"/>
        </w:rPr>
      </w:pPr>
    </w:p>
    <w:p w14:paraId="7EA60412" w14:textId="77777777" w:rsidR="005D783E" w:rsidRPr="00BF3D3E" w:rsidRDefault="005D783E" w:rsidP="00AA741E">
      <w:pPr>
        <w:spacing w:after="0"/>
        <w:rPr>
          <w:rFonts w:ascii="Times New Roman" w:hAnsi="Times New Roman"/>
          <w:sz w:val="24"/>
          <w:szCs w:val="24"/>
        </w:rPr>
      </w:pPr>
    </w:p>
    <w:p w14:paraId="41F728C4" w14:textId="77777777" w:rsidR="005D783E" w:rsidRPr="002A5779" w:rsidRDefault="005D783E" w:rsidP="002A5779">
      <w:pPr>
        <w:spacing w:after="0"/>
        <w:rPr>
          <w:rFonts w:ascii="Times New Roman" w:hAnsi="Times New Roman"/>
          <w:i/>
          <w:sz w:val="24"/>
          <w:szCs w:val="24"/>
        </w:rPr>
      </w:pPr>
      <w:r w:rsidRPr="002A5779">
        <w:rPr>
          <w:rFonts w:ascii="Times New Roman" w:hAnsi="Times New Roman"/>
          <w:i/>
          <w:sz w:val="24"/>
          <w:szCs w:val="24"/>
        </w:rPr>
        <w:t>Introduction</w:t>
      </w:r>
    </w:p>
    <w:p w14:paraId="41E3B55B" w14:textId="77777777" w:rsidR="005D783E" w:rsidRPr="002A5779" w:rsidRDefault="005D783E" w:rsidP="002A5779">
      <w:pPr>
        <w:spacing w:after="0"/>
        <w:rPr>
          <w:rFonts w:ascii="Times New Roman" w:eastAsia="Batang" w:hAnsi="Times New Roman"/>
          <w:sz w:val="24"/>
          <w:szCs w:val="24"/>
        </w:rPr>
      </w:pPr>
    </w:p>
    <w:p w14:paraId="450FFD9D" w14:textId="25BF3761" w:rsidR="002A5779" w:rsidRPr="002A5779" w:rsidRDefault="002A5779" w:rsidP="002A5779">
      <w:pPr>
        <w:spacing w:after="0"/>
        <w:rPr>
          <w:rFonts w:ascii="Times New Roman" w:hAnsi="Times New Roman"/>
          <w:sz w:val="24"/>
          <w:szCs w:val="24"/>
        </w:rPr>
      </w:pPr>
      <w:r w:rsidRPr="002A5779">
        <w:rPr>
          <w:rFonts w:ascii="Times New Roman" w:hAnsi="Times New Roman"/>
          <w:sz w:val="24"/>
          <w:szCs w:val="24"/>
        </w:rPr>
        <w:t xml:space="preserve">The financial crisis triggered by the collapse of </w:t>
      </w:r>
      <w:r w:rsidRPr="002A5779">
        <w:rPr>
          <w:rFonts w:ascii="Times New Roman" w:hAnsi="Times New Roman"/>
          <w:i/>
          <w:sz w:val="24"/>
          <w:szCs w:val="24"/>
        </w:rPr>
        <w:t>Lehman Brothers</w:t>
      </w:r>
      <w:r w:rsidRPr="002A5779">
        <w:rPr>
          <w:rFonts w:ascii="Times New Roman" w:hAnsi="Times New Roman"/>
          <w:sz w:val="24"/>
          <w:szCs w:val="24"/>
        </w:rPr>
        <w:t xml:space="preserve"> (2008) had a significant impact on the stability and solvency </w:t>
      </w:r>
      <w:r>
        <w:rPr>
          <w:rFonts w:ascii="Times New Roman" w:hAnsi="Times New Roman"/>
          <w:sz w:val="24"/>
          <w:szCs w:val="24"/>
        </w:rPr>
        <w:t xml:space="preserve">of Italian banks. </w:t>
      </w:r>
      <w:r w:rsidRPr="002A5779">
        <w:rPr>
          <w:rFonts w:ascii="Times New Roman" w:hAnsi="Times New Roman"/>
          <w:sz w:val="24"/>
          <w:szCs w:val="24"/>
        </w:rPr>
        <w:t xml:space="preserve">In Italy, the banking crisis emerged at a later stage than in other European countries. This is primarily due to the nature of the investments carried out by Italian banks. To generate profits, Italian banks have traditionally been dependent on loans for commercial activities and state obligations. They have been less reliant than other Anglo-American and European entities on subprime loans. It was only with the economic crisis (and the consequential rise of non-performing loans) and the fall of interest rates by the European Central Bank (‘ECB’) that the stability of the Italian banking system was detrimentally affected. </w:t>
      </w:r>
    </w:p>
    <w:p w14:paraId="4DE5A74B" w14:textId="33BC51F1" w:rsidR="002A5779" w:rsidRDefault="002A5779" w:rsidP="002A5779">
      <w:pPr>
        <w:spacing w:after="0"/>
        <w:rPr>
          <w:rFonts w:ascii="Times New Roman" w:hAnsi="Times New Roman"/>
          <w:sz w:val="24"/>
          <w:szCs w:val="24"/>
        </w:rPr>
      </w:pPr>
    </w:p>
    <w:p w14:paraId="5AA04BE3" w14:textId="36FB11DF" w:rsidR="002A5779" w:rsidRPr="002A5779" w:rsidRDefault="002A5779" w:rsidP="002A5779">
      <w:pPr>
        <w:spacing w:after="0"/>
        <w:rPr>
          <w:rFonts w:ascii="Times New Roman" w:hAnsi="Times New Roman"/>
          <w:i/>
          <w:sz w:val="24"/>
          <w:szCs w:val="24"/>
        </w:rPr>
      </w:pPr>
      <w:r w:rsidRPr="002A5779">
        <w:rPr>
          <w:rFonts w:ascii="Times New Roman" w:hAnsi="Times New Roman"/>
          <w:i/>
          <w:sz w:val="24"/>
          <w:szCs w:val="24"/>
        </w:rPr>
        <w:t>Distress in the Italian Banking Sector</w:t>
      </w:r>
    </w:p>
    <w:p w14:paraId="668BF124" w14:textId="77777777" w:rsidR="002A5779" w:rsidRDefault="002A5779" w:rsidP="002A5779">
      <w:pPr>
        <w:spacing w:after="0"/>
        <w:rPr>
          <w:rFonts w:ascii="Times New Roman" w:hAnsi="Times New Roman"/>
          <w:sz w:val="24"/>
          <w:szCs w:val="24"/>
        </w:rPr>
      </w:pPr>
    </w:p>
    <w:p w14:paraId="11814F32" w14:textId="70E64B5A" w:rsidR="002A5779" w:rsidRPr="002A5779" w:rsidRDefault="002A5779" w:rsidP="002A5779">
      <w:pPr>
        <w:spacing w:after="0"/>
        <w:rPr>
          <w:rFonts w:ascii="Times New Roman" w:hAnsi="Times New Roman"/>
          <w:sz w:val="24"/>
          <w:szCs w:val="24"/>
        </w:rPr>
      </w:pPr>
      <w:r w:rsidRPr="002A5779">
        <w:rPr>
          <w:rFonts w:ascii="Times New Roman" w:hAnsi="Times New Roman"/>
          <w:sz w:val="24"/>
          <w:szCs w:val="24"/>
        </w:rPr>
        <w:t xml:space="preserve">The deceitful and apparent solidity of Italian banks was signalled by the lack of significant cases of distress until 2012, when the </w:t>
      </w:r>
      <w:r w:rsidRPr="002A5779">
        <w:rPr>
          <w:rFonts w:ascii="Times New Roman" w:hAnsi="Times New Roman"/>
          <w:i/>
          <w:sz w:val="24"/>
          <w:szCs w:val="24"/>
        </w:rPr>
        <w:t>Cassa di Risparmio di Teramo</w:t>
      </w:r>
      <w:r w:rsidRPr="002A5779">
        <w:rPr>
          <w:rFonts w:ascii="Times New Roman" w:hAnsi="Times New Roman"/>
          <w:sz w:val="24"/>
          <w:szCs w:val="24"/>
        </w:rPr>
        <w:t xml:space="preserve"> (also known as ‘</w:t>
      </w:r>
      <w:r w:rsidRPr="002A5779">
        <w:rPr>
          <w:rFonts w:ascii="Times New Roman" w:hAnsi="Times New Roman"/>
          <w:i/>
          <w:sz w:val="24"/>
          <w:szCs w:val="24"/>
        </w:rPr>
        <w:t>Banca Tercas</w:t>
      </w:r>
      <w:r w:rsidRPr="002A5779">
        <w:rPr>
          <w:rFonts w:ascii="Times New Roman" w:hAnsi="Times New Roman"/>
          <w:sz w:val="24"/>
          <w:szCs w:val="24"/>
        </w:rPr>
        <w:t xml:space="preserve">’) eventually filed for extraordinary administration, an insolvency procedure under Italian law. This savings bank was later sold to the </w:t>
      </w:r>
      <w:r w:rsidRPr="002A5779">
        <w:rPr>
          <w:rFonts w:ascii="Times New Roman" w:hAnsi="Times New Roman"/>
          <w:i/>
          <w:sz w:val="24"/>
          <w:szCs w:val="24"/>
        </w:rPr>
        <w:t>Banca Popolare di Bari</w:t>
      </w:r>
      <w:r w:rsidRPr="002A5779">
        <w:rPr>
          <w:rFonts w:ascii="Times New Roman" w:hAnsi="Times New Roman"/>
          <w:sz w:val="24"/>
          <w:szCs w:val="24"/>
        </w:rPr>
        <w:t xml:space="preserve"> (November 2013). The purchase was possible thanks to deposit guarantee funds granted by the </w:t>
      </w:r>
      <w:r w:rsidRPr="002A5779">
        <w:rPr>
          <w:rFonts w:ascii="Times New Roman" w:hAnsi="Times New Roman"/>
          <w:i/>
          <w:sz w:val="24"/>
          <w:szCs w:val="24"/>
        </w:rPr>
        <w:t>Fondo Interbancario di Tutela dei Depositi</w:t>
      </w:r>
      <w:r w:rsidRPr="002A5779">
        <w:rPr>
          <w:rFonts w:ascii="Times New Roman" w:hAnsi="Times New Roman"/>
          <w:sz w:val="24"/>
          <w:szCs w:val="24"/>
        </w:rPr>
        <w:t xml:space="preserve"> (‘FITD’). However, in December 2015 the European Commission (‘EC’) ruled that the bail-out of </w:t>
      </w:r>
      <w:r w:rsidRPr="002A5779">
        <w:rPr>
          <w:rFonts w:ascii="Times New Roman" w:hAnsi="Times New Roman"/>
          <w:i/>
          <w:sz w:val="24"/>
          <w:szCs w:val="24"/>
        </w:rPr>
        <w:t>Banca Tercas</w:t>
      </w:r>
      <w:r w:rsidRPr="002A5779">
        <w:rPr>
          <w:rFonts w:ascii="Times New Roman" w:hAnsi="Times New Roman"/>
          <w:sz w:val="24"/>
          <w:szCs w:val="24"/>
        </w:rPr>
        <w:t xml:space="preserve"> by FITD was a state aid, requesting the bank to return the aid to the deposit guarantee fund.</w:t>
      </w:r>
      <w:r w:rsidRPr="002A5779">
        <w:rPr>
          <w:rStyle w:val="FootnoteReference"/>
          <w:rFonts w:ascii="Times New Roman" w:hAnsi="Times New Roman"/>
          <w:sz w:val="24"/>
          <w:szCs w:val="24"/>
        </w:rPr>
        <w:footnoteReference w:id="1"/>
      </w:r>
    </w:p>
    <w:p w14:paraId="53E42287" w14:textId="77777777" w:rsidR="002A5779" w:rsidRDefault="002A5779" w:rsidP="002A5779">
      <w:pPr>
        <w:spacing w:after="0"/>
        <w:rPr>
          <w:rFonts w:ascii="Times New Roman" w:hAnsi="Times New Roman"/>
          <w:sz w:val="24"/>
          <w:szCs w:val="24"/>
        </w:rPr>
      </w:pPr>
    </w:p>
    <w:p w14:paraId="28C7FEDE" w14:textId="7E4FBBCA" w:rsidR="002A5779" w:rsidRPr="002A5779" w:rsidRDefault="002A5779" w:rsidP="002A5779">
      <w:pPr>
        <w:spacing w:after="0"/>
        <w:rPr>
          <w:rFonts w:ascii="Times New Roman" w:hAnsi="Times New Roman"/>
          <w:sz w:val="24"/>
          <w:szCs w:val="24"/>
        </w:rPr>
      </w:pPr>
      <w:r w:rsidRPr="002A5779">
        <w:rPr>
          <w:rFonts w:ascii="Times New Roman" w:hAnsi="Times New Roman"/>
          <w:sz w:val="24"/>
          <w:szCs w:val="24"/>
        </w:rPr>
        <w:t>Since 2013, several Italian banks went into liquidation or entered rescue procedures. These include four saving banks in 2015 (</w:t>
      </w:r>
      <w:r w:rsidRPr="002A5779">
        <w:rPr>
          <w:rFonts w:ascii="Times New Roman" w:hAnsi="Times New Roman"/>
          <w:i/>
          <w:sz w:val="24"/>
          <w:szCs w:val="24"/>
        </w:rPr>
        <w:t>Cassa di Risparmio di Ferrara</w:t>
      </w:r>
      <w:r w:rsidRPr="002A5779">
        <w:rPr>
          <w:rFonts w:ascii="Times New Roman" w:hAnsi="Times New Roman"/>
          <w:sz w:val="24"/>
          <w:szCs w:val="24"/>
        </w:rPr>
        <w:t xml:space="preserve">, </w:t>
      </w:r>
      <w:r w:rsidRPr="002A5779">
        <w:rPr>
          <w:rFonts w:ascii="Times New Roman" w:hAnsi="Times New Roman"/>
          <w:i/>
          <w:sz w:val="24"/>
          <w:szCs w:val="24"/>
        </w:rPr>
        <w:t xml:space="preserve">Cassa di Risparmio di </w:t>
      </w:r>
      <w:r w:rsidRPr="002A5779">
        <w:rPr>
          <w:rFonts w:ascii="Times New Roman" w:hAnsi="Times New Roman"/>
          <w:i/>
          <w:sz w:val="24"/>
          <w:szCs w:val="24"/>
        </w:rPr>
        <w:lastRenderedPageBreak/>
        <w:t>Chieti</w:t>
      </w:r>
      <w:r w:rsidRPr="002A5779">
        <w:rPr>
          <w:rFonts w:ascii="Times New Roman" w:hAnsi="Times New Roman"/>
          <w:sz w:val="24"/>
          <w:szCs w:val="24"/>
        </w:rPr>
        <w:t xml:space="preserve">, </w:t>
      </w:r>
      <w:r w:rsidRPr="002A5779">
        <w:rPr>
          <w:rFonts w:ascii="Times New Roman" w:hAnsi="Times New Roman"/>
          <w:i/>
          <w:sz w:val="24"/>
          <w:szCs w:val="24"/>
        </w:rPr>
        <w:t>Banca delle Marche</w:t>
      </w:r>
      <w:r w:rsidRPr="002A5779">
        <w:rPr>
          <w:rFonts w:ascii="Times New Roman" w:hAnsi="Times New Roman"/>
          <w:sz w:val="24"/>
          <w:szCs w:val="24"/>
        </w:rPr>
        <w:t xml:space="preserve"> and </w:t>
      </w:r>
      <w:r w:rsidRPr="002A5779">
        <w:rPr>
          <w:rFonts w:ascii="Times New Roman" w:hAnsi="Times New Roman"/>
          <w:i/>
          <w:sz w:val="24"/>
          <w:szCs w:val="24"/>
        </w:rPr>
        <w:t>Banca Popolare dell’Etruria e del Lazio</w:t>
      </w:r>
      <w:r w:rsidRPr="002A5779">
        <w:rPr>
          <w:rFonts w:ascii="Times New Roman" w:hAnsi="Times New Roman"/>
          <w:sz w:val="24"/>
          <w:szCs w:val="24"/>
        </w:rPr>
        <w:t>) and three more savings banks in 2017 (</w:t>
      </w:r>
      <w:r w:rsidRPr="002A5779">
        <w:rPr>
          <w:rFonts w:ascii="Times New Roman" w:hAnsi="Times New Roman"/>
          <w:i/>
          <w:sz w:val="24"/>
          <w:szCs w:val="24"/>
        </w:rPr>
        <w:t>Cassa di Risparmio di Rimini</w:t>
      </w:r>
      <w:r w:rsidRPr="002A5779">
        <w:rPr>
          <w:rFonts w:ascii="Times New Roman" w:hAnsi="Times New Roman"/>
          <w:sz w:val="24"/>
          <w:szCs w:val="24"/>
        </w:rPr>
        <w:t xml:space="preserve">, </w:t>
      </w:r>
      <w:r w:rsidRPr="002A5779">
        <w:rPr>
          <w:rFonts w:ascii="Times New Roman" w:hAnsi="Times New Roman"/>
          <w:i/>
          <w:sz w:val="24"/>
          <w:szCs w:val="24"/>
        </w:rPr>
        <w:t>Cassa di Risparmio di Cesena</w:t>
      </w:r>
      <w:r w:rsidRPr="002A5779">
        <w:rPr>
          <w:rFonts w:ascii="Times New Roman" w:hAnsi="Times New Roman"/>
          <w:sz w:val="24"/>
          <w:szCs w:val="24"/>
        </w:rPr>
        <w:t xml:space="preserve"> and </w:t>
      </w:r>
      <w:r w:rsidRPr="002A5779">
        <w:rPr>
          <w:rFonts w:ascii="Times New Roman" w:hAnsi="Times New Roman"/>
          <w:i/>
          <w:sz w:val="24"/>
          <w:szCs w:val="24"/>
        </w:rPr>
        <w:t>Cassa di Risparmio di San Miniato</w:t>
      </w:r>
      <w:r w:rsidRPr="002A5779">
        <w:rPr>
          <w:rFonts w:ascii="Times New Roman" w:hAnsi="Times New Roman"/>
          <w:sz w:val="24"/>
          <w:szCs w:val="24"/>
        </w:rPr>
        <w:t xml:space="preserve">). While the first four financial institutions were forced to liquidate and sell their good assets to other banks, the last three banks had to undergo significant reorganisation procedures. </w:t>
      </w:r>
    </w:p>
    <w:p w14:paraId="28CD3D3A" w14:textId="77777777" w:rsidR="002A5779" w:rsidRDefault="002A5779" w:rsidP="002A5779">
      <w:pPr>
        <w:spacing w:after="0"/>
        <w:rPr>
          <w:rFonts w:ascii="Times New Roman" w:hAnsi="Times New Roman"/>
          <w:sz w:val="24"/>
          <w:szCs w:val="24"/>
        </w:rPr>
      </w:pPr>
    </w:p>
    <w:p w14:paraId="1B894BFD" w14:textId="0BAC3DB6" w:rsidR="002A5779" w:rsidRDefault="002A5779" w:rsidP="002A5779">
      <w:pPr>
        <w:spacing w:after="0"/>
        <w:rPr>
          <w:rFonts w:ascii="Times New Roman" w:hAnsi="Times New Roman"/>
          <w:sz w:val="24"/>
          <w:szCs w:val="24"/>
        </w:rPr>
      </w:pPr>
      <w:r w:rsidRPr="002A5779">
        <w:rPr>
          <w:rFonts w:ascii="Times New Roman" w:hAnsi="Times New Roman"/>
          <w:sz w:val="24"/>
          <w:szCs w:val="24"/>
        </w:rPr>
        <w:t>Other notable cases in recent years include the crisis of two banks in Veneto (</w:t>
      </w:r>
      <w:r w:rsidRPr="002A5779">
        <w:rPr>
          <w:rFonts w:ascii="Times New Roman" w:hAnsi="Times New Roman"/>
          <w:i/>
          <w:sz w:val="24"/>
          <w:szCs w:val="24"/>
        </w:rPr>
        <w:t>Banca Popolare di Vicenza</w:t>
      </w:r>
      <w:r w:rsidRPr="002A5779">
        <w:rPr>
          <w:rFonts w:ascii="Times New Roman" w:hAnsi="Times New Roman"/>
          <w:sz w:val="24"/>
          <w:szCs w:val="24"/>
        </w:rPr>
        <w:t xml:space="preserve"> and </w:t>
      </w:r>
      <w:r w:rsidRPr="002A5779">
        <w:rPr>
          <w:rFonts w:ascii="Times New Roman" w:hAnsi="Times New Roman"/>
          <w:i/>
          <w:sz w:val="24"/>
          <w:szCs w:val="24"/>
        </w:rPr>
        <w:t>Veneto Banca</w:t>
      </w:r>
      <w:r w:rsidRPr="002A5779">
        <w:rPr>
          <w:rFonts w:ascii="Times New Roman" w:hAnsi="Times New Roman"/>
          <w:sz w:val="24"/>
          <w:szCs w:val="24"/>
        </w:rPr>
        <w:t xml:space="preserve">), which were forced to cease trading in 2016. Unlike the four banks in 2015, the two Veneto banks did not undergo the resolution procedure, as they were placed under extraordinary administration and then sold to an assignee bank, </w:t>
      </w:r>
      <w:r w:rsidRPr="002A5779">
        <w:rPr>
          <w:rFonts w:ascii="Times New Roman" w:hAnsi="Times New Roman"/>
          <w:i/>
          <w:sz w:val="24"/>
          <w:szCs w:val="24"/>
        </w:rPr>
        <w:t>Banca Intesa</w:t>
      </w:r>
      <w:r w:rsidRPr="002A5779">
        <w:rPr>
          <w:rFonts w:ascii="Times New Roman" w:hAnsi="Times New Roman"/>
          <w:sz w:val="24"/>
          <w:szCs w:val="24"/>
        </w:rPr>
        <w:t xml:space="preserve">. Finally, the </w:t>
      </w:r>
      <w:r w:rsidRPr="002A5779">
        <w:rPr>
          <w:rFonts w:ascii="Times New Roman" w:hAnsi="Times New Roman"/>
          <w:i/>
          <w:sz w:val="24"/>
          <w:szCs w:val="24"/>
        </w:rPr>
        <w:t>Monte dei Paschi di Siena</w:t>
      </w:r>
      <w:r w:rsidRPr="002A5779">
        <w:rPr>
          <w:rFonts w:ascii="Times New Roman" w:hAnsi="Times New Roman"/>
          <w:sz w:val="24"/>
          <w:szCs w:val="24"/>
        </w:rPr>
        <w:t xml:space="preserve">, the oldest bank in Italy, entered a rescue and reorganisation procedure in the summer of 2017, as a result of the </w:t>
      </w:r>
      <w:r>
        <w:rPr>
          <w:rFonts w:ascii="Times New Roman" w:hAnsi="Times New Roman"/>
          <w:sz w:val="24"/>
          <w:szCs w:val="24"/>
        </w:rPr>
        <w:t xml:space="preserve">EUR </w:t>
      </w:r>
      <w:r w:rsidRPr="002A5779">
        <w:rPr>
          <w:rFonts w:ascii="Times New Roman" w:hAnsi="Times New Roman"/>
          <w:sz w:val="24"/>
          <w:szCs w:val="24"/>
        </w:rPr>
        <w:t>5.4bn State support from the Italian government (which, as a result, now owns 70% of the bank).</w:t>
      </w:r>
    </w:p>
    <w:p w14:paraId="69C8352C" w14:textId="40ACD2D1" w:rsidR="002A5779" w:rsidRDefault="002A5779" w:rsidP="002A5779">
      <w:pPr>
        <w:spacing w:after="0"/>
        <w:rPr>
          <w:rFonts w:ascii="Times New Roman" w:hAnsi="Times New Roman"/>
          <w:sz w:val="24"/>
          <w:szCs w:val="24"/>
        </w:rPr>
      </w:pPr>
    </w:p>
    <w:p w14:paraId="723679C5" w14:textId="508A1BDA" w:rsidR="002A5779" w:rsidRDefault="002A5779" w:rsidP="002A5779">
      <w:pPr>
        <w:spacing w:after="0"/>
        <w:rPr>
          <w:rFonts w:ascii="Times New Roman" w:hAnsi="Times New Roman"/>
          <w:sz w:val="24"/>
          <w:szCs w:val="24"/>
        </w:rPr>
      </w:pPr>
      <w:r w:rsidRPr="002A5779">
        <w:rPr>
          <w:rFonts w:ascii="Times New Roman" w:hAnsi="Times New Roman"/>
          <w:sz w:val="24"/>
          <w:szCs w:val="24"/>
        </w:rPr>
        <w:t xml:space="preserve">The latest bank to suffer from the downturn of the Italian economy and the consequences of the financial crisis is </w:t>
      </w:r>
      <w:r w:rsidRPr="002A5779">
        <w:rPr>
          <w:rFonts w:ascii="Times New Roman" w:hAnsi="Times New Roman"/>
          <w:i/>
          <w:sz w:val="24"/>
          <w:szCs w:val="24"/>
        </w:rPr>
        <w:t>Banca Carige</w:t>
      </w:r>
      <w:r w:rsidRPr="002A5779">
        <w:rPr>
          <w:rFonts w:ascii="Times New Roman" w:hAnsi="Times New Roman"/>
          <w:sz w:val="24"/>
          <w:szCs w:val="24"/>
        </w:rPr>
        <w:t xml:space="preserve">, whose case is analysed in this short article. The case of </w:t>
      </w:r>
      <w:r w:rsidRPr="002A5779">
        <w:rPr>
          <w:rFonts w:ascii="Times New Roman" w:hAnsi="Times New Roman"/>
          <w:i/>
          <w:sz w:val="24"/>
          <w:szCs w:val="24"/>
        </w:rPr>
        <w:t>Banca Carige</w:t>
      </w:r>
      <w:r w:rsidRPr="002A5779">
        <w:rPr>
          <w:rFonts w:ascii="Times New Roman" w:hAnsi="Times New Roman"/>
          <w:sz w:val="24"/>
          <w:szCs w:val="24"/>
        </w:rPr>
        <w:t xml:space="preserve"> and the case of the two Veneto banks had been characterised by the active intervention of the ECB, whose surveillance and managerial powers have been significantly expanded by recent reforms on the European Banking Union. This article explores how the ECB intervention had contributed to make the European banking system more stable and resilient overall.</w:t>
      </w:r>
    </w:p>
    <w:p w14:paraId="5D5B5B87" w14:textId="77777777" w:rsidR="002A5779" w:rsidRPr="002A5779" w:rsidRDefault="002A5779" w:rsidP="002A5779">
      <w:pPr>
        <w:spacing w:after="0"/>
        <w:rPr>
          <w:rFonts w:ascii="Times New Roman" w:hAnsi="Times New Roman"/>
          <w:sz w:val="24"/>
          <w:szCs w:val="24"/>
        </w:rPr>
      </w:pPr>
    </w:p>
    <w:p w14:paraId="2EEA67E3" w14:textId="77777777" w:rsidR="002A5779" w:rsidRPr="002A5779" w:rsidRDefault="002A5779" w:rsidP="002A5779">
      <w:pPr>
        <w:spacing w:after="0"/>
        <w:rPr>
          <w:rFonts w:ascii="Times New Roman" w:hAnsi="Times New Roman"/>
          <w:i/>
          <w:sz w:val="24"/>
          <w:szCs w:val="24"/>
        </w:rPr>
      </w:pPr>
      <w:r w:rsidRPr="002A5779">
        <w:rPr>
          <w:rFonts w:ascii="Times New Roman" w:hAnsi="Times New Roman"/>
          <w:i/>
          <w:sz w:val="24"/>
          <w:szCs w:val="24"/>
        </w:rPr>
        <w:t>The European Banking Union</w:t>
      </w:r>
    </w:p>
    <w:p w14:paraId="02CC8A03" w14:textId="77777777" w:rsidR="002A5779" w:rsidRDefault="002A5779" w:rsidP="002A5779">
      <w:pPr>
        <w:spacing w:after="0"/>
        <w:rPr>
          <w:rFonts w:ascii="Times New Roman" w:hAnsi="Times New Roman"/>
          <w:sz w:val="24"/>
          <w:szCs w:val="24"/>
        </w:rPr>
      </w:pPr>
    </w:p>
    <w:p w14:paraId="2D4005FA" w14:textId="788E6FB3" w:rsidR="002A5779" w:rsidRDefault="002A5779" w:rsidP="002A5779">
      <w:pPr>
        <w:spacing w:after="0"/>
        <w:rPr>
          <w:rFonts w:ascii="Times New Roman" w:hAnsi="Times New Roman"/>
          <w:sz w:val="24"/>
          <w:szCs w:val="24"/>
        </w:rPr>
      </w:pPr>
      <w:r w:rsidRPr="002A5779">
        <w:rPr>
          <w:rFonts w:ascii="Times New Roman" w:hAnsi="Times New Roman"/>
          <w:sz w:val="24"/>
          <w:szCs w:val="24"/>
        </w:rPr>
        <w:t>The unprecedented levels of state support pushed into the banking system in the form of taxpayers’ money, as well as the shortcomings in the existing tools available to national authorities to prevent or tackle bank failures, pushed the European Member St</w:t>
      </w:r>
      <w:r>
        <w:rPr>
          <w:rFonts w:ascii="Times New Roman" w:hAnsi="Times New Roman"/>
          <w:sz w:val="24"/>
          <w:szCs w:val="24"/>
        </w:rPr>
        <w:t xml:space="preserve">ates to create a banking union. </w:t>
      </w:r>
      <w:r w:rsidRPr="002A5779">
        <w:rPr>
          <w:rFonts w:ascii="Times New Roman" w:hAnsi="Times New Roman"/>
          <w:sz w:val="24"/>
          <w:szCs w:val="24"/>
        </w:rPr>
        <w:t>The banking union is based on a common set of rules called the Single Rule Book. It mainly consists of two initiatives, the Single Supervisory mechanism (‘SSM’) – which entered into force on 4 November 2014 – and the Single Resolution Mechanism (‘SRM’) – which entered into force on 1 January 2016</w:t>
      </w:r>
      <w:r>
        <w:rPr>
          <w:rFonts w:ascii="Times New Roman" w:hAnsi="Times New Roman"/>
          <w:sz w:val="24"/>
          <w:szCs w:val="24"/>
        </w:rPr>
        <w:t xml:space="preserve"> – along</w:t>
      </w:r>
      <w:r w:rsidRPr="002A5779">
        <w:rPr>
          <w:rFonts w:ascii="Times New Roman" w:hAnsi="Times New Roman"/>
          <w:sz w:val="24"/>
          <w:szCs w:val="24"/>
        </w:rPr>
        <w:t xml:space="preserve"> with the harmonisation of national deposit guarantee schemes. This system is complemented by the EU Bank Recovery and Resolution Directive (‘BRRD’).</w:t>
      </w:r>
      <w:r w:rsidRPr="002A5779">
        <w:rPr>
          <w:rStyle w:val="FootnoteReference"/>
          <w:rFonts w:ascii="Times New Roman" w:hAnsi="Times New Roman"/>
          <w:sz w:val="24"/>
          <w:szCs w:val="24"/>
        </w:rPr>
        <w:footnoteReference w:id="2"/>
      </w:r>
    </w:p>
    <w:p w14:paraId="7A51281D" w14:textId="77777777" w:rsidR="002A5779" w:rsidRPr="002A5779" w:rsidRDefault="002A5779" w:rsidP="002A5779">
      <w:pPr>
        <w:spacing w:after="0"/>
        <w:rPr>
          <w:rFonts w:ascii="Times New Roman" w:hAnsi="Times New Roman"/>
          <w:sz w:val="24"/>
          <w:szCs w:val="24"/>
        </w:rPr>
      </w:pPr>
    </w:p>
    <w:p w14:paraId="0C320065" w14:textId="167CDAE5" w:rsidR="002A5779" w:rsidRDefault="002A5779" w:rsidP="002A5779">
      <w:pPr>
        <w:spacing w:after="0"/>
        <w:rPr>
          <w:rFonts w:ascii="Times New Roman" w:hAnsi="Times New Roman"/>
          <w:sz w:val="24"/>
          <w:szCs w:val="24"/>
        </w:rPr>
      </w:pPr>
      <w:r w:rsidRPr="002A5779">
        <w:rPr>
          <w:rFonts w:ascii="Times New Roman" w:hAnsi="Times New Roman"/>
          <w:sz w:val="24"/>
          <w:szCs w:val="24"/>
        </w:rPr>
        <w:t>The SRM is an essential complement to the European Central Bank-led SSM for a more integrated oversight of banks and crisis management in the banking union. The BRRD provides uniform rules for the whole EU single market and the SRM sets out the institutional and funding architecture to apply these rules to Member States participating in the banking union.</w:t>
      </w:r>
    </w:p>
    <w:p w14:paraId="4EE64E7E" w14:textId="745E26AA" w:rsidR="002A5779" w:rsidRDefault="002A5779" w:rsidP="002A5779">
      <w:pPr>
        <w:spacing w:after="0"/>
        <w:rPr>
          <w:rFonts w:ascii="Times New Roman" w:hAnsi="Times New Roman"/>
          <w:sz w:val="24"/>
          <w:szCs w:val="24"/>
        </w:rPr>
      </w:pPr>
    </w:p>
    <w:p w14:paraId="5AFE415D" w14:textId="6CF2BD41" w:rsidR="002A5779" w:rsidRPr="002A5779" w:rsidRDefault="002A5779" w:rsidP="002A5779">
      <w:pPr>
        <w:spacing w:after="0"/>
        <w:rPr>
          <w:rFonts w:ascii="Times New Roman" w:hAnsi="Times New Roman"/>
          <w:i/>
          <w:sz w:val="24"/>
          <w:szCs w:val="24"/>
        </w:rPr>
      </w:pPr>
      <w:r w:rsidRPr="002A5779">
        <w:rPr>
          <w:rFonts w:ascii="Times New Roman" w:hAnsi="Times New Roman"/>
          <w:i/>
          <w:sz w:val="24"/>
          <w:szCs w:val="24"/>
        </w:rPr>
        <w:t>Recovery or Resolution?</w:t>
      </w:r>
    </w:p>
    <w:p w14:paraId="18F42484" w14:textId="77777777" w:rsidR="002A5779" w:rsidRPr="002A5779" w:rsidRDefault="002A5779" w:rsidP="002A5779">
      <w:pPr>
        <w:spacing w:after="0"/>
        <w:rPr>
          <w:rFonts w:ascii="Times New Roman" w:hAnsi="Times New Roman"/>
          <w:sz w:val="24"/>
          <w:szCs w:val="24"/>
        </w:rPr>
      </w:pPr>
    </w:p>
    <w:p w14:paraId="7545DB7C" w14:textId="77777777" w:rsidR="002A5779" w:rsidRPr="002A5779" w:rsidRDefault="002A5779" w:rsidP="002A5779">
      <w:pPr>
        <w:spacing w:after="0"/>
        <w:rPr>
          <w:rFonts w:ascii="Times New Roman" w:hAnsi="Times New Roman"/>
          <w:sz w:val="24"/>
          <w:szCs w:val="24"/>
        </w:rPr>
      </w:pPr>
      <w:r w:rsidRPr="002A5779">
        <w:rPr>
          <w:rFonts w:ascii="Times New Roman" w:hAnsi="Times New Roman"/>
          <w:sz w:val="24"/>
          <w:szCs w:val="24"/>
        </w:rPr>
        <w:t xml:space="preserve">Under the BRRD, banks are required to draft recovery plans to prepare for possible financial difficulties and restore their viability in a timely manner during periods of financial distress. Where recovery is not possible, the BRRD expressly provides for more draconian measures, i.e. resolution plans. In contrast to recovery plans, resolution plans are not drawn up by the </w:t>
      </w:r>
      <w:r w:rsidRPr="002A5779">
        <w:rPr>
          <w:rFonts w:ascii="Times New Roman" w:hAnsi="Times New Roman"/>
          <w:sz w:val="24"/>
          <w:szCs w:val="24"/>
        </w:rPr>
        <w:lastRenderedPageBreak/>
        <w:t>banks but are prepared and regularly updated by the Single Resolution Board (‘SRB’) and national resolution authorities.</w:t>
      </w:r>
    </w:p>
    <w:p w14:paraId="7F269F87" w14:textId="77777777" w:rsidR="002A5779" w:rsidRDefault="002A5779" w:rsidP="002A5779">
      <w:pPr>
        <w:spacing w:after="0"/>
        <w:rPr>
          <w:rFonts w:ascii="Times New Roman" w:hAnsi="Times New Roman"/>
          <w:sz w:val="24"/>
          <w:szCs w:val="24"/>
        </w:rPr>
      </w:pPr>
    </w:p>
    <w:p w14:paraId="1402181D" w14:textId="7560D6AE" w:rsidR="002A5779" w:rsidRDefault="002A5779" w:rsidP="002A5779">
      <w:pPr>
        <w:spacing w:after="0"/>
        <w:rPr>
          <w:rFonts w:ascii="Times New Roman" w:hAnsi="Times New Roman"/>
          <w:sz w:val="24"/>
          <w:szCs w:val="24"/>
        </w:rPr>
      </w:pPr>
      <w:r w:rsidRPr="002A5779">
        <w:rPr>
          <w:rFonts w:ascii="Times New Roman" w:hAnsi="Times New Roman"/>
          <w:sz w:val="24"/>
          <w:szCs w:val="24"/>
        </w:rPr>
        <w:t>A resolution plan comprises a comprehensive description of credible and feasible resolution actions which may be implemented under the SRM if a bank meets all</w:t>
      </w:r>
      <w:r>
        <w:rPr>
          <w:rFonts w:ascii="Times New Roman" w:hAnsi="Times New Roman"/>
          <w:sz w:val="24"/>
          <w:szCs w:val="24"/>
        </w:rPr>
        <w:t xml:space="preserve"> the conditions for resolution:</w:t>
      </w:r>
    </w:p>
    <w:p w14:paraId="1F18CDF8" w14:textId="77777777" w:rsidR="002A5779" w:rsidRPr="002A5779" w:rsidRDefault="002A5779" w:rsidP="002A5779">
      <w:pPr>
        <w:spacing w:after="0"/>
        <w:rPr>
          <w:rFonts w:ascii="Times New Roman" w:hAnsi="Times New Roman"/>
          <w:sz w:val="24"/>
          <w:szCs w:val="24"/>
        </w:rPr>
      </w:pPr>
    </w:p>
    <w:p w14:paraId="2F63D1F3" w14:textId="77777777" w:rsidR="002A5779" w:rsidRPr="002A5779" w:rsidRDefault="002A5779" w:rsidP="002A5779">
      <w:pPr>
        <w:pStyle w:val="ListParagraph"/>
        <w:numPr>
          <w:ilvl w:val="0"/>
          <w:numId w:val="31"/>
        </w:numPr>
        <w:spacing w:after="0" w:line="240" w:lineRule="auto"/>
        <w:jc w:val="both"/>
        <w:rPr>
          <w:rFonts w:ascii="Times New Roman" w:hAnsi="Times New Roman" w:cs="Times New Roman"/>
          <w:sz w:val="20"/>
          <w:szCs w:val="20"/>
        </w:rPr>
      </w:pPr>
      <w:r w:rsidRPr="002A5779">
        <w:rPr>
          <w:rFonts w:ascii="Times New Roman" w:hAnsi="Times New Roman" w:cs="Times New Roman"/>
          <w:sz w:val="20"/>
          <w:szCs w:val="20"/>
        </w:rPr>
        <w:t xml:space="preserve">The bank is declared as failed or likely to fail, </w:t>
      </w:r>
    </w:p>
    <w:p w14:paraId="2C80A9C3" w14:textId="77777777" w:rsidR="002A5779" w:rsidRDefault="002A5779" w:rsidP="002A5779">
      <w:pPr>
        <w:pStyle w:val="ListParagraph"/>
        <w:numPr>
          <w:ilvl w:val="0"/>
          <w:numId w:val="31"/>
        </w:numPr>
        <w:spacing w:after="0" w:line="240" w:lineRule="auto"/>
        <w:jc w:val="both"/>
        <w:rPr>
          <w:rFonts w:ascii="Times New Roman" w:hAnsi="Times New Roman" w:cs="Times New Roman"/>
          <w:sz w:val="20"/>
          <w:szCs w:val="20"/>
        </w:rPr>
      </w:pPr>
      <w:r w:rsidRPr="002A5779">
        <w:rPr>
          <w:rFonts w:ascii="Times New Roman" w:hAnsi="Times New Roman" w:cs="Times New Roman"/>
          <w:sz w:val="20"/>
          <w:szCs w:val="20"/>
        </w:rPr>
        <w:t xml:space="preserve">There are no supervisory or private sector measures that can restore the bank to viability within a short time frame (for example, by taking actions set out in its recovery plan); and </w:t>
      </w:r>
    </w:p>
    <w:p w14:paraId="1F4599E5" w14:textId="57B7428B" w:rsidR="002A5779" w:rsidRPr="002A5779" w:rsidRDefault="002A5779" w:rsidP="002A5779">
      <w:pPr>
        <w:pStyle w:val="ListParagraph"/>
        <w:numPr>
          <w:ilvl w:val="0"/>
          <w:numId w:val="31"/>
        </w:numPr>
        <w:spacing w:after="0" w:line="240" w:lineRule="auto"/>
        <w:jc w:val="both"/>
        <w:rPr>
          <w:rFonts w:ascii="Times New Roman" w:hAnsi="Times New Roman" w:cs="Times New Roman"/>
          <w:sz w:val="20"/>
          <w:szCs w:val="20"/>
        </w:rPr>
      </w:pPr>
      <w:r w:rsidRPr="002A5779">
        <w:rPr>
          <w:rFonts w:ascii="Times New Roman" w:hAnsi="Times New Roman" w:cs="Times New Roman"/>
          <w:sz w:val="20"/>
          <w:szCs w:val="20"/>
        </w:rPr>
        <w:t>A resolution is necessary and in the public interest.</w:t>
      </w:r>
    </w:p>
    <w:p w14:paraId="125E1401" w14:textId="77777777" w:rsidR="002A5779" w:rsidRDefault="002A5779" w:rsidP="002A5779">
      <w:pPr>
        <w:spacing w:after="0"/>
        <w:rPr>
          <w:rFonts w:ascii="Times New Roman" w:hAnsi="Times New Roman"/>
          <w:sz w:val="24"/>
          <w:szCs w:val="24"/>
          <w:u w:val="single"/>
        </w:rPr>
      </w:pPr>
    </w:p>
    <w:p w14:paraId="4C2DAD5F" w14:textId="15A26735" w:rsidR="002A5779" w:rsidRPr="002A5779" w:rsidRDefault="002A5779" w:rsidP="002A5779">
      <w:pPr>
        <w:spacing w:after="0"/>
        <w:rPr>
          <w:rFonts w:ascii="Times New Roman" w:hAnsi="Times New Roman"/>
          <w:i/>
          <w:sz w:val="24"/>
          <w:szCs w:val="24"/>
        </w:rPr>
      </w:pPr>
      <w:r w:rsidRPr="002A5779">
        <w:rPr>
          <w:rFonts w:ascii="Times New Roman" w:hAnsi="Times New Roman"/>
          <w:i/>
          <w:sz w:val="24"/>
          <w:szCs w:val="24"/>
        </w:rPr>
        <w:t>The Case of the Two Veneto Banks</w:t>
      </w:r>
    </w:p>
    <w:p w14:paraId="38841252" w14:textId="77777777" w:rsidR="002A5779" w:rsidRDefault="002A5779" w:rsidP="002A5779">
      <w:pPr>
        <w:spacing w:after="0"/>
        <w:rPr>
          <w:rFonts w:ascii="Times New Roman" w:hAnsi="Times New Roman"/>
          <w:sz w:val="24"/>
          <w:szCs w:val="24"/>
        </w:rPr>
      </w:pPr>
    </w:p>
    <w:p w14:paraId="18013C62" w14:textId="19B26A99" w:rsidR="002A5779" w:rsidRPr="002A5779" w:rsidRDefault="002A5779" w:rsidP="002A5779">
      <w:pPr>
        <w:spacing w:after="0"/>
        <w:rPr>
          <w:rFonts w:ascii="Times New Roman" w:hAnsi="Times New Roman"/>
          <w:sz w:val="24"/>
          <w:szCs w:val="24"/>
        </w:rPr>
      </w:pPr>
      <w:r w:rsidRPr="002A5779">
        <w:rPr>
          <w:rFonts w:ascii="Times New Roman" w:hAnsi="Times New Roman"/>
          <w:sz w:val="24"/>
          <w:szCs w:val="24"/>
        </w:rPr>
        <w:t>European resolution mechanisms were implemented for the first time in Italy in the case of the two Veneto banks.</w:t>
      </w:r>
      <w:r>
        <w:rPr>
          <w:rFonts w:ascii="Times New Roman" w:hAnsi="Times New Roman"/>
          <w:sz w:val="24"/>
          <w:szCs w:val="24"/>
        </w:rPr>
        <w:t xml:space="preserve"> </w:t>
      </w:r>
      <w:r w:rsidRPr="002A5779">
        <w:rPr>
          <w:rFonts w:ascii="Times New Roman" w:hAnsi="Times New Roman"/>
          <w:sz w:val="24"/>
          <w:szCs w:val="24"/>
        </w:rPr>
        <w:t>ECB has closely monitored the two banks (</w:t>
      </w:r>
      <w:r w:rsidRPr="002A5779">
        <w:rPr>
          <w:rFonts w:ascii="Times New Roman" w:hAnsi="Times New Roman"/>
          <w:i/>
          <w:sz w:val="24"/>
          <w:szCs w:val="24"/>
        </w:rPr>
        <w:t>Banca Popolare di Vicenza</w:t>
      </w:r>
      <w:r w:rsidRPr="002A5779">
        <w:rPr>
          <w:rFonts w:ascii="Times New Roman" w:hAnsi="Times New Roman"/>
          <w:sz w:val="24"/>
          <w:szCs w:val="24"/>
        </w:rPr>
        <w:t xml:space="preserve"> and </w:t>
      </w:r>
      <w:r w:rsidRPr="002A5779">
        <w:rPr>
          <w:rFonts w:ascii="Times New Roman" w:hAnsi="Times New Roman"/>
          <w:i/>
          <w:sz w:val="24"/>
          <w:szCs w:val="24"/>
        </w:rPr>
        <w:t>Veneto Banca</w:t>
      </w:r>
      <w:r w:rsidRPr="002A5779">
        <w:rPr>
          <w:rFonts w:ascii="Times New Roman" w:hAnsi="Times New Roman"/>
          <w:sz w:val="24"/>
          <w:szCs w:val="24"/>
        </w:rPr>
        <w:t xml:space="preserve">) since capital shortfalls were identified by the comprehensive assessment in 2014. Since then, the two banks have struggled to overcome high levels of non-performing loans and underlying challenges to their business models, which resulted in further deterioration of their financial position. In 2016, the </w:t>
      </w:r>
      <w:r w:rsidRPr="002A5779">
        <w:rPr>
          <w:rFonts w:ascii="Times New Roman" w:hAnsi="Times New Roman"/>
          <w:i/>
          <w:sz w:val="24"/>
          <w:szCs w:val="24"/>
        </w:rPr>
        <w:t>Atlante</w:t>
      </w:r>
      <w:r w:rsidRPr="002A5779">
        <w:rPr>
          <w:rFonts w:ascii="Times New Roman" w:hAnsi="Times New Roman"/>
          <w:sz w:val="24"/>
          <w:szCs w:val="24"/>
        </w:rPr>
        <w:t xml:space="preserve"> fund invested approximately </w:t>
      </w:r>
      <w:r>
        <w:rPr>
          <w:rFonts w:ascii="Times New Roman" w:hAnsi="Times New Roman"/>
          <w:sz w:val="24"/>
          <w:szCs w:val="24"/>
        </w:rPr>
        <w:t xml:space="preserve">EUR </w:t>
      </w:r>
      <w:r w:rsidRPr="002A5779">
        <w:rPr>
          <w:rFonts w:ascii="Times New Roman" w:hAnsi="Times New Roman"/>
          <w:sz w:val="24"/>
          <w:szCs w:val="24"/>
        </w:rPr>
        <w:t xml:space="preserve">3.5bn in </w:t>
      </w:r>
      <w:r w:rsidRPr="002A5779">
        <w:rPr>
          <w:rFonts w:ascii="Times New Roman" w:hAnsi="Times New Roman"/>
          <w:i/>
          <w:sz w:val="24"/>
          <w:szCs w:val="24"/>
        </w:rPr>
        <w:t>Veneto Banca</w:t>
      </w:r>
      <w:r w:rsidRPr="002A5779">
        <w:rPr>
          <w:rFonts w:ascii="Times New Roman" w:hAnsi="Times New Roman"/>
          <w:sz w:val="24"/>
          <w:szCs w:val="24"/>
        </w:rPr>
        <w:t xml:space="preserve"> and </w:t>
      </w:r>
      <w:r w:rsidRPr="002A5779">
        <w:rPr>
          <w:rFonts w:ascii="Times New Roman" w:hAnsi="Times New Roman"/>
          <w:i/>
          <w:sz w:val="24"/>
          <w:szCs w:val="24"/>
        </w:rPr>
        <w:t>Banca Popolare di Vicenza</w:t>
      </w:r>
      <w:r w:rsidRPr="002A5779">
        <w:rPr>
          <w:rFonts w:ascii="Times New Roman" w:hAnsi="Times New Roman"/>
          <w:sz w:val="24"/>
          <w:szCs w:val="24"/>
        </w:rPr>
        <w:t>. However, the financial position of the two banks deteriorated further in 2017. The ECB had therefore asked the banks to provide a capital plan to ensure compliance with capital requirements. Both banks presented business plans which were deemed not to be credible by the ECB.</w:t>
      </w:r>
    </w:p>
    <w:p w14:paraId="3F0987EB" w14:textId="77777777" w:rsidR="002A5779" w:rsidRDefault="002A5779" w:rsidP="002A5779">
      <w:pPr>
        <w:spacing w:after="0"/>
        <w:rPr>
          <w:rFonts w:ascii="Times New Roman" w:hAnsi="Times New Roman"/>
          <w:sz w:val="24"/>
          <w:szCs w:val="24"/>
        </w:rPr>
      </w:pPr>
    </w:p>
    <w:p w14:paraId="0C7FD25A" w14:textId="68269189" w:rsidR="002A5779" w:rsidRPr="002A5779" w:rsidRDefault="002A5779" w:rsidP="002A5779">
      <w:pPr>
        <w:spacing w:after="0"/>
        <w:rPr>
          <w:rFonts w:ascii="Times New Roman" w:hAnsi="Times New Roman"/>
          <w:sz w:val="24"/>
          <w:szCs w:val="24"/>
        </w:rPr>
      </w:pPr>
      <w:r w:rsidRPr="002A5779">
        <w:rPr>
          <w:rFonts w:ascii="Times New Roman" w:hAnsi="Times New Roman"/>
          <w:sz w:val="24"/>
          <w:szCs w:val="24"/>
        </w:rPr>
        <w:t>On 23 June 2017, the ECB determined that these two banks had failed or were likely to fail as they repeatedly breached supervisory capital requirements. The determination was made in accordance with Articles 18(1a) and 18(4a) of the SRM Regulation.</w:t>
      </w:r>
      <w:r w:rsidRPr="002A5779">
        <w:rPr>
          <w:rStyle w:val="FootnoteReference"/>
          <w:rFonts w:ascii="Times New Roman" w:hAnsi="Times New Roman"/>
          <w:sz w:val="24"/>
          <w:szCs w:val="24"/>
        </w:rPr>
        <w:footnoteReference w:id="3"/>
      </w:r>
      <w:r w:rsidRPr="002A5779">
        <w:rPr>
          <w:rFonts w:ascii="Times New Roman" w:hAnsi="Times New Roman"/>
          <w:sz w:val="24"/>
          <w:szCs w:val="24"/>
        </w:rPr>
        <w:t xml:space="preserve"> Nevertheless, the SRB decided not to intervene in the resolution of these banks, thus allowing their winding up to take place under national proceedings launched by Italian authorities. The SRB concluded that resolution actions were not warranted for these two banks as there was no public interest need. In fact, neither of these banks provided critical functions, and their failure was not expected to have a significant adverse impact on financial stability. </w:t>
      </w:r>
    </w:p>
    <w:p w14:paraId="5EF8838A" w14:textId="77777777" w:rsidR="002A5779" w:rsidRDefault="002A5779" w:rsidP="002A5779">
      <w:pPr>
        <w:spacing w:after="0"/>
        <w:rPr>
          <w:rFonts w:ascii="Times New Roman" w:hAnsi="Times New Roman"/>
          <w:sz w:val="24"/>
          <w:szCs w:val="24"/>
        </w:rPr>
      </w:pPr>
    </w:p>
    <w:p w14:paraId="1EB588B6" w14:textId="2AAA3679" w:rsidR="002A5779" w:rsidRPr="002A5779" w:rsidRDefault="002A5779" w:rsidP="002A5779">
      <w:pPr>
        <w:spacing w:after="0"/>
        <w:rPr>
          <w:rFonts w:ascii="Times New Roman" w:hAnsi="Times New Roman"/>
          <w:sz w:val="24"/>
          <w:szCs w:val="24"/>
        </w:rPr>
      </w:pPr>
      <w:r w:rsidRPr="002A5779">
        <w:rPr>
          <w:rFonts w:ascii="Times New Roman" w:hAnsi="Times New Roman"/>
          <w:sz w:val="24"/>
          <w:szCs w:val="24"/>
        </w:rPr>
        <w:t xml:space="preserve">Accordingly, two days later, the EC approved Italian measures to facilitate the liquidation of these banks under national insolvency law, signed off under EU rules. These measures involved the sale of the two banks' best assets to </w:t>
      </w:r>
      <w:r w:rsidRPr="002A5779">
        <w:rPr>
          <w:rFonts w:ascii="Times New Roman" w:hAnsi="Times New Roman"/>
          <w:i/>
          <w:sz w:val="24"/>
          <w:szCs w:val="24"/>
        </w:rPr>
        <w:t>Banca Intesa</w:t>
      </w:r>
      <w:r w:rsidRPr="002A5779">
        <w:rPr>
          <w:rFonts w:ascii="Times New Roman" w:hAnsi="Times New Roman"/>
          <w:sz w:val="24"/>
          <w:szCs w:val="24"/>
        </w:rPr>
        <w:t>. As a result, the joint intervention of the ECB and the EC facilitated the orderly liquidation of these two banks and the protection of their account holders.</w:t>
      </w:r>
    </w:p>
    <w:p w14:paraId="3C141085" w14:textId="77777777" w:rsidR="002A5779" w:rsidRDefault="002A5779" w:rsidP="002A5779">
      <w:pPr>
        <w:spacing w:after="0"/>
        <w:rPr>
          <w:rFonts w:ascii="Times New Roman" w:hAnsi="Times New Roman"/>
          <w:sz w:val="24"/>
          <w:szCs w:val="24"/>
          <w:u w:val="single"/>
        </w:rPr>
      </w:pPr>
    </w:p>
    <w:p w14:paraId="354A7990" w14:textId="2910627A" w:rsidR="002A5779" w:rsidRPr="002A5779" w:rsidRDefault="002A5779" w:rsidP="002A5779">
      <w:pPr>
        <w:spacing w:after="0"/>
        <w:rPr>
          <w:rFonts w:ascii="Times New Roman" w:hAnsi="Times New Roman"/>
          <w:i/>
          <w:sz w:val="24"/>
          <w:szCs w:val="24"/>
        </w:rPr>
      </w:pPr>
      <w:r w:rsidRPr="002A5779">
        <w:rPr>
          <w:rFonts w:ascii="Times New Roman" w:hAnsi="Times New Roman"/>
          <w:i/>
          <w:sz w:val="24"/>
          <w:szCs w:val="24"/>
        </w:rPr>
        <w:t xml:space="preserve">The </w:t>
      </w:r>
      <w:r>
        <w:rPr>
          <w:rFonts w:ascii="Times New Roman" w:hAnsi="Times New Roman"/>
          <w:i/>
          <w:sz w:val="24"/>
          <w:szCs w:val="24"/>
        </w:rPr>
        <w:t xml:space="preserve">Banca </w:t>
      </w:r>
      <w:r w:rsidRPr="002A5779">
        <w:rPr>
          <w:rFonts w:ascii="Times New Roman" w:hAnsi="Times New Roman"/>
          <w:i/>
          <w:sz w:val="24"/>
          <w:szCs w:val="24"/>
        </w:rPr>
        <w:t>Carige Case (</w:t>
      </w:r>
      <w:r w:rsidRPr="002A5779">
        <w:rPr>
          <w:rFonts w:ascii="Times New Roman" w:hAnsi="Times New Roman"/>
          <w:i/>
          <w:sz w:val="24"/>
          <w:szCs w:val="24"/>
        </w:rPr>
        <w:t>s</w:t>
      </w:r>
      <w:r w:rsidRPr="002A5779">
        <w:rPr>
          <w:rFonts w:ascii="Times New Roman" w:hAnsi="Times New Roman"/>
          <w:i/>
          <w:sz w:val="24"/>
          <w:szCs w:val="24"/>
        </w:rPr>
        <w:t>o</w:t>
      </w:r>
      <w:r w:rsidRPr="002A5779">
        <w:rPr>
          <w:rFonts w:ascii="Times New Roman" w:hAnsi="Times New Roman"/>
          <w:i/>
          <w:sz w:val="24"/>
          <w:szCs w:val="24"/>
        </w:rPr>
        <w:t xml:space="preserve"> </w:t>
      </w:r>
      <w:r w:rsidRPr="002A5779">
        <w:rPr>
          <w:rFonts w:ascii="Times New Roman" w:hAnsi="Times New Roman"/>
          <w:i/>
          <w:sz w:val="24"/>
          <w:szCs w:val="24"/>
        </w:rPr>
        <w:t>far)</w:t>
      </w:r>
    </w:p>
    <w:p w14:paraId="3E1115A7" w14:textId="77777777" w:rsidR="002A5779" w:rsidRDefault="002A5779" w:rsidP="002A5779">
      <w:pPr>
        <w:spacing w:after="0"/>
        <w:rPr>
          <w:rFonts w:ascii="Times New Roman" w:hAnsi="Times New Roman"/>
          <w:sz w:val="24"/>
          <w:szCs w:val="24"/>
        </w:rPr>
      </w:pPr>
    </w:p>
    <w:p w14:paraId="05265089" w14:textId="68CA905C" w:rsidR="002A5779" w:rsidRPr="002A5779" w:rsidRDefault="002A5779" w:rsidP="002A5779">
      <w:pPr>
        <w:spacing w:after="0"/>
        <w:rPr>
          <w:rFonts w:ascii="Times New Roman" w:hAnsi="Times New Roman"/>
          <w:sz w:val="24"/>
          <w:szCs w:val="24"/>
        </w:rPr>
      </w:pPr>
      <w:r w:rsidRPr="002A5779">
        <w:rPr>
          <w:rFonts w:ascii="Times New Roman" w:hAnsi="Times New Roman"/>
          <w:sz w:val="24"/>
          <w:szCs w:val="24"/>
        </w:rPr>
        <w:t xml:space="preserve">The recent appointment (2 January 2019) by the ECB of three temporary administrators and surveillance committee to replace the Board of Directors and take charge of </w:t>
      </w:r>
      <w:r w:rsidRPr="002A5779">
        <w:rPr>
          <w:rFonts w:ascii="Times New Roman" w:hAnsi="Times New Roman"/>
          <w:i/>
          <w:sz w:val="24"/>
          <w:szCs w:val="24"/>
        </w:rPr>
        <w:t>Banca Carige</w:t>
      </w:r>
      <w:r w:rsidRPr="002A5779">
        <w:rPr>
          <w:rFonts w:ascii="Times New Roman" w:hAnsi="Times New Roman"/>
          <w:sz w:val="24"/>
          <w:szCs w:val="24"/>
        </w:rPr>
        <w:t xml:space="preserve"> represents the first implementation of the ECB supervisory powers in Italy.</w:t>
      </w:r>
      <w:r w:rsidRPr="002A5779">
        <w:rPr>
          <w:rStyle w:val="FootnoteReference"/>
          <w:rFonts w:ascii="Times New Roman" w:hAnsi="Times New Roman"/>
          <w:sz w:val="24"/>
          <w:szCs w:val="24"/>
        </w:rPr>
        <w:footnoteReference w:id="4"/>
      </w:r>
      <w:r w:rsidRPr="002A5779">
        <w:rPr>
          <w:rFonts w:ascii="Times New Roman" w:hAnsi="Times New Roman"/>
          <w:sz w:val="24"/>
          <w:szCs w:val="24"/>
        </w:rPr>
        <w:t xml:space="preserve"> </w:t>
      </w:r>
    </w:p>
    <w:p w14:paraId="69EB67AA" w14:textId="08677487" w:rsidR="002A5779" w:rsidRDefault="002A5779" w:rsidP="002A5779">
      <w:pPr>
        <w:spacing w:after="0"/>
        <w:rPr>
          <w:rFonts w:ascii="Times New Roman" w:hAnsi="Times New Roman"/>
          <w:sz w:val="24"/>
          <w:szCs w:val="24"/>
        </w:rPr>
      </w:pPr>
      <w:r w:rsidRPr="002A5779">
        <w:rPr>
          <w:rFonts w:ascii="Times New Roman" w:hAnsi="Times New Roman"/>
          <w:sz w:val="24"/>
          <w:szCs w:val="24"/>
        </w:rPr>
        <w:lastRenderedPageBreak/>
        <w:t xml:space="preserve">The decision to impose temporary administration is an early intervention measure aimed at ensuring continuity and pursuing the objectives of a strategic plan. The appointment of the temporary administration resulted in the removal of </w:t>
      </w:r>
      <w:r w:rsidRPr="002A5779">
        <w:rPr>
          <w:rFonts w:ascii="Times New Roman" w:hAnsi="Times New Roman"/>
          <w:i/>
          <w:sz w:val="24"/>
          <w:szCs w:val="24"/>
        </w:rPr>
        <w:t>Banca Carige</w:t>
      </w:r>
      <w:r w:rsidRPr="002A5779">
        <w:rPr>
          <w:rFonts w:ascii="Times New Roman" w:hAnsi="Times New Roman"/>
          <w:sz w:val="24"/>
          <w:szCs w:val="24"/>
        </w:rPr>
        <w:t>’s management and control bodies. This choice was made necessary after the resignation of the majority of the board in order to stabilise the governance of the bank and implement those measures that are needed to ensure compliance with EU banking rules.</w:t>
      </w:r>
    </w:p>
    <w:p w14:paraId="03EE1F56" w14:textId="77777777" w:rsidR="002A5779" w:rsidRPr="002A5779" w:rsidRDefault="002A5779" w:rsidP="002A5779">
      <w:pPr>
        <w:spacing w:after="0"/>
        <w:rPr>
          <w:rFonts w:ascii="Times New Roman" w:hAnsi="Times New Roman"/>
          <w:sz w:val="24"/>
          <w:szCs w:val="24"/>
        </w:rPr>
      </w:pPr>
    </w:p>
    <w:p w14:paraId="77CEE34D" w14:textId="08840C54" w:rsidR="002A5779" w:rsidRDefault="002A5779" w:rsidP="002A5779">
      <w:pPr>
        <w:spacing w:after="0"/>
        <w:rPr>
          <w:rFonts w:ascii="Times New Roman" w:hAnsi="Times New Roman"/>
          <w:sz w:val="24"/>
          <w:szCs w:val="24"/>
        </w:rPr>
      </w:pPr>
      <w:r w:rsidRPr="002A5779">
        <w:rPr>
          <w:rFonts w:ascii="Times New Roman" w:hAnsi="Times New Roman"/>
          <w:sz w:val="24"/>
          <w:szCs w:val="24"/>
        </w:rPr>
        <w:t xml:space="preserve">This decision marked the first attempt to ensure consistent supervisory practices by EU Member States and to break the dangerous nexus between bank and government debt. In particular, the appointment of temporary administrators overcame the </w:t>
      </w:r>
      <w:r>
        <w:rPr>
          <w:rFonts w:ascii="Times New Roman" w:hAnsi="Times New Roman"/>
          <w:i/>
          <w:sz w:val="24"/>
          <w:szCs w:val="24"/>
        </w:rPr>
        <w:t>i</w:t>
      </w:r>
      <w:r w:rsidRPr="002A5779">
        <w:rPr>
          <w:rFonts w:ascii="Times New Roman" w:hAnsi="Times New Roman"/>
          <w:i/>
          <w:sz w:val="24"/>
          <w:szCs w:val="24"/>
        </w:rPr>
        <w:t>mpasse</w:t>
      </w:r>
      <w:r w:rsidRPr="002A5779">
        <w:rPr>
          <w:rFonts w:ascii="Times New Roman" w:hAnsi="Times New Roman"/>
          <w:sz w:val="24"/>
          <w:szCs w:val="24"/>
        </w:rPr>
        <w:t xml:space="preserve"> created by the refusal of the main shareholder (the Malacalza family, who owned 27.5% of </w:t>
      </w:r>
      <w:r w:rsidRPr="002A5779">
        <w:rPr>
          <w:rFonts w:ascii="Times New Roman" w:hAnsi="Times New Roman"/>
          <w:i/>
          <w:sz w:val="24"/>
          <w:szCs w:val="24"/>
        </w:rPr>
        <w:t>Banca Carige</w:t>
      </w:r>
      <w:r w:rsidRPr="002A5779">
        <w:rPr>
          <w:rFonts w:ascii="Times New Roman" w:hAnsi="Times New Roman"/>
          <w:sz w:val="24"/>
          <w:szCs w:val="24"/>
        </w:rPr>
        <w:t>) to approve a crucial cash call that was essential for the im</w:t>
      </w:r>
      <w:r>
        <w:rPr>
          <w:rFonts w:ascii="Times New Roman" w:hAnsi="Times New Roman"/>
          <w:sz w:val="24"/>
          <w:szCs w:val="24"/>
        </w:rPr>
        <w:t xml:space="preserve">plementation of a rescue plan. </w:t>
      </w:r>
      <w:r w:rsidRPr="002A5779">
        <w:rPr>
          <w:rFonts w:ascii="Times New Roman" w:hAnsi="Times New Roman"/>
          <w:sz w:val="24"/>
          <w:szCs w:val="24"/>
        </w:rPr>
        <w:t>By avoiding the potential liquidation of a major Italian bank, the ECB intervention strengthened</w:t>
      </w:r>
      <w:r w:rsidR="00065DA6">
        <w:rPr>
          <w:rFonts w:ascii="Times New Roman" w:hAnsi="Times New Roman"/>
          <w:sz w:val="24"/>
          <w:szCs w:val="24"/>
        </w:rPr>
        <w:t xml:space="preserve"> the positive track-</w:t>
      </w:r>
      <w:r w:rsidRPr="002A5779">
        <w:rPr>
          <w:rFonts w:ascii="Times New Roman" w:hAnsi="Times New Roman"/>
          <w:sz w:val="24"/>
          <w:szCs w:val="24"/>
        </w:rPr>
        <w:t>record that the SSM has built in the first few years of its operation and contributed to make the European banking system mor</w:t>
      </w:r>
      <w:r>
        <w:rPr>
          <w:rFonts w:ascii="Times New Roman" w:hAnsi="Times New Roman"/>
          <w:sz w:val="24"/>
          <w:szCs w:val="24"/>
        </w:rPr>
        <w:t>e stable and resilient overall.</w:t>
      </w:r>
    </w:p>
    <w:p w14:paraId="1CA9419D" w14:textId="2446E60D" w:rsidR="002A5779" w:rsidRDefault="002A5779" w:rsidP="002A5779">
      <w:pPr>
        <w:spacing w:after="0"/>
        <w:rPr>
          <w:rFonts w:ascii="Times New Roman" w:hAnsi="Times New Roman"/>
          <w:sz w:val="24"/>
          <w:szCs w:val="24"/>
        </w:rPr>
      </w:pPr>
    </w:p>
    <w:p w14:paraId="4EF4352C" w14:textId="1A1958D9" w:rsidR="002A5779" w:rsidRDefault="002A5779" w:rsidP="002A5779">
      <w:pPr>
        <w:spacing w:after="0"/>
        <w:rPr>
          <w:rFonts w:ascii="Times New Roman" w:hAnsi="Times New Roman"/>
          <w:sz w:val="24"/>
          <w:szCs w:val="24"/>
        </w:rPr>
      </w:pPr>
      <w:r w:rsidRPr="002A5779">
        <w:rPr>
          <w:rFonts w:ascii="Times New Roman" w:hAnsi="Times New Roman"/>
          <w:i/>
          <w:sz w:val="24"/>
          <w:szCs w:val="24"/>
        </w:rPr>
        <w:t>Conclusion</w:t>
      </w:r>
    </w:p>
    <w:p w14:paraId="59724908" w14:textId="1068ADB2" w:rsidR="002A5779" w:rsidRDefault="002A5779" w:rsidP="002A5779">
      <w:pPr>
        <w:spacing w:after="0"/>
        <w:rPr>
          <w:rFonts w:ascii="Times New Roman" w:hAnsi="Times New Roman"/>
          <w:sz w:val="24"/>
          <w:szCs w:val="24"/>
        </w:rPr>
      </w:pPr>
    </w:p>
    <w:p w14:paraId="1ADC4DD3" w14:textId="0967D4F4" w:rsidR="002A5779" w:rsidRPr="002A5779" w:rsidRDefault="002A5779" w:rsidP="002A5779">
      <w:pPr>
        <w:spacing w:after="0"/>
        <w:rPr>
          <w:rFonts w:ascii="Times New Roman" w:hAnsi="Times New Roman"/>
          <w:sz w:val="24"/>
          <w:szCs w:val="24"/>
        </w:rPr>
      </w:pPr>
      <w:r>
        <w:rPr>
          <w:rFonts w:ascii="Times New Roman" w:hAnsi="Times New Roman"/>
          <w:sz w:val="24"/>
          <w:szCs w:val="24"/>
        </w:rPr>
        <w:t xml:space="preserve">While it is still early to say what the eventual outcome will be in the case, the significance of the developments in the </w:t>
      </w:r>
      <w:r w:rsidRPr="0039013D">
        <w:rPr>
          <w:rFonts w:ascii="Times New Roman" w:hAnsi="Times New Roman"/>
          <w:i/>
          <w:sz w:val="24"/>
          <w:szCs w:val="24"/>
        </w:rPr>
        <w:t>Banca Carige</w:t>
      </w:r>
      <w:r>
        <w:rPr>
          <w:rFonts w:ascii="Times New Roman" w:hAnsi="Times New Roman"/>
          <w:sz w:val="24"/>
          <w:szCs w:val="24"/>
        </w:rPr>
        <w:t xml:space="preserve"> case is the new willingness of the ECB to invoke its supervisory powers. Whether this will continue as a feature in subsequent cases, in Italy or elsewhere, will be of interest.</w:t>
      </w:r>
    </w:p>
    <w:p w14:paraId="6EBDDED6" w14:textId="0CC600AF" w:rsidR="00876BCD" w:rsidRPr="002A5779" w:rsidRDefault="00876BCD" w:rsidP="002A5779">
      <w:pPr>
        <w:spacing w:after="0"/>
        <w:rPr>
          <w:rFonts w:ascii="Times New Roman" w:hAnsi="Times New Roman"/>
          <w:sz w:val="24"/>
          <w:szCs w:val="24"/>
        </w:rPr>
      </w:pPr>
    </w:p>
    <w:sectPr w:rsidR="00876BCD" w:rsidRPr="002A5779" w:rsidSect="00086E49">
      <w:headerReference w:type="default" r:id="rId10"/>
      <w:footerReference w:type="default" r:id="rId11"/>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E6A24" w14:textId="77777777" w:rsidR="004D1D7E" w:rsidRDefault="004D1D7E">
      <w:r>
        <w:separator/>
      </w:r>
    </w:p>
  </w:endnote>
  <w:endnote w:type="continuationSeparator" w:id="0">
    <w:p w14:paraId="16A25419" w14:textId="77777777" w:rsidR="004D1D7E" w:rsidRDefault="004D1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B2D72" w14:textId="77777777" w:rsidR="00BF3D3E" w:rsidRPr="001C5080" w:rsidRDefault="00BF3D3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E5C7C" w14:textId="77777777" w:rsidR="004D1D7E" w:rsidRDefault="004D1D7E">
      <w:r>
        <w:separator/>
      </w:r>
    </w:p>
  </w:footnote>
  <w:footnote w:type="continuationSeparator" w:id="0">
    <w:p w14:paraId="41637B17" w14:textId="77777777" w:rsidR="004D1D7E" w:rsidRDefault="004D1D7E">
      <w:r>
        <w:continuationSeparator/>
      </w:r>
    </w:p>
  </w:footnote>
  <w:footnote w:id="1">
    <w:p w14:paraId="56F301EC" w14:textId="77777777" w:rsidR="002A5779" w:rsidRPr="002A5779" w:rsidRDefault="002A5779" w:rsidP="002A5779">
      <w:pPr>
        <w:pStyle w:val="FootnoteText"/>
        <w:rPr>
          <w:rFonts w:ascii="Times New Roman" w:hAnsi="Times New Roman"/>
        </w:rPr>
      </w:pPr>
      <w:r w:rsidRPr="002A5779">
        <w:rPr>
          <w:rStyle w:val="FootnoteReference"/>
          <w:rFonts w:ascii="Times New Roman" w:hAnsi="Times New Roman"/>
        </w:rPr>
        <w:footnoteRef/>
      </w:r>
      <w:r w:rsidRPr="002A5779">
        <w:rPr>
          <w:rFonts w:ascii="Times New Roman" w:hAnsi="Times New Roman"/>
        </w:rPr>
        <w:t xml:space="preserve"> Commission Decision (EU) 2016/1208 of 23 December 2015 on State Aid granted by Italy to the bank Tercas (Case SA.39451 (2015/C) (ex 2015/NN) [2016] O.J. L 203/1</w:t>
      </w:r>
    </w:p>
  </w:footnote>
  <w:footnote w:id="2">
    <w:p w14:paraId="439DABCD" w14:textId="77777777" w:rsidR="002A5779" w:rsidRPr="002A5779" w:rsidRDefault="002A5779" w:rsidP="002A5779">
      <w:pPr>
        <w:pStyle w:val="FootnoteText"/>
        <w:rPr>
          <w:rFonts w:ascii="Times New Roman" w:hAnsi="Times New Roman"/>
        </w:rPr>
      </w:pPr>
      <w:r w:rsidRPr="002A5779">
        <w:rPr>
          <w:rStyle w:val="FootnoteReference"/>
          <w:rFonts w:ascii="Times New Roman" w:hAnsi="Times New Roman"/>
        </w:rPr>
        <w:footnoteRef/>
      </w:r>
      <w:r w:rsidRPr="002A5779">
        <w:rPr>
          <w:rFonts w:ascii="Times New Roman" w:hAnsi="Times New Roman"/>
        </w:rPr>
        <w:t xml:space="preserve"> Directive 2014/59/EU of the European Parliament and the Council of 15 May 20114 establishing a framework for the recovery and resolution of credit institutions and investment firms [2014] O.J. L 173/190.</w:t>
      </w:r>
    </w:p>
  </w:footnote>
  <w:footnote w:id="3">
    <w:p w14:paraId="12D4B4FC" w14:textId="77777777" w:rsidR="002A5779" w:rsidRPr="002A5779" w:rsidRDefault="002A5779" w:rsidP="002A5779">
      <w:pPr>
        <w:pStyle w:val="FootnoteText"/>
        <w:rPr>
          <w:rFonts w:ascii="Times New Roman" w:hAnsi="Times New Roman"/>
        </w:rPr>
      </w:pPr>
      <w:r w:rsidRPr="002A5779">
        <w:rPr>
          <w:rStyle w:val="FootnoteReference"/>
          <w:rFonts w:ascii="Times New Roman" w:hAnsi="Times New Roman"/>
        </w:rPr>
        <w:footnoteRef/>
      </w:r>
      <w:r w:rsidRPr="002A5779">
        <w:rPr>
          <w:rFonts w:ascii="Times New Roman" w:hAnsi="Times New Roman"/>
        </w:rPr>
        <w:t xml:space="preserve"> Regulation (EU) No 806/2014 of the European Parliament and of the Council of 15 July 2014 establishing uniform rules and a uniform procedure for the resolution of credit institutions and certain investment firms in the framework of a Single Resolution Mechanism and a Single Resolution Fund [2014] O.J. L 225/1.</w:t>
      </w:r>
    </w:p>
  </w:footnote>
  <w:footnote w:id="4">
    <w:p w14:paraId="052FF567" w14:textId="77777777" w:rsidR="002A5779" w:rsidRPr="002A5779" w:rsidRDefault="002A5779" w:rsidP="002A5779">
      <w:pPr>
        <w:pStyle w:val="FootnoteText"/>
        <w:rPr>
          <w:rFonts w:ascii="Times New Roman" w:hAnsi="Times New Roman"/>
        </w:rPr>
      </w:pPr>
      <w:r w:rsidRPr="002A5779">
        <w:rPr>
          <w:rStyle w:val="FootnoteReference"/>
          <w:rFonts w:ascii="Times New Roman" w:hAnsi="Times New Roman"/>
        </w:rPr>
        <w:footnoteRef/>
      </w:r>
      <w:r w:rsidRPr="002A5779">
        <w:rPr>
          <w:rFonts w:ascii="Times New Roman" w:hAnsi="Times New Roman"/>
        </w:rPr>
        <w:t xml:space="preserve"> Council Regulation (EU) No 1024/2013 of 15 October 2013 conferring specific tasks on the European Central Bank concerning policies relating to the prudential supervision of credit institutions [2013] O.J. L 287/63.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0D0DD" w14:textId="56B82136" w:rsidR="00BF3D3E" w:rsidRPr="00C2522B" w:rsidRDefault="00BF3D3E" w:rsidP="00C2522B">
    <w:pPr>
      <w:pStyle w:val="Header"/>
      <w:spacing w:after="0"/>
      <w:rPr>
        <w:rFonts w:ascii="Arial" w:hAnsi="Arial" w:cs="Arial"/>
        <w:b/>
      </w:rPr>
    </w:pPr>
    <w:r w:rsidRPr="00C2522B">
      <w:rPr>
        <w:rFonts w:ascii="Arial" w:hAnsi="Arial" w:cs="Arial"/>
        <w:b/>
      </w:rPr>
      <w:t>Inside Story (</w:t>
    </w:r>
    <w:r w:rsidR="00BD0697">
      <w:rPr>
        <w:rFonts w:ascii="Arial" w:hAnsi="Arial" w:cs="Arial"/>
        <w:b/>
      </w:rPr>
      <w:t>April</w:t>
    </w:r>
    <w:r w:rsidR="002A5779">
      <w:rPr>
        <w:rFonts w:ascii="Arial" w:hAnsi="Arial" w:cs="Arial"/>
        <w:b/>
      </w:rPr>
      <w:t xml:space="preserve"> 2019</w:t>
    </w:r>
    <w:r w:rsidRPr="00C2522B">
      <w:rPr>
        <w:rFonts w:ascii="Arial" w:hAnsi="Arial" w:cs="Arial"/>
        <w:b/>
      </w:rPr>
      <w:t>)</w:t>
    </w:r>
  </w:p>
  <w:p w14:paraId="5CB97EE8" w14:textId="2FBA9A21" w:rsidR="00BF3D3E" w:rsidRPr="00C2522B" w:rsidRDefault="002A5779" w:rsidP="00C2522B">
    <w:pPr>
      <w:pStyle w:val="Header"/>
      <w:spacing w:after="0"/>
      <w:rPr>
        <w:rFonts w:ascii="Arial" w:hAnsi="Arial" w:cs="Arial"/>
        <w:b/>
      </w:rPr>
    </w:pPr>
    <w:r>
      <w:rPr>
        <w:rFonts w:ascii="Arial" w:hAnsi="Arial" w:cs="Arial"/>
        <w:b/>
      </w:rPr>
      <w:t>Eugenio Vaccari</w:t>
    </w:r>
    <w:r w:rsidR="009069C9">
      <w:rPr>
        <w:rFonts w:ascii="Arial" w:hAnsi="Arial" w:cs="Arial"/>
        <w:b/>
      </w:rPr>
      <w:t xml:space="preserve"> </w:t>
    </w:r>
    <w:r w:rsidR="00BF3D3E" w:rsidRPr="00C2522B">
      <w:rPr>
        <w:rFonts w:ascii="Arial" w:hAnsi="Arial" w:cs="Arial"/>
        <w:b/>
      </w:rPr>
      <w:t>(</w:t>
    </w:r>
    <w:r>
      <w:rPr>
        <w:rFonts w:ascii="Arial" w:hAnsi="Arial" w:cs="Arial"/>
        <w:b/>
      </w:rPr>
      <w:t>Italy</w:t>
    </w:r>
    <w:r w:rsidR="00BF3D3E" w:rsidRPr="00C2522B">
      <w:rPr>
        <w:rFonts w:ascii="Arial" w:hAnsi="Arial" w:cs="Arial"/>
        <w:b/>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1E96E526"/>
    <w:lvl w:ilvl="0">
      <w:start w:val="1"/>
      <w:numFmt w:val="decimal"/>
      <w:lvlText w:val="%1."/>
      <w:lvlJc w:val="left"/>
      <w:pPr>
        <w:tabs>
          <w:tab w:val="num" w:pos="1209"/>
        </w:tabs>
        <w:ind w:left="1209" w:hanging="360"/>
      </w:pPr>
    </w:lvl>
  </w:abstractNum>
  <w:abstractNum w:abstractNumId="1" w15:restartNumberingAfterBreak="0">
    <w:nsid w:val="FFFFFF83"/>
    <w:multiLevelType w:val="singleLevel"/>
    <w:tmpl w:val="2056D4C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50F6471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6767F4E"/>
    <w:multiLevelType w:val="hybridMultilevel"/>
    <w:tmpl w:val="725CC10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AE63970"/>
    <w:multiLevelType w:val="hybridMultilevel"/>
    <w:tmpl w:val="3A66EE40"/>
    <w:lvl w:ilvl="0" w:tplc="A8F0816C">
      <w:start w:val="1"/>
      <w:numFmt w:val="decimal"/>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3B834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6F15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17664F7B"/>
    <w:multiLevelType w:val="multilevel"/>
    <w:tmpl w:val="0809001F"/>
    <w:lvl w:ilvl="0">
      <w:start w:val="1"/>
      <w:numFmt w:val="decimal"/>
      <w:lvlText w:val="%1."/>
      <w:lvlJc w:val="left"/>
      <w:pPr>
        <w:tabs>
          <w:tab w:val="num" w:pos="720"/>
        </w:tabs>
        <w:ind w:left="360" w:hanging="360"/>
      </w:pPr>
      <w:rPr>
        <w:rFonts w:ascii="Georgia" w:hAnsi="Georgia"/>
        <w:sz w:val="18"/>
      </w:rPr>
    </w:lvl>
    <w:lvl w:ilvl="1">
      <w:start w:val="1"/>
      <w:numFmt w:val="decimal"/>
      <w:lvlText w:val="%1.%2."/>
      <w:lvlJc w:val="left"/>
      <w:pPr>
        <w:tabs>
          <w:tab w:val="num" w:pos="1440"/>
        </w:tabs>
        <w:ind w:left="792" w:hanging="432"/>
      </w:pPr>
      <w:rPr>
        <w:rFonts w:ascii="Georgia" w:hAnsi="Georgia"/>
        <w:sz w:val="18"/>
      </w:rPr>
    </w:lvl>
    <w:lvl w:ilvl="2">
      <w:start w:val="1"/>
      <w:numFmt w:val="decimal"/>
      <w:lvlText w:val="%1.%2.%3."/>
      <w:lvlJc w:val="left"/>
      <w:pPr>
        <w:tabs>
          <w:tab w:val="num" w:pos="2160"/>
        </w:tabs>
        <w:ind w:left="1224" w:hanging="504"/>
      </w:pPr>
      <w:rPr>
        <w:rFonts w:ascii="Georgia" w:hAnsi="Georgia"/>
        <w:sz w:val="18"/>
      </w:rPr>
    </w:lvl>
    <w:lvl w:ilvl="3">
      <w:start w:val="1"/>
      <w:numFmt w:val="decimal"/>
      <w:lvlText w:val="%1.%2.%3.%4."/>
      <w:lvlJc w:val="left"/>
      <w:pPr>
        <w:tabs>
          <w:tab w:val="num" w:pos="2880"/>
        </w:tabs>
        <w:ind w:left="1728" w:hanging="648"/>
      </w:pPr>
      <w:rPr>
        <w:rFonts w:ascii="Georgia" w:hAnsi="Georgia"/>
        <w:sz w:val="18"/>
      </w:rPr>
    </w:lvl>
    <w:lvl w:ilvl="4">
      <w:start w:val="1"/>
      <w:numFmt w:val="decimal"/>
      <w:lvlText w:val="%1.%2.%3.%4.%5."/>
      <w:lvlJc w:val="left"/>
      <w:pPr>
        <w:tabs>
          <w:tab w:val="num" w:pos="3600"/>
        </w:tabs>
        <w:ind w:left="2232" w:hanging="792"/>
      </w:pPr>
      <w:rPr>
        <w:rFonts w:ascii="Georgia" w:hAnsi="Georgia"/>
        <w:sz w:val="18"/>
      </w:rPr>
    </w:lvl>
    <w:lvl w:ilvl="5">
      <w:start w:val="1"/>
      <w:numFmt w:val="decimal"/>
      <w:lvlText w:val="%1.%2.%3.%4.%5.%6."/>
      <w:lvlJc w:val="left"/>
      <w:pPr>
        <w:tabs>
          <w:tab w:val="num" w:pos="4320"/>
        </w:tabs>
        <w:ind w:left="2736" w:hanging="936"/>
      </w:pPr>
      <w:rPr>
        <w:rFonts w:ascii="Georgia" w:hAnsi="Georgia"/>
        <w:sz w:val="18"/>
      </w:rPr>
    </w:lvl>
    <w:lvl w:ilvl="6">
      <w:start w:val="1"/>
      <w:numFmt w:val="decimal"/>
      <w:lvlText w:val="%1.%2.%3.%4.%5.%6.%7."/>
      <w:lvlJc w:val="left"/>
      <w:pPr>
        <w:tabs>
          <w:tab w:val="num" w:pos="5040"/>
        </w:tabs>
        <w:ind w:left="3240" w:hanging="1080"/>
      </w:pPr>
      <w:rPr>
        <w:rFonts w:ascii="Georgia" w:hAnsi="Georgia"/>
        <w:sz w:val="18"/>
      </w:rPr>
    </w:lvl>
    <w:lvl w:ilvl="7">
      <w:start w:val="1"/>
      <w:numFmt w:val="decimal"/>
      <w:lvlText w:val="%1.%2.%3.%4.%5.%6.%7.%8."/>
      <w:lvlJc w:val="left"/>
      <w:pPr>
        <w:tabs>
          <w:tab w:val="num" w:pos="5760"/>
        </w:tabs>
        <w:ind w:left="3744" w:hanging="1224"/>
      </w:pPr>
      <w:rPr>
        <w:rFonts w:ascii="Georgia" w:hAnsi="Georgia"/>
        <w:sz w:val="18"/>
      </w:rPr>
    </w:lvl>
    <w:lvl w:ilvl="8">
      <w:start w:val="1"/>
      <w:numFmt w:val="decimal"/>
      <w:lvlText w:val="%1.%2.%3.%4.%5.%6.%7.%8.%9."/>
      <w:lvlJc w:val="left"/>
      <w:pPr>
        <w:tabs>
          <w:tab w:val="num" w:pos="6480"/>
        </w:tabs>
        <w:ind w:left="4320" w:hanging="1440"/>
      </w:pPr>
      <w:rPr>
        <w:rFonts w:ascii="Georgia" w:hAnsi="Georgia"/>
        <w:sz w:val="18"/>
      </w:rPr>
    </w:lvl>
  </w:abstractNum>
  <w:abstractNum w:abstractNumId="9" w15:restartNumberingAfterBreak="0">
    <w:nsid w:val="19A763CA"/>
    <w:multiLevelType w:val="hybridMultilevel"/>
    <w:tmpl w:val="9A124A0A"/>
    <w:lvl w:ilvl="0" w:tplc="2BB65A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1" w15:restartNumberingAfterBreak="0">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2" w15:restartNumberingAfterBreak="0">
    <w:nsid w:val="3E0D3FBF"/>
    <w:multiLevelType w:val="multilevel"/>
    <w:tmpl w:val="6F3CE9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18A1CB1"/>
    <w:multiLevelType w:val="hybridMultilevel"/>
    <w:tmpl w:val="EB360D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3FC5C96"/>
    <w:multiLevelType w:val="hybridMultilevel"/>
    <w:tmpl w:val="DD022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C8371DD"/>
    <w:multiLevelType w:val="hybridMultilevel"/>
    <w:tmpl w:val="AD8E96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7" w15:restartNumberingAfterBreak="0">
    <w:nsid w:val="53B1686F"/>
    <w:multiLevelType w:val="hybridMultilevel"/>
    <w:tmpl w:val="616E1A48"/>
    <w:lvl w:ilvl="0" w:tplc="74402DC0">
      <w:start w:val="1"/>
      <w:numFmt w:val="decimal"/>
      <w:lvlText w:val="%1."/>
      <w:lvlJc w:val="left"/>
      <w:pPr>
        <w:ind w:left="1440" w:hanging="360"/>
      </w:pPr>
      <w:rPr>
        <w:rFonts w:ascii="Georgia" w:hAnsi="Georgia" w:hint="default"/>
        <w:b w:val="0"/>
        <w:i w:val="0"/>
        <w:caps w:val="0"/>
        <w:strike w:val="0"/>
        <w:dstrike w:val="0"/>
        <w:vanish w:val="0"/>
        <w:sz w:val="18"/>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A0C5807"/>
    <w:multiLevelType w:val="hybridMultilevel"/>
    <w:tmpl w:val="181E8578"/>
    <w:lvl w:ilvl="0" w:tplc="BAEEAE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3EE41A1"/>
    <w:multiLevelType w:val="multilevel"/>
    <w:tmpl w:val="0809001D"/>
    <w:lvl w:ilvl="0">
      <w:start w:val="1"/>
      <w:numFmt w:val="decimal"/>
      <w:lvlText w:val="%1)"/>
      <w:lvlJc w:val="left"/>
      <w:pPr>
        <w:ind w:left="360" w:hanging="360"/>
      </w:pPr>
      <w:rPr>
        <w:rFonts w:ascii="Georgia" w:hAnsi="Georgia"/>
        <w:sz w:val="18"/>
      </w:rPr>
    </w:lvl>
    <w:lvl w:ilvl="1">
      <w:start w:val="1"/>
      <w:numFmt w:val="lowerLetter"/>
      <w:lvlText w:val="%2)"/>
      <w:lvlJc w:val="left"/>
      <w:pPr>
        <w:ind w:left="720" w:hanging="360"/>
      </w:pPr>
      <w:rPr>
        <w:rFonts w:ascii="Georgia" w:hAnsi="Georgia"/>
        <w:sz w:val="18"/>
      </w:rPr>
    </w:lvl>
    <w:lvl w:ilvl="2">
      <w:start w:val="1"/>
      <w:numFmt w:val="lowerRoman"/>
      <w:lvlText w:val="%3)"/>
      <w:lvlJc w:val="left"/>
      <w:pPr>
        <w:ind w:left="1080" w:hanging="360"/>
      </w:pPr>
      <w:rPr>
        <w:rFonts w:ascii="Georgia" w:hAnsi="Georgia"/>
        <w:sz w:val="18"/>
      </w:rPr>
    </w:lvl>
    <w:lvl w:ilvl="3">
      <w:start w:val="1"/>
      <w:numFmt w:val="decimal"/>
      <w:lvlText w:val="(%4)"/>
      <w:lvlJc w:val="left"/>
      <w:pPr>
        <w:ind w:left="1440" w:hanging="360"/>
      </w:pPr>
      <w:rPr>
        <w:rFonts w:ascii="Georgia" w:hAnsi="Georgia"/>
        <w:sz w:val="18"/>
      </w:rPr>
    </w:lvl>
    <w:lvl w:ilvl="4">
      <w:start w:val="1"/>
      <w:numFmt w:val="lowerLetter"/>
      <w:lvlText w:val="(%5)"/>
      <w:lvlJc w:val="left"/>
      <w:pPr>
        <w:ind w:left="1800" w:hanging="360"/>
      </w:pPr>
      <w:rPr>
        <w:rFonts w:ascii="Georgia" w:hAnsi="Georgia"/>
        <w:sz w:val="18"/>
      </w:rPr>
    </w:lvl>
    <w:lvl w:ilvl="5">
      <w:start w:val="1"/>
      <w:numFmt w:val="lowerRoman"/>
      <w:lvlText w:val="(%6)"/>
      <w:lvlJc w:val="left"/>
      <w:pPr>
        <w:ind w:left="2160" w:hanging="360"/>
      </w:pPr>
      <w:rPr>
        <w:rFonts w:ascii="Georgia" w:hAnsi="Georgia"/>
        <w:sz w:val="18"/>
      </w:rPr>
    </w:lvl>
    <w:lvl w:ilvl="6">
      <w:start w:val="1"/>
      <w:numFmt w:val="decimal"/>
      <w:lvlText w:val="%7."/>
      <w:lvlJc w:val="left"/>
      <w:pPr>
        <w:ind w:left="2520" w:hanging="360"/>
      </w:pPr>
      <w:rPr>
        <w:rFonts w:ascii="Georgia" w:hAnsi="Georgia"/>
        <w:sz w:val="18"/>
      </w:rPr>
    </w:lvl>
    <w:lvl w:ilvl="7">
      <w:start w:val="1"/>
      <w:numFmt w:val="lowerLetter"/>
      <w:lvlText w:val="%8."/>
      <w:lvlJc w:val="left"/>
      <w:pPr>
        <w:ind w:left="2880" w:hanging="360"/>
      </w:pPr>
      <w:rPr>
        <w:rFonts w:ascii="Georgia" w:hAnsi="Georgia"/>
        <w:sz w:val="18"/>
      </w:rPr>
    </w:lvl>
    <w:lvl w:ilvl="8">
      <w:start w:val="1"/>
      <w:numFmt w:val="lowerRoman"/>
      <w:lvlText w:val="%9."/>
      <w:lvlJc w:val="left"/>
      <w:pPr>
        <w:ind w:left="3240" w:hanging="360"/>
      </w:pPr>
      <w:rPr>
        <w:rFonts w:ascii="Georgia" w:hAnsi="Georgia"/>
        <w:sz w:val="18"/>
      </w:rPr>
    </w:lvl>
  </w:abstractNum>
  <w:num w:numId="1">
    <w:abstractNumId w:val="8"/>
  </w:num>
  <w:num w:numId="2">
    <w:abstractNumId w:val="5"/>
  </w:num>
  <w:num w:numId="3">
    <w:abstractNumId w:val="19"/>
  </w:num>
  <w:num w:numId="4">
    <w:abstractNumId w:val="10"/>
  </w:num>
  <w:num w:numId="5">
    <w:abstractNumId w:val="11"/>
  </w:num>
  <w:num w:numId="6">
    <w:abstractNumId w:val="20"/>
  </w:num>
  <w:num w:numId="7">
    <w:abstractNumId w:val="0"/>
  </w:num>
  <w:num w:numId="8">
    <w:abstractNumId w:val="7"/>
  </w:num>
  <w:num w:numId="9">
    <w:abstractNumId w:val="2"/>
  </w:num>
  <w:num w:numId="10">
    <w:abstractNumId w:val="1"/>
  </w:num>
  <w:num w:numId="11">
    <w:abstractNumId w:val="17"/>
  </w:num>
  <w:num w:numId="12">
    <w:abstractNumId w:val="6"/>
  </w:num>
  <w:num w:numId="13">
    <w:abstractNumId w:val="16"/>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5"/>
  </w:num>
  <w:num w:numId="21">
    <w:abstractNumId w:val="19"/>
  </w:num>
  <w:num w:numId="22">
    <w:abstractNumId w:val="11"/>
  </w:num>
  <w:num w:numId="23">
    <w:abstractNumId w:val="10"/>
  </w:num>
  <w:num w:numId="24">
    <w:abstractNumId w:val="18"/>
  </w:num>
  <w:num w:numId="25">
    <w:abstractNumId w:val="13"/>
  </w:num>
  <w:num w:numId="26">
    <w:abstractNumId w:val="15"/>
  </w:num>
  <w:num w:numId="27">
    <w:abstractNumId w:val="12"/>
  </w:num>
  <w:num w:numId="28">
    <w:abstractNumId w:val="14"/>
  </w:num>
  <w:num w:numId="29">
    <w:abstractNumId w:val="4"/>
  </w:num>
  <w:num w:numId="30">
    <w:abstractNumId w:val="9"/>
  </w:num>
  <w:num w:numId="3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3C5"/>
    <w:rsid w:val="00001C5A"/>
    <w:rsid w:val="000033DF"/>
    <w:rsid w:val="00065DA6"/>
    <w:rsid w:val="00086E49"/>
    <w:rsid w:val="000921F0"/>
    <w:rsid w:val="00092307"/>
    <w:rsid w:val="000C4532"/>
    <w:rsid w:val="000D3C8B"/>
    <w:rsid w:val="001258A8"/>
    <w:rsid w:val="00127C4A"/>
    <w:rsid w:val="00141375"/>
    <w:rsid w:val="00145356"/>
    <w:rsid w:val="001835B2"/>
    <w:rsid w:val="001934CC"/>
    <w:rsid w:val="001A713B"/>
    <w:rsid w:val="001C5080"/>
    <w:rsid w:val="001D3A90"/>
    <w:rsid w:val="001F119D"/>
    <w:rsid w:val="00247BAC"/>
    <w:rsid w:val="00276632"/>
    <w:rsid w:val="00280030"/>
    <w:rsid w:val="002A5779"/>
    <w:rsid w:val="002E09E9"/>
    <w:rsid w:val="003021B6"/>
    <w:rsid w:val="003217E3"/>
    <w:rsid w:val="0032563F"/>
    <w:rsid w:val="00340FF0"/>
    <w:rsid w:val="003518FD"/>
    <w:rsid w:val="003666A0"/>
    <w:rsid w:val="00367985"/>
    <w:rsid w:val="0039013D"/>
    <w:rsid w:val="00395D89"/>
    <w:rsid w:val="00396E5A"/>
    <w:rsid w:val="003978ED"/>
    <w:rsid w:val="003C284E"/>
    <w:rsid w:val="003C69AB"/>
    <w:rsid w:val="00404D9A"/>
    <w:rsid w:val="00415AEE"/>
    <w:rsid w:val="00415DDB"/>
    <w:rsid w:val="00437BFE"/>
    <w:rsid w:val="00440CF8"/>
    <w:rsid w:val="004433C5"/>
    <w:rsid w:val="00470254"/>
    <w:rsid w:val="00484F6D"/>
    <w:rsid w:val="004B3FED"/>
    <w:rsid w:val="004D1D7E"/>
    <w:rsid w:val="004F57B8"/>
    <w:rsid w:val="00535342"/>
    <w:rsid w:val="00557280"/>
    <w:rsid w:val="00557A0F"/>
    <w:rsid w:val="005764A7"/>
    <w:rsid w:val="00577785"/>
    <w:rsid w:val="00593E77"/>
    <w:rsid w:val="005D6C09"/>
    <w:rsid w:val="005D783E"/>
    <w:rsid w:val="005D79E3"/>
    <w:rsid w:val="005E7C6B"/>
    <w:rsid w:val="00617533"/>
    <w:rsid w:val="00623598"/>
    <w:rsid w:val="006441B0"/>
    <w:rsid w:val="00694350"/>
    <w:rsid w:val="006D0A86"/>
    <w:rsid w:val="006E7E8D"/>
    <w:rsid w:val="00703D03"/>
    <w:rsid w:val="00707113"/>
    <w:rsid w:val="00740F50"/>
    <w:rsid w:val="00772427"/>
    <w:rsid w:val="00790DFB"/>
    <w:rsid w:val="007C4484"/>
    <w:rsid w:val="007E1590"/>
    <w:rsid w:val="00807744"/>
    <w:rsid w:val="008432D1"/>
    <w:rsid w:val="00847988"/>
    <w:rsid w:val="00867725"/>
    <w:rsid w:val="00876BCD"/>
    <w:rsid w:val="00877CBB"/>
    <w:rsid w:val="00886023"/>
    <w:rsid w:val="009069C9"/>
    <w:rsid w:val="00933B42"/>
    <w:rsid w:val="0093601D"/>
    <w:rsid w:val="00976F27"/>
    <w:rsid w:val="00977889"/>
    <w:rsid w:val="0098305D"/>
    <w:rsid w:val="009B5E68"/>
    <w:rsid w:val="009E51C4"/>
    <w:rsid w:val="009F52F0"/>
    <w:rsid w:val="00A34959"/>
    <w:rsid w:val="00A3654A"/>
    <w:rsid w:val="00A81F5B"/>
    <w:rsid w:val="00AA741E"/>
    <w:rsid w:val="00AD3470"/>
    <w:rsid w:val="00AD6AE4"/>
    <w:rsid w:val="00B10912"/>
    <w:rsid w:val="00B40F88"/>
    <w:rsid w:val="00B46BCC"/>
    <w:rsid w:val="00BA1EF1"/>
    <w:rsid w:val="00BC4C0D"/>
    <w:rsid w:val="00BD0697"/>
    <w:rsid w:val="00BF3D3E"/>
    <w:rsid w:val="00C16DFA"/>
    <w:rsid w:val="00C2522B"/>
    <w:rsid w:val="00C96534"/>
    <w:rsid w:val="00CE09C4"/>
    <w:rsid w:val="00D31877"/>
    <w:rsid w:val="00D32C99"/>
    <w:rsid w:val="00D6291C"/>
    <w:rsid w:val="00DE5F99"/>
    <w:rsid w:val="00E007BF"/>
    <w:rsid w:val="00E2501C"/>
    <w:rsid w:val="00E37A5D"/>
    <w:rsid w:val="00E53ABF"/>
    <w:rsid w:val="00EB6116"/>
    <w:rsid w:val="00F20AC6"/>
    <w:rsid w:val="00F36532"/>
    <w:rsid w:val="00F55F2D"/>
    <w:rsid w:val="00F77372"/>
    <w:rsid w:val="00F90C01"/>
    <w:rsid w:val="00FB7C3C"/>
    <w:rsid w:val="00FD1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CD4EA"/>
  <w15:docId w15:val="{C6CF86BC-64A4-4E45-B73D-2A7622E78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uiPriority w:val="99"/>
    <w:rsid w:val="00740F50"/>
    <w:pPr>
      <w:spacing w:after="0"/>
    </w:pPr>
    <w:rPr>
      <w:sz w:val="20"/>
    </w:rPr>
  </w:style>
  <w:style w:type="character" w:customStyle="1" w:styleId="FootnoteTextChar">
    <w:name w:val="Footnote Text Char"/>
    <w:basedOn w:val="DefaultParagraphFont"/>
    <w:link w:val="FootnoteText"/>
    <w:uiPriority w:val="99"/>
    <w:rsid w:val="00740F50"/>
    <w:rPr>
      <w:rFonts w:ascii="Calibri" w:hAnsi="Calibri"/>
      <w:sz w:val="20"/>
      <w:szCs w:val="20"/>
    </w:rPr>
  </w:style>
  <w:style w:type="character" w:styleId="FootnoteReference">
    <w:name w:val="footnote reference"/>
    <w:basedOn w:val="DefaultParagraphFont"/>
    <w:uiPriority w:val="99"/>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
    <w:name w:val="Unresolved Mention"/>
    <w:basedOn w:val="DefaultParagraphFont"/>
    <w:uiPriority w:val="99"/>
    <w:semiHidden/>
    <w:unhideWhenUsed/>
    <w:rsid w:val="00D32C99"/>
    <w:rPr>
      <w:color w:val="808080"/>
      <w:shd w:val="clear" w:color="auto" w:fill="E6E6E6"/>
    </w:rPr>
  </w:style>
  <w:style w:type="paragraph" w:styleId="NormalWeb">
    <w:name w:val="Normal (Web)"/>
    <w:basedOn w:val="Normal"/>
    <w:uiPriority w:val="99"/>
    <w:semiHidden/>
    <w:unhideWhenUsed/>
    <w:rsid w:val="00BD0697"/>
    <w:pPr>
      <w:spacing w:before="100" w:beforeAutospacing="1" w:after="100" w:afterAutospacing="1"/>
      <w:jc w:val="left"/>
    </w:pPr>
    <w:rPr>
      <w:rFonts w:ascii="Times New Roman" w:hAnsi="Times New Roman"/>
      <w:sz w:val="24"/>
      <w:szCs w:val="24"/>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acouss@esse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1C4FF-77C3-46F6-8BE1-3F97380F9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1414</Words>
  <Characters>8062</Characters>
  <Application>Microsoft Office Word</Application>
  <DocSecurity>0</DocSecurity>
  <PresentationFormat/>
  <Lines>67</Lines>
  <Paragraphs>18</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9458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Paul Omar</cp:lastModifiedBy>
  <cp:revision>10</cp:revision>
  <cp:lastPrinted>2017-11-20T20:14:00Z</cp:lastPrinted>
  <dcterms:created xsi:type="dcterms:W3CDTF">2018-03-28T10:47:00Z</dcterms:created>
  <dcterms:modified xsi:type="dcterms:W3CDTF">2019-03-06T11:12:00Z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