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2A3D" w14:textId="77777777" w:rsidR="005D783E" w:rsidRPr="00BF3D3E" w:rsidRDefault="005D783E" w:rsidP="000F05B4">
      <w:pPr>
        <w:spacing w:after="0"/>
        <w:rPr>
          <w:rFonts w:ascii="Times New Roman" w:hAnsi="Times New Roman"/>
          <w:sz w:val="24"/>
          <w:szCs w:val="24"/>
        </w:rPr>
      </w:pPr>
    </w:p>
    <w:p w14:paraId="00F31AC4" w14:textId="77777777" w:rsidR="00617533" w:rsidRDefault="00617533" w:rsidP="000F05B4">
      <w:pPr>
        <w:spacing w:after="0"/>
        <w:jc w:val="center"/>
        <w:rPr>
          <w:rFonts w:ascii="Times New Roman" w:hAnsi="Times New Roman"/>
          <w:b/>
          <w:sz w:val="24"/>
          <w:szCs w:val="24"/>
        </w:rPr>
      </w:pPr>
      <w:r w:rsidRPr="00357374">
        <w:rPr>
          <w:rFonts w:ascii="Verdana" w:eastAsia="Cambria" w:hAnsi="Verdana"/>
          <w:b/>
          <w:noProof/>
          <w:sz w:val="36"/>
          <w:szCs w:val="36"/>
          <w:lang w:val="nl-NL" w:eastAsia="nl-NL"/>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0F05B4">
      <w:pPr>
        <w:spacing w:after="0"/>
        <w:jc w:val="center"/>
        <w:rPr>
          <w:rFonts w:ascii="Times New Roman" w:hAnsi="Times New Roman"/>
          <w:b/>
          <w:sz w:val="24"/>
          <w:szCs w:val="24"/>
        </w:rPr>
      </w:pPr>
    </w:p>
    <w:p w14:paraId="545E44B6" w14:textId="3090E5B0" w:rsidR="00617533" w:rsidRPr="00617533" w:rsidRDefault="00617533" w:rsidP="000F05B4">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0F05B4">
        <w:rPr>
          <w:rFonts w:ascii="Times New Roman" w:hAnsi="Times New Roman"/>
          <w:b/>
          <w:sz w:val="36"/>
          <w:szCs w:val="36"/>
        </w:rPr>
        <w:t>August</w:t>
      </w:r>
      <w:r w:rsidR="00A81A5C">
        <w:rPr>
          <w:rFonts w:ascii="Times New Roman" w:hAnsi="Times New Roman"/>
          <w:b/>
          <w:sz w:val="36"/>
          <w:szCs w:val="36"/>
        </w:rPr>
        <w:t xml:space="preserve"> 2019</w:t>
      </w:r>
    </w:p>
    <w:p w14:paraId="3F7EEBFB" w14:textId="77777777" w:rsidR="00617533" w:rsidRDefault="00617533" w:rsidP="000F05B4">
      <w:pPr>
        <w:spacing w:after="0"/>
        <w:jc w:val="center"/>
        <w:rPr>
          <w:rFonts w:ascii="Times New Roman" w:hAnsi="Times New Roman"/>
          <w:b/>
          <w:sz w:val="24"/>
          <w:szCs w:val="24"/>
        </w:rPr>
      </w:pPr>
    </w:p>
    <w:p w14:paraId="55CA50BC" w14:textId="01B0F725" w:rsidR="00DE7BB0" w:rsidRPr="00DE7BB0" w:rsidRDefault="000F05B4" w:rsidP="000F05B4">
      <w:pPr>
        <w:spacing w:after="0"/>
        <w:jc w:val="center"/>
        <w:rPr>
          <w:rFonts w:ascii="Times New Roman" w:hAnsi="Times New Roman"/>
          <w:b/>
          <w:sz w:val="28"/>
          <w:szCs w:val="28"/>
        </w:rPr>
      </w:pPr>
      <w:r>
        <w:rPr>
          <w:rFonts w:ascii="Times New Roman" w:hAnsi="Times New Roman"/>
          <w:b/>
          <w:sz w:val="28"/>
          <w:szCs w:val="28"/>
        </w:rPr>
        <w:t>The Riddle of Recognition</w:t>
      </w:r>
      <w:r w:rsidR="00A81A5C">
        <w:rPr>
          <w:rFonts w:ascii="Times New Roman" w:hAnsi="Times New Roman"/>
          <w:b/>
          <w:sz w:val="28"/>
          <w:szCs w:val="28"/>
        </w:rPr>
        <w:t xml:space="preserve">: </w:t>
      </w:r>
      <w:r>
        <w:rPr>
          <w:rFonts w:ascii="Times New Roman" w:hAnsi="Times New Roman"/>
          <w:b/>
          <w:sz w:val="28"/>
          <w:szCs w:val="28"/>
        </w:rPr>
        <w:t>Russia’s Enigmatic Approach to Territoriality</w:t>
      </w:r>
    </w:p>
    <w:p w14:paraId="032FD235" w14:textId="053B7A2A" w:rsidR="005D783E" w:rsidRDefault="005D783E" w:rsidP="000F05B4">
      <w:pPr>
        <w:spacing w:after="0"/>
        <w:jc w:val="center"/>
        <w:rPr>
          <w:rFonts w:ascii="Times New Roman" w:hAnsi="Times New Roman"/>
          <w:b/>
          <w:sz w:val="24"/>
          <w:szCs w:val="24"/>
        </w:rPr>
      </w:pPr>
    </w:p>
    <w:p w14:paraId="4508B32C" w14:textId="555AB67F" w:rsidR="000F05B4" w:rsidRDefault="000F05B4" w:rsidP="000F05B4">
      <w:pPr>
        <w:spacing w:after="0"/>
        <w:jc w:val="center"/>
        <w:rPr>
          <w:rFonts w:ascii="Times New Roman" w:hAnsi="Times New Roman"/>
          <w:i/>
          <w:sz w:val="24"/>
          <w:szCs w:val="24"/>
        </w:rPr>
      </w:pPr>
      <w:r>
        <w:rPr>
          <w:rFonts w:ascii="Times New Roman" w:hAnsi="Times New Roman"/>
          <w:i/>
          <w:sz w:val="24"/>
          <w:szCs w:val="24"/>
        </w:rPr>
        <w:t xml:space="preserve">Ilya Kokorin, of Counsel, </w:t>
      </w:r>
      <w:proofErr w:type="spellStart"/>
      <w:r>
        <w:rPr>
          <w:rFonts w:ascii="Times New Roman" w:hAnsi="Times New Roman"/>
          <w:i/>
          <w:sz w:val="24"/>
          <w:szCs w:val="24"/>
        </w:rPr>
        <w:t>Buzko</w:t>
      </w:r>
      <w:proofErr w:type="spellEnd"/>
      <w:r>
        <w:rPr>
          <w:rFonts w:ascii="Times New Roman" w:hAnsi="Times New Roman"/>
          <w:i/>
          <w:sz w:val="24"/>
          <w:szCs w:val="24"/>
        </w:rPr>
        <w:t xml:space="preserve"> and Partners, Russia; </w:t>
      </w:r>
    </w:p>
    <w:p w14:paraId="79CE76DF" w14:textId="77777777" w:rsidR="000F05B4" w:rsidRPr="00CF6839" w:rsidRDefault="000F05B4" w:rsidP="000F05B4">
      <w:pPr>
        <w:spacing w:after="0"/>
        <w:jc w:val="center"/>
        <w:rPr>
          <w:rFonts w:ascii="Times New Roman" w:hAnsi="Times New Roman"/>
          <w:i/>
          <w:sz w:val="24"/>
          <w:szCs w:val="24"/>
          <w:lang w:val="fr-FR"/>
        </w:rPr>
      </w:pPr>
      <w:proofErr w:type="spellStart"/>
      <w:r w:rsidRPr="00CF6839">
        <w:rPr>
          <w:rFonts w:ascii="Times New Roman" w:hAnsi="Times New Roman"/>
          <w:i/>
          <w:sz w:val="24"/>
          <w:szCs w:val="24"/>
          <w:lang w:val="fr-FR"/>
        </w:rPr>
        <w:t>Lecturer</w:t>
      </w:r>
      <w:proofErr w:type="spellEnd"/>
      <w:r w:rsidRPr="00CF6839">
        <w:rPr>
          <w:rFonts w:ascii="Times New Roman" w:hAnsi="Times New Roman"/>
          <w:i/>
          <w:sz w:val="24"/>
          <w:szCs w:val="24"/>
          <w:lang w:val="fr-FR"/>
        </w:rPr>
        <w:t xml:space="preserve">, </w:t>
      </w:r>
      <w:proofErr w:type="spellStart"/>
      <w:r w:rsidRPr="00CF6839">
        <w:rPr>
          <w:rFonts w:ascii="Times New Roman" w:hAnsi="Times New Roman"/>
          <w:i/>
          <w:sz w:val="24"/>
          <w:szCs w:val="24"/>
          <w:lang w:val="fr-FR"/>
        </w:rPr>
        <w:t>Leiden</w:t>
      </w:r>
      <w:proofErr w:type="spellEnd"/>
      <w:r w:rsidRPr="00CF6839">
        <w:rPr>
          <w:rFonts w:ascii="Times New Roman" w:hAnsi="Times New Roman"/>
          <w:i/>
          <w:sz w:val="24"/>
          <w:szCs w:val="24"/>
          <w:lang w:val="fr-FR"/>
        </w:rPr>
        <w:t xml:space="preserve"> </w:t>
      </w:r>
      <w:proofErr w:type="spellStart"/>
      <w:r w:rsidRPr="00CF6839">
        <w:rPr>
          <w:rFonts w:ascii="Times New Roman" w:hAnsi="Times New Roman"/>
          <w:i/>
          <w:sz w:val="24"/>
          <w:szCs w:val="24"/>
          <w:lang w:val="fr-FR"/>
        </w:rPr>
        <w:t>University</w:t>
      </w:r>
      <w:proofErr w:type="spellEnd"/>
    </w:p>
    <w:p w14:paraId="2FFC6CA5" w14:textId="00B34BB1" w:rsidR="00DE7BB0" w:rsidRPr="000F05B4" w:rsidRDefault="000F05B4" w:rsidP="000F05B4">
      <w:pPr>
        <w:spacing w:after="0"/>
        <w:jc w:val="center"/>
        <w:rPr>
          <w:rFonts w:ascii="Times New Roman" w:hAnsi="Times New Roman"/>
          <w:i/>
          <w:sz w:val="24"/>
          <w:szCs w:val="24"/>
          <w:lang w:val="fr-FR"/>
        </w:rPr>
      </w:pPr>
      <w:hyperlink r:id="rId9" w:history="1">
        <w:r w:rsidRPr="00CF6839">
          <w:rPr>
            <w:rStyle w:val="Hyperlink"/>
            <w:rFonts w:ascii="Times New Roman" w:hAnsi="Times New Roman"/>
            <w:i/>
            <w:color w:val="auto"/>
            <w:sz w:val="24"/>
            <w:szCs w:val="24"/>
            <w:u w:val="none"/>
            <w:lang w:val="fr-FR"/>
          </w:rPr>
          <w:t>i.kokorin@law.leidenuniv.nl</w:t>
        </w:r>
      </w:hyperlink>
    </w:p>
    <w:p w14:paraId="7EFF95BD" w14:textId="77777777" w:rsidR="00C26BCF" w:rsidRPr="000F05B4" w:rsidRDefault="00C26BCF" w:rsidP="000F05B4">
      <w:pPr>
        <w:spacing w:after="0"/>
        <w:rPr>
          <w:rFonts w:ascii="Times New Roman" w:hAnsi="Times New Roman"/>
          <w:sz w:val="24"/>
          <w:szCs w:val="24"/>
          <w:lang w:val="fr-FR"/>
        </w:rPr>
      </w:pPr>
    </w:p>
    <w:p w14:paraId="11E097FC" w14:textId="456469D2" w:rsidR="000F05B4" w:rsidRDefault="00C26BCF" w:rsidP="000F05B4">
      <w:pPr>
        <w:spacing w:after="0"/>
        <w:rPr>
          <w:rFonts w:ascii="Times New Roman" w:hAnsi="Times New Roman"/>
          <w:sz w:val="24"/>
          <w:szCs w:val="24"/>
          <w:lang w:val="en-US"/>
        </w:rPr>
      </w:pPr>
      <w:r w:rsidRPr="000F05B4">
        <w:rPr>
          <w:rFonts w:ascii="Times New Roman" w:hAnsi="Times New Roman"/>
          <w:b/>
          <w:bCs/>
          <w:sz w:val="24"/>
          <w:szCs w:val="24"/>
        </w:rPr>
        <w:t>Introduction</w:t>
      </w:r>
    </w:p>
    <w:p w14:paraId="383C7C60" w14:textId="77777777" w:rsidR="000F05B4" w:rsidRPr="000F05B4" w:rsidRDefault="000F05B4" w:rsidP="000F05B4">
      <w:pPr>
        <w:spacing w:after="0"/>
        <w:rPr>
          <w:rFonts w:ascii="Times New Roman" w:hAnsi="Times New Roman"/>
          <w:sz w:val="24"/>
          <w:szCs w:val="24"/>
          <w:lang w:val="en-US"/>
        </w:rPr>
      </w:pPr>
    </w:p>
    <w:p w14:paraId="5F69B380" w14:textId="037C359D"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In a series of recent judgments</w:t>
      </w:r>
      <w:r>
        <w:rPr>
          <w:rFonts w:ascii="Times New Roman" w:hAnsi="Times New Roman"/>
          <w:sz w:val="24"/>
          <w:szCs w:val="24"/>
          <w:lang w:val="en-US"/>
        </w:rPr>
        <w:t>,</w:t>
      </w:r>
      <w:r w:rsidRPr="000F05B4">
        <w:rPr>
          <w:rFonts w:ascii="Times New Roman" w:hAnsi="Times New Roman"/>
          <w:sz w:val="24"/>
          <w:szCs w:val="24"/>
          <w:lang w:val="en-US"/>
        </w:rPr>
        <w:t xml:space="preserve"> Russian courts </w:t>
      </w:r>
      <w:r>
        <w:rPr>
          <w:rFonts w:ascii="Times New Roman" w:hAnsi="Times New Roman"/>
          <w:sz w:val="24"/>
          <w:szCs w:val="24"/>
          <w:lang w:val="en-US"/>
        </w:rPr>
        <w:t xml:space="preserve">have </w:t>
      </w:r>
      <w:r w:rsidRPr="000F05B4">
        <w:rPr>
          <w:rFonts w:ascii="Times New Roman" w:hAnsi="Times New Roman"/>
          <w:sz w:val="24"/>
          <w:szCs w:val="24"/>
          <w:lang w:val="en-US"/>
        </w:rPr>
        <w:t>confirmed the</w:t>
      </w:r>
      <w:r>
        <w:rPr>
          <w:rFonts w:ascii="Times New Roman" w:hAnsi="Times New Roman"/>
          <w:sz w:val="24"/>
          <w:szCs w:val="24"/>
          <w:lang w:val="en-US"/>
        </w:rPr>
        <w:t>ir</w:t>
      </w:r>
      <w:r w:rsidRPr="000F05B4">
        <w:rPr>
          <w:rFonts w:ascii="Times New Roman" w:hAnsi="Times New Roman"/>
          <w:sz w:val="24"/>
          <w:szCs w:val="24"/>
          <w:lang w:val="en-US"/>
        </w:rPr>
        <w:t xml:space="preserve"> territorial approach to international insolvencies. These cases concerned recognition of foreign insolvency proceedings (foreign insolvency judgments), originating from the Czech Republic. In one of the</w:t>
      </w:r>
      <w:r>
        <w:rPr>
          <w:rFonts w:ascii="Times New Roman" w:hAnsi="Times New Roman"/>
          <w:sz w:val="24"/>
          <w:szCs w:val="24"/>
          <w:lang w:val="en-US"/>
        </w:rPr>
        <w:t>se</w:t>
      </w:r>
      <w:r w:rsidRPr="000F05B4">
        <w:rPr>
          <w:rFonts w:ascii="Times New Roman" w:hAnsi="Times New Roman"/>
          <w:sz w:val="24"/>
          <w:szCs w:val="24"/>
          <w:lang w:val="en-US"/>
        </w:rPr>
        <w:t xml:space="preserve">, the court in Moscow refused to recognize and enforce the judgment of the Regional Court of Brno, which held the Czech company, PSJ </w:t>
      </w:r>
      <w:proofErr w:type="spellStart"/>
      <w:r w:rsidRPr="000F05B4">
        <w:rPr>
          <w:rFonts w:ascii="Times New Roman" w:hAnsi="Times New Roman"/>
          <w:sz w:val="24"/>
          <w:szCs w:val="24"/>
          <w:lang w:val="en-US"/>
        </w:rPr>
        <w:t>a.s</w:t>
      </w:r>
      <w:proofErr w:type="spellEnd"/>
      <w:r w:rsidRPr="000F05B4">
        <w:rPr>
          <w:rFonts w:ascii="Times New Roman" w:hAnsi="Times New Roman"/>
          <w:sz w:val="24"/>
          <w:szCs w:val="24"/>
          <w:lang w:val="en-US"/>
        </w:rPr>
        <w:t>., to be insolvent.</w:t>
      </w:r>
      <w:r w:rsidRPr="000F05B4">
        <w:rPr>
          <w:rStyle w:val="FootnoteReference"/>
          <w:rFonts w:ascii="Times New Roman" w:hAnsi="Times New Roman"/>
          <w:sz w:val="24"/>
          <w:szCs w:val="24"/>
          <w:lang w:val="en-US"/>
        </w:rPr>
        <w:footnoteReference w:id="1"/>
      </w:r>
      <w:r w:rsidRPr="000F05B4">
        <w:rPr>
          <w:rFonts w:ascii="Times New Roman" w:hAnsi="Times New Roman"/>
          <w:sz w:val="24"/>
          <w:szCs w:val="24"/>
          <w:lang w:val="en-US"/>
        </w:rPr>
        <w:t xml:space="preserve"> The second case related to </w:t>
      </w:r>
      <w:r>
        <w:rPr>
          <w:rFonts w:ascii="Times New Roman" w:hAnsi="Times New Roman"/>
          <w:sz w:val="24"/>
          <w:szCs w:val="24"/>
          <w:lang w:val="en-US"/>
        </w:rPr>
        <w:t xml:space="preserve">the </w:t>
      </w:r>
      <w:r w:rsidRPr="000F05B4">
        <w:rPr>
          <w:rFonts w:ascii="Times New Roman" w:hAnsi="Times New Roman"/>
          <w:sz w:val="24"/>
          <w:szCs w:val="24"/>
          <w:lang w:val="en-US"/>
        </w:rPr>
        <w:t>personal bankruptcy of a Russian citizen, Ms. </w:t>
      </w:r>
      <w:proofErr w:type="spellStart"/>
      <w:r w:rsidRPr="000F05B4">
        <w:rPr>
          <w:rFonts w:ascii="Times New Roman" w:hAnsi="Times New Roman"/>
          <w:sz w:val="24"/>
          <w:szCs w:val="24"/>
          <w:lang w:val="en-US"/>
        </w:rPr>
        <w:t>Terekhova</w:t>
      </w:r>
      <w:proofErr w:type="spellEnd"/>
      <w:r w:rsidRPr="000F05B4">
        <w:rPr>
          <w:rFonts w:ascii="Times New Roman" w:hAnsi="Times New Roman"/>
          <w:sz w:val="24"/>
          <w:szCs w:val="24"/>
          <w:lang w:val="en-US"/>
        </w:rPr>
        <w:t xml:space="preserve">. The Russian court refused to recognize the judgment of the City Court of Prague, </w:t>
      </w:r>
      <w:r>
        <w:rPr>
          <w:rFonts w:ascii="Times New Roman" w:hAnsi="Times New Roman"/>
          <w:sz w:val="24"/>
          <w:szCs w:val="24"/>
          <w:lang w:val="en-US"/>
        </w:rPr>
        <w:t xml:space="preserve">which had </w:t>
      </w:r>
      <w:r w:rsidRPr="000F05B4">
        <w:rPr>
          <w:rFonts w:ascii="Times New Roman" w:hAnsi="Times New Roman"/>
          <w:sz w:val="24"/>
          <w:szCs w:val="24"/>
          <w:lang w:val="en-US"/>
        </w:rPr>
        <w:t>establish</w:t>
      </w:r>
      <w:r>
        <w:rPr>
          <w:rFonts w:ascii="Times New Roman" w:hAnsi="Times New Roman"/>
          <w:sz w:val="24"/>
          <w:szCs w:val="24"/>
          <w:lang w:val="en-US"/>
        </w:rPr>
        <w:t>ed the</w:t>
      </w:r>
      <w:r w:rsidRPr="000F05B4">
        <w:rPr>
          <w:rFonts w:ascii="Times New Roman" w:hAnsi="Times New Roman"/>
          <w:sz w:val="24"/>
          <w:szCs w:val="24"/>
          <w:lang w:val="en-US"/>
        </w:rPr>
        <w:t xml:space="preserve"> bankruptcy of Ms. </w:t>
      </w:r>
      <w:proofErr w:type="spellStart"/>
      <w:r w:rsidRPr="000F05B4">
        <w:rPr>
          <w:rFonts w:ascii="Times New Roman" w:hAnsi="Times New Roman"/>
          <w:sz w:val="24"/>
          <w:szCs w:val="24"/>
          <w:lang w:val="en-US"/>
        </w:rPr>
        <w:t>Terekhova</w:t>
      </w:r>
      <w:proofErr w:type="spellEnd"/>
      <w:r w:rsidRPr="000F05B4">
        <w:rPr>
          <w:rFonts w:ascii="Times New Roman" w:hAnsi="Times New Roman"/>
          <w:sz w:val="24"/>
          <w:szCs w:val="24"/>
          <w:lang w:val="en-US"/>
        </w:rPr>
        <w:t>.</w:t>
      </w:r>
      <w:r w:rsidRPr="000F05B4">
        <w:rPr>
          <w:rStyle w:val="FootnoteReference"/>
          <w:rFonts w:ascii="Times New Roman" w:hAnsi="Times New Roman"/>
          <w:sz w:val="24"/>
          <w:szCs w:val="24"/>
          <w:lang w:val="en-US"/>
        </w:rPr>
        <w:footnoteReference w:id="2"/>
      </w:r>
      <w:r>
        <w:rPr>
          <w:rFonts w:ascii="Times New Roman" w:hAnsi="Times New Roman"/>
          <w:sz w:val="24"/>
          <w:szCs w:val="24"/>
          <w:lang w:val="en-US"/>
        </w:rPr>
        <w:t xml:space="preserve"> T</w:t>
      </w:r>
      <w:r w:rsidRPr="000F05B4">
        <w:rPr>
          <w:rFonts w:ascii="Times New Roman" w:hAnsi="Times New Roman"/>
          <w:sz w:val="24"/>
          <w:szCs w:val="24"/>
          <w:lang w:val="en-US"/>
        </w:rPr>
        <w:t>his Inside Story</w:t>
      </w:r>
      <w:r>
        <w:rPr>
          <w:rFonts w:ascii="Times New Roman" w:hAnsi="Times New Roman"/>
          <w:sz w:val="24"/>
          <w:szCs w:val="24"/>
          <w:lang w:val="en-US"/>
        </w:rPr>
        <w:t xml:space="preserve"> </w:t>
      </w:r>
      <w:r w:rsidRPr="000F05B4">
        <w:rPr>
          <w:rFonts w:ascii="Times New Roman" w:hAnsi="Times New Roman"/>
          <w:sz w:val="24"/>
          <w:szCs w:val="24"/>
          <w:lang w:val="en-US"/>
        </w:rPr>
        <w:t xml:space="preserve">will describe the reasoning of Russian courts in both cases and explain how they fit (or, rather, do not fit) </w:t>
      </w:r>
      <w:r>
        <w:rPr>
          <w:rFonts w:ascii="Times New Roman" w:hAnsi="Times New Roman"/>
          <w:sz w:val="24"/>
          <w:szCs w:val="24"/>
          <w:lang w:val="en-US"/>
        </w:rPr>
        <w:t>with</w:t>
      </w:r>
      <w:r w:rsidRPr="000F05B4">
        <w:rPr>
          <w:rFonts w:ascii="Times New Roman" w:hAnsi="Times New Roman"/>
          <w:sz w:val="24"/>
          <w:szCs w:val="24"/>
          <w:lang w:val="en-US"/>
        </w:rPr>
        <w:t>in the current international framework for recognition of cross-border insolvencies, as represented by the UNCITRAL Model Law on Cross-Border Insolvency (1997) (Model Law).</w:t>
      </w:r>
    </w:p>
    <w:p w14:paraId="4F216721" w14:textId="77777777" w:rsidR="000F05B4" w:rsidRPr="000F05B4" w:rsidRDefault="000F05B4" w:rsidP="000F05B4">
      <w:pPr>
        <w:spacing w:after="0"/>
        <w:rPr>
          <w:rFonts w:ascii="Times New Roman" w:hAnsi="Times New Roman"/>
          <w:sz w:val="24"/>
          <w:szCs w:val="24"/>
          <w:lang w:val="en-US"/>
        </w:rPr>
      </w:pPr>
    </w:p>
    <w:p w14:paraId="751814E1" w14:textId="6078E0BE" w:rsidR="000F05B4" w:rsidRPr="000F05B4" w:rsidRDefault="000F05B4" w:rsidP="000F05B4">
      <w:pPr>
        <w:spacing w:after="0"/>
        <w:rPr>
          <w:rFonts w:ascii="Times New Roman" w:hAnsi="Times New Roman"/>
          <w:b/>
          <w:sz w:val="24"/>
          <w:szCs w:val="24"/>
          <w:lang w:val="en-US"/>
        </w:rPr>
      </w:pPr>
      <w:r w:rsidRPr="000F05B4">
        <w:rPr>
          <w:rFonts w:ascii="Times New Roman" w:hAnsi="Times New Roman"/>
          <w:b/>
          <w:sz w:val="24"/>
          <w:szCs w:val="24"/>
          <w:lang w:val="en-US"/>
        </w:rPr>
        <w:t xml:space="preserve">1. The </w:t>
      </w:r>
      <w:r>
        <w:rPr>
          <w:rFonts w:ascii="Times New Roman" w:hAnsi="Times New Roman"/>
          <w:b/>
          <w:sz w:val="24"/>
          <w:szCs w:val="24"/>
          <w:lang w:val="en-US"/>
        </w:rPr>
        <w:t>C</w:t>
      </w:r>
      <w:r w:rsidRPr="000F05B4">
        <w:rPr>
          <w:rFonts w:ascii="Times New Roman" w:hAnsi="Times New Roman"/>
          <w:b/>
          <w:sz w:val="24"/>
          <w:szCs w:val="24"/>
          <w:lang w:val="en-US"/>
        </w:rPr>
        <w:t xml:space="preserve">ase of PSJ </w:t>
      </w:r>
      <w:proofErr w:type="spellStart"/>
      <w:r w:rsidRPr="000F05B4">
        <w:rPr>
          <w:rFonts w:ascii="Times New Roman" w:hAnsi="Times New Roman"/>
          <w:b/>
          <w:sz w:val="24"/>
          <w:szCs w:val="24"/>
          <w:lang w:val="en-US"/>
        </w:rPr>
        <w:t>a.s</w:t>
      </w:r>
      <w:proofErr w:type="spellEnd"/>
      <w:r w:rsidRPr="000F05B4">
        <w:rPr>
          <w:rFonts w:ascii="Times New Roman" w:hAnsi="Times New Roman"/>
          <w:b/>
          <w:sz w:val="24"/>
          <w:szCs w:val="24"/>
          <w:lang w:val="en-US"/>
        </w:rPr>
        <w:t xml:space="preserve">. and </w:t>
      </w:r>
      <w:r>
        <w:rPr>
          <w:rFonts w:ascii="Times New Roman" w:hAnsi="Times New Roman"/>
          <w:b/>
          <w:sz w:val="24"/>
          <w:szCs w:val="24"/>
          <w:lang w:val="en-US"/>
        </w:rPr>
        <w:t>S</w:t>
      </w:r>
      <w:r w:rsidRPr="000F05B4">
        <w:rPr>
          <w:rFonts w:ascii="Times New Roman" w:hAnsi="Times New Roman"/>
          <w:b/>
          <w:sz w:val="24"/>
          <w:szCs w:val="24"/>
          <w:lang w:val="en-US"/>
        </w:rPr>
        <w:t xml:space="preserve">trict </w:t>
      </w:r>
      <w:r>
        <w:rPr>
          <w:rFonts w:ascii="Times New Roman" w:hAnsi="Times New Roman"/>
          <w:b/>
          <w:sz w:val="24"/>
          <w:szCs w:val="24"/>
          <w:lang w:val="en-US"/>
        </w:rPr>
        <w:t>R</w:t>
      </w:r>
      <w:r w:rsidRPr="000F05B4">
        <w:rPr>
          <w:rFonts w:ascii="Times New Roman" w:hAnsi="Times New Roman"/>
          <w:b/>
          <w:sz w:val="24"/>
          <w:szCs w:val="24"/>
          <w:lang w:val="en-US"/>
        </w:rPr>
        <w:t>eciprocity</w:t>
      </w:r>
    </w:p>
    <w:p w14:paraId="3A3ABB78" w14:textId="77777777" w:rsidR="000F05B4" w:rsidRDefault="000F05B4" w:rsidP="000F05B4">
      <w:pPr>
        <w:spacing w:after="0"/>
        <w:rPr>
          <w:rFonts w:ascii="Times New Roman" w:hAnsi="Times New Roman"/>
          <w:sz w:val="24"/>
          <w:szCs w:val="24"/>
          <w:lang w:val="en-US"/>
        </w:rPr>
      </w:pPr>
    </w:p>
    <w:p w14:paraId="37E604B5" w14:textId="4F7E4570" w:rsidR="000F05B4" w:rsidRP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 xml:space="preserve">The facts of the case are simple. PSJ </w:t>
      </w:r>
      <w:proofErr w:type="spellStart"/>
      <w:r w:rsidRPr="000F05B4">
        <w:rPr>
          <w:rFonts w:ascii="Times New Roman" w:hAnsi="Times New Roman"/>
          <w:sz w:val="24"/>
          <w:szCs w:val="24"/>
          <w:lang w:val="en-US"/>
        </w:rPr>
        <w:t>a.s</w:t>
      </w:r>
      <w:proofErr w:type="spellEnd"/>
      <w:r w:rsidRPr="000F05B4">
        <w:rPr>
          <w:rFonts w:ascii="Times New Roman" w:hAnsi="Times New Roman"/>
          <w:sz w:val="24"/>
          <w:szCs w:val="24"/>
          <w:lang w:val="en-US"/>
        </w:rPr>
        <w:t xml:space="preserve">. went insolvent in the Czech Republic and filed for the recognition of its insolvency in Russia. When deciding whether to recognize the foreign insolvency judgment, the court in Moscow started the analysis by describing the relevant regulatory framework. </w:t>
      </w:r>
    </w:p>
    <w:p w14:paraId="3CD49E35" w14:textId="77777777" w:rsidR="000F05B4" w:rsidRDefault="000F05B4" w:rsidP="000F05B4">
      <w:pPr>
        <w:spacing w:after="0"/>
        <w:rPr>
          <w:rFonts w:ascii="Times New Roman" w:hAnsi="Times New Roman"/>
          <w:sz w:val="24"/>
          <w:szCs w:val="24"/>
          <w:lang w:val="en-US"/>
        </w:rPr>
      </w:pPr>
    </w:p>
    <w:p w14:paraId="0E4F6F18" w14:textId="27B51F16" w:rsidR="000F05B4" w:rsidRP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 xml:space="preserve">The first document cited by the court was the United Nations Convention on the Recognition and Enforcement of Foreign Arbitral Awards (New York Convention 1958) and its provisions limiting recognition of foreign arbitral awards (i.e. public policy exception). This is despite the fact that the New York Convention only extends to foreign arbitral awards and is clearly inapplicable to issues of recognition and enforcement of judgments handed down by foreign </w:t>
      </w:r>
      <w:r w:rsidRPr="000F05B4">
        <w:rPr>
          <w:rFonts w:ascii="Times New Roman" w:hAnsi="Times New Roman"/>
          <w:sz w:val="24"/>
          <w:szCs w:val="24"/>
          <w:lang w:val="en-US"/>
        </w:rPr>
        <w:lastRenderedPageBreak/>
        <w:t>(state) courts, including on matters of insolvency law. Nevertheless, it is quite common for Russian courts to (wrongly) apply the New York Convention in the </w:t>
      </w:r>
      <w:proofErr w:type="spellStart"/>
      <w:r w:rsidRPr="000F05B4">
        <w:rPr>
          <w:rFonts w:ascii="Times New Roman" w:hAnsi="Times New Roman"/>
          <w:i/>
          <w:sz w:val="24"/>
          <w:szCs w:val="24"/>
          <w:lang w:val="en-US"/>
        </w:rPr>
        <w:t>ex</w:t>
      </w:r>
      <w:r>
        <w:rPr>
          <w:rFonts w:ascii="Times New Roman" w:hAnsi="Times New Roman"/>
          <w:i/>
          <w:sz w:val="24"/>
          <w:szCs w:val="24"/>
          <w:lang w:val="en-US"/>
        </w:rPr>
        <w:t>é</w:t>
      </w:r>
      <w:r w:rsidRPr="000F05B4">
        <w:rPr>
          <w:rFonts w:ascii="Times New Roman" w:hAnsi="Times New Roman"/>
          <w:i/>
          <w:sz w:val="24"/>
          <w:szCs w:val="24"/>
          <w:lang w:val="en-US"/>
        </w:rPr>
        <w:t>quatur</w:t>
      </w:r>
      <w:proofErr w:type="spellEnd"/>
      <w:r w:rsidRPr="000F05B4">
        <w:rPr>
          <w:rFonts w:ascii="Times New Roman" w:hAnsi="Times New Roman"/>
          <w:sz w:val="24"/>
          <w:szCs w:val="24"/>
          <w:lang w:val="en-US"/>
        </w:rPr>
        <w:t> proceedings of foreign court judgements.</w:t>
      </w:r>
      <w:r w:rsidRPr="000F05B4">
        <w:rPr>
          <w:rStyle w:val="FootnoteReference"/>
          <w:rFonts w:ascii="Times New Roman" w:hAnsi="Times New Roman"/>
          <w:sz w:val="24"/>
          <w:szCs w:val="24"/>
          <w:lang w:val="en-US"/>
        </w:rPr>
        <w:footnoteReference w:id="3"/>
      </w:r>
      <w:r w:rsidRPr="000F05B4">
        <w:rPr>
          <w:rFonts w:ascii="Times New Roman" w:hAnsi="Times New Roman"/>
          <w:sz w:val="24"/>
          <w:szCs w:val="24"/>
          <w:lang w:val="en-US"/>
        </w:rPr>
        <w:t xml:space="preserve"> When interpreting the public policy exception, the court stressed that protection of third parties, such as creditors of the insolvent debtor, is an indispensable part of the justice system and public policy of Russia. The court also noted that recognition of foreign judgments should not violate state sovereignty.</w:t>
      </w:r>
    </w:p>
    <w:p w14:paraId="75089660" w14:textId="77777777" w:rsidR="000F05B4" w:rsidRDefault="000F05B4" w:rsidP="000F05B4">
      <w:pPr>
        <w:spacing w:after="0"/>
        <w:rPr>
          <w:rFonts w:ascii="Times New Roman" w:hAnsi="Times New Roman"/>
          <w:sz w:val="24"/>
          <w:szCs w:val="24"/>
          <w:lang w:val="en-US"/>
        </w:rPr>
      </w:pPr>
    </w:p>
    <w:p w14:paraId="1865AF4F" w14:textId="2143D045"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The second source relied on by the court was the Federal Law on Insolvency (Bankruptcy).</w:t>
      </w:r>
      <w:r w:rsidRPr="000F05B4">
        <w:rPr>
          <w:rStyle w:val="FootnoteReference"/>
          <w:rFonts w:ascii="Times New Roman" w:hAnsi="Times New Roman"/>
          <w:sz w:val="24"/>
          <w:szCs w:val="24"/>
          <w:lang w:val="en-US"/>
        </w:rPr>
        <w:footnoteReference w:id="4"/>
      </w:r>
      <w:r w:rsidRPr="000F05B4">
        <w:rPr>
          <w:rFonts w:ascii="Times New Roman" w:hAnsi="Times New Roman"/>
          <w:sz w:val="24"/>
          <w:szCs w:val="24"/>
          <w:lang w:val="en-US"/>
        </w:rPr>
        <w:t xml:space="preserve"> Article 1(6) of this law provides that judgments of foreign courts in insolvency cases are recognized in Russia in accordance with international treaties of the Russian Federation. In case of </w:t>
      </w:r>
      <w:r>
        <w:rPr>
          <w:rFonts w:ascii="Times New Roman" w:hAnsi="Times New Roman"/>
          <w:sz w:val="24"/>
          <w:szCs w:val="24"/>
          <w:lang w:val="en-US"/>
        </w:rPr>
        <w:t xml:space="preserve">the </w:t>
      </w:r>
      <w:r w:rsidRPr="000F05B4">
        <w:rPr>
          <w:rFonts w:ascii="Times New Roman" w:hAnsi="Times New Roman"/>
          <w:sz w:val="24"/>
          <w:szCs w:val="24"/>
          <w:lang w:val="en-US"/>
        </w:rPr>
        <w:t xml:space="preserve">absence of </w:t>
      </w:r>
      <w:r>
        <w:rPr>
          <w:rFonts w:ascii="Times New Roman" w:hAnsi="Times New Roman"/>
          <w:sz w:val="24"/>
          <w:szCs w:val="24"/>
          <w:lang w:val="en-US"/>
        </w:rPr>
        <w:t>any such treaties</w:t>
      </w:r>
      <w:r w:rsidRPr="000F05B4">
        <w:rPr>
          <w:rFonts w:ascii="Times New Roman" w:hAnsi="Times New Roman"/>
          <w:sz w:val="24"/>
          <w:szCs w:val="24"/>
          <w:lang w:val="en-US"/>
        </w:rPr>
        <w:t>, judgments are recognized on the basis of reciprocity. Since there are no relevant international treaties, recognition is only possible through the reciprocity mechanism. The court interpreted the requirement of reciprocity restrictively, requiring evidence (i.e. actual cases) that the Czech courts have previously recognized Russian insolvency proceedings. Since no such evidence was presented by the debtor, recognition of the Czech insolvency judgment was refused. Notably, the court added that</w:t>
      </w:r>
      <w:r>
        <w:rPr>
          <w:rFonts w:ascii="Times New Roman" w:hAnsi="Times New Roman"/>
          <w:sz w:val="24"/>
          <w:szCs w:val="24"/>
          <w:lang w:val="en-US"/>
        </w:rPr>
        <w:t>,</w:t>
      </w:r>
      <w:r w:rsidRPr="000F05B4">
        <w:rPr>
          <w:rFonts w:ascii="Times New Roman" w:hAnsi="Times New Roman"/>
          <w:sz w:val="24"/>
          <w:szCs w:val="24"/>
          <w:lang w:val="en-US"/>
        </w:rPr>
        <w:t xml:space="preserve"> in the absence of reciprocity, recognition of foreign insolvency would unduly limit the rights of creditors and the debtor (this is despite the fact that the filing for recognition was made by the debtor). The court did not clarify the said limitations.</w:t>
      </w:r>
    </w:p>
    <w:p w14:paraId="4199A82E" w14:textId="367D2CA4" w:rsidR="00E465BA" w:rsidRDefault="00E465BA" w:rsidP="000F05B4">
      <w:pPr>
        <w:spacing w:after="0"/>
        <w:rPr>
          <w:rFonts w:ascii="Times New Roman" w:hAnsi="Times New Roman"/>
          <w:sz w:val="24"/>
          <w:szCs w:val="24"/>
          <w:lang w:val="en-US"/>
        </w:rPr>
      </w:pPr>
    </w:p>
    <w:p w14:paraId="7B26593B" w14:textId="45D664FF" w:rsidR="00E465BA" w:rsidRPr="0087338F" w:rsidRDefault="00E465BA" w:rsidP="000F05B4">
      <w:pPr>
        <w:spacing w:after="0"/>
        <w:rPr>
          <w:rFonts w:ascii="Times New Roman" w:hAnsi="Times New Roman"/>
          <w:sz w:val="24"/>
          <w:szCs w:val="24"/>
          <w:lang w:val="en-US"/>
        </w:rPr>
      </w:pPr>
      <w:bookmarkStart w:id="0" w:name="_GoBack"/>
      <w:r w:rsidRPr="00542E7C">
        <w:rPr>
          <w:rFonts w:ascii="Times New Roman" w:hAnsi="Times New Roman"/>
          <w:sz w:val="24"/>
          <w:szCs w:val="24"/>
          <w:lang w:val="en-US"/>
        </w:rPr>
        <w:t xml:space="preserve">The judgment was </w:t>
      </w:r>
      <w:r w:rsidR="00343698" w:rsidRPr="00542E7C">
        <w:rPr>
          <w:rFonts w:ascii="Times New Roman" w:hAnsi="Times New Roman"/>
          <w:sz w:val="24"/>
          <w:szCs w:val="24"/>
          <w:lang w:val="en-US"/>
        </w:rPr>
        <w:t>appealed by the debtor in</w:t>
      </w:r>
      <w:r w:rsidRPr="00542E7C">
        <w:rPr>
          <w:rFonts w:ascii="Times New Roman" w:hAnsi="Times New Roman"/>
          <w:sz w:val="24"/>
          <w:szCs w:val="24"/>
          <w:lang w:val="en-US"/>
        </w:rPr>
        <w:t xml:space="preserve"> </w:t>
      </w:r>
      <w:r w:rsidR="00343698" w:rsidRPr="00542E7C">
        <w:rPr>
          <w:rFonts w:ascii="Times New Roman" w:hAnsi="Times New Roman"/>
          <w:sz w:val="24"/>
          <w:szCs w:val="24"/>
          <w:lang w:val="en-US"/>
        </w:rPr>
        <w:t>the Commercial Court of the Moscow Region, which on 2 September 2019 fully confirmed its validity.</w:t>
      </w:r>
      <w:r w:rsidR="00343698" w:rsidRPr="00542E7C">
        <w:rPr>
          <w:rStyle w:val="FootnoteReference"/>
          <w:rFonts w:ascii="Times New Roman" w:hAnsi="Times New Roman"/>
          <w:sz w:val="24"/>
          <w:szCs w:val="24"/>
          <w:lang w:val="en-US"/>
        </w:rPr>
        <w:footnoteReference w:id="5"/>
      </w:r>
      <w:r w:rsidR="00343698" w:rsidRPr="00542E7C">
        <w:rPr>
          <w:rFonts w:ascii="Times New Roman" w:hAnsi="Times New Roman"/>
          <w:sz w:val="24"/>
          <w:szCs w:val="24"/>
          <w:lang w:val="en-US"/>
        </w:rPr>
        <w:t xml:space="preserve"> The </w:t>
      </w:r>
      <w:r w:rsidR="0087338F" w:rsidRPr="00542E7C">
        <w:rPr>
          <w:rFonts w:ascii="Times New Roman" w:hAnsi="Times New Roman"/>
          <w:sz w:val="24"/>
          <w:szCs w:val="24"/>
          <w:lang w:val="en-US"/>
        </w:rPr>
        <w:t xml:space="preserve">court of the Moscow Region endorsed the strict reciprocity approach and added that under Russian law, only the “winning” party (i.e. claimant, creditor) can ask for recognition of a foreign judgment – in the case at hand it was not the creditor, but the debtor (i.e. insolvency trustee) who asked for the recognition. </w:t>
      </w:r>
      <w:r w:rsidR="006F442F" w:rsidRPr="00542E7C">
        <w:rPr>
          <w:rFonts w:ascii="Times New Roman" w:hAnsi="Times New Roman"/>
          <w:sz w:val="24"/>
          <w:szCs w:val="24"/>
          <w:lang w:val="en-US"/>
        </w:rPr>
        <w:t xml:space="preserve">This interpretation </w:t>
      </w:r>
      <w:r w:rsidR="006D30FD" w:rsidRPr="00542E7C">
        <w:rPr>
          <w:rFonts w:ascii="Times New Roman" w:hAnsi="Times New Roman"/>
          <w:sz w:val="24"/>
          <w:szCs w:val="24"/>
          <w:lang w:val="en-US"/>
        </w:rPr>
        <w:t>is overly restrictive and unwarranted. I</w:t>
      </w:r>
      <w:r w:rsidR="00FE4494">
        <w:rPr>
          <w:rFonts w:ascii="Times New Roman" w:hAnsi="Times New Roman"/>
          <w:sz w:val="24"/>
          <w:szCs w:val="24"/>
          <w:lang w:val="en-US"/>
        </w:rPr>
        <w:t>f followed, i</w:t>
      </w:r>
      <w:r w:rsidR="006D30FD" w:rsidRPr="00542E7C">
        <w:rPr>
          <w:rFonts w:ascii="Times New Roman" w:hAnsi="Times New Roman"/>
          <w:sz w:val="24"/>
          <w:szCs w:val="24"/>
          <w:lang w:val="en-US"/>
        </w:rPr>
        <w:t>t</w:t>
      </w:r>
      <w:r w:rsidR="00FE4494">
        <w:rPr>
          <w:rFonts w:ascii="Times New Roman" w:hAnsi="Times New Roman"/>
          <w:sz w:val="24"/>
          <w:szCs w:val="24"/>
          <w:lang w:val="en-US"/>
        </w:rPr>
        <w:t xml:space="preserve"> would</w:t>
      </w:r>
      <w:r w:rsidR="006D30FD" w:rsidRPr="00542E7C">
        <w:rPr>
          <w:rFonts w:ascii="Times New Roman" w:hAnsi="Times New Roman"/>
          <w:sz w:val="24"/>
          <w:szCs w:val="24"/>
          <w:lang w:val="en-US"/>
        </w:rPr>
        <w:t xml:space="preserve"> essentially </w:t>
      </w:r>
      <w:r w:rsidR="00FE4494">
        <w:rPr>
          <w:rFonts w:ascii="Times New Roman" w:hAnsi="Times New Roman"/>
          <w:sz w:val="24"/>
          <w:szCs w:val="24"/>
          <w:lang w:val="en-US"/>
        </w:rPr>
        <w:t>bar</w:t>
      </w:r>
      <w:r w:rsidR="006D30FD" w:rsidRPr="00542E7C">
        <w:rPr>
          <w:rFonts w:ascii="Times New Roman" w:hAnsi="Times New Roman"/>
          <w:sz w:val="24"/>
          <w:szCs w:val="24"/>
          <w:lang w:val="en-US"/>
        </w:rPr>
        <w:t xml:space="preserve"> all applications for recognition of foreign insolvencies, filed by debtors or their representatives.</w:t>
      </w:r>
      <w:bookmarkEnd w:id="0"/>
    </w:p>
    <w:p w14:paraId="06184EB9" w14:textId="77777777" w:rsidR="000F05B4" w:rsidRPr="000F05B4" w:rsidRDefault="000F05B4" w:rsidP="000F05B4">
      <w:pPr>
        <w:spacing w:after="0"/>
        <w:rPr>
          <w:rFonts w:ascii="Times New Roman" w:hAnsi="Times New Roman"/>
          <w:sz w:val="24"/>
          <w:szCs w:val="24"/>
          <w:lang w:val="en-US"/>
        </w:rPr>
      </w:pPr>
    </w:p>
    <w:p w14:paraId="10031709" w14:textId="36673DFD" w:rsidR="000F05B4" w:rsidRPr="000F05B4" w:rsidRDefault="000F05B4" w:rsidP="000F05B4">
      <w:pPr>
        <w:spacing w:after="0"/>
        <w:rPr>
          <w:rFonts w:ascii="Times New Roman" w:hAnsi="Times New Roman"/>
          <w:sz w:val="24"/>
          <w:szCs w:val="24"/>
          <w:lang w:val="en-US"/>
        </w:rPr>
      </w:pPr>
      <w:r w:rsidRPr="000F05B4">
        <w:rPr>
          <w:rFonts w:ascii="Times New Roman" w:hAnsi="Times New Roman"/>
          <w:b/>
          <w:sz w:val="24"/>
          <w:szCs w:val="24"/>
          <w:lang w:val="en-US"/>
        </w:rPr>
        <w:t xml:space="preserve">2. The </w:t>
      </w:r>
      <w:r>
        <w:rPr>
          <w:rFonts w:ascii="Times New Roman" w:hAnsi="Times New Roman"/>
          <w:b/>
          <w:sz w:val="24"/>
          <w:szCs w:val="24"/>
          <w:lang w:val="en-US"/>
        </w:rPr>
        <w:t>C</w:t>
      </w:r>
      <w:r w:rsidRPr="000F05B4">
        <w:rPr>
          <w:rFonts w:ascii="Times New Roman" w:hAnsi="Times New Roman"/>
          <w:b/>
          <w:sz w:val="24"/>
          <w:szCs w:val="24"/>
          <w:lang w:val="en-US"/>
        </w:rPr>
        <w:t xml:space="preserve">ase of Ms. </w:t>
      </w:r>
      <w:proofErr w:type="spellStart"/>
      <w:r w:rsidRPr="000F05B4">
        <w:rPr>
          <w:rFonts w:ascii="Times New Roman" w:hAnsi="Times New Roman"/>
          <w:b/>
          <w:sz w:val="24"/>
          <w:szCs w:val="24"/>
          <w:lang w:val="en-US"/>
        </w:rPr>
        <w:t>Terekhova</w:t>
      </w:r>
      <w:proofErr w:type="spellEnd"/>
      <w:r w:rsidRPr="000F05B4">
        <w:rPr>
          <w:rFonts w:ascii="Times New Roman" w:hAnsi="Times New Roman"/>
          <w:b/>
          <w:sz w:val="24"/>
          <w:szCs w:val="24"/>
          <w:lang w:val="en-US"/>
        </w:rPr>
        <w:t xml:space="preserve"> and </w:t>
      </w:r>
      <w:r>
        <w:rPr>
          <w:rFonts w:ascii="Times New Roman" w:hAnsi="Times New Roman"/>
          <w:b/>
          <w:sz w:val="24"/>
          <w:szCs w:val="24"/>
          <w:lang w:val="en-US"/>
        </w:rPr>
        <w:t>the E</w:t>
      </w:r>
      <w:r w:rsidRPr="000F05B4">
        <w:rPr>
          <w:rFonts w:ascii="Times New Roman" w:hAnsi="Times New Roman"/>
          <w:b/>
          <w:sz w:val="24"/>
          <w:szCs w:val="24"/>
          <w:lang w:val="en-US"/>
        </w:rPr>
        <w:t xml:space="preserve">xclusive </w:t>
      </w:r>
      <w:r>
        <w:rPr>
          <w:rFonts w:ascii="Times New Roman" w:hAnsi="Times New Roman"/>
          <w:b/>
          <w:sz w:val="24"/>
          <w:szCs w:val="24"/>
          <w:lang w:val="en-US"/>
        </w:rPr>
        <w:t>J</w:t>
      </w:r>
      <w:r w:rsidRPr="000F05B4">
        <w:rPr>
          <w:rFonts w:ascii="Times New Roman" w:hAnsi="Times New Roman"/>
          <w:b/>
          <w:sz w:val="24"/>
          <w:szCs w:val="24"/>
          <w:lang w:val="en-US"/>
        </w:rPr>
        <w:t xml:space="preserve">urisdiction of Russian </w:t>
      </w:r>
      <w:r>
        <w:rPr>
          <w:rFonts w:ascii="Times New Roman" w:hAnsi="Times New Roman"/>
          <w:b/>
          <w:sz w:val="24"/>
          <w:szCs w:val="24"/>
          <w:lang w:val="en-US"/>
        </w:rPr>
        <w:t>C</w:t>
      </w:r>
      <w:r w:rsidRPr="000F05B4">
        <w:rPr>
          <w:rFonts w:ascii="Times New Roman" w:hAnsi="Times New Roman"/>
          <w:b/>
          <w:sz w:val="24"/>
          <w:szCs w:val="24"/>
          <w:lang w:val="en-US"/>
        </w:rPr>
        <w:t>ourts</w:t>
      </w:r>
    </w:p>
    <w:p w14:paraId="74AD7590" w14:textId="77777777" w:rsidR="000F05B4" w:rsidRDefault="000F05B4" w:rsidP="000F05B4">
      <w:pPr>
        <w:spacing w:after="0"/>
        <w:rPr>
          <w:rFonts w:ascii="Times New Roman" w:hAnsi="Times New Roman"/>
          <w:sz w:val="24"/>
          <w:szCs w:val="24"/>
          <w:lang w:val="en-US"/>
        </w:rPr>
      </w:pPr>
    </w:p>
    <w:p w14:paraId="07D5C32D" w14:textId="78E5698D"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In this case</w:t>
      </w:r>
      <w:r>
        <w:rPr>
          <w:rFonts w:ascii="Times New Roman" w:hAnsi="Times New Roman"/>
          <w:sz w:val="24"/>
          <w:szCs w:val="24"/>
          <w:lang w:val="en-US"/>
        </w:rPr>
        <w:t>,</w:t>
      </w:r>
      <w:r w:rsidRPr="000F05B4">
        <w:rPr>
          <w:rFonts w:ascii="Times New Roman" w:hAnsi="Times New Roman"/>
          <w:sz w:val="24"/>
          <w:szCs w:val="24"/>
          <w:lang w:val="en-US"/>
        </w:rPr>
        <w:t xml:space="preserve"> the insolvency trustee Hart &amp; Partners </w:t>
      </w:r>
      <w:proofErr w:type="spellStart"/>
      <w:r w:rsidRPr="000F05B4">
        <w:rPr>
          <w:rFonts w:ascii="Times New Roman" w:hAnsi="Times New Roman"/>
          <w:sz w:val="24"/>
          <w:szCs w:val="24"/>
          <w:lang w:val="en-US"/>
        </w:rPr>
        <w:t>v.o.s</w:t>
      </w:r>
      <w:proofErr w:type="spellEnd"/>
      <w:r w:rsidRPr="000F05B4">
        <w:rPr>
          <w:rFonts w:ascii="Times New Roman" w:hAnsi="Times New Roman"/>
          <w:sz w:val="24"/>
          <w:szCs w:val="24"/>
          <w:lang w:val="en-US"/>
        </w:rPr>
        <w:t xml:space="preserve">. approached the Russian court, asking </w:t>
      </w:r>
      <w:r>
        <w:rPr>
          <w:rFonts w:ascii="Times New Roman" w:hAnsi="Times New Roman"/>
          <w:sz w:val="24"/>
          <w:szCs w:val="24"/>
          <w:lang w:val="en-US"/>
        </w:rPr>
        <w:t xml:space="preserve">it </w:t>
      </w:r>
      <w:r w:rsidRPr="000F05B4">
        <w:rPr>
          <w:rFonts w:ascii="Times New Roman" w:hAnsi="Times New Roman"/>
          <w:sz w:val="24"/>
          <w:szCs w:val="24"/>
          <w:lang w:val="en-US"/>
        </w:rPr>
        <w:t xml:space="preserve">to recognize and enforce the judgment of the court in Prague holding Ms. Olga </w:t>
      </w:r>
      <w:proofErr w:type="spellStart"/>
      <w:r w:rsidRPr="000F05B4">
        <w:rPr>
          <w:rFonts w:ascii="Times New Roman" w:hAnsi="Times New Roman"/>
          <w:sz w:val="24"/>
          <w:szCs w:val="24"/>
          <w:lang w:val="en-US"/>
        </w:rPr>
        <w:t>Terekhova</w:t>
      </w:r>
      <w:proofErr w:type="spellEnd"/>
      <w:r w:rsidRPr="000F05B4">
        <w:rPr>
          <w:rFonts w:ascii="Times New Roman" w:hAnsi="Times New Roman"/>
          <w:sz w:val="24"/>
          <w:szCs w:val="24"/>
          <w:lang w:val="en-US"/>
        </w:rPr>
        <w:t xml:space="preserve"> (a Russian citizen) bankrupt. The trustee pointed out that it ha</w:t>
      </w:r>
      <w:r>
        <w:rPr>
          <w:rFonts w:ascii="Times New Roman" w:hAnsi="Times New Roman"/>
          <w:sz w:val="24"/>
          <w:szCs w:val="24"/>
          <w:lang w:val="en-US"/>
        </w:rPr>
        <w:t>d a</w:t>
      </w:r>
      <w:r w:rsidRPr="000F05B4">
        <w:rPr>
          <w:rFonts w:ascii="Times New Roman" w:hAnsi="Times New Roman"/>
          <w:sz w:val="24"/>
          <w:szCs w:val="24"/>
          <w:lang w:val="en-US"/>
        </w:rPr>
        <w:t xml:space="preserve"> material interest in recognizing the Czech insolvency proceedings in Russia, since </w:t>
      </w:r>
      <w:r>
        <w:rPr>
          <w:rFonts w:ascii="Times New Roman" w:hAnsi="Times New Roman"/>
          <w:sz w:val="24"/>
          <w:szCs w:val="24"/>
          <w:lang w:val="en-US"/>
        </w:rPr>
        <w:t xml:space="preserve">the </w:t>
      </w:r>
      <w:r w:rsidRPr="000F05B4">
        <w:rPr>
          <w:rFonts w:ascii="Times New Roman" w:hAnsi="Times New Roman"/>
          <w:sz w:val="24"/>
          <w:szCs w:val="24"/>
          <w:lang w:val="en-US"/>
        </w:rPr>
        <w:t xml:space="preserve">Russian courts had been presiding over insolvency proceedings of Ms. </w:t>
      </w:r>
      <w:proofErr w:type="spellStart"/>
      <w:r w:rsidRPr="000F05B4">
        <w:rPr>
          <w:rFonts w:ascii="Times New Roman" w:hAnsi="Times New Roman"/>
          <w:sz w:val="24"/>
          <w:szCs w:val="24"/>
          <w:lang w:val="en-US"/>
        </w:rPr>
        <w:t>Terekhova’s</w:t>
      </w:r>
      <w:proofErr w:type="spellEnd"/>
      <w:r w:rsidRPr="000F05B4">
        <w:rPr>
          <w:rFonts w:ascii="Times New Roman" w:hAnsi="Times New Roman"/>
          <w:sz w:val="24"/>
          <w:szCs w:val="24"/>
          <w:lang w:val="en-US"/>
        </w:rPr>
        <w:t xml:space="preserve"> husband, Mr. Vladimir Timofeev.</w:t>
      </w:r>
      <w:r>
        <w:rPr>
          <w:rFonts w:ascii="Times New Roman" w:hAnsi="Times New Roman"/>
          <w:sz w:val="24"/>
          <w:szCs w:val="24"/>
          <w:lang w:val="en-US"/>
        </w:rPr>
        <w:t xml:space="preserve"> </w:t>
      </w:r>
      <w:r w:rsidRPr="000F05B4">
        <w:rPr>
          <w:rFonts w:ascii="Times New Roman" w:hAnsi="Times New Roman"/>
          <w:sz w:val="24"/>
          <w:szCs w:val="24"/>
          <w:lang w:val="en-US"/>
        </w:rPr>
        <w:t>The court refused to recognize the Czech insolvency proceedings on several grou</w:t>
      </w:r>
      <w:r>
        <w:rPr>
          <w:rFonts w:ascii="Times New Roman" w:hAnsi="Times New Roman"/>
          <w:sz w:val="24"/>
          <w:szCs w:val="24"/>
          <w:lang w:val="en-US"/>
        </w:rPr>
        <w:t xml:space="preserve">nds </w:t>
      </w:r>
      <w:r w:rsidRPr="000F05B4">
        <w:rPr>
          <w:rFonts w:ascii="Times New Roman" w:hAnsi="Times New Roman"/>
          <w:sz w:val="24"/>
          <w:szCs w:val="24"/>
          <w:lang w:val="en-US"/>
        </w:rPr>
        <w:t>summarize</w:t>
      </w:r>
      <w:r>
        <w:rPr>
          <w:rFonts w:ascii="Times New Roman" w:hAnsi="Times New Roman"/>
          <w:sz w:val="24"/>
          <w:szCs w:val="24"/>
          <w:lang w:val="en-US"/>
        </w:rPr>
        <w:t>d</w:t>
      </w:r>
      <w:r w:rsidRPr="000F05B4">
        <w:rPr>
          <w:rFonts w:ascii="Times New Roman" w:hAnsi="Times New Roman"/>
          <w:sz w:val="24"/>
          <w:szCs w:val="24"/>
          <w:lang w:val="en-US"/>
        </w:rPr>
        <w:t xml:space="preserve"> below. </w:t>
      </w:r>
    </w:p>
    <w:p w14:paraId="140F4288" w14:textId="77777777" w:rsidR="000F05B4" w:rsidRPr="000F05B4" w:rsidRDefault="000F05B4" w:rsidP="000F05B4">
      <w:pPr>
        <w:spacing w:after="0"/>
        <w:rPr>
          <w:rFonts w:ascii="Times New Roman" w:hAnsi="Times New Roman"/>
          <w:sz w:val="24"/>
          <w:szCs w:val="24"/>
          <w:lang w:val="en-US"/>
        </w:rPr>
      </w:pPr>
    </w:p>
    <w:p w14:paraId="2EAD44DB" w14:textId="76280668"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First, the court reaffirmed the strict interpretation of the reciprocity requirement. It held that no evidence ha</w:t>
      </w:r>
      <w:r>
        <w:rPr>
          <w:rFonts w:ascii="Times New Roman" w:hAnsi="Times New Roman"/>
          <w:sz w:val="24"/>
          <w:szCs w:val="24"/>
          <w:lang w:val="en-US"/>
        </w:rPr>
        <w:t>d</w:t>
      </w:r>
      <w:r w:rsidRPr="000F05B4">
        <w:rPr>
          <w:rFonts w:ascii="Times New Roman" w:hAnsi="Times New Roman"/>
          <w:sz w:val="24"/>
          <w:szCs w:val="24"/>
          <w:lang w:val="en-US"/>
        </w:rPr>
        <w:t xml:space="preserve"> been provided to prove that Czech courts recognize</w:t>
      </w:r>
      <w:r>
        <w:rPr>
          <w:rFonts w:ascii="Times New Roman" w:hAnsi="Times New Roman"/>
          <w:sz w:val="24"/>
          <w:szCs w:val="24"/>
          <w:lang w:val="en-US"/>
        </w:rPr>
        <w:t>d</w:t>
      </w:r>
      <w:r w:rsidRPr="000F05B4">
        <w:rPr>
          <w:rFonts w:ascii="Times New Roman" w:hAnsi="Times New Roman"/>
          <w:sz w:val="24"/>
          <w:szCs w:val="24"/>
          <w:lang w:val="en-US"/>
        </w:rPr>
        <w:t xml:space="preserve"> insolvency proceedings opened by Russian courts with respect to a Czech citizen. Thus, it </w:t>
      </w:r>
      <w:r>
        <w:rPr>
          <w:rFonts w:ascii="Times New Roman" w:hAnsi="Times New Roman"/>
          <w:sz w:val="24"/>
          <w:szCs w:val="24"/>
          <w:lang w:val="en-US"/>
        </w:rPr>
        <w:t>wa</w:t>
      </w:r>
      <w:r w:rsidRPr="000F05B4">
        <w:rPr>
          <w:rFonts w:ascii="Times New Roman" w:hAnsi="Times New Roman"/>
          <w:sz w:val="24"/>
          <w:szCs w:val="24"/>
          <w:lang w:val="en-US"/>
        </w:rPr>
        <w:t>s not sufficient to show that foreign courts in general recognize</w:t>
      </w:r>
      <w:r>
        <w:rPr>
          <w:rFonts w:ascii="Times New Roman" w:hAnsi="Times New Roman"/>
          <w:sz w:val="24"/>
          <w:szCs w:val="24"/>
          <w:lang w:val="en-US"/>
        </w:rPr>
        <w:t>d</w:t>
      </w:r>
      <w:r w:rsidRPr="000F05B4">
        <w:rPr>
          <w:rFonts w:ascii="Times New Roman" w:hAnsi="Times New Roman"/>
          <w:sz w:val="24"/>
          <w:szCs w:val="24"/>
          <w:lang w:val="en-US"/>
        </w:rPr>
        <w:t xml:space="preserve"> third country (Russian) insolvencies, but the facts of the relevant cases should be similar to or mirror each other.</w:t>
      </w:r>
      <w:r w:rsidRPr="000F05B4">
        <w:rPr>
          <w:rStyle w:val="FootnoteReference"/>
          <w:rFonts w:ascii="Times New Roman" w:hAnsi="Times New Roman"/>
          <w:sz w:val="24"/>
          <w:szCs w:val="24"/>
          <w:lang w:val="en-US"/>
        </w:rPr>
        <w:footnoteReference w:id="6"/>
      </w:r>
    </w:p>
    <w:p w14:paraId="788ACCF9" w14:textId="77777777" w:rsidR="000F05B4" w:rsidRPr="000F05B4" w:rsidRDefault="000F05B4" w:rsidP="000F05B4">
      <w:pPr>
        <w:spacing w:after="0"/>
        <w:rPr>
          <w:rFonts w:ascii="Times New Roman" w:hAnsi="Times New Roman"/>
          <w:sz w:val="24"/>
          <w:szCs w:val="24"/>
          <w:lang w:val="en-US"/>
        </w:rPr>
      </w:pPr>
    </w:p>
    <w:p w14:paraId="48373F2E" w14:textId="17B964B5" w:rsidR="000F05B4" w:rsidRP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Second, the court assumed that the Czech insolvency proceedings ha</w:t>
      </w:r>
      <w:r w:rsidR="00AE6E19">
        <w:rPr>
          <w:rFonts w:ascii="Times New Roman" w:hAnsi="Times New Roman"/>
          <w:sz w:val="24"/>
          <w:szCs w:val="24"/>
          <w:lang w:val="en-US"/>
        </w:rPr>
        <w:t>d</w:t>
      </w:r>
      <w:r w:rsidRPr="000F05B4">
        <w:rPr>
          <w:rFonts w:ascii="Times New Roman" w:hAnsi="Times New Roman"/>
          <w:sz w:val="24"/>
          <w:szCs w:val="24"/>
          <w:lang w:val="en-US"/>
        </w:rPr>
        <w:t xml:space="preserve"> territorial scope and d</w:t>
      </w:r>
      <w:r w:rsidR="00AE6E19">
        <w:rPr>
          <w:rFonts w:ascii="Times New Roman" w:hAnsi="Times New Roman"/>
          <w:sz w:val="24"/>
          <w:szCs w:val="24"/>
          <w:lang w:val="en-US"/>
        </w:rPr>
        <w:t>id</w:t>
      </w:r>
      <w:r w:rsidRPr="000F05B4">
        <w:rPr>
          <w:rFonts w:ascii="Times New Roman" w:hAnsi="Times New Roman"/>
          <w:sz w:val="24"/>
          <w:szCs w:val="24"/>
          <w:lang w:val="en-US"/>
        </w:rPr>
        <w:t xml:space="preserve"> not extend beyond the national borders. </w:t>
      </w:r>
      <w:r w:rsidR="00AE6E19">
        <w:rPr>
          <w:rFonts w:ascii="Times New Roman" w:hAnsi="Times New Roman"/>
          <w:sz w:val="24"/>
          <w:szCs w:val="24"/>
          <w:lang w:val="en-US"/>
        </w:rPr>
        <w:t xml:space="preserve">As issues of Czech law are not within the scope of this piece, it is difficult to </w:t>
      </w:r>
      <w:r w:rsidRPr="000F05B4">
        <w:rPr>
          <w:rFonts w:ascii="Times New Roman" w:hAnsi="Times New Roman"/>
          <w:sz w:val="24"/>
          <w:szCs w:val="24"/>
          <w:lang w:val="en-US"/>
        </w:rPr>
        <w:t xml:space="preserve">comment on this conclusion. </w:t>
      </w:r>
      <w:r w:rsidR="00AE6E19">
        <w:rPr>
          <w:rFonts w:ascii="Times New Roman" w:hAnsi="Times New Roman"/>
          <w:sz w:val="24"/>
          <w:szCs w:val="24"/>
          <w:lang w:val="en-US"/>
        </w:rPr>
        <w:t xml:space="preserve">However, </w:t>
      </w:r>
      <w:r w:rsidRPr="000F05B4">
        <w:rPr>
          <w:rFonts w:ascii="Times New Roman" w:hAnsi="Times New Roman"/>
          <w:sz w:val="24"/>
          <w:szCs w:val="24"/>
          <w:lang w:val="en-US"/>
        </w:rPr>
        <w:t>it seems rather doubtful to the extent that the Prague court had applied Article 3(1) of the European Insolvency Regulation (recast)</w:t>
      </w:r>
      <w:r w:rsidRPr="000F05B4">
        <w:rPr>
          <w:rStyle w:val="FootnoteReference"/>
          <w:rFonts w:ascii="Times New Roman" w:hAnsi="Times New Roman"/>
          <w:sz w:val="24"/>
          <w:szCs w:val="24"/>
          <w:lang w:val="en-US"/>
        </w:rPr>
        <w:footnoteReference w:id="7"/>
      </w:r>
      <w:r w:rsidRPr="000F05B4">
        <w:rPr>
          <w:rFonts w:ascii="Times New Roman" w:hAnsi="Times New Roman"/>
          <w:sz w:val="24"/>
          <w:szCs w:val="24"/>
          <w:lang w:val="en-US"/>
        </w:rPr>
        <w:t xml:space="preserve"> providing for the universal scope of (main) insolvency proceedings.  </w:t>
      </w:r>
    </w:p>
    <w:p w14:paraId="0039B1F8" w14:textId="77777777" w:rsidR="00AE6E19" w:rsidRDefault="00AE6E19" w:rsidP="000F05B4">
      <w:pPr>
        <w:spacing w:after="0"/>
        <w:rPr>
          <w:rFonts w:ascii="Times New Roman" w:hAnsi="Times New Roman"/>
          <w:sz w:val="24"/>
          <w:szCs w:val="24"/>
          <w:lang w:val="en-US"/>
        </w:rPr>
      </w:pPr>
    </w:p>
    <w:p w14:paraId="0A7F9557" w14:textId="13464DD4"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Third, the court reasoned that</w:t>
      </w:r>
      <w:r w:rsidR="00AE6E19">
        <w:rPr>
          <w:rFonts w:ascii="Times New Roman" w:hAnsi="Times New Roman"/>
          <w:sz w:val="24"/>
          <w:szCs w:val="24"/>
          <w:lang w:val="en-US"/>
        </w:rPr>
        <w:t>,</w:t>
      </w:r>
      <w:r w:rsidRPr="000F05B4">
        <w:rPr>
          <w:rFonts w:ascii="Times New Roman" w:hAnsi="Times New Roman"/>
          <w:sz w:val="24"/>
          <w:szCs w:val="24"/>
          <w:lang w:val="en-US"/>
        </w:rPr>
        <w:t xml:space="preserve"> due to the public character of an insolvency proceeding and the fact that it affects personal status, Russian courts have exclusive jurisdiction to deal with </w:t>
      </w:r>
      <w:r w:rsidR="00AE6E19">
        <w:rPr>
          <w:rFonts w:ascii="Times New Roman" w:hAnsi="Times New Roman"/>
          <w:sz w:val="24"/>
          <w:szCs w:val="24"/>
          <w:lang w:val="en-US"/>
        </w:rPr>
        <w:t xml:space="preserve">the </w:t>
      </w:r>
      <w:r w:rsidRPr="000F05B4">
        <w:rPr>
          <w:rFonts w:ascii="Times New Roman" w:hAnsi="Times New Roman"/>
          <w:sz w:val="24"/>
          <w:szCs w:val="24"/>
          <w:lang w:val="en-US"/>
        </w:rPr>
        <w:t>bankruptcy of Russian citizens. Foreign insolvency judgments, which violate the exclusive jurisdiction of Russian courts</w:t>
      </w:r>
      <w:r w:rsidR="00AE6E19">
        <w:rPr>
          <w:rFonts w:ascii="Times New Roman" w:hAnsi="Times New Roman"/>
          <w:sz w:val="24"/>
          <w:szCs w:val="24"/>
          <w:lang w:val="en-US"/>
        </w:rPr>
        <w:t>,</w:t>
      </w:r>
      <w:r w:rsidRPr="000F05B4">
        <w:rPr>
          <w:rFonts w:ascii="Times New Roman" w:hAnsi="Times New Roman"/>
          <w:sz w:val="24"/>
          <w:szCs w:val="24"/>
          <w:lang w:val="en-US"/>
        </w:rPr>
        <w:t xml:space="preserve"> cannot be recognized in Russia as violating Russian public policy. According to the court’s reasoning, any other decision would call in</w:t>
      </w:r>
      <w:r w:rsidR="00AE6E19">
        <w:rPr>
          <w:rFonts w:ascii="Times New Roman" w:hAnsi="Times New Roman"/>
          <w:sz w:val="24"/>
          <w:szCs w:val="24"/>
          <w:lang w:val="en-US"/>
        </w:rPr>
        <w:t>to</w:t>
      </w:r>
      <w:r w:rsidRPr="000F05B4">
        <w:rPr>
          <w:rFonts w:ascii="Times New Roman" w:hAnsi="Times New Roman"/>
          <w:sz w:val="24"/>
          <w:szCs w:val="24"/>
          <w:lang w:val="en-US"/>
        </w:rPr>
        <w:t xml:space="preserve"> question the supremacy of </w:t>
      </w:r>
      <w:r w:rsidR="00AE6E19">
        <w:rPr>
          <w:rFonts w:ascii="Times New Roman" w:hAnsi="Times New Roman"/>
          <w:sz w:val="24"/>
          <w:szCs w:val="24"/>
          <w:lang w:val="en-US"/>
        </w:rPr>
        <w:t xml:space="preserve">the </w:t>
      </w:r>
      <w:r w:rsidRPr="000F05B4">
        <w:rPr>
          <w:rFonts w:ascii="Times New Roman" w:hAnsi="Times New Roman"/>
          <w:sz w:val="24"/>
          <w:szCs w:val="24"/>
          <w:lang w:val="en-US"/>
        </w:rPr>
        <w:t>judicial power of Russian courts.</w:t>
      </w:r>
    </w:p>
    <w:p w14:paraId="3E5EF0F0" w14:textId="77777777" w:rsidR="00AE6E19" w:rsidRPr="000F05B4" w:rsidRDefault="00AE6E19" w:rsidP="000F05B4">
      <w:pPr>
        <w:spacing w:after="0"/>
        <w:rPr>
          <w:rFonts w:ascii="Times New Roman" w:hAnsi="Times New Roman"/>
          <w:sz w:val="24"/>
          <w:szCs w:val="24"/>
          <w:lang w:val="en-US"/>
        </w:rPr>
      </w:pPr>
    </w:p>
    <w:p w14:paraId="5B90E4F9" w14:textId="04A90E8A" w:rsidR="000F05B4" w:rsidRPr="000F05B4" w:rsidRDefault="000F05B4" w:rsidP="000F05B4">
      <w:pPr>
        <w:spacing w:after="0"/>
        <w:rPr>
          <w:rFonts w:ascii="Times New Roman" w:hAnsi="Times New Roman"/>
          <w:b/>
          <w:sz w:val="24"/>
          <w:szCs w:val="24"/>
          <w:lang w:val="en-US"/>
        </w:rPr>
      </w:pPr>
      <w:r w:rsidRPr="000F05B4">
        <w:rPr>
          <w:rFonts w:ascii="Times New Roman" w:hAnsi="Times New Roman"/>
          <w:b/>
          <w:sz w:val="24"/>
          <w:szCs w:val="24"/>
          <w:lang w:val="en-US"/>
        </w:rPr>
        <w:t xml:space="preserve">3. Concluding </w:t>
      </w:r>
      <w:r w:rsidR="00AE6E19">
        <w:rPr>
          <w:rFonts w:ascii="Times New Roman" w:hAnsi="Times New Roman"/>
          <w:b/>
          <w:sz w:val="24"/>
          <w:szCs w:val="24"/>
          <w:lang w:val="en-US"/>
        </w:rPr>
        <w:t>R</w:t>
      </w:r>
      <w:r w:rsidRPr="000F05B4">
        <w:rPr>
          <w:rFonts w:ascii="Times New Roman" w:hAnsi="Times New Roman"/>
          <w:b/>
          <w:sz w:val="24"/>
          <w:szCs w:val="24"/>
          <w:lang w:val="en-US"/>
        </w:rPr>
        <w:t xml:space="preserve">emarks and </w:t>
      </w:r>
      <w:r w:rsidR="00AE6E19">
        <w:rPr>
          <w:rFonts w:ascii="Times New Roman" w:hAnsi="Times New Roman"/>
          <w:b/>
          <w:sz w:val="24"/>
          <w:szCs w:val="24"/>
          <w:lang w:val="en-US"/>
        </w:rPr>
        <w:t>A</w:t>
      </w:r>
      <w:r w:rsidRPr="000F05B4">
        <w:rPr>
          <w:rFonts w:ascii="Times New Roman" w:hAnsi="Times New Roman"/>
          <w:b/>
          <w:sz w:val="24"/>
          <w:szCs w:val="24"/>
          <w:lang w:val="en-US"/>
        </w:rPr>
        <w:t>nalysis</w:t>
      </w:r>
    </w:p>
    <w:p w14:paraId="10A13AC2" w14:textId="77777777" w:rsidR="00AE6E19" w:rsidRDefault="00AE6E19" w:rsidP="000F05B4">
      <w:pPr>
        <w:spacing w:after="0"/>
        <w:rPr>
          <w:rFonts w:ascii="Times New Roman" w:hAnsi="Times New Roman"/>
          <w:sz w:val="24"/>
          <w:szCs w:val="24"/>
          <w:lang w:val="en-US"/>
        </w:rPr>
      </w:pPr>
    </w:p>
    <w:p w14:paraId="60AD1167" w14:textId="4CEE1DB4"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 xml:space="preserve">The succinct description of </w:t>
      </w:r>
      <w:r w:rsidR="00AE6E19">
        <w:rPr>
          <w:rFonts w:ascii="Times New Roman" w:hAnsi="Times New Roman"/>
          <w:sz w:val="24"/>
          <w:szCs w:val="24"/>
          <w:lang w:val="en-US"/>
        </w:rPr>
        <w:t xml:space="preserve">these </w:t>
      </w:r>
      <w:r w:rsidRPr="000F05B4">
        <w:rPr>
          <w:rFonts w:ascii="Times New Roman" w:hAnsi="Times New Roman"/>
          <w:sz w:val="24"/>
          <w:szCs w:val="24"/>
          <w:lang w:val="en-US"/>
        </w:rPr>
        <w:t xml:space="preserve">two recent cases </w:t>
      </w:r>
      <w:r w:rsidR="00AE6E19">
        <w:rPr>
          <w:rFonts w:ascii="Times New Roman" w:hAnsi="Times New Roman"/>
          <w:sz w:val="24"/>
          <w:szCs w:val="24"/>
          <w:lang w:val="en-US"/>
        </w:rPr>
        <w:t xml:space="preserve">on the </w:t>
      </w:r>
      <w:r w:rsidRPr="000F05B4">
        <w:rPr>
          <w:rFonts w:ascii="Times New Roman" w:hAnsi="Times New Roman"/>
          <w:sz w:val="24"/>
          <w:szCs w:val="24"/>
          <w:lang w:val="en-US"/>
        </w:rPr>
        <w:t xml:space="preserve">recognition and enforcement of foreign insolvency judgments in Russia confirms the unwillingness of Russian courts to recognize foreign insolvencies. This hostile approach diminishes the effectiveness of foreign insolvency proceedings and could lead to a situation where, despite insolvency proceedings initiated in a foreign country, creditors are free to enforce their claims and seize property in Russia. In the absence of developed and modern rules on cross-border insolvency (e.g. addressing issues, such as communication between courts and insolvency practitioners, cross-border assistance, recognition and enforcement), Russia lags behind the international trends and deviates from best practices. Russia has not adopted (and, as far as </w:t>
      </w:r>
      <w:r w:rsidR="00AE6E19">
        <w:rPr>
          <w:rFonts w:ascii="Times New Roman" w:hAnsi="Times New Roman"/>
          <w:sz w:val="24"/>
          <w:szCs w:val="24"/>
          <w:lang w:val="en-US"/>
        </w:rPr>
        <w:t>is</w:t>
      </w:r>
      <w:r w:rsidRPr="000F05B4">
        <w:rPr>
          <w:rFonts w:ascii="Times New Roman" w:hAnsi="Times New Roman"/>
          <w:sz w:val="24"/>
          <w:szCs w:val="24"/>
          <w:lang w:val="en-US"/>
        </w:rPr>
        <w:t xml:space="preserve"> know</w:t>
      </w:r>
      <w:r w:rsidR="00AE6E19">
        <w:rPr>
          <w:rFonts w:ascii="Times New Roman" w:hAnsi="Times New Roman"/>
          <w:sz w:val="24"/>
          <w:szCs w:val="24"/>
          <w:lang w:val="en-US"/>
        </w:rPr>
        <w:t>n</w:t>
      </w:r>
      <w:r w:rsidRPr="000F05B4">
        <w:rPr>
          <w:rFonts w:ascii="Times New Roman" w:hAnsi="Times New Roman"/>
          <w:sz w:val="24"/>
          <w:szCs w:val="24"/>
          <w:lang w:val="en-US"/>
        </w:rPr>
        <w:t xml:space="preserve">, is not considering the adoption of) the Model Law and does not distinguish between main and secondary proceedings. Thus, the option of opening a local (territorial) proceeding supporting </w:t>
      </w:r>
      <w:r w:rsidR="00AE6E19">
        <w:rPr>
          <w:rFonts w:ascii="Times New Roman" w:hAnsi="Times New Roman"/>
          <w:sz w:val="24"/>
          <w:szCs w:val="24"/>
          <w:lang w:val="en-US"/>
        </w:rPr>
        <w:t>a</w:t>
      </w:r>
      <w:r w:rsidRPr="000F05B4">
        <w:rPr>
          <w:rFonts w:ascii="Times New Roman" w:hAnsi="Times New Roman"/>
          <w:sz w:val="24"/>
          <w:szCs w:val="24"/>
          <w:lang w:val="en-US"/>
        </w:rPr>
        <w:t xml:space="preserve"> foreign main insolvency proceeding is currently not available under Russian law.</w:t>
      </w:r>
    </w:p>
    <w:p w14:paraId="39CB780F" w14:textId="77777777" w:rsidR="00AE6E19" w:rsidRPr="000F05B4" w:rsidRDefault="00AE6E19" w:rsidP="000F05B4">
      <w:pPr>
        <w:spacing w:after="0"/>
        <w:rPr>
          <w:rFonts w:ascii="Times New Roman" w:hAnsi="Times New Roman"/>
          <w:sz w:val="24"/>
          <w:szCs w:val="24"/>
          <w:lang w:val="en-US"/>
        </w:rPr>
      </w:pPr>
    </w:p>
    <w:p w14:paraId="6A817A4D" w14:textId="7F560078"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 xml:space="preserve">Russia adheres to the territorial approach. The latter is especially evident from the ruling in the case of Ms. </w:t>
      </w:r>
      <w:proofErr w:type="spellStart"/>
      <w:r w:rsidRPr="000F05B4">
        <w:rPr>
          <w:rFonts w:ascii="Times New Roman" w:hAnsi="Times New Roman"/>
          <w:sz w:val="24"/>
          <w:szCs w:val="24"/>
          <w:lang w:val="en-US"/>
        </w:rPr>
        <w:t>Terekhova</w:t>
      </w:r>
      <w:proofErr w:type="spellEnd"/>
      <w:r w:rsidRPr="000F05B4">
        <w:rPr>
          <w:rFonts w:ascii="Times New Roman" w:hAnsi="Times New Roman"/>
          <w:sz w:val="24"/>
          <w:szCs w:val="24"/>
          <w:lang w:val="en-US"/>
        </w:rPr>
        <w:t xml:space="preserve">, where the court determined that a Russian citizen could only file for bankruptcy in Russia and that foreign proceedings are not acceptable. This is irrespective of the person’s </w:t>
      </w:r>
      <w:proofErr w:type="spellStart"/>
      <w:r w:rsidRPr="000F05B4">
        <w:rPr>
          <w:rFonts w:ascii="Times New Roman" w:hAnsi="Times New Roman"/>
          <w:sz w:val="24"/>
          <w:szCs w:val="24"/>
          <w:lang w:val="en-US"/>
        </w:rPr>
        <w:t>centre</w:t>
      </w:r>
      <w:proofErr w:type="spellEnd"/>
      <w:r w:rsidRPr="000F05B4">
        <w:rPr>
          <w:rFonts w:ascii="Times New Roman" w:hAnsi="Times New Roman"/>
          <w:sz w:val="24"/>
          <w:szCs w:val="24"/>
          <w:lang w:val="en-US"/>
        </w:rPr>
        <w:t xml:space="preserve"> of main interest (COMI), </w:t>
      </w:r>
      <w:r w:rsidR="00AE6E19">
        <w:rPr>
          <w:rFonts w:ascii="Times New Roman" w:hAnsi="Times New Roman"/>
          <w:sz w:val="24"/>
          <w:szCs w:val="24"/>
          <w:lang w:val="en-US"/>
        </w:rPr>
        <w:t xml:space="preserve">a </w:t>
      </w:r>
      <w:r w:rsidRPr="000F05B4">
        <w:rPr>
          <w:rFonts w:ascii="Times New Roman" w:hAnsi="Times New Roman"/>
          <w:sz w:val="24"/>
          <w:szCs w:val="24"/>
          <w:lang w:val="en-US"/>
        </w:rPr>
        <w:t>concept still foreign to Russia’s legal order. Somewhat self-contradictor</w:t>
      </w:r>
      <w:r w:rsidR="00AE6E19">
        <w:rPr>
          <w:rFonts w:ascii="Times New Roman" w:hAnsi="Times New Roman"/>
          <w:sz w:val="24"/>
          <w:szCs w:val="24"/>
          <w:lang w:val="en-US"/>
        </w:rPr>
        <w:t>il</w:t>
      </w:r>
      <w:r w:rsidRPr="000F05B4">
        <w:rPr>
          <w:rFonts w:ascii="Times New Roman" w:hAnsi="Times New Roman"/>
          <w:sz w:val="24"/>
          <w:szCs w:val="24"/>
          <w:lang w:val="en-US"/>
        </w:rPr>
        <w:t>y, Russian courts do regularly open insolvency proceedings with respect to foreign citizens having assets, creditors and other links in Russia.</w:t>
      </w:r>
      <w:r w:rsidRPr="000F05B4">
        <w:rPr>
          <w:rStyle w:val="FootnoteReference"/>
          <w:rFonts w:ascii="Times New Roman" w:hAnsi="Times New Roman"/>
          <w:sz w:val="24"/>
          <w:szCs w:val="24"/>
          <w:lang w:val="en-US"/>
        </w:rPr>
        <w:footnoteReference w:id="8"/>
      </w:r>
      <w:r w:rsidRPr="000F05B4">
        <w:rPr>
          <w:rFonts w:ascii="Times New Roman" w:hAnsi="Times New Roman"/>
          <w:sz w:val="24"/>
          <w:szCs w:val="24"/>
          <w:lang w:val="en-US"/>
        </w:rPr>
        <w:t xml:space="preserve"> Thus, Russian courts extend their own jurisdiction to foreign citizens, while at the same time they do not recognize or grant such an extension to foreign courts. Therefore, it is likely that a similar logic would be applied to Russian companies undergoing insolvency proceedings in foreign countries – their insolvency has a serious risk or the high probability of not being recognized in Russia.</w:t>
      </w:r>
    </w:p>
    <w:p w14:paraId="215CE685" w14:textId="77777777" w:rsidR="00AE6E19" w:rsidRPr="000F05B4" w:rsidRDefault="00AE6E19" w:rsidP="000F05B4">
      <w:pPr>
        <w:spacing w:after="0"/>
        <w:rPr>
          <w:rFonts w:ascii="Times New Roman" w:hAnsi="Times New Roman"/>
          <w:sz w:val="24"/>
          <w:szCs w:val="24"/>
          <w:lang w:val="en-US"/>
        </w:rPr>
      </w:pPr>
    </w:p>
    <w:p w14:paraId="043DCCAB" w14:textId="6D3A8C5A"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Interestingly, while foreign individuals can be subject to bankruptcy proceedings in Russia, the Supreme Court of the Russian Federation</w:t>
      </w:r>
      <w:r w:rsidR="00AE6E19">
        <w:rPr>
          <w:rFonts w:ascii="Times New Roman" w:hAnsi="Times New Roman"/>
          <w:sz w:val="24"/>
          <w:szCs w:val="24"/>
          <w:lang w:val="en-US"/>
        </w:rPr>
        <w:t>,</w:t>
      </w:r>
      <w:r w:rsidRPr="000F05B4">
        <w:rPr>
          <w:rFonts w:ascii="Times New Roman" w:hAnsi="Times New Roman"/>
          <w:sz w:val="24"/>
          <w:szCs w:val="24"/>
          <w:lang w:val="en-US"/>
        </w:rPr>
        <w:t xml:space="preserve"> in the case of Andreas </w:t>
      </w:r>
      <w:proofErr w:type="spellStart"/>
      <w:r w:rsidRPr="000F05B4">
        <w:rPr>
          <w:rFonts w:ascii="Times New Roman" w:hAnsi="Times New Roman"/>
          <w:sz w:val="24"/>
          <w:szCs w:val="24"/>
          <w:lang w:val="en-US"/>
        </w:rPr>
        <w:t>Neocleous</w:t>
      </w:r>
      <w:proofErr w:type="spellEnd"/>
      <w:r w:rsidRPr="000F05B4">
        <w:rPr>
          <w:rFonts w:ascii="Times New Roman" w:hAnsi="Times New Roman"/>
          <w:sz w:val="24"/>
          <w:szCs w:val="24"/>
          <w:lang w:val="en-US"/>
        </w:rPr>
        <w:t xml:space="preserve"> &amp; Co LLC</w:t>
      </w:r>
      <w:r w:rsidR="00AE6E19">
        <w:rPr>
          <w:rFonts w:ascii="Times New Roman" w:hAnsi="Times New Roman"/>
          <w:sz w:val="24"/>
          <w:szCs w:val="24"/>
          <w:lang w:val="en-US"/>
        </w:rPr>
        <w:t>,</w:t>
      </w:r>
      <w:r w:rsidRPr="000F05B4">
        <w:rPr>
          <w:rFonts w:ascii="Times New Roman" w:hAnsi="Times New Roman"/>
          <w:sz w:val="24"/>
          <w:szCs w:val="24"/>
          <w:lang w:val="en-US"/>
        </w:rPr>
        <w:t xml:space="preserve"> </w:t>
      </w:r>
      <w:r w:rsidR="00AE6E19">
        <w:rPr>
          <w:rFonts w:ascii="Times New Roman" w:hAnsi="Times New Roman"/>
          <w:sz w:val="24"/>
          <w:szCs w:val="24"/>
          <w:lang w:val="en-US"/>
        </w:rPr>
        <w:t xml:space="preserve">has </w:t>
      </w:r>
      <w:r w:rsidRPr="000F05B4">
        <w:rPr>
          <w:rFonts w:ascii="Times New Roman" w:hAnsi="Times New Roman"/>
          <w:sz w:val="24"/>
          <w:szCs w:val="24"/>
          <w:lang w:val="en-US"/>
        </w:rPr>
        <w:lastRenderedPageBreak/>
        <w:t>ruled that foreign companies, even with strong ties in Russia, cannot access insolvency proceedings in Russia.</w:t>
      </w:r>
      <w:r w:rsidRPr="000F05B4">
        <w:rPr>
          <w:rStyle w:val="FootnoteReference"/>
          <w:rFonts w:ascii="Times New Roman" w:hAnsi="Times New Roman"/>
          <w:sz w:val="24"/>
          <w:szCs w:val="24"/>
          <w:lang w:val="en-US"/>
        </w:rPr>
        <w:footnoteReference w:id="9"/>
      </w:r>
      <w:r w:rsidRPr="000F05B4">
        <w:rPr>
          <w:rFonts w:ascii="Times New Roman" w:hAnsi="Times New Roman"/>
          <w:sz w:val="24"/>
          <w:szCs w:val="24"/>
          <w:lang w:val="en-US"/>
        </w:rPr>
        <w:t xml:space="preserve"> In that case, concerning </w:t>
      </w:r>
      <w:r w:rsidR="00AE6E19">
        <w:rPr>
          <w:rFonts w:ascii="Times New Roman" w:hAnsi="Times New Roman"/>
          <w:sz w:val="24"/>
          <w:szCs w:val="24"/>
          <w:lang w:val="en-US"/>
        </w:rPr>
        <w:t xml:space="preserve">a </w:t>
      </w:r>
      <w:r w:rsidRPr="000F05B4">
        <w:rPr>
          <w:rFonts w:ascii="Times New Roman" w:hAnsi="Times New Roman"/>
          <w:sz w:val="24"/>
          <w:szCs w:val="24"/>
          <w:lang w:val="en-US"/>
        </w:rPr>
        <w:t>Cypriot-registered entity with assets and creditors in Russia, the court reasoned that Russian insolvency law only extends to legal entities registered in Russia. The reasoning of the court is not persuasive.</w:t>
      </w:r>
    </w:p>
    <w:p w14:paraId="7A274A6F" w14:textId="77777777" w:rsidR="00724118" w:rsidRPr="000F05B4" w:rsidRDefault="00724118" w:rsidP="000F05B4">
      <w:pPr>
        <w:spacing w:after="0"/>
        <w:rPr>
          <w:rFonts w:ascii="Times New Roman" w:hAnsi="Times New Roman"/>
          <w:sz w:val="24"/>
          <w:szCs w:val="24"/>
          <w:lang w:val="en-US"/>
        </w:rPr>
      </w:pPr>
    </w:p>
    <w:p w14:paraId="51E176CA" w14:textId="637AB2F1" w:rsidR="000F05B4" w:rsidRDefault="000F05B4" w:rsidP="000F05B4">
      <w:pPr>
        <w:spacing w:after="0"/>
        <w:rPr>
          <w:rFonts w:ascii="Times New Roman" w:hAnsi="Times New Roman"/>
          <w:sz w:val="24"/>
          <w:szCs w:val="24"/>
          <w:lang w:val="en-US"/>
        </w:rPr>
      </w:pPr>
      <w:r w:rsidRPr="000F05B4">
        <w:rPr>
          <w:rFonts w:ascii="Times New Roman" w:hAnsi="Times New Roman"/>
          <w:sz w:val="24"/>
          <w:szCs w:val="24"/>
          <w:lang w:val="en-US"/>
        </w:rPr>
        <w:t xml:space="preserve">The table below summarizes the approaches adopted by Russian courts in international insolvency cases. It relates to the matters of international insolvency jurisdiction and recognition of foreign insolvency judgments. However, since the case law is not set in stone and some of the judgments described above </w:t>
      </w:r>
      <w:r w:rsidR="006F442F">
        <w:rPr>
          <w:rFonts w:ascii="Times New Roman" w:hAnsi="Times New Roman"/>
          <w:sz w:val="24"/>
          <w:szCs w:val="24"/>
          <w:lang w:val="en-US"/>
        </w:rPr>
        <w:t>may still be</w:t>
      </w:r>
      <w:r w:rsidRPr="000F05B4">
        <w:rPr>
          <w:rFonts w:ascii="Times New Roman" w:hAnsi="Times New Roman"/>
          <w:sz w:val="24"/>
          <w:szCs w:val="24"/>
          <w:lang w:val="en-US"/>
        </w:rPr>
        <w:t xml:space="preserve"> appealed, the information in the table may be subject to change.</w:t>
      </w:r>
    </w:p>
    <w:p w14:paraId="3C07413C" w14:textId="77777777" w:rsidR="00AE6E19" w:rsidRPr="000F05B4" w:rsidRDefault="00AE6E19" w:rsidP="000F05B4">
      <w:pPr>
        <w:spacing w:after="0"/>
        <w:rPr>
          <w:rFonts w:ascii="Times New Roman" w:hAnsi="Times New Roman"/>
          <w:sz w:val="24"/>
          <w:szCs w:val="24"/>
          <w:lang w:val="en-US"/>
        </w:rPr>
      </w:pPr>
    </w:p>
    <w:tbl>
      <w:tblPr>
        <w:tblStyle w:val="ListTable3-Accent1"/>
        <w:tblpPr w:leftFromText="141" w:rightFromText="141" w:vertAnchor="text" w:tblpY="66"/>
        <w:tblW w:w="9209" w:type="dxa"/>
        <w:tblLook w:val="04A0" w:firstRow="1" w:lastRow="0" w:firstColumn="1" w:lastColumn="0" w:noHBand="0" w:noVBand="1"/>
      </w:tblPr>
      <w:tblGrid>
        <w:gridCol w:w="3020"/>
        <w:gridCol w:w="2787"/>
        <w:gridCol w:w="3402"/>
      </w:tblGrid>
      <w:tr w:rsidR="000F05B4" w:rsidRPr="000F05B4" w14:paraId="4137BD08" w14:textId="77777777" w:rsidTr="00C73D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519705D6" w14:textId="77777777" w:rsidR="000F05B4" w:rsidRPr="000F05B4" w:rsidRDefault="000F05B4" w:rsidP="000F05B4">
            <w:pPr>
              <w:spacing w:after="0"/>
              <w:rPr>
                <w:rFonts w:ascii="Times New Roman" w:hAnsi="Times New Roman" w:cs="Times New Roman"/>
                <w:sz w:val="24"/>
                <w:szCs w:val="24"/>
                <w:lang w:val="en-US"/>
              </w:rPr>
            </w:pPr>
          </w:p>
        </w:tc>
        <w:tc>
          <w:tcPr>
            <w:tcW w:w="2787" w:type="dxa"/>
          </w:tcPr>
          <w:p w14:paraId="29C7D682" w14:textId="77777777" w:rsidR="000F05B4" w:rsidRPr="000F05B4" w:rsidRDefault="000F05B4" w:rsidP="000F05B4">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Insolvency in Russia</w:t>
            </w:r>
          </w:p>
        </w:tc>
        <w:tc>
          <w:tcPr>
            <w:tcW w:w="3402" w:type="dxa"/>
          </w:tcPr>
          <w:p w14:paraId="727D050D" w14:textId="77777777" w:rsidR="000F05B4" w:rsidRPr="000F05B4" w:rsidRDefault="000F05B4" w:rsidP="000F05B4">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Insolvency in third country</w:t>
            </w:r>
          </w:p>
        </w:tc>
      </w:tr>
      <w:tr w:rsidR="000F05B4" w:rsidRPr="000F05B4" w14:paraId="1C4E8872" w14:textId="77777777" w:rsidTr="00C73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25BB8BF" w14:textId="77777777" w:rsidR="000F05B4" w:rsidRPr="000F05B4" w:rsidRDefault="000F05B4" w:rsidP="000F05B4">
            <w:pPr>
              <w:spacing w:after="0"/>
              <w:rPr>
                <w:rFonts w:ascii="Times New Roman" w:hAnsi="Times New Roman" w:cs="Times New Roman"/>
                <w:sz w:val="24"/>
                <w:szCs w:val="24"/>
                <w:lang w:val="en-US"/>
              </w:rPr>
            </w:pPr>
            <w:r w:rsidRPr="000F05B4">
              <w:rPr>
                <w:rFonts w:ascii="Times New Roman" w:hAnsi="Times New Roman" w:cs="Times New Roman"/>
                <w:sz w:val="24"/>
                <w:szCs w:val="24"/>
                <w:lang w:val="en-US"/>
              </w:rPr>
              <w:t>Russian citizen</w:t>
            </w:r>
          </w:p>
        </w:tc>
        <w:tc>
          <w:tcPr>
            <w:tcW w:w="2787" w:type="dxa"/>
          </w:tcPr>
          <w:p w14:paraId="63CB2CE2" w14:textId="77777777" w:rsidR="000F05B4" w:rsidRPr="000F05B4" w:rsidRDefault="000F05B4" w:rsidP="000F05B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Yes</w:t>
            </w:r>
          </w:p>
        </w:tc>
        <w:tc>
          <w:tcPr>
            <w:tcW w:w="3402" w:type="dxa"/>
          </w:tcPr>
          <w:p w14:paraId="0485CE78" w14:textId="77777777" w:rsidR="000F05B4" w:rsidRPr="000F05B4" w:rsidRDefault="000F05B4" w:rsidP="000F05B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No</w:t>
            </w:r>
          </w:p>
        </w:tc>
      </w:tr>
      <w:tr w:rsidR="000F05B4" w:rsidRPr="000F05B4" w14:paraId="597F0BFF" w14:textId="77777777" w:rsidTr="00C73D08">
        <w:tc>
          <w:tcPr>
            <w:cnfStyle w:val="001000000000" w:firstRow="0" w:lastRow="0" w:firstColumn="1" w:lastColumn="0" w:oddVBand="0" w:evenVBand="0" w:oddHBand="0" w:evenHBand="0" w:firstRowFirstColumn="0" w:firstRowLastColumn="0" w:lastRowFirstColumn="0" w:lastRowLastColumn="0"/>
            <w:tcW w:w="3020" w:type="dxa"/>
          </w:tcPr>
          <w:p w14:paraId="0BD52F65" w14:textId="77777777" w:rsidR="000F05B4" w:rsidRPr="000F05B4" w:rsidRDefault="000F05B4" w:rsidP="000F05B4">
            <w:pPr>
              <w:spacing w:after="0"/>
              <w:rPr>
                <w:rFonts w:ascii="Times New Roman" w:hAnsi="Times New Roman" w:cs="Times New Roman"/>
                <w:sz w:val="24"/>
                <w:szCs w:val="24"/>
                <w:lang w:val="en-US"/>
              </w:rPr>
            </w:pPr>
            <w:r w:rsidRPr="000F05B4">
              <w:rPr>
                <w:rFonts w:ascii="Times New Roman" w:hAnsi="Times New Roman" w:cs="Times New Roman"/>
                <w:sz w:val="24"/>
                <w:szCs w:val="24"/>
                <w:lang w:val="en-US"/>
              </w:rPr>
              <w:t>Russian company</w:t>
            </w:r>
          </w:p>
        </w:tc>
        <w:tc>
          <w:tcPr>
            <w:tcW w:w="2787" w:type="dxa"/>
          </w:tcPr>
          <w:p w14:paraId="0C87EF17" w14:textId="77777777" w:rsidR="000F05B4" w:rsidRPr="000F05B4" w:rsidRDefault="000F05B4" w:rsidP="000F05B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Yes</w:t>
            </w:r>
          </w:p>
        </w:tc>
        <w:tc>
          <w:tcPr>
            <w:tcW w:w="3402" w:type="dxa"/>
          </w:tcPr>
          <w:p w14:paraId="55EBFE13" w14:textId="77777777" w:rsidR="000F05B4" w:rsidRPr="000F05B4" w:rsidRDefault="000F05B4" w:rsidP="000F05B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Most probably No</w:t>
            </w:r>
          </w:p>
        </w:tc>
      </w:tr>
      <w:tr w:rsidR="000F05B4" w:rsidRPr="000F05B4" w14:paraId="354FC964" w14:textId="77777777" w:rsidTr="00C73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9FC2175" w14:textId="77777777" w:rsidR="000F05B4" w:rsidRPr="000F05B4" w:rsidRDefault="000F05B4" w:rsidP="000F05B4">
            <w:pPr>
              <w:spacing w:after="0"/>
              <w:rPr>
                <w:rFonts w:ascii="Times New Roman" w:hAnsi="Times New Roman" w:cs="Times New Roman"/>
                <w:sz w:val="24"/>
                <w:szCs w:val="24"/>
                <w:lang w:val="en-US"/>
              </w:rPr>
            </w:pPr>
            <w:r w:rsidRPr="000F05B4">
              <w:rPr>
                <w:rFonts w:ascii="Times New Roman" w:hAnsi="Times New Roman" w:cs="Times New Roman"/>
                <w:sz w:val="24"/>
                <w:szCs w:val="24"/>
                <w:lang w:val="en-US"/>
              </w:rPr>
              <w:t>Foreign citizen</w:t>
            </w:r>
          </w:p>
        </w:tc>
        <w:tc>
          <w:tcPr>
            <w:tcW w:w="2787" w:type="dxa"/>
          </w:tcPr>
          <w:p w14:paraId="589C6DF4" w14:textId="77777777" w:rsidR="000F05B4" w:rsidRPr="000F05B4" w:rsidRDefault="000F05B4" w:rsidP="006F442F">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Yes (in case of strong ties with Russia)</w:t>
            </w:r>
          </w:p>
        </w:tc>
        <w:tc>
          <w:tcPr>
            <w:tcW w:w="3402" w:type="dxa"/>
          </w:tcPr>
          <w:p w14:paraId="04330B93" w14:textId="53E82728" w:rsidR="000F05B4" w:rsidRPr="000F05B4" w:rsidRDefault="000F05B4" w:rsidP="006F442F">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Yes (</w:t>
            </w:r>
            <w:r w:rsidR="006F442F">
              <w:rPr>
                <w:rFonts w:ascii="Times New Roman" w:hAnsi="Times New Roman" w:cs="Times New Roman"/>
                <w:sz w:val="24"/>
                <w:szCs w:val="24"/>
                <w:lang w:val="en-US"/>
              </w:rPr>
              <w:t xml:space="preserve">recognition </w:t>
            </w:r>
            <w:r w:rsidRPr="000F05B4">
              <w:rPr>
                <w:rFonts w:ascii="Times New Roman" w:hAnsi="Times New Roman" w:cs="Times New Roman"/>
                <w:sz w:val="24"/>
                <w:szCs w:val="24"/>
                <w:lang w:val="en-US"/>
              </w:rPr>
              <w:t>base</w:t>
            </w:r>
            <w:r w:rsidR="006F442F">
              <w:rPr>
                <w:rFonts w:ascii="Times New Roman" w:hAnsi="Times New Roman" w:cs="Times New Roman"/>
                <w:sz w:val="24"/>
                <w:szCs w:val="24"/>
                <w:lang w:val="en-US"/>
              </w:rPr>
              <w:t>d</w:t>
            </w:r>
            <w:r w:rsidRPr="000F05B4">
              <w:rPr>
                <w:rFonts w:ascii="Times New Roman" w:hAnsi="Times New Roman" w:cs="Times New Roman"/>
                <w:sz w:val="24"/>
                <w:szCs w:val="24"/>
                <w:lang w:val="en-US"/>
              </w:rPr>
              <w:t xml:space="preserve"> on strict reciprocity)</w:t>
            </w:r>
          </w:p>
        </w:tc>
      </w:tr>
      <w:tr w:rsidR="000F05B4" w:rsidRPr="000F05B4" w14:paraId="5AE2BBC5" w14:textId="77777777" w:rsidTr="00C73D08">
        <w:tc>
          <w:tcPr>
            <w:cnfStyle w:val="001000000000" w:firstRow="0" w:lastRow="0" w:firstColumn="1" w:lastColumn="0" w:oddVBand="0" w:evenVBand="0" w:oddHBand="0" w:evenHBand="0" w:firstRowFirstColumn="0" w:firstRowLastColumn="0" w:lastRowFirstColumn="0" w:lastRowLastColumn="0"/>
            <w:tcW w:w="3020" w:type="dxa"/>
          </w:tcPr>
          <w:p w14:paraId="50EDC3A4" w14:textId="77777777" w:rsidR="000F05B4" w:rsidRPr="000F05B4" w:rsidRDefault="000F05B4" w:rsidP="000F05B4">
            <w:pPr>
              <w:spacing w:after="0"/>
              <w:rPr>
                <w:rFonts w:ascii="Times New Roman" w:hAnsi="Times New Roman" w:cs="Times New Roman"/>
                <w:sz w:val="24"/>
                <w:szCs w:val="24"/>
                <w:lang w:val="en-US"/>
              </w:rPr>
            </w:pPr>
            <w:r w:rsidRPr="000F05B4">
              <w:rPr>
                <w:rFonts w:ascii="Times New Roman" w:hAnsi="Times New Roman" w:cs="Times New Roman"/>
                <w:sz w:val="24"/>
                <w:szCs w:val="24"/>
                <w:lang w:val="en-US"/>
              </w:rPr>
              <w:t>Foreign company</w:t>
            </w:r>
          </w:p>
        </w:tc>
        <w:tc>
          <w:tcPr>
            <w:tcW w:w="2787" w:type="dxa"/>
          </w:tcPr>
          <w:p w14:paraId="4C773AE7" w14:textId="77777777" w:rsidR="000F05B4" w:rsidRPr="000F05B4" w:rsidRDefault="000F05B4" w:rsidP="000F05B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No</w:t>
            </w:r>
          </w:p>
        </w:tc>
        <w:tc>
          <w:tcPr>
            <w:tcW w:w="3402" w:type="dxa"/>
          </w:tcPr>
          <w:p w14:paraId="151B7EF8" w14:textId="554EA012" w:rsidR="000F05B4" w:rsidRPr="000F05B4" w:rsidRDefault="000F05B4" w:rsidP="006F442F">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05B4">
              <w:rPr>
                <w:rFonts w:ascii="Times New Roman" w:hAnsi="Times New Roman" w:cs="Times New Roman"/>
                <w:sz w:val="24"/>
                <w:szCs w:val="24"/>
                <w:lang w:val="en-US"/>
              </w:rPr>
              <w:t>Yes (</w:t>
            </w:r>
            <w:r w:rsidR="006F442F">
              <w:rPr>
                <w:rFonts w:ascii="Times New Roman" w:hAnsi="Times New Roman" w:cs="Times New Roman"/>
                <w:sz w:val="24"/>
                <w:szCs w:val="24"/>
                <w:lang w:val="en-US"/>
              </w:rPr>
              <w:t xml:space="preserve">recognition </w:t>
            </w:r>
            <w:r w:rsidRPr="000F05B4">
              <w:rPr>
                <w:rFonts w:ascii="Times New Roman" w:hAnsi="Times New Roman" w:cs="Times New Roman"/>
                <w:sz w:val="24"/>
                <w:szCs w:val="24"/>
                <w:lang w:val="en-US"/>
              </w:rPr>
              <w:t>base</w:t>
            </w:r>
            <w:r w:rsidR="006F442F">
              <w:rPr>
                <w:rFonts w:ascii="Times New Roman" w:hAnsi="Times New Roman" w:cs="Times New Roman"/>
                <w:sz w:val="24"/>
                <w:szCs w:val="24"/>
                <w:lang w:val="en-US"/>
              </w:rPr>
              <w:t>d</w:t>
            </w:r>
            <w:r w:rsidRPr="000F05B4">
              <w:rPr>
                <w:rFonts w:ascii="Times New Roman" w:hAnsi="Times New Roman" w:cs="Times New Roman"/>
                <w:sz w:val="24"/>
                <w:szCs w:val="24"/>
                <w:lang w:val="en-US"/>
              </w:rPr>
              <w:t xml:space="preserve"> on strict reciprocity)</w:t>
            </w:r>
          </w:p>
        </w:tc>
      </w:tr>
    </w:tbl>
    <w:p w14:paraId="474A5FF0" w14:textId="77777777" w:rsidR="000F05B4" w:rsidRPr="000F05B4" w:rsidRDefault="000F05B4" w:rsidP="000F05B4">
      <w:pPr>
        <w:spacing w:after="0"/>
        <w:rPr>
          <w:rFonts w:ascii="Times New Roman" w:hAnsi="Times New Roman"/>
          <w:sz w:val="24"/>
          <w:szCs w:val="24"/>
          <w:lang w:val="en-US"/>
        </w:rPr>
      </w:pPr>
    </w:p>
    <w:p w14:paraId="69D73965" w14:textId="7796FA14" w:rsidR="00770BE6" w:rsidRPr="000F05B4" w:rsidRDefault="000F05B4" w:rsidP="000F05B4">
      <w:pPr>
        <w:spacing w:after="0"/>
        <w:rPr>
          <w:rFonts w:ascii="Times New Roman" w:eastAsia="Arial" w:hAnsi="Times New Roman"/>
          <w:color w:val="000000"/>
          <w:kern w:val="2"/>
          <w:sz w:val="24"/>
          <w:szCs w:val="24"/>
          <w:lang w:eastAsia="fr-FR"/>
        </w:rPr>
      </w:pPr>
      <w:r w:rsidRPr="000F05B4">
        <w:rPr>
          <w:rFonts w:ascii="Times New Roman" w:hAnsi="Times New Roman"/>
          <w:sz w:val="24"/>
          <w:szCs w:val="24"/>
          <w:lang w:val="en-US"/>
        </w:rPr>
        <w:t>To sum up, Russian insolvency law represents a complex system with different rules applied to companies and individuals, Russian and foreign, a system that is difficult to explain, a system rigged with internal inconsistencies and unclear logic. This can be explained by the fact that</w:t>
      </w:r>
      <w:r w:rsidR="00AE6E19">
        <w:rPr>
          <w:rFonts w:ascii="Times New Roman" w:hAnsi="Times New Roman"/>
          <w:sz w:val="24"/>
          <w:szCs w:val="24"/>
          <w:lang w:val="en-US"/>
        </w:rPr>
        <w:t>,</w:t>
      </w:r>
      <w:r w:rsidRPr="000F05B4">
        <w:rPr>
          <w:rFonts w:ascii="Times New Roman" w:hAnsi="Times New Roman"/>
          <w:sz w:val="24"/>
          <w:szCs w:val="24"/>
          <w:lang w:val="en-US"/>
        </w:rPr>
        <w:t xml:space="preserve"> in Russia</w:t>
      </w:r>
      <w:r w:rsidR="00AE6E19">
        <w:rPr>
          <w:rFonts w:ascii="Times New Roman" w:hAnsi="Times New Roman"/>
          <w:sz w:val="24"/>
          <w:szCs w:val="24"/>
          <w:lang w:val="en-US"/>
        </w:rPr>
        <w:t>,</w:t>
      </w:r>
      <w:r w:rsidRPr="000F05B4">
        <w:rPr>
          <w:rFonts w:ascii="Times New Roman" w:hAnsi="Times New Roman"/>
          <w:sz w:val="24"/>
          <w:szCs w:val="24"/>
          <w:lang w:val="en-US"/>
        </w:rPr>
        <w:t xml:space="preserve"> there is no comprehensive framework </w:t>
      </w:r>
      <w:r w:rsidR="00AE6E19">
        <w:rPr>
          <w:rFonts w:ascii="Times New Roman" w:hAnsi="Times New Roman"/>
          <w:sz w:val="24"/>
          <w:szCs w:val="24"/>
          <w:lang w:val="en-US"/>
        </w:rPr>
        <w:t xml:space="preserve">akin to </w:t>
      </w:r>
      <w:r w:rsidRPr="000F05B4">
        <w:rPr>
          <w:rFonts w:ascii="Times New Roman" w:hAnsi="Times New Roman"/>
          <w:sz w:val="24"/>
          <w:szCs w:val="24"/>
          <w:lang w:val="en-US"/>
        </w:rPr>
        <w:t>the Model Law, which would provide for predictable and efficient rules for resolution of international insolvencies, based on the principles of universalism (or modified universality, to be more precise) and comity.</w:t>
      </w:r>
    </w:p>
    <w:sectPr w:rsidR="00770BE6" w:rsidRPr="000F05B4"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4F693" w14:textId="77777777" w:rsidR="00314B43" w:rsidRDefault="00314B43">
      <w:r>
        <w:separator/>
      </w:r>
    </w:p>
  </w:endnote>
  <w:endnote w:type="continuationSeparator" w:id="0">
    <w:p w14:paraId="63432CD4" w14:textId="77777777" w:rsidR="00314B43" w:rsidRDefault="0031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3A03B" w14:textId="77777777" w:rsidR="00314B43" w:rsidRDefault="00314B43">
      <w:r>
        <w:separator/>
      </w:r>
    </w:p>
  </w:footnote>
  <w:footnote w:type="continuationSeparator" w:id="0">
    <w:p w14:paraId="650017C6" w14:textId="77777777" w:rsidR="00314B43" w:rsidRDefault="00314B43">
      <w:r>
        <w:continuationSeparator/>
      </w:r>
    </w:p>
  </w:footnote>
  <w:footnote w:id="1">
    <w:p w14:paraId="7F03AEF1" w14:textId="30340CEC"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Decision of the Commercial Court of Moscow from 24 June 2019, Case No. A40-101054/19-141-93</w:t>
      </w:r>
      <w:r w:rsidR="00343698">
        <w:rPr>
          <w:rFonts w:ascii="Times New Roman" w:hAnsi="Times New Roman"/>
          <w:lang w:val="en-US"/>
        </w:rPr>
        <w:t>2.</w:t>
      </w:r>
    </w:p>
  </w:footnote>
  <w:footnote w:id="2">
    <w:p w14:paraId="4B5B5314"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Decision of the Commercial Court of Sverdlovsk Region from 14 July 2019, Case No. A60-29115/2019.</w:t>
      </w:r>
    </w:p>
  </w:footnote>
  <w:footnote w:id="3">
    <w:p w14:paraId="098F061A"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See M. </w:t>
      </w:r>
      <w:proofErr w:type="spellStart"/>
      <w:r w:rsidRPr="00343698">
        <w:rPr>
          <w:rFonts w:ascii="Times New Roman" w:hAnsi="Times New Roman"/>
          <w:lang w:val="en-US"/>
        </w:rPr>
        <w:t>Samoylov</w:t>
      </w:r>
      <w:proofErr w:type="spellEnd"/>
      <w:r w:rsidRPr="00343698">
        <w:rPr>
          <w:rFonts w:ascii="Times New Roman" w:hAnsi="Times New Roman"/>
          <w:lang w:val="en-US"/>
        </w:rPr>
        <w:t>, The Material Scope of the 1958 New York Convention: Russian Courts Make It Broader, Kluwer Arbitration Blog, 25 September 2018.</w:t>
      </w:r>
    </w:p>
  </w:footnote>
  <w:footnote w:id="4">
    <w:p w14:paraId="4EE9D322"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Federal Law No. 127-FZ “On Insolvency (Bankruptcy)” from 26 October 2002.</w:t>
      </w:r>
    </w:p>
  </w:footnote>
  <w:footnote w:id="5">
    <w:p w14:paraId="630F411D" w14:textId="0C96E0AB" w:rsidR="00343698" w:rsidRPr="00343698" w:rsidRDefault="00343698">
      <w:pPr>
        <w:pStyle w:val="FootnoteText"/>
        <w:rPr>
          <w:rFonts w:ascii="Times New Roman" w:hAnsi="Times New Roman"/>
        </w:rPr>
      </w:pPr>
      <w:r w:rsidRPr="00343698">
        <w:rPr>
          <w:rStyle w:val="FootnoteReference"/>
          <w:rFonts w:ascii="Times New Roman" w:hAnsi="Times New Roman"/>
        </w:rPr>
        <w:footnoteRef/>
      </w:r>
      <w:r w:rsidRPr="00343698">
        <w:rPr>
          <w:rFonts w:ascii="Times New Roman" w:hAnsi="Times New Roman"/>
        </w:rPr>
        <w:t xml:space="preserve"> </w:t>
      </w:r>
      <w:r w:rsidRPr="00343698">
        <w:rPr>
          <w:rFonts w:ascii="Times New Roman" w:hAnsi="Times New Roman"/>
          <w:lang w:val="en-US"/>
        </w:rPr>
        <w:t xml:space="preserve">Decision of the Commercial Court of </w:t>
      </w:r>
      <w:r>
        <w:rPr>
          <w:rFonts w:ascii="Times New Roman" w:hAnsi="Times New Roman"/>
          <w:lang w:val="en-US"/>
        </w:rPr>
        <w:t>the Moscow Region</w:t>
      </w:r>
      <w:r w:rsidRPr="00343698">
        <w:rPr>
          <w:rFonts w:ascii="Times New Roman" w:hAnsi="Times New Roman"/>
          <w:lang w:val="en-US"/>
        </w:rPr>
        <w:t xml:space="preserve"> from </w:t>
      </w:r>
      <w:r>
        <w:rPr>
          <w:rFonts w:ascii="Times New Roman" w:hAnsi="Times New Roman"/>
          <w:lang w:val="en-US"/>
        </w:rPr>
        <w:t>2</w:t>
      </w:r>
      <w:r w:rsidRPr="00343698">
        <w:rPr>
          <w:rFonts w:ascii="Times New Roman" w:hAnsi="Times New Roman"/>
          <w:lang w:val="en-US"/>
        </w:rPr>
        <w:t xml:space="preserve"> </w:t>
      </w:r>
      <w:r>
        <w:rPr>
          <w:rFonts w:ascii="Times New Roman" w:hAnsi="Times New Roman"/>
          <w:lang w:val="en-US"/>
        </w:rPr>
        <w:t>September</w:t>
      </w:r>
      <w:r w:rsidRPr="00343698">
        <w:rPr>
          <w:rFonts w:ascii="Times New Roman" w:hAnsi="Times New Roman"/>
          <w:lang w:val="en-US"/>
        </w:rPr>
        <w:t xml:space="preserve"> 2019, Case No. A40-101054/</w:t>
      </w:r>
      <w:r>
        <w:rPr>
          <w:rFonts w:ascii="Times New Roman" w:hAnsi="Times New Roman"/>
          <w:lang w:val="en-US"/>
        </w:rPr>
        <w:t>2019</w:t>
      </w:r>
      <w:r>
        <w:rPr>
          <w:rFonts w:ascii="Times New Roman" w:hAnsi="Times New Roman"/>
          <w:lang w:val="en-US"/>
        </w:rPr>
        <w:t>.</w:t>
      </w:r>
    </w:p>
  </w:footnote>
  <w:footnote w:id="6">
    <w:p w14:paraId="7B55A853"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Similar interpretation of the reciprocity requirement was given in the case of Mr. Vladimir </w:t>
      </w:r>
      <w:proofErr w:type="spellStart"/>
      <w:r w:rsidRPr="00343698">
        <w:rPr>
          <w:rFonts w:ascii="Times New Roman" w:hAnsi="Times New Roman"/>
          <w:lang w:val="en-US"/>
        </w:rPr>
        <w:t>Kekhman</w:t>
      </w:r>
      <w:proofErr w:type="spellEnd"/>
      <w:r w:rsidRPr="00343698">
        <w:rPr>
          <w:rFonts w:ascii="Times New Roman" w:hAnsi="Times New Roman"/>
          <w:lang w:val="en-US"/>
        </w:rPr>
        <w:t>, a well-known Russian businessman, who sought a bankruptcy order in the UK and then (unsuccessfully) tried to recognize it in Russia. In that case Russian courts asked for the evidence that English courts had recognized insolvency proceedings opened with respect to a UK citizen by a Russian court (which was clearly impossible to do). For more on this case see INSOL Europe Inside Story from November 2016.</w:t>
      </w:r>
    </w:p>
  </w:footnote>
  <w:footnote w:id="7">
    <w:p w14:paraId="2027645A"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Regulation (EU) 2015/848 of the European Parliament and of the Council of 20 May 2015 on insolvency proceedings.</w:t>
      </w:r>
    </w:p>
  </w:footnote>
  <w:footnote w:id="8">
    <w:p w14:paraId="22418F43"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For the first such cases see Decision of the Commercial Court of </w:t>
      </w:r>
      <w:proofErr w:type="spellStart"/>
      <w:r w:rsidRPr="00343698">
        <w:rPr>
          <w:rFonts w:ascii="Times New Roman" w:hAnsi="Times New Roman"/>
          <w:lang w:val="en-US"/>
        </w:rPr>
        <w:t>Yamalo</w:t>
      </w:r>
      <w:proofErr w:type="spellEnd"/>
      <w:r w:rsidRPr="00343698">
        <w:rPr>
          <w:rFonts w:ascii="Times New Roman" w:hAnsi="Times New Roman"/>
          <w:lang w:val="en-US"/>
        </w:rPr>
        <w:t>-Nenets Autonomous District from 30 June 2016, Case No. </w:t>
      </w:r>
      <w:r w:rsidRPr="00343698">
        <w:rPr>
          <w:rFonts w:ascii="Times New Roman" w:hAnsi="Times New Roman"/>
          <w:lang w:val="ru-RU"/>
        </w:rPr>
        <w:t>А</w:t>
      </w:r>
      <w:r w:rsidRPr="00343698">
        <w:rPr>
          <w:rFonts w:ascii="Times New Roman" w:hAnsi="Times New Roman"/>
          <w:lang w:val="en-US"/>
        </w:rPr>
        <w:t>81-6187/2015; Ruling of the Commercial Court of Moscow Region from 8 July 2016, Case No. </w:t>
      </w:r>
      <w:r w:rsidRPr="00343698">
        <w:rPr>
          <w:rFonts w:ascii="Times New Roman" w:hAnsi="Times New Roman"/>
          <w:lang w:val="ru-RU"/>
        </w:rPr>
        <w:t>А</w:t>
      </w:r>
      <w:r w:rsidRPr="00343698">
        <w:rPr>
          <w:rFonts w:ascii="Times New Roman" w:hAnsi="Times New Roman"/>
          <w:lang w:val="en-US"/>
        </w:rPr>
        <w:t>40-186978/15-44-335</w:t>
      </w:r>
      <w:r w:rsidRPr="00343698">
        <w:rPr>
          <w:rFonts w:ascii="Times New Roman" w:hAnsi="Times New Roman"/>
          <w:lang w:val="ru-RU"/>
        </w:rPr>
        <w:t>Б</w:t>
      </w:r>
      <w:r w:rsidRPr="00343698">
        <w:rPr>
          <w:rFonts w:ascii="Times New Roman" w:hAnsi="Times New Roman"/>
          <w:lang w:val="en-US"/>
        </w:rPr>
        <w:t>.</w:t>
      </w:r>
    </w:p>
  </w:footnote>
  <w:footnote w:id="9">
    <w:p w14:paraId="4821CA84" w14:textId="77777777" w:rsidR="000F05B4" w:rsidRPr="00343698" w:rsidRDefault="000F05B4" w:rsidP="000F05B4">
      <w:pPr>
        <w:pStyle w:val="FootnoteText"/>
        <w:rPr>
          <w:rFonts w:ascii="Times New Roman" w:hAnsi="Times New Roman"/>
          <w:lang w:val="en-US"/>
        </w:rPr>
      </w:pPr>
      <w:r w:rsidRPr="00343698">
        <w:rPr>
          <w:rStyle w:val="FootnoteReference"/>
          <w:rFonts w:ascii="Times New Roman" w:hAnsi="Times New Roman"/>
        </w:rPr>
        <w:footnoteRef/>
      </w:r>
      <w:r w:rsidRPr="00343698">
        <w:rPr>
          <w:rFonts w:ascii="Times New Roman" w:hAnsi="Times New Roman"/>
          <w:lang w:val="en-US"/>
        </w:rPr>
        <w:t xml:space="preserve"> Decision of the Supreme Court of the Russian Federation from 12 March 2018, Case No. 305-</w:t>
      </w:r>
      <w:r w:rsidRPr="00343698">
        <w:rPr>
          <w:rFonts w:ascii="Times New Roman" w:hAnsi="Times New Roman"/>
          <w:lang w:val="ru-RU"/>
        </w:rPr>
        <w:t>ЭС</w:t>
      </w:r>
      <w:r w:rsidRPr="00343698">
        <w:rPr>
          <w:rFonts w:ascii="Times New Roman" w:hAnsi="Times New Roman"/>
          <w:lang w:val="en-US"/>
        </w:rPr>
        <w:t>18-552.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D0DD" w14:textId="68E38B5E" w:rsidR="00BF3D3E" w:rsidRPr="00C2522B" w:rsidRDefault="00BF3D3E" w:rsidP="00C2522B">
    <w:pPr>
      <w:pStyle w:val="Header"/>
      <w:spacing w:after="0"/>
      <w:rPr>
        <w:rFonts w:ascii="Arial" w:hAnsi="Arial" w:cs="Arial"/>
        <w:b/>
      </w:rPr>
    </w:pPr>
    <w:r w:rsidRPr="00C2522B">
      <w:rPr>
        <w:rFonts w:ascii="Arial" w:hAnsi="Arial" w:cs="Arial"/>
        <w:b/>
      </w:rPr>
      <w:t>Inside Story (</w:t>
    </w:r>
    <w:r w:rsidR="000F05B4">
      <w:rPr>
        <w:rFonts w:ascii="Arial" w:hAnsi="Arial" w:cs="Arial"/>
        <w:b/>
      </w:rPr>
      <w:t>August</w:t>
    </w:r>
    <w:r w:rsidR="001B33AD">
      <w:rPr>
        <w:rFonts w:ascii="Arial" w:hAnsi="Arial" w:cs="Arial"/>
        <w:b/>
      </w:rPr>
      <w:t xml:space="preserve"> </w:t>
    </w:r>
    <w:r w:rsidR="003666A0">
      <w:rPr>
        <w:rFonts w:ascii="Arial" w:hAnsi="Arial" w:cs="Arial"/>
        <w:b/>
      </w:rPr>
      <w:t>201</w:t>
    </w:r>
    <w:r w:rsidR="00A81A5C">
      <w:rPr>
        <w:rFonts w:ascii="Arial" w:hAnsi="Arial" w:cs="Arial"/>
        <w:b/>
      </w:rPr>
      <w:t>9</w:t>
    </w:r>
    <w:r w:rsidRPr="00C2522B">
      <w:rPr>
        <w:rFonts w:ascii="Arial" w:hAnsi="Arial" w:cs="Arial"/>
        <w:b/>
      </w:rPr>
      <w:t>)</w:t>
    </w:r>
  </w:p>
  <w:p w14:paraId="5CB97EE8" w14:textId="30ACE496" w:rsidR="00BF3D3E" w:rsidRPr="00C2522B" w:rsidRDefault="000F05B4" w:rsidP="00C2522B">
    <w:pPr>
      <w:pStyle w:val="Header"/>
      <w:spacing w:after="0"/>
      <w:rPr>
        <w:rFonts w:ascii="Arial" w:hAnsi="Arial" w:cs="Arial"/>
        <w:b/>
      </w:rPr>
    </w:pPr>
    <w:r>
      <w:rPr>
        <w:rFonts w:ascii="Arial" w:hAnsi="Arial" w:cs="Arial"/>
        <w:b/>
      </w:rPr>
      <w:t xml:space="preserve">Ilya Kokorin </w:t>
    </w:r>
    <w:r w:rsidR="00BF3D3E" w:rsidRPr="00C2522B">
      <w:rPr>
        <w:rFonts w:ascii="Arial" w:hAnsi="Arial" w:cs="Arial"/>
        <w:b/>
      </w:rPr>
      <w:t>(</w:t>
    </w:r>
    <w:r>
      <w:rPr>
        <w:rFonts w:ascii="Arial" w:hAnsi="Arial" w:cs="Arial"/>
        <w:b/>
      </w:rPr>
      <w:t>Russia</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126E6"/>
    <w:rsid w:val="00086E49"/>
    <w:rsid w:val="000921F0"/>
    <w:rsid w:val="00092307"/>
    <w:rsid w:val="000C4532"/>
    <w:rsid w:val="000D3C8B"/>
    <w:rsid w:val="000F05B4"/>
    <w:rsid w:val="001258A8"/>
    <w:rsid w:val="00127C4A"/>
    <w:rsid w:val="00141375"/>
    <w:rsid w:val="00145356"/>
    <w:rsid w:val="001835B2"/>
    <w:rsid w:val="001934CC"/>
    <w:rsid w:val="001A713B"/>
    <w:rsid w:val="001B33AD"/>
    <w:rsid w:val="001C5080"/>
    <w:rsid w:val="001C7EFA"/>
    <w:rsid w:val="001D3A90"/>
    <w:rsid w:val="001E0189"/>
    <w:rsid w:val="001F119D"/>
    <w:rsid w:val="00247BAC"/>
    <w:rsid w:val="002510D8"/>
    <w:rsid w:val="00276632"/>
    <w:rsid w:val="00280030"/>
    <w:rsid w:val="002E09E9"/>
    <w:rsid w:val="003021B6"/>
    <w:rsid w:val="00314B43"/>
    <w:rsid w:val="003217E3"/>
    <w:rsid w:val="0032563F"/>
    <w:rsid w:val="00340FF0"/>
    <w:rsid w:val="00343698"/>
    <w:rsid w:val="003518FD"/>
    <w:rsid w:val="003666A0"/>
    <w:rsid w:val="00367985"/>
    <w:rsid w:val="00395D89"/>
    <w:rsid w:val="00396E5A"/>
    <w:rsid w:val="003978ED"/>
    <w:rsid w:val="003C284E"/>
    <w:rsid w:val="003C36D2"/>
    <w:rsid w:val="003C69AB"/>
    <w:rsid w:val="003E3EAC"/>
    <w:rsid w:val="0040142E"/>
    <w:rsid w:val="00404D9A"/>
    <w:rsid w:val="00415AEE"/>
    <w:rsid w:val="00415DDB"/>
    <w:rsid w:val="0043057A"/>
    <w:rsid w:val="00434808"/>
    <w:rsid w:val="00437BFE"/>
    <w:rsid w:val="00440CF8"/>
    <w:rsid w:val="004433C5"/>
    <w:rsid w:val="0046792B"/>
    <w:rsid w:val="00470254"/>
    <w:rsid w:val="00484F6D"/>
    <w:rsid w:val="004B3FED"/>
    <w:rsid w:val="004D1D7E"/>
    <w:rsid w:val="004F57B8"/>
    <w:rsid w:val="00535342"/>
    <w:rsid w:val="00542E7C"/>
    <w:rsid w:val="00557280"/>
    <w:rsid w:val="00557A0F"/>
    <w:rsid w:val="00560963"/>
    <w:rsid w:val="005764A7"/>
    <w:rsid w:val="00577785"/>
    <w:rsid w:val="00593E77"/>
    <w:rsid w:val="005D0DB7"/>
    <w:rsid w:val="005D6C09"/>
    <w:rsid w:val="005D783E"/>
    <w:rsid w:val="005D79E3"/>
    <w:rsid w:val="005E7C6B"/>
    <w:rsid w:val="00617533"/>
    <w:rsid w:val="00623598"/>
    <w:rsid w:val="006274E8"/>
    <w:rsid w:val="006441B0"/>
    <w:rsid w:val="00660074"/>
    <w:rsid w:val="00673BB3"/>
    <w:rsid w:val="00694350"/>
    <w:rsid w:val="006D0A86"/>
    <w:rsid w:val="006D30FD"/>
    <w:rsid w:val="006E7E8D"/>
    <w:rsid w:val="006F442F"/>
    <w:rsid w:val="00703D03"/>
    <w:rsid w:val="00707113"/>
    <w:rsid w:val="00724118"/>
    <w:rsid w:val="00740F50"/>
    <w:rsid w:val="00770BE6"/>
    <w:rsid w:val="00772427"/>
    <w:rsid w:val="00790DFB"/>
    <w:rsid w:val="007C4484"/>
    <w:rsid w:val="007D5F6C"/>
    <w:rsid w:val="007E1590"/>
    <w:rsid w:val="00807744"/>
    <w:rsid w:val="00842F17"/>
    <w:rsid w:val="008432D1"/>
    <w:rsid w:val="00847988"/>
    <w:rsid w:val="00867725"/>
    <w:rsid w:val="0087338F"/>
    <w:rsid w:val="00876BCD"/>
    <w:rsid w:val="00877CBB"/>
    <w:rsid w:val="00886023"/>
    <w:rsid w:val="009069C9"/>
    <w:rsid w:val="00933B42"/>
    <w:rsid w:val="0093601D"/>
    <w:rsid w:val="0095087C"/>
    <w:rsid w:val="00976F27"/>
    <w:rsid w:val="00977889"/>
    <w:rsid w:val="0098305D"/>
    <w:rsid w:val="009B5E68"/>
    <w:rsid w:val="009E51C4"/>
    <w:rsid w:val="009F52F0"/>
    <w:rsid w:val="00A0599F"/>
    <w:rsid w:val="00A14E9E"/>
    <w:rsid w:val="00A34959"/>
    <w:rsid w:val="00A3654A"/>
    <w:rsid w:val="00A81A5C"/>
    <w:rsid w:val="00A81F5B"/>
    <w:rsid w:val="00AA741E"/>
    <w:rsid w:val="00AD3470"/>
    <w:rsid w:val="00AD6AE4"/>
    <w:rsid w:val="00AE6E19"/>
    <w:rsid w:val="00B10912"/>
    <w:rsid w:val="00B40F88"/>
    <w:rsid w:val="00B46BCC"/>
    <w:rsid w:val="00B753A2"/>
    <w:rsid w:val="00BA1EF1"/>
    <w:rsid w:val="00BC4C0D"/>
    <w:rsid w:val="00BD0697"/>
    <w:rsid w:val="00BD6C97"/>
    <w:rsid w:val="00BF3D3E"/>
    <w:rsid w:val="00C16DFA"/>
    <w:rsid w:val="00C2522B"/>
    <w:rsid w:val="00C26BCF"/>
    <w:rsid w:val="00C54799"/>
    <w:rsid w:val="00C96534"/>
    <w:rsid w:val="00CA5E5B"/>
    <w:rsid w:val="00CE09C4"/>
    <w:rsid w:val="00CF6839"/>
    <w:rsid w:val="00D24268"/>
    <w:rsid w:val="00D31877"/>
    <w:rsid w:val="00D32C99"/>
    <w:rsid w:val="00D6291C"/>
    <w:rsid w:val="00DE5F99"/>
    <w:rsid w:val="00DE7BB0"/>
    <w:rsid w:val="00E007BF"/>
    <w:rsid w:val="00E2501C"/>
    <w:rsid w:val="00E37A5D"/>
    <w:rsid w:val="00E465BA"/>
    <w:rsid w:val="00E53ABF"/>
    <w:rsid w:val="00E6510B"/>
    <w:rsid w:val="00EB6116"/>
    <w:rsid w:val="00EC1075"/>
    <w:rsid w:val="00ED21A7"/>
    <w:rsid w:val="00F20AC6"/>
    <w:rsid w:val="00F36532"/>
    <w:rsid w:val="00F55F2D"/>
    <w:rsid w:val="00F77372"/>
    <w:rsid w:val="00F90C01"/>
    <w:rsid w:val="00FB7C3C"/>
    <w:rsid w:val="00FD1151"/>
    <w:rsid w:val="00FE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023C8916-E6B7-422B-B2CC-D429012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ußnotentext Char Char Char Char,Fußnotentext Char Char Char Char Char Char,Fußnotentext Char Char Char Char Char Char Char Char"/>
    <w:basedOn w:val="Normal"/>
    <w:link w:val="FootnoteTextChar"/>
    <w:uiPriority w:val="99"/>
    <w:rsid w:val="00740F50"/>
    <w:pPr>
      <w:spacing w:after="0"/>
    </w:pPr>
    <w:rPr>
      <w:sz w:val="20"/>
    </w:rPr>
  </w:style>
  <w:style w:type="character" w:customStyle="1" w:styleId="FootnoteTextChar">
    <w:name w:val="Footnote Text Char"/>
    <w:aliases w:val="Fußnotentext Char Char Char Char Char,Fußnotentext Char Char Char Char Char Char Char,Fußnotentext Char Char Char Char Char Char Char Char Char"/>
    <w:basedOn w:val="DefaultParagraphFont"/>
    <w:link w:val="FootnoteText"/>
    <w:uiPriority w:val="99"/>
    <w:rsid w:val="00740F50"/>
    <w:rPr>
      <w:rFonts w:ascii="Calibri" w:hAnsi="Calibri"/>
      <w:sz w:val="20"/>
      <w:szCs w:val="20"/>
    </w:rPr>
  </w:style>
  <w:style w:type="character" w:styleId="FootnoteReference">
    <w:name w:val="footnote reference"/>
    <w:aliases w:val="Ref,de nota al pie,fr"/>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qFormat/>
    <w:rsid w:val="00770BE6"/>
    <w:rPr>
      <w:i/>
    </w:rPr>
  </w:style>
  <w:style w:type="table" w:styleId="ListTable3-Accent1">
    <w:name w:val="List Table 3 Accent 1"/>
    <w:basedOn w:val="TableNormal"/>
    <w:uiPriority w:val="48"/>
    <w:rsid w:val="000F05B4"/>
    <w:rPr>
      <w:rFonts w:asciiTheme="minorHAnsi" w:eastAsiaTheme="minorEastAsia" w:hAnsiTheme="minorHAnsi" w:cstheme="minorBidi"/>
      <w:sz w:val="22"/>
      <w:szCs w:val="22"/>
      <w:lang w:val="nl-NL" w:eastAsia="zh-C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okorin@law.leidenuni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913A-2FDF-4846-A2A4-E4D61826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8678</Characters>
  <Application>Microsoft Office Word</Application>
  <DocSecurity>0</DocSecurity>
  <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Kokorin, I.</cp:lastModifiedBy>
  <cp:revision>2</cp:revision>
  <cp:lastPrinted>2017-11-20T20:14:00Z</cp:lastPrinted>
  <dcterms:created xsi:type="dcterms:W3CDTF">2019-09-03T14:17:00Z</dcterms:created>
  <dcterms:modified xsi:type="dcterms:W3CDTF">2019-09-03T14:17:00Z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