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AD30B6" w14:textId="77777777" w:rsidR="005D783E" w:rsidRPr="00B021F0" w:rsidRDefault="005D783E" w:rsidP="00956834">
      <w:pPr>
        <w:spacing w:after="0"/>
        <w:rPr>
          <w:rFonts w:ascii="Times New Roman" w:hAnsi="Times New Roman"/>
          <w:sz w:val="24"/>
          <w:szCs w:val="24"/>
        </w:rPr>
      </w:pPr>
    </w:p>
    <w:p w14:paraId="5732B7D1" w14:textId="77777777" w:rsidR="00617533" w:rsidRPr="00B021F0" w:rsidRDefault="00617533" w:rsidP="00956834">
      <w:pPr>
        <w:spacing w:after="0"/>
        <w:jc w:val="center"/>
        <w:rPr>
          <w:rFonts w:ascii="Times New Roman" w:hAnsi="Times New Roman"/>
          <w:b/>
          <w:sz w:val="24"/>
          <w:szCs w:val="24"/>
        </w:rPr>
      </w:pPr>
      <w:r w:rsidRPr="00B021F0">
        <w:rPr>
          <w:rFonts w:ascii="Verdana" w:eastAsia="Cambria" w:hAnsi="Verdana"/>
          <w:b/>
          <w:noProof/>
          <w:sz w:val="36"/>
          <w:szCs w:val="36"/>
        </w:rPr>
        <w:drawing>
          <wp:inline distT="0" distB="0" distL="0" distR="0" wp14:anchorId="74EA598E" wp14:editId="5D7A9E83">
            <wp:extent cx="1981200" cy="172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1200" cy="1727200"/>
                    </a:xfrm>
                    <a:prstGeom prst="rect">
                      <a:avLst/>
                    </a:prstGeom>
                    <a:noFill/>
                    <a:ln>
                      <a:noFill/>
                    </a:ln>
                  </pic:spPr>
                </pic:pic>
              </a:graphicData>
            </a:graphic>
          </wp:inline>
        </w:drawing>
      </w:r>
    </w:p>
    <w:p w14:paraId="4FC2B6E0" w14:textId="77777777" w:rsidR="00617533" w:rsidRPr="00B021F0" w:rsidRDefault="00617533" w:rsidP="00956834">
      <w:pPr>
        <w:spacing w:after="0"/>
        <w:jc w:val="center"/>
        <w:rPr>
          <w:rFonts w:ascii="Times New Roman" w:hAnsi="Times New Roman"/>
          <w:b/>
          <w:sz w:val="24"/>
          <w:szCs w:val="24"/>
        </w:rPr>
      </w:pPr>
    </w:p>
    <w:p w14:paraId="7BEE8311" w14:textId="77777777" w:rsidR="00617533" w:rsidRPr="00B021F0" w:rsidRDefault="00617533" w:rsidP="00956834">
      <w:pPr>
        <w:spacing w:after="0"/>
        <w:jc w:val="center"/>
        <w:rPr>
          <w:rFonts w:ascii="Times New Roman" w:hAnsi="Times New Roman"/>
          <w:b/>
          <w:sz w:val="36"/>
          <w:szCs w:val="36"/>
        </w:rPr>
      </w:pPr>
      <w:r w:rsidRPr="00B021F0">
        <w:rPr>
          <w:rFonts w:ascii="Times New Roman" w:hAnsi="Times New Roman"/>
          <w:b/>
          <w:sz w:val="36"/>
          <w:szCs w:val="36"/>
        </w:rPr>
        <w:t xml:space="preserve">Inside Story – </w:t>
      </w:r>
      <w:r w:rsidR="00956834">
        <w:rPr>
          <w:rFonts w:ascii="Times New Roman" w:hAnsi="Times New Roman"/>
          <w:b/>
          <w:sz w:val="36"/>
          <w:szCs w:val="36"/>
        </w:rPr>
        <w:t>March</w:t>
      </w:r>
      <w:r w:rsidRPr="00B021F0">
        <w:rPr>
          <w:rFonts w:ascii="Times New Roman" w:hAnsi="Times New Roman"/>
          <w:b/>
          <w:sz w:val="36"/>
          <w:szCs w:val="36"/>
        </w:rPr>
        <w:t xml:space="preserve"> 20</w:t>
      </w:r>
      <w:r w:rsidR="00782731" w:rsidRPr="00B021F0">
        <w:rPr>
          <w:rFonts w:ascii="Times New Roman" w:hAnsi="Times New Roman"/>
          <w:b/>
          <w:sz w:val="36"/>
          <w:szCs w:val="36"/>
        </w:rPr>
        <w:t>20</w:t>
      </w:r>
    </w:p>
    <w:p w14:paraId="08271F43" w14:textId="77777777" w:rsidR="00617533" w:rsidRPr="00B021F0" w:rsidRDefault="00617533" w:rsidP="00956834">
      <w:pPr>
        <w:spacing w:after="0"/>
        <w:jc w:val="center"/>
        <w:rPr>
          <w:rFonts w:ascii="Times New Roman" w:hAnsi="Times New Roman"/>
          <w:b/>
          <w:sz w:val="24"/>
          <w:szCs w:val="24"/>
        </w:rPr>
      </w:pPr>
    </w:p>
    <w:p w14:paraId="5FE6F905" w14:textId="77777777" w:rsidR="00F36532" w:rsidRPr="00B021F0" w:rsidRDefault="00956834" w:rsidP="00956834">
      <w:pPr>
        <w:spacing w:after="0"/>
        <w:jc w:val="center"/>
        <w:rPr>
          <w:rFonts w:ascii="Times New Roman" w:hAnsi="Times New Roman"/>
          <w:b/>
          <w:sz w:val="24"/>
          <w:szCs w:val="24"/>
        </w:rPr>
      </w:pPr>
      <w:r>
        <w:rPr>
          <w:rFonts w:ascii="Times New Roman" w:hAnsi="Times New Roman"/>
          <w:b/>
          <w:sz w:val="28"/>
          <w:szCs w:val="28"/>
          <w:lang w:val="en-US"/>
        </w:rPr>
        <w:t>Examinership: The Irish Rescue Process 30 Years Later</w:t>
      </w:r>
    </w:p>
    <w:p w14:paraId="3AEC310C" w14:textId="77777777" w:rsidR="00617533" w:rsidRPr="00B021F0" w:rsidRDefault="00617533" w:rsidP="00956834">
      <w:pPr>
        <w:spacing w:after="0"/>
        <w:jc w:val="center"/>
        <w:rPr>
          <w:rFonts w:ascii="Times New Roman" w:hAnsi="Times New Roman"/>
          <w:b/>
          <w:sz w:val="24"/>
          <w:szCs w:val="24"/>
        </w:rPr>
      </w:pPr>
    </w:p>
    <w:p w14:paraId="12227958" w14:textId="7511D043" w:rsidR="007A0387" w:rsidRPr="00B021F0" w:rsidRDefault="00956834" w:rsidP="00956834">
      <w:pPr>
        <w:spacing w:after="0"/>
        <w:jc w:val="center"/>
        <w:rPr>
          <w:rFonts w:ascii="Times New Roman" w:hAnsi="Times New Roman"/>
          <w:sz w:val="24"/>
          <w:szCs w:val="24"/>
        </w:rPr>
      </w:pPr>
      <w:r>
        <w:rPr>
          <w:rFonts w:ascii="Times New Roman" w:hAnsi="Times New Roman"/>
          <w:sz w:val="24"/>
          <w:szCs w:val="24"/>
        </w:rPr>
        <w:t>Irene Lynch Fannon</w:t>
      </w:r>
      <w:r w:rsidR="00782731" w:rsidRPr="00B021F0">
        <w:rPr>
          <w:rFonts w:ascii="Times New Roman" w:hAnsi="Times New Roman"/>
          <w:sz w:val="24"/>
          <w:szCs w:val="24"/>
        </w:rPr>
        <w:t>,</w:t>
      </w:r>
      <w:r w:rsidR="00631F24" w:rsidRPr="00B021F0">
        <w:rPr>
          <w:rFonts w:ascii="Times New Roman" w:hAnsi="Times New Roman"/>
          <w:sz w:val="24"/>
          <w:szCs w:val="24"/>
        </w:rPr>
        <w:t xml:space="preserve"> </w:t>
      </w:r>
      <w:r w:rsidR="00782731" w:rsidRPr="00B021F0">
        <w:rPr>
          <w:rFonts w:ascii="Times New Roman" w:hAnsi="Times New Roman"/>
          <w:sz w:val="24"/>
          <w:szCs w:val="24"/>
        </w:rPr>
        <w:t>Professor</w:t>
      </w:r>
      <w:r>
        <w:rPr>
          <w:rFonts w:ascii="Times New Roman" w:hAnsi="Times New Roman"/>
          <w:sz w:val="24"/>
          <w:szCs w:val="24"/>
        </w:rPr>
        <w:t xml:space="preserve"> of Law</w:t>
      </w:r>
      <w:r w:rsidR="00782731" w:rsidRPr="00B021F0">
        <w:rPr>
          <w:rFonts w:ascii="Times New Roman" w:hAnsi="Times New Roman"/>
          <w:sz w:val="24"/>
          <w:szCs w:val="24"/>
        </w:rPr>
        <w:t xml:space="preserve">, </w:t>
      </w:r>
      <w:r w:rsidR="00631F24" w:rsidRPr="00B021F0">
        <w:rPr>
          <w:rFonts w:ascii="Times New Roman" w:hAnsi="Times New Roman"/>
          <w:sz w:val="24"/>
          <w:szCs w:val="24"/>
        </w:rPr>
        <w:t xml:space="preserve">University </w:t>
      </w:r>
      <w:r>
        <w:rPr>
          <w:rFonts w:ascii="Times New Roman" w:hAnsi="Times New Roman"/>
          <w:sz w:val="24"/>
          <w:szCs w:val="24"/>
        </w:rPr>
        <w:t>College Cork</w:t>
      </w:r>
      <w:r w:rsidR="00631F24" w:rsidRPr="00B021F0">
        <w:rPr>
          <w:rFonts w:ascii="Times New Roman" w:hAnsi="Times New Roman"/>
          <w:sz w:val="24"/>
          <w:szCs w:val="24"/>
        </w:rPr>
        <w:t xml:space="preserve">, </w:t>
      </w:r>
      <w:r w:rsidR="000551B8">
        <w:rPr>
          <w:rFonts w:ascii="Times New Roman" w:hAnsi="Times New Roman"/>
          <w:sz w:val="24"/>
          <w:szCs w:val="24"/>
        </w:rPr>
        <w:br/>
      </w:r>
      <w:r>
        <w:rPr>
          <w:rFonts w:ascii="Times New Roman" w:hAnsi="Times New Roman"/>
          <w:sz w:val="24"/>
          <w:szCs w:val="24"/>
        </w:rPr>
        <w:t>Ireland</w:t>
      </w:r>
      <w:r w:rsidR="00782731" w:rsidRPr="00B021F0">
        <w:rPr>
          <w:rFonts w:ascii="Times New Roman" w:hAnsi="Times New Roman"/>
          <w:sz w:val="24"/>
          <w:szCs w:val="24"/>
        </w:rPr>
        <w:t xml:space="preserve"> </w:t>
      </w:r>
      <w:r w:rsidR="007A0387" w:rsidRPr="00B021F0">
        <w:rPr>
          <w:rFonts w:ascii="Times New Roman" w:hAnsi="Times New Roman"/>
          <w:sz w:val="24"/>
          <w:szCs w:val="24"/>
        </w:rPr>
        <w:t>&lt;</w:t>
      </w:r>
      <w:proofErr w:type="spellStart"/>
      <w:proofErr w:type="gramStart"/>
      <w:r>
        <w:rPr>
          <w:rFonts w:ascii="Times New Roman" w:hAnsi="Times New Roman"/>
          <w:sz w:val="24"/>
          <w:szCs w:val="24"/>
        </w:rPr>
        <w:t>i.lynchfannon</w:t>
      </w:r>
      <w:proofErr w:type="spellEnd"/>
      <w:proofErr w:type="gramEnd"/>
      <w:r w:rsidRPr="00B021F0">
        <w:rPr>
          <w:rFonts w:ascii="Times New Roman" w:hAnsi="Times New Roman"/>
          <w:sz w:val="24"/>
          <w:szCs w:val="24"/>
          <w:shd w:val="clear" w:color="auto" w:fill="FFFFFF"/>
        </w:rPr>
        <w:t xml:space="preserve"> </w:t>
      </w:r>
      <w:r w:rsidR="00782731" w:rsidRPr="00B021F0">
        <w:rPr>
          <w:rFonts w:ascii="Times New Roman" w:hAnsi="Times New Roman"/>
          <w:sz w:val="24"/>
          <w:szCs w:val="24"/>
          <w:shd w:val="clear" w:color="auto" w:fill="FFFFFF"/>
        </w:rPr>
        <w:t>@</w:t>
      </w:r>
      <w:r>
        <w:rPr>
          <w:rFonts w:ascii="Times New Roman" w:hAnsi="Times New Roman"/>
          <w:sz w:val="24"/>
          <w:szCs w:val="24"/>
          <w:shd w:val="clear" w:color="auto" w:fill="FFFFFF"/>
        </w:rPr>
        <w:t>ucc</w:t>
      </w:r>
      <w:r w:rsidR="00782731" w:rsidRPr="00B021F0">
        <w:rPr>
          <w:rFonts w:ascii="Times New Roman" w:hAnsi="Times New Roman"/>
          <w:sz w:val="24"/>
          <w:szCs w:val="24"/>
          <w:shd w:val="clear" w:color="auto" w:fill="FFFFFF"/>
        </w:rPr>
        <w:t>.i</w:t>
      </w:r>
      <w:r>
        <w:rPr>
          <w:rFonts w:ascii="Times New Roman" w:hAnsi="Times New Roman"/>
          <w:sz w:val="24"/>
          <w:szCs w:val="24"/>
          <w:shd w:val="clear" w:color="auto" w:fill="FFFFFF"/>
        </w:rPr>
        <w:t>e</w:t>
      </w:r>
      <w:r w:rsidR="007A0387" w:rsidRPr="00B021F0">
        <w:rPr>
          <w:rFonts w:ascii="Times New Roman" w:hAnsi="Times New Roman"/>
          <w:sz w:val="24"/>
          <w:szCs w:val="24"/>
        </w:rPr>
        <w:t>&gt;.</w:t>
      </w:r>
    </w:p>
    <w:p w14:paraId="4F95F298" w14:textId="77777777" w:rsidR="005D783E" w:rsidRPr="00B021F0" w:rsidRDefault="005D783E" w:rsidP="00956834">
      <w:pPr>
        <w:spacing w:after="0"/>
        <w:rPr>
          <w:rFonts w:ascii="Times New Roman" w:hAnsi="Times New Roman"/>
          <w:sz w:val="24"/>
          <w:szCs w:val="24"/>
        </w:rPr>
      </w:pPr>
    </w:p>
    <w:p w14:paraId="468891F3" w14:textId="77777777" w:rsidR="005D783E" w:rsidRPr="00956834" w:rsidRDefault="005D783E" w:rsidP="00956834">
      <w:pPr>
        <w:spacing w:after="0"/>
        <w:rPr>
          <w:rFonts w:ascii="Times New Roman" w:hAnsi="Times New Roman"/>
          <w:i/>
          <w:sz w:val="24"/>
          <w:szCs w:val="24"/>
        </w:rPr>
      </w:pPr>
      <w:r w:rsidRPr="00B021F0">
        <w:rPr>
          <w:rFonts w:ascii="Times New Roman" w:hAnsi="Times New Roman"/>
          <w:i/>
          <w:sz w:val="24"/>
          <w:szCs w:val="24"/>
        </w:rPr>
        <w:t>Intro</w:t>
      </w:r>
      <w:r w:rsidRPr="00956834">
        <w:rPr>
          <w:rFonts w:ascii="Times New Roman" w:hAnsi="Times New Roman"/>
          <w:i/>
          <w:sz w:val="24"/>
          <w:szCs w:val="24"/>
        </w:rPr>
        <w:t>duction</w:t>
      </w:r>
    </w:p>
    <w:p w14:paraId="0054043A" w14:textId="77777777" w:rsidR="00EA5386" w:rsidRPr="00956834" w:rsidRDefault="00EA5386" w:rsidP="00956834">
      <w:pPr>
        <w:spacing w:after="0"/>
        <w:rPr>
          <w:rFonts w:ascii="Times New Roman" w:hAnsi="Times New Roman"/>
          <w:sz w:val="24"/>
          <w:szCs w:val="24"/>
        </w:rPr>
      </w:pPr>
    </w:p>
    <w:p w14:paraId="3232DC98" w14:textId="77777777" w:rsidR="00956834" w:rsidRDefault="00956834" w:rsidP="00956834">
      <w:pPr>
        <w:spacing w:after="0"/>
        <w:rPr>
          <w:rFonts w:ascii="Times New Roman" w:hAnsi="Times New Roman"/>
          <w:sz w:val="24"/>
          <w:szCs w:val="24"/>
        </w:rPr>
      </w:pPr>
      <w:r w:rsidRPr="00956834">
        <w:rPr>
          <w:rFonts w:ascii="Times New Roman" w:hAnsi="Times New Roman"/>
          <w:sz w:val="24"/>
          <w:szCs w:val="24"/>
        </w:rPr>
        <w:t>In 1990</w:t>
      </w:r>
      <w:r>
        <w:rPr>
          <w:rFonts w:ascii="Times New Roman" w:hAnsi="Times New Roman"/>
          <w:sz w:val="24"/>
          <w:szCs w:val="24"/>
        </w:rPr>
        <w:t>,</w:t>
      </w:r>
      <w:r w:rsidRPr="00956834">
        <w:rPr>
          <w:rFonts w:ascii="Times New Roman" w:hAnsi="Times New Roman"/>
          <w:sz w:val="24"/>
          <w:szCs w:val="24"/>
        </w:rPr>
        <w:t xml:space="preserve"> Ireland introduced a rescue process</w:t>
      </w:r>
      <w:r w:rsidRPr="00956834">
        <w:rPr>
          <w:rStyle w:val="FootnoteReference"/>
          <w:rFonts w:ascii="Times New Roman" w:hAnsi="Times New Roman"/>
          <w:sz w:val="24"/>
          <w:szCs w:val="24"/>
        </w:rPr>
        <w:footnoteReference w:id="1"/>
      </w:r>
      <w:r w:rsidRPr="00956834">
        <w:rPr>
          <w:rFonts w:ascii="Times New Roman" w:hAnsi="Times New Roman"/>
          <w:sz w:val="24"/>
          <w:szCs w:val="24"/>
        </w:rPr>
        <w:t xml:space="preserve"> which reflects all of the main components of the Preventive Restructuring Directive (1023/2019)</w:t>
      </w:r>
      <w:r>
        <w:rPr>
          <w:rFonts w:ascii="Times New Roman" w:hAnsi="Times New Roman"/>
          <w:sz w:val="24"/>
          <w:szCs w:val="24"/>
        </w:rPr>
        <w:t xml:space="preserve"> </w:t>
      </w:r>
      <w:r w:rsidRPr="00956834">
        <w:rPr>
          <w:rFonts w:ascii="Times New Roman" w:hAnsi="Times New Roman"/>
          <w:sz w:val="24"/>
          <w:szCs w:val="24"/>
        </w:rPr>
        <w:t>(</w:t>
      </w:r>
      <w:r>
        <w:rPr>
          <w:rFonts w:ascii="Times New Roman" w:hAnsi="Times New Roman"/>
          <w:sz w:val="24"/>
          <w:szCs w:val="24"/>
        </w:rPr>
        <w:t>“</w:t>
      </w:r>
      <w:r w:rsidRPr="00956834">
        <w:rPr>
          <w:rFonts w:ascii="Times New Roman" w:hAnsi="Times New Roman"/>
          <w:sz w:val="24"/>
          <w:szCs w:val="24"/>
        </w:rPr>
        <w:t>PRD</w:t>
      </w:r>
      <w:r>
        <w:rPr>
          <w:rFonts w:ascii="Times New Roman" w:hAnsi="Times New Roman"/>
          <w:sz w:val="24"/>
          <w:szCs w:val="24"/>
        </w:rPr>
        <w:t>”</w:t>
      </w:r>
      <w:r w:rsidRPr="00956834">
        <w:rPr>
          <w:rFonts w:ascii="Times New Roman" w:hAnsi="Times New Roman"/>
          <w:sz w:val="24"/>
          <w:szCs w:val="24"/>
        </w:rPr>
        <w:t>). This procedure was originally contained in a larger scheme of corporate law reform and consolidation designed in the late 1980s</w:t>
      </w:r>
      <w:r>
        <w:rPr>
          <w:rFonts w:ascii="Times New Roman" w:hAnsi="Times New Roman"/>
          <w:sz w:val="24"/>
          <w:szCs w:val="24"/>
        </w:rPr>
        <w:t>,</w:t>
      </w:r>
      <w:r w:rsidRPr="00956834">
        <w:rPr>
          <w:rStyle w:val="FootnoteReference"/>
          <w:rFonts w:ascii="Times New Roman" w:hAnsi="Times New Roman"/>
          <w:sz w:val="24"/>
          <w:szCs w:val="24"/>
        </w:rPr>
        <w:footnoteReference w:id="2"/>
      </w:r>
      <w:r w:rsidRPr="00956834">
        <w:rPr>
          <w:rFonts w:ascii="Times New Roman" w:hAnsi="Times New Roman"/>
          <w:sz w:val="24"/>
          <w:szCs w:val="24"/>
        </w:rPr>
        <w:t xml:space="preserve"> but the rescue process was extracted and passed hurriedly in September 1990 to respond to a crisis in the Irish beef industry. This first outing of what was called the Examinership process</w:t>
      </w:r>
      <w:r w:rsidRPr="00956834">
        <w:rPr>
          <w:rStyle w:val="FootnoteReference"/>
          <w:rFonts w:ascii="Times New Roman" w:hAnsi="Times New Roman"/>
          <w:sz w:val="24"/>
          <w:szCs w:val="24"/>
        </w:rPr>
        <w:footnoteReference w:id="3"/>
      </w:r>
      <w:r w:rsidRPr="00956834">
        <w:rPr>
          <w:rFonts w:ascii="Times New Roman" w:hAnsi="Times New Roman"/>
          <w:sz w:val="24"/>
          <w:szCs w:val="24"/>
        </w:rPr>
        <w:t xml:space="preserve"> was a spectacular success leading to the rescue of the Goodman Group.</w:t>
      </w:r>
      <w:r w:rsidRPr="00956834">
        <w:rPr>
          <w:rStyle w:val="FootnoteReference"/>
          <w:rFonts w:ascii="Times New Roman" w:hAnsi="Times New Roman"/>
          <w:sz w:val="24"/>
          <w:szCs w:val="24"/>
        </w:rPr>
        <w:footnoteReference w:id="4"/>
      </w:r>
      <w:r w:rsidRPr="00956834">
        <w:rPr>
          <w:rFonts w:ascii="Times New Roman" w:hAnsi="Times New Roman"/>
          <w:sz w:val="24"/>
          <w:szCs w:val="24"/>
        </w:rPr>
        <w:t xml:space="preserve"> The remainder of the original legislation was passed later in 1990.</w:t>
      </w:r>
      <w:r w:rsidRPr="00956834">
        <w:rPr>
          <w:rStyle w:val="FootnoteReference"/>
          <w:rFonts w:ascii="Times New Roman" w:hAnsi="Times New Roman"/>
          <w:sz w:val="24"/>
          <w:szCs w:val="24"/>
        </w:rPr>
        <w:footnoteReference w:id="5"/>
      </w:r>
    </w:p>
    <w:p w14:paraId="64457D8C" w14:textId="77777777" w:rsidR="00956834" w:rsidRPr="00956834" w:rsidRDefault="00956834" w:rsidP="00956834">
      <w:pPr>
        <w:spacing w:after="0"/>
        <w:rPr>
          <w:rFonts w:ascii="Times New Roman" w:hAnsi="Times New Roman"/>
          <w:sz w:val="24"/>
          <w:szCs w:val="24"/>
        </w:rPr>
      </w:pPr>
    </w:p>
    <w:p w14:paraId="58EE5347" w14:textId="77777777" w:rsidR="00956834" w:rsidRDefault="00956834" w:rsidP="00956834">
      <w:pPr>
        <w:spacing w:after="0"/>
        <w:rPr>
          <w:rFonts w:ascii="Times New Roman" w:hAnsi="Times New Roman"/>
          <w:sz w:val="24"/>
          <w:szCs w:val="24"/>
        </w:rPr>
      </w:pPr>
      <w:r w:rsidRPr="00956834">
        <w:rPr>
          <w:rFonts w:ascii="Times New Roman" w:hAnsi="Times New Roman"/>
          <w:sz w:val="24"/>
          <w:szCs w:val="24"/>
        </w:rPr>
        <w:t>The Examinership process contains all of the key features in the PRD. It provides for a stay of 70 days with the possibility of extension. There is a threshold test where the court</w:t>
      </w:r>
      <w:r w:rsidRPr="00956834">
        <w:rPr>
          <w:rStyle w:val="FootnoteReference"/>
          <w:rFonts w:ascii="Times New Roman" w:hAnsi="Times New Roman"/>
          <w:sz w:val="24"/>
          <w:szCs w:val="24"/>
        </w:rPr>
        <w:footnoteReference w:id="6"/>
      </w:r>
      <w:r w:rsidRPr="00956834">
        <w:rPr>
          <w:rFonts w:ascii="Times New Roman" w:hAnsi="Times New Roman"/>
          <w:sz w:val="24"/>
          <w:szCs w:val="24"/>
        </w:rPr>
        <w:t xml:space="preserve"> must be satisfied that the company is insolvent or likely to be insolvent, that there is a ‘reasonable prospect of survival’</w:t>
      </w:r>
      <w:r w:rsidRPr="00956834">
        <w:rPr>
          <w:rStyle w:val="FootnoteReference"/>
          <w:rFonts w:ascii="Times New Roman" w:hAnsi="Times New Roman"/>
          <w:sz w:val="24"/>
          <w:szCs w:val="24"/>
        </w:rPr>
        <w:footnoteReference w:id="7"/>
      </w:r>
      <w:r w:rsidRPr="00956834">
        <w:rPr>
          <w:rFonts w:ascii="Times New Roman" w:hAnsi="Times New Roman"/>
          <w:sz w:val="24"/>
          <w:szCs w:val="24"/>
        </w:rPr>
        <w:t xml:space="preserve"> and that no petition for the winding up of the company persists.</w:t>
      </w:r>
      <w:r w:rsidRPr="00956834">
        <w:rPr>
          <w:rStyle w:val="FootnoteReference"/>
          <w:rFonts w:ascii="Times New Roman" w:hAnsi="Times New Roman"/>
          <w:sz w:val="24"/>
          <w:szCs w:val="24"/>
        </w:rPr>
        <w:footnoteReference w:id="8"/>
      </w:r>
      <w:r w:rsidRPr="00956834">
        <w:rPr>
          <w:rFonts w:ascii="Times New Roman" w:hAnsi="Times New Roman"/>
          <w:sz w:val="24"/>
          <w:szCs w:val="24"/>
        </w:rPr>
        <w:t xml:space="preserve"> There is provision for intra</w:t>
      </w:r>
      <w:r>
        <w:rPr>
          <w:rFonts w:ascii="Times New Roman" w:hAnsi="Times New Roman"/>
          <w:sz w:val="24"/>
          <w:szCs w:val="24"/>
        </w:rPr>
        <w:t>-</w:t>
      </w:r>
      <w:r w:rsidRPr="00956834">
        <w:rPr>
          <w:rFonts w:ascii="Times New Roman" w:hAnsi="Times New Roman"/>
          <w:sz w:val="24"/>
          <w:szCs w:val="24"/>
        </w:rPr>
        <w:t xml:space="preserve"> and cross</w:t>
      </w:r>
      <w:r>
        <w:rPr>
          <w:rFonts w:ascii="Times New Roman" w:hAnsi="Times New Roman"/>
          <w:sz w:val="24"/>
          <w:szCs w:val="24"/>
        </w:rPr>
        <w:t>-</w:t>
      </w:r>
      <w:r w:rsidRPr="00956834">
        <w:rPr>
          <w:rFonts w:ascii="Times New Roman" w:hAnsi="Times New Roman"/>
          <w:sz w:val="24"/>
          <w:szCs w:val="24"/>
        </w:rPr>
        <w:t xml:space="preserve">class cram down and final confirmation of the plans by a judicial </w:t>
      </w:r>
      <w:r w:rsidRPr="00956834">
        <w:rPr>
          <w:rFonts w:ascii="Times New Roman" w:hAnsi="Times New Roman"/>
          <w:sz w:val="24"/>
          <w:szCs w:val="24"/>
        </w:rPr>
        <w:lastRenderedPageBreak/>
        <w:t xml:space="preserve">authority, namely the High Court. The legislation also provides for a test of fairness under the rubric of ‘unfair prejudice’ as </w:t>
      </w:r>
      <w:r>
        <w:rPr>
          <w:rFonts w:ascii="Times New Roman" w:hAnsi="Times New Roman"/>
          <w:sz w:val="24"/>
          <w:szCs w:val="24"/>
        </w:rPr>
        <w:t xml:space="preserve">also </w:t>
      </w:r>
      <w:r w:rsidRPr="00956834">
        <w:rPr>
          <w:rFonts w:ascii="Times New Roman" w:hAnsi="Times New Roman"/>
          <w:sz w:val="24"/>
          <w:szCs w:val="24"/>
        </w:rPr>
        <w:t>described in Article 11 of the PRD.</w:t>
      </w:r>
    </w:p>
    <w:p w14:paraId="49FDA874" w14:textId="77777777" w:rsidR="00956834" w:rsidRDefault="00956834" w:rsidP="00956834">
      <w:pPr>
        <w:spacing w:after="0"/>
        <w:rPr>
          <w:rFonts w:ascii="Times New Roman" w:hAnsi="Times New Roman"/>
          <w:sz w:val="24"/>
          <w:szCs w:val="24"/>
        </w:rPr>
      </w:pPr>
    </w:p>
    <w:p w14:paraId="233445EE" w14:textId="77777777" w:rsidR="00956834" w:rsidRPr="00956834" w:rsidRDefault="00956834" w:rsidP="00956834">
      <w:pPr>
        <w:spacing w:after="0"/>
        <w:rPr>
          <w:rFonts w:ascii="Times New Roman" w:hAnsi="Times New Roman"/>
          <w:i/>
          <w:sz w:val="24"/>
          <w:szCs w:val="24"/>
        </w:rPr>
      </w:pPr>
      <w:r w:rsidRPr="00956834">
        <w:rPr>
          <w:rFonts w:ascii="Times New Roman" w:hAnsi="Times New Roman"/>
          <w:i/>
          <w:sz w:val="24"/>
          <w:szCs w:val="24"/>
        </w:rPr>
        <w:t>The Three Phases of the History of Examinership</w:t>
      </w:r>
    </w:p>
    <w:p w14:paraId="276B827F" w14:textId="77777777" w:rsidR="00956834" w:rsidRDefault="00956834" w:rsidP="00956834">
      <w:pPr>
        <w:spacing w:after="0"/>
        <w:rPr>
          <w:rFonts w:ascii="Times New Roman" w:hAnsi="Times New Roman"/>
          <w:sz w:val="24"/>
          <w:szCs w:val="24"/>
        </w:rPr>
      </w:pPr>
    </w:p>
    <w:p w14:paraId="6279FD1A" w14:textId="77777777" w:rsidR="00956834" w:rsidRPr="00956834" w:rsidRDefault="00956834" w:rsidP="00956834">
      <w:pPr>
        <w:spacing w:after="0"/>
        <w:rPr>
          <w:rFonts w:ascii="Times New Roman" w:hAnsi="Times New Roman"/>
          <w:sz w:val="24"/>
          <w:szCs w:val="24"/>
          <w:u w:val="single"/>
        </w:rPr>
      </w:pPr>
      <w:r w:rsidRPr="00956834">
        <w:rPr>
          <w:rFonts w:ascii="Times New Roman" w:hAnsi="Times New Roman"/>
          <w:sz w:val="24"/>
          <w:szCs w:val="24"/>
          <w:u w:val="single"/>
        </w:rPr>
        <w:t>The First Phase: A Radical Departure</w:t>
      </w:r>
    </w:p>
    <w:p w14:paraId="7CEFCCC5" w14:textId="77777777" w:rsidR="00956834" w:rsidRPr="00956834" w:rsidRDefault="00956834" w:rsidP="00956834">
      <w:pPr>
        <w:spacing w:after="0"/>
        <w:rPr>
          <w:rFonts w:ascii="Times New Roman" w:hAnsi="Times New Roman"/>
          <w:sz w:val="24"/>
          <w:szCs w:val="24"/>
        </w:rPr>
      </w:pPr>
    </w:p>
    <w:p w14:paraId="168FAB36" w14:textId="77777777" w:rsidR="00956834" w:rsidRDefault="00956834" w:rsidP="00956834">
      <w:pPr>
        <w:spacing w:after="0"/>
        <w:rPr>
          <w:rFonts w:ascii="Times New Roman" w:hAnsi="Times New Roman"/>
          <w:sz w:val="24"/>
          <w:szCs w:val="24"/>
        </w:rPr>
      </w:pPr>
      <w:r w:rsidRPr="00956834">
        <w:rPr>
          <w:rFonts w:ascii="Times New Roman" w:hAnsi="Times New Roman"/>
          <w:sz w:val="24"/>
          <w:szCs w:val="24"/>
        </w:rPr>
        <w:t>Over the 30 years since its introduction</w:t>
      </w:r>
      <w:r>
        <w:rPr>
          <w:rFonts w:ascii="Times New Roman" w:hAnsi="Times New Roman"/>
          <w:sz w:val="24"/>
          <w:szCs w:val="24"/>
        </w:rPr>
        <w:t>,</w:t>
      </w:r>
      <w:r w:rsidRPr="00956834">
        <w:rPr>
          <w:rFonts w:ascii="Times New Roman" w:hAnsi="Times New Roman"/>
          <w:sz w:val="24"/>
          <w:szCs w:val="24"/>
        </w:rPr>
        <w:t xml:space="preserve"> the use of the Examinership process can be divided into three periods. In the initial phase</w:t>
      </w:r>
      <w:r>
        <w:rPr>
          <w:rFonts w:ascii="Times New Roman" w:hAnsi="Times New Roman"/>
          <w:sz w:val="24"/>
          <w:szCs w:val="24"/>
        </w:rPr>
        <w:t>,</w:t>
      </w:r>
      <w:r w:rsidRPr="00956834">
        <w:rPr>
          <w:rFonts w:ascii="Times New Roman" w:hAnsi="Times New Roman"/>
          <w:sz w:val="24"/>
          <w:szCs w:val="24"/>
        </w:rPr>
        <w:t xml:space="preserve"> the process represented quite a radical departure from the existing insolvency framework</w:t>
      </w:r>
      <w:r>
        <w:rPr>
          <w:rFonts w:ascii="Times New Roman" w:hAnsi="Times New Roman"/>
          <w:sz w:val="24"/>
          <w:szCs w:val="24"/>
        </w:rPr>
        <w:t>,</w:t>
      </w:r>
      <w:r w:rsidRPr="00956834">
        <w:rPr>
          <w:rFonts w:ascii="Times New Roman" w:hAnsi="Times New Roman"/>
          <w:sz w:val="24"/>
          <w:szCs w:val="24"/>
        </w:rPr>
        <w:t xml:space="preserve"> which had been dominated in the 1980s by significant liquidations and the ever present possibility of receiverships- a significant right granted to secured creditors which continues to be a feature of insolvency proceedings in most common law countries.</w:t>
      </w:r>
      <w:r w:rsidRPr="00956834">
        <w:rPr>
          <w:rStyle w:val="FootnoteReference"/>
          <w:rFonts w:ascii="Times New Roman" w:hAnsi="Times New Roman"/>
          <w:sz w:val="24"/>
          <w:szCs w:val="24"/>
        </w:rPr>
        <w:footnoteReference w:id="9"/>
      </w:r>
      <w:r w:rsidRPr="00956834">
        <w:rPr>
          <w:rFonts w:ascii="Times New Roman" w:hAnsi="Times New Roman"/>
          <w:sz w:val="24"/>
          <w:szCs w:val="24"/>
        </w:rPr>
        <w:t xml:space="preserve"> In this phase</w:t>
      </w:r>
      <w:r>
        <w:rPr>
          <w:rFonts w:ascii="Times New Roman" w:hAnsi="Times New Roman"/>
          <w:sz w:val="24"/>
          <w:szCs w:val="24"/>
        </w:rPr>
        <w:t>,</w:t>
      </w:r>
      <w:r w:rsidRPr="00956834">
        <w:rPr>
          <w:rFonts w:ascii="Times New Roman" w:hAnsi="Times New Roman"/>
          <w:sz w:val="24"/>
          <w:szCs w:val="24"/>
        </w:rPr>
        <w:t xml:space="preserve"> a number of decisions of the Irish High Court and Supreme Court underlined the radical nature of the process, particularly when it provided for the compromise of existing creditor rights to facilitate new investment. Commentators on the PRD would do well to understand that the intent of a rescue process is to disrupt with a view to rescue and so</w:t>
      </w:r>
      <w:r>
        <w:rPr>
          <w:rFonts w:ascii="Times New Roman" w:hAnsi="Times New Roman"/>
          <w:sz w:val="24"/>
          <w:szCs w:val="24"/>
        </w:rPr>
        <w:t>,</w:t>
      </w:r>
      <w:r w:rsidRPr="00956834">
        <w:rPr>
          <w:rFonts w:ascii="Times New Roman" w:hAnsi="Times New Roman"/>
          <w:sz w:val="24"/>
          <w:szCs w:val="24"/>
        </w:rPr>
        <w:t xml:space="preserve"> it is argued here</w:t>
      </w:r>
      <w:r w:rsidR="00D75A21">
        <w:rPr>
          <w:rFonts w:ascii="Times New Roman" w:hAnsi="Times New Roman"/>
          <w:sz w:val="24"/>
          <w:szCs w:val="24"/>
        </w:rPr>
        <w:t>,</w:t>
      </w:r>
      <w:r w:rsidRPr="00956834">
        <w:rPr>
          <w:rFonts w:ascii="Times New Roman" w:hAnsi="Times New Roman"/>
          <w:sz w:val="24"/>
          <w:szCs w:val="24"/>
        </w:rPr>
        <w:t xml:space="preserve"> that some compromise of existing rights is absolutely necessary for rescue to work effectively.</w:t>
      </w:r>
    </w:p>
    <w:p w14:paraId="20A80405" w14:textId="77777777" w:rsidR="00956834" w:rsidRDefault="00956834" w:rsidP="00956834">
      <w:pPr>
        <w:spacing w:after="0"/>
        <w:rPr>
          <w:rFonts w:ascii="Times New Roman" w:hAnsi="Times New Roman"/>
          <w:sz w:val="24"/>
          <w:szCs w:val="24"/>
        </w:rPr>
      </w:pPr>
    </w:p>
    <w:p w14:paraId="68AEFFA4" w14:textId="77777777" w:rsidR="00956834" w:rsidRDefault="00956834" w:rsidP="00956834">
      <w:pPr>
        <w:spacing w:after="0"/>
        <w:rPr>
          <w:rFonts w:ascii="Times New Roman" w:hAnsi="Times New Roman"/>
          <w:sz w:val="24"/>
          <w:szCs w:val="24"/>
        </w:rPr>
      </w:pPr>
      <w:r w:rsidRPr="00956834">
        <w:rPr>
          <w:rFonts w:ascii="Times New Roman" w:hAnsi="Times New Roman"/>
          <w:sz w:val="24"/>
          <w:szCs w:val="24"/>
        </w:rPr>
        <w:t xml:space="preserve">Decisions in </w:t>
      </w:r>
      <w:r w:rsidRPr="00956834">
        <w:rPr>
          <w:rFonts w:ascii="Times New Roman" w:hAnsi="Times New Roman"/>
          <w:i/>
          <w:sz w:val="24"/>
          <w:szCs w:val="24"/>
        </w:rPr>
        <w:t xml:space="preserve">Re Atlantic Magnetics Ltd. </w:t>
      </w:r>
      <w:r w:rsidRPr="00956834">
        <w:rPr>
          <w:rFonts w:ascii="Times New Roman" w:hAnsi="Times New Roman"/>
          <w:sz w:val="24"/>
          <w:szCs w:val="24"/>
        </w:rPr>
        <w:t>and</w:t>
      </w:r>
      <w:r w:rsidRPr="00956834">
        <w:rPr>
          <w:rFonts w:ascii="Times New Roman" w:hAnsi="Times New Roman"/>
          <w:i/>
          <w:sz w:val="24"/>
          <w:szCs w:val="24"/>
        </w:rPr>
        <w:t xml:space="preserve"> Re </w:t>
      </w:r>
      <w:proofErr w:type="spellStart"/>
      <w:r w:rsidRPr="00956834">
        <w:rPr>
          <w:rFonts w:ascii="Times New Roman" w:hAnsi="Times New Roman"/>
          <w:i/>
          <w:sz w:val="24"/>
          <w:szCs w:val="24"/>
        </w:rPr>
        <w:t>Holidair</w:t>
      </w:r>
      <w:proofErr w:type="spellEnd"/>
      <w:r w:rsidRPr="00956834">
        <w:rPr>
          <w:rStyle w:val="FootnoteReference"/>
          <w:rFonts w:ascii="Times New Roman" w:hAnsi="Times New Roman"/>
          <w:sz w:val="24"/>
          <w:szCs w:val="24"/>
        </w:rPr>
        <w:footnoteReference w:id="10"/>
      </w:r>
      <w:r w:rsidRPr="00956834">
        <w:rPr>
          <w:rFonts w:ascii="Times New Roman" w:hAnsi="Times New Roman"/>
          <w:i/>
          <w:sz w:val="24"/>
          <w:szCs w:val="24"/>
        </w:rPr>
        <w:t xml:space="preserve"> </w:t>
      </w:r>
      <w:r w:rsidRPr="00956834">
        <w:rPr>
          <w:rFonts w:ascii="Times New Roman" w:hAnsi="Times New Roman"/>
          <w:sz w:val="24"/>
          <w:szCs w:val="24"/>
        </w:rPr>
        <w:t xml:space="preserve">underlined the important changes to the insolvency landscape introduced by examinerships. In </w:t>
      </w:r>
      <w:r w:rsidRPr="00956834">
        <w:rPr>
          <w:rFonts w:ascii="Times New Roman" w:hAnsi="Times New Roman"/>
          <w:i/>
          <w:sz w:val="24"/>
          <w:szCs w:val="24"/>
        </w:rPr>
        <w:t>Atlantic Magnetics Ltd.,</w:t>
      </w:r>
      <w:r w:rsidRPr="00956834">
        <w:rPr>
          <w:rFonts w:ascii="Times New Roman" w:hAnsi="Times New Roman"/>
          <w:sz w:val="24"/>
          <w:szCs w:val="24"/>
        </w:rPr>
        <w:t xml:space="preserve"> McCarthy J. in the Supreme Court noted that examinership was introduced to provide for the protection of the company itself and its creditors as a whole stating that the ‘fate of the company and those who depend upon it’ should not lie solely in the hands of secured creditors ‘to the inevitable disadvantage of those less protected’.</w:t>
      </w:r>
      <w:r w:rsidRPr="00956834">
        <w:rPr>
          <w:rStyle w:val="FootnoteReference"/>
          <w:rFonts w:ascii="Times New Roman" w:hAnsi="Times New Roman"/>
          <w:sz w:val="24"/>
          <w:szCs w:val="24"/>
        </w:rPr>
        <w:footnoteReference w:id="11"/>
      </w:r>
      <w:r w:rsidRPr="00956834">
        <w:rPr>
          <w:rFonts w:ascii="Times New Roman" w:hAnsi="Times New Roman"/>
          <w:sz w:val="24"/>
          <w:szCs w:val="24"/>
        </w:rPr>
        <w:t xml:space="preserve"> In this phase</w:t>
      </w:r>
      <w:r>
        <w:rPr>
          <w:rFonts w:ascii="Times New Roman" w:hAnsi="Times New Roman"/>
          <w:sz w:val="24"/>
          <w:szCs w:val="24"/>
        </w:rPr>
        <w:t>,</w:t>
      </w:r>
      <w:r w:rsidRPr="00956834">
        <w:rPr>
          <w:rFonts w:ascii="Times New Roman" w:hAnsi="Times New Roman"/>
          <w:sz w:val="24"/>
          <w:szCs w:val="24"/>
        </w:rPr>
        <w:t xml:space="preserve"> the courts supported significant rearrangement of creditors’ expectations including a quite controversial ability of the examiner to disclaim pre-existing contractual agreements</w:t>
      </w:r>
      <w:r>
        <w:rPr>
          <w:rFonts w:ascii="Times New Roman" w:hAnsi="Times New Roman"/>
          <w:sz w:val="24"/>
          <w:szCs w:val="24"/>
        </w:rPr>
        <w:t>,</w:t>
      </w:r>
      <w:r w:rsidRPr="00956834">
        <w:rPr>
          <w:rFonts w:ascii="Times New Roman" w:hAnsi="Times New Roman"/>
          <w:sz w:val="24"/>
          <w:szCs w:val="24"/>
        </w:rPr>
        <w:t xml:space="preserve"> which was subsequently amended in later legislation.</w:t>
      </w:r>
      <w:r w:rsidRPr="00956834">
        <w:rPr>
          <w:rStyle w:val="FootnoteReference"/>
          <w:rFonts w:ascii="Times New Roman" w:hAnsi="Times New Roman"/>
          <w:sz w:val="24"/>
          <w:szCs w:val="24"/>
        </w:rPr>
        <w:footnoteReference w:id="12"/>
      </w:r>
      <w:r w:rsidRPr="00956834">
        <w:rPr>
          <w:rFonts w:ascii="Times New Roman" w:hAnsi="Times New Roman"/>
          <w:sz w:val="24"/>
          <w:szCs w:val="24"/>
        </w:rPr>
        <w:t xml:space="preserve"> In addition, the use of the provisions allowing the examiner to borrow new funds together with a certification of expenses process was used in a controversial manner to give additional priority to new financiers.</w:t>
      </w:r>
      <w:r w:rsidRPr="00956834">
        <w:rPr>
          <w:rStyle w:val="FootnoteReference"/>
          <w:rFonts w:ascii="Times New Roman" w:hAnsi="Times New Roman"/>
          <w:sz w:val="24"/>
          <w:szCs w:val="24"/>
        </w:rPr>
        <w:footnoteReference w:id="13"/>
      </w:r>
    </w:p>
    <w:p w14:paraId="1C922FE4" w14:textId="77777777" w:rsidR="00956834" w:rsidRDefault="00956834" w:rsidP="00956834">
      <w:pPr>
        <w:spacing w:after="0"/>
        <w:rPr>
          <w:rFonts w:ascii="Times New Roman" w:hAnsi="Times New Roman"/>
          <w:sz w:val="24"/>
          <w:szCs w:val="24"/>
        </w:rPr>
      </w:pPr>
    </w:p>
    <w:p w14:paraId="2F43F43A" w14:textId="77777777" w:rsidR="00956834" w:rsidRPr="00956834" w:rsidRDefault="00956834" w:rsidP="00956834">
      <w:pPr>
        <w:spacing w:after="0"/>
        <w:rPr>
          <w:rFonts w:ascii="Times New Roman" w:hAnsi="Times New Roman"/>
          <w:sz w:val="24"/>
          <w:szCs w:val="24"/>
          <w:u w:val="single"/>
        </w:rPr>
      </w:pPr>
      <w:r w:rsidRPr="00956834">
        <w:rPr>
          <w:rFonts w:ascii="Times New Roman" w:hAnsi="Times New Roman"/>
          <w:sz w:val="24"/>
          <w:szCs w:val="24"/>
          <w:u w:val="single"/>
        </w:rPr>
        <w:t>Settling Down: A Second Phase</w:t>
      </w:r>
    </w:p>
    <w:p w14:paraId="5CFD29F6" w14:textId="77777777" w:rsidR="00956834" w:rsidRPr="00956834" w:rsidRDefault="00956834" w:rsidP="00956834">
      <w:pPr>
        <w:spacing w:after="0"/>
        <w:rPr>
          <w:rFonts w:ascii="Times New Roman" w:hAnsi="Times New Roman"/>
          <w:sz w:val="24"/>
          <w:szCs w:val="24"/>
        </w:rPr>
      </w:pPr>
    </w:p>
    <w:p w14:paraId="773FBAD9" w14:textId="77777777" w:rsidR="00956834" w:rsidRDefault="00956834" w:rsidP="00956834">
      <w:pPr>
        <w:spacing w:after="0"/>
        <w:rPr>
          <w:rFonts w:ascii="Times New Roman" w:hAnsi="Times New Roman"/>
          <w:sz w:val="24"/>
          <w:szCs w:val="24"/>
        </w:rPr>
      </w:pPr>
      <w:r w:rsidRPr="00956834">
        <w:rPr>
          <w:rFonts w:ascii="Times New Roman" w:hAnsi="Times New Roman"/>
          <w:sz w:val="24"/>
          <w:szCs w:val="24"/>
        </w:rPr>
        <w:lastRenderedPageBreak/>
        <w:t>In a second phase, following some amendments to the process in 1999,</w:t>
      </w:r>
      <w:r w:rsidRPr="00956834">
        <w:rPr>
          <w:rStyle w:val="FootnoteReference"/>
          <w:rFonts w:ascii="Times New Roman" w:hAnsi="Times New Roman"/>
          <w:sz w:val="24"/>
          <w:szCs w:val="24"/>
        </w:rPr>
        <w:footnoteReference w:id="14"/>
      </w:r>
      <w:r w:rsidRPr="00956834">
        <w:rPr>
          <w:rFonts w:ascii="Times New Roman" w:hAnsi="Times New Roman"/>
          <w:sz w:val="24"/>
          <w:szCs w:val="24"/>
        </w:rPr>
        <w:t xml:space="preserve"> in response to concerns from lenders, the examinership process settled down. That said, the period from 1999 to 2004 was a period of boom, sometimes referred to as the ‘Celtic Tiger’ years where there was not much need for formal corporate rescue.</w:t>
      </w:r>
    </w:p>
    <w:p w14:paraId="62F01A08" w14:textId="77777777" w:rsidR="00956834" w:rsidRDefault="00956834" w:rsidP="00956834">
      <w:pPr>
        <w:spacing w:after="0"/>
        <w:rPr>
          <w:rFonts w:ascii="Times New Roman" w:hAnsi="Times New Roman"/>
          <w:sz w:val="24"/>
          <w:szCs w:val="24"/>
        </w:rPr>
      </w:pPr>
    </w:p>
    <w:p w14:paraId="302380D8" w14:textId="77777777" w:rsidR="00956834" w:rsidRPr="00956834" w:rsidRDefault="00956834" w:rsidP="00956834">
      <w:pPr>
        <w:spacing w:after="0"/>
        <w:rPr>
          <w:rFonts w:ascii="Times New Roman" w:hAnsi="Times New Roman"/>
          <w:sz w:val="24"/>
          <w:szCs w:val="24"/>
          <w:u w:val="single"/>
        </w:rPr>
      </w:pPr>
      <w:r w:rsidRPr="00956834">
        <w:rPr>
          <w:rFonts w:ascii="Times New Roman" w:hAnsi="Times New Roman"/>
          <w:sz w:val="24"/>
          <w:szCs w:val="24"/>
          <w:u w:val="single"/>
        </w:rPr>
        <w:t>Ongoing Supervision and the Court’s Role: The Third Phase</w:t>
      </w:r>
    </w:p>
    <w:p w14:paraId="5D12B370" w14:textId="77777777" w:rsidR="00956834" w:rsidRPr="00956834" w:rsidRDefault="00956834" w:rsidP="00956834">
      <w:pPr>
        <w:spacing w:after="0"/>
        <w:rPr>
          <w:rFonts w:ascii="Times New Roman" w:hAnsi="Times New Roman"/>
          <w:sz w:val="24"/>
          <w:szCs w:val="24"/>
        </w:rPr>
      </w:pPr>
    </w:p>
    <w:p w14:paraId="317AA8C7" w14:textId="77777777" w:rsidR="00956834" w:rsidRDefault="00956834" w:rsidP="00956834">
      <w:pPr>
        <w:spacing w:after="0"/>
        <w:rPr>
          <w:rFonts w:ascii="Times New Roman" w:hAnsi="Times New Roman"/>
          <w:sz w:val="24"/>
          <w:szCs w:val="24"/>
        </w:rPr>
      </w:pPr>
      <w:r w:rsidRPr="00956834">
        <w:rPr>
          <w:rFonts w:ascii="Times New Roman" w:hAnsi="Times New Roman"/>
          <w:sz w:val="24"/>
          <w:szCs w:val="24"/>
        </w:rPr>
        <w:t>In the third phase</w:t>
      </w:r>
      <w:r>
        <w:rPr>
          <w:rFonts w:ascii="Times New Roman" w:hAnsi="Times New Roman"/>
          <w:sz w:val="24"/>
          <w:szCs w:val="24"/>
        </w:rPr>
        <w:t>,</w:t>
      </w:r>
      <w:r w:rsidRPr="00956834">
        <w:rPr>
          <w:rFonts w:ascii="Times New Roman" w:hAnsi="Times New Roman"/>
          <w:sz w:val="24"/>
          <w:szCs w:val="24"/>
        </w:rPr>
        <w:t xml:space="preserve"> following the financial crisis, the importance of examinership again became apparent. A key feature of the process is the ongoing role of the courts which provides the benefits of supervision. This has become very important in terms of bringing successful rescue to completion. Nevertheless, this characteristic adds to the cost of the process. In 2013</w:t>
      </w:r>
      <w:r>
        <w:rPr>
          <w:rFonts w:ascii="Times New Roman" w:hAnsi="Times New Roman"/>
          <w:sz w:val="24"/>
          <w:szCs w:val="24"/>
        </w:rPr>
        <w:t>,</w:t>
      </w:r>
      <w:r w:rsidRPr="00956834">
        <w:rPr>
          <w:rFonts w:ascii="Times New Roman" w:hAnsi="Times New Roman"/>
          <w:sz w:val="24"/>
          <w:szCs w:val="24"/>
        </w:rPr>
        <w:t xml:space="preserve"> legislation was introduced to allow for the conduct of examinerships through a lower court with a view to reducing costs and making the process more attractive to the SME sector. This legislation is now consolidated in the Companies Act 2014. As a strategy its success has been limited.</w:t>
      </w:r>
    </w:p>
    <w:p w14:paraId="49A9B302" w14:textId="77777777" w:rsidR="00956834" w:rsidRPr="00956834" w:rsidRDefault="00956834" w:rsidP="00956834">
      <w:pPr>
        <w:spacing w:after="0"/>
        <w:rPr>
          <w:rFonts w:ascii="Times New Roman" w:hAnsi="Times New Roman"/>
          <w:sz w:val="24"/>
          <w:szCs w:val="24"/>
        </w:rPr>
      </w:pPr>
    </w:p>
    <w:p w14:paraId="0E452FF7" w14:textId="77777777" w:rsidR="00956834" w:rsidRDefault="00956834" w:rsidP="00956834">
      <w:pPr>
        <w:spacing w:after="0"/>
        <w:rPr>
          <w:rFonts w:ascii="Times New Roman" w:hAnsi="Times New Roman"/>
          <w:sz w:val="24"/>
          <w:szCs w:val="24"/>
        </w:rPr>
      </w:pPr>
      <w:r>
        <w:rPr>
          <w:rFonts w:ascii="Times New Roman" w:hAnsi="Times New Roman"/>
          <w:sz w:val="24"/>
          <w:szCs w:val="24"/>
        </w:rPr>
        <w:t>Also i</w:t>
      </w:r>
      <w:r w:rsidRPr="00956834">
        <w:rPr>
          <w:rFonts w:ascii="Times New Roman" w:hAnsi="Times New Roman"/>
          <w:sz w:val="24"/>
          <w:szCs w:val="24"/>
        </w:rPr>
        <w:t>n the third phase</w:t>
      </w:r>
      <w:r>
        <w:rPr>
          <w:rFonts w:ascii="Times New Roman" w:hAnsi="Times New Roman"/>
          <w:sz w:val="24"/>
          <w:szCs w:val="24"/>
        </w:rPr>
        <w:t>,</w:t>
      </w:r>
      <w:r w:rsidRPr="00956834">
        <w:rPr>
          <w:rFonts w:ascii="Times New Roman" w:hAnsi="Times New Roman"/>
          <w:sz w:val="24"/>
          <w:szCs w:val="24"/>
        </w:rPr>
        <w:t xml:space="preserve"> decisions such as </w:t>
      </w:r>
      <w:proofErr w:type="spellStart"/>
      <w:r w:rsidRPr="00956834">
        <w:rPr>
          <w:rFonts w:ascii="Times New Roman" w:hAnsi="Times New Roman"/>
          <w:i/>
          <w:sz w:val="24"/>
          <w:szCs w:val="24"/>
        </w:rPr>
        <w:t>Vantive</w:t>
      </w:r>
      <w:proofErr w:type="spellEnd"/>
      <w:r w:rsidRPr="00956834">
        <w:rPr>
          <w:rFonts w:ascii="Times New Roman" w:hAnsi="Times New Roman"/>
          <w:i/>
          <w:sz w:val="24"/>
          <w:szCs w:val="24"/>
        </w:rPr>
        <w:t xml:space="preserve"> Holdings</w:t>
      </w:r>
      <w:r w:rsidRPr="00956834">
        <w:rPr>
          <w:rFonts w:ascii="Times New Roman" w:hAnsi="Times New Roman"/>
          <w:sz w:val="24"/>
          <w:szCs w:val="24"/>
        </w:rPr>
        <w:t xml:space="preserve"> and </w:t>
      </w:r>
      <w:proofErr w:type="spellStart"/>
      <w:r w:rsidRPr="00956834">
        <w:rPr>
          <w:rFonts w:ascii="Times New Roman" w:hAnsi="Times New Roman"/>
          <w:i/>
          <w:sz w:val="24"/>
          <w:szCs w:val="24"/>
        </w:rPr>
        <w:t>McInerney</w:t>
      </w:r>
      <w:proofErr w:type="spellEnd"/>
      <w:r w:rsidRPr="00956834">
        <w:rPr>
          <w:rStyle w:val="FootnoteReference"/>
          <w:rFonts w:ascii="Times New Roman" w:hAnsi="Times New Roman"/>
          <w:sz w:val="24"/>
          <w:szCs w:val="24"/>
        </w:rPr>
        <w:footnoteReference w:id="15"/>
      </w:r>
      <w:r w:rsidRPr="00956834">
        <w:rPr>
          <w:rFonts w:ascii="Times New Roman" w:hAnsi="Times New Roman"/>
          <w:sz w:val="24"/>
          <w:szCs w:val="24"/>
        </w:rPr>
        <w:t xml:space="preserve"> </w:t>
      </w:r>
      <w:r>
        <w:rPr>
          <w:rFonts w:ascii="Times New Roman" w:hAnsi="Times New Roman"/>
          <w:sz w:val="24"/>
          <w:szCs w:val="24"/>
        </w:rPr>
        <w:t xml:space="preserve">have </w:t>
      </w:r>
      <w:r w:rsidRPr="00956834">
        <w:rPr>
          <w:rFonts w:ascii="Times New Roman" w:hAnsi="Times New Roman"/>
          <w:sz w:val="24"/>
          <w:szCs w:val="24"/>
        </w:rPr>
        <w:t>underline</w:t>
      </w:r>
      <w:r>
        <w:rPr>
          <w:rFonts w:ascii="Times New Roman" w:hAnsi="Times New Roman"/>
          <w:sz w:val="24"/>
          <w:szCs w:val="24"/>
        </w:rPr>
        <w:t>d</w:t>
      </w:r>
      <w:r w:rsidRPr="00956834">
        <w:rPr>
          <w:rFonts w:ascii="Times New Roman" w:hAnsi="Times New Roman"/>
          <w:sz w:val="24"/>
          <w:szCs w:val="24"/>
        </w:rPr>
        <w:t xml:space="preserve"> the role of the court in ensuring that the examinership process is operated fairly. This observation sounds a note of caution regarding the options available in the PRD to adopt a rescue process which does not include the supervision of a court or administrative authority. That said</w:t>
      </w:r>
      <w:r w:rsidR="00D75A21">
        <w:rPr>
          <w:rFonts w:ascii="Times New Roman" w:hAnsi="Times New Roman"/>
          <w:sz w:val="24"/>
          <w:szCs w:val="24"/>
        </w:rPr>
        <w:t>,</w:t>
      </w:r>
      <w:r w:rsidRPr="00956834">
        <w:rPr>
          <w:rFonts w:ascii="Times New Roman" w:hAnsi="Times New Roman"/>
          <w:sz w:val="24"/>
          <w:szCs w:val="24"/>
        </w:rPr>
        <w:t xml:space="preserve"> the PRD does not envisage that this option is available where cram-down provisions are operated and as described, the examinership process includes cross class and intra class cram down provisions.</w:t>
      </w:r>
    </w:p>
    <w:p w14:paraId="0F4DE136" w14:textId="77777777" w:rsidR="00956834" w:rsidRDefault="00956834" w:rsidP="00956834">
      <w:pPr>
        <w:spacing w:after="0"/>
        <w:rPr>
          <w:rFonts w:ascii="Times New Roman" w:hAnsi="Times New Roman"/>
          <w:sz w:val="24"/>
          <w:szCs w:val="24"/>
        </w:rPr>
      </w:pPr>
    </w:p>
    <w:p w14:paraId="39C59D39" w14:textId="77777777" w:rsidR="002C5ABD" w:rsidRDefault="00956834" w:rsidP="00956834">
      <w:pPr>
        <w:spacing w:after="0"/>
        <w:rPr>
          <w:rFonts w:ascii="Times New Roman" w:hAnsi="Times New Roman"/>
          <w:sz w:val="24"/>
          <w:szCs w:val="24"/>
        </w:rPr>
      </w:pPr>
      <w:r w:rsidRPr="00956834">
        <w:rPr>
          <w:rFonts w:ascii="Times New Roman" w:hAnsi="Times New Roman"/>
          <w:sz w:val="24"/>
          <w:szCs w:val="24"/>
        </w:rPr>
        <w:t xml:space="preserve">In </w:t>
      </w:r>
      <w:proofErr w:type="spellStart"/>
      <w:r w:rsidRPr="00956834">
        <w:rPr>
          <w:rFonts w:ascii="Times New Roman" w:hAnsi="Times New Roman"/>
          <w:i/>
          <w:sz w:val="24"/>
          <w:szCs w:val="24"/>
        </w:rPr>
        <w:t>Vantive</w:t>
      </w:r>
      <w:proofErr w:type="spellEnd"/>
      <w:r w:rsidRPr="00956834">
        <w:rPr>
          <w:rFonts w:ascii="Times New Roman" w:hAnsi="Times New Roman"/>
          <w:i/>
          <w:sz w:val="24"/>
          <w:szCs w:val="24"/>
        </w:rPr>
        <w:t xml:space="preserve"> Holdings</w:t>
      </w:r>
      <w:r>
        <w:rPr>
          <w:rFonts w:ascii="Times New Roman" w:hAnsi="Times New Roman"/>
          <w:sz w:val="24"/>
          <w:szCs w:val="24"/>
        </w:rPr>
        <w:t>,</w:t>
      </w:r>
      <w:r w:rsidRPr="00956834">
        <w:rPr>
          <w:rFonts w:ascii="Times New Roman" w:hAnsi="Times New Roman"/>
          <w:sz w:val="24"/>
          <w:szCs w:val="24"/>
        </w:rPr>
        <w:t xml:space="preserve"> objecting creditors based their arguments on the threshold test which includes an assessment of whether there is a ‘reasonable prospect of survival’ of the entity. The court’s refusal to allow the appointment of an examiner was extremely significant, not only in relation to the fate of that large construction enterprise, but also in relation to the recognition of the fact that the economy was in crisis and that the Irish property market had collapsed. Kelly J.</w:t>
      </w:r>
      <w:r w:rsidR="002C5ABD">
        <w:rPr>
          <w:rFonts w:ascii="Times New Roman" w:hAnsi="Times New Roman"/>
          <w:sz w:val="24"/>
          <w:szCs w:val="24"/>
        </w:rPr>
        <w:t>,</w:t>
      </w:r>
      <w:r w:rsidRPr="00956834">
        <w:rPr>
          <w:rFonts w:ascii="Times New Roman" w:hAnsi="Times New Roman"/>
          <w:sz w:val="24"/>
          <w:szCs w:val="24"/>
        </w:rPr>
        <w:t xml:space="preserve"> in refusing to allow the examiner to be appointed</w:t>
      </w:r>
      <w:r w:rsidR="002C5ABD">
        <w:rPr>
          <w:rFonts w:ascii="Times New Roman" w:hAnsi="Times New Roman"/>
          <w:sz w:val="24"/>
          <w:szCs w:val="24"/>
        </w:rPr>
        <w:t>,</w:t>
      </w:r>
      <w:r w:rsidRPr="00956834">
        <w:rPr>
          <w:rFonts w:ascii="Times New Roman" w:hAnsi="Times New Roman"/>
          <w:sz w:val="24"/>
          <w:szCs w:val="24"/>
        </w:rPr>
        <w:t xml:space="preserve"> stated that the supporting projections for the company’s recovery appeared</w:t>
      </w:r>
      <w:r w:rsidR="002C5ABD">
        <w:rPr>
          <w:rFonts w:ascii="Times New Roman" w:hAnsi="Times New Roman"/>
          <w:sz w:val="24"/>
          <w:szCs w:val="24"/>
        </w:rPr>
        <w:t>:</w:t>
      </w:r>
    </w:p>
    <w:p w14:paraId="6D2D6DEB" w14:textId="77777777" w:rsidR="002C5ABD" w:rsidRDefault="002C5ABD" w:rsidP="00956834">
      <w:pPr>
        <w:spacing w:after="0"/>
        <w:rPr>
          <w:rFonts w:ascii="Times New Roman" w:hAnsi="Times New Roman"/>
          <w:sz w:val="24"/>
          <w:szCs w:val="24"/>
        </w:rPr>
      </w:pPr>
    </w:p>
    <w:p w14:paraId="02DEC4E3" w14:textId="77777777" w:rsidR="002C5ABD" w:rsidRPr="002C5ABD" w:rsidRDefault="00956834" w:rsidP="002C5ABD">
      <w:pPr>
        <w:spacing w:after="0"/>
        <w:ind w:left="720"/>
        <w:rPr>
          <w:rFonts w:ascii="Times New Roman" w:hAnsi="Times New Roman"/>
          <w:sz w:val="20"/>
        </w:rPr>
      </w:pPr>
      <w:r w:rsidRPr="002C5ABD">
        <w:rPr>
          <w:rFonts w:ascii="Times New Roman" w:hAnsi="Times New Roman"/>
          <w:sz w:val="20"/>
        </w:rPr>
        <w:t>“to be lacking in reality given the extraordinary collapse that has occurred and the lack of any indication of the revival of fortunes in the property market”.</w:t>
      </w:r>
      <w:r w:rsidRPr="002C5ABD">
        <w:rPr>
          <w:rStyle w:val="FootnoteReference"/>
          <w:rFonts w:ascii="Times New Roman" w:hAnsi="Times New Roman"/>
          <w:sz w:val="20"/>
        </w:rPr>
        <w:footnoteReference w:id="16"/>
      </w:r>
    </w:p>
    <w:p w14:paraId="3733FD53" w14:textId="77777777" w:rsidR="002C5ABD" w:rsidRDefault="002C5ABD" w:rsidP="00956834">
      <w:pPr>
        <w:spacing w:after="0"/>
        <w:rPr>
          <w:rFonts w:ascii="Times New Roman" w:hAnsi="Times New Roman"/>
          <w:sz w:val="24"/>
          <w:szCs w:val="24"/>
        </w:rPr>
      </w:pPr>
    </w:p>
    <w:p w14:paraId="608A3038" w14:textId="7ED6C06A" w:rsidR="00956834" w:rsidRDefault="00956834" w:rsidP="00956834">
      <w:pPr>
        <w:spacing w:after="0"/>
        <w:rPr>
          <w:rFonts w:ascii="Times New Roman" w:hAnsi="Times New Roman"/>
          <w:sz w:val="24"/>
          <w:szCs w:val="24"/>
        </w:rPr>
      </w:pPr>
      <w:r w:rsidRPr="00956834">
        <w:rPr>
          <w:rFonts w:ascii="Times New Roman" w:hAnsi="Times New Roman"/>
          <w:sz w:val="24"/>
          <w:szCs w:val="24"/>
        </w:rPr>
        <w:t xml:space="preserve">The later decision in </w:t>
      </w:r>
      <w:proofErr w:type="spellStart"/>
      <w:r w:rsidRPr="00956834">
        <w:rPr>
          <w:rFonts w:ascii="Times New Roman" w:hAnsi="Times New Roman"/>
          <w:i/>
          <w:iCs/>
          <w:sz w:val="24"/>
          <w:szCs w:val="24"/>
        </w:rPr>
        <w:t>McInerney</w:t>
      </w:r>
      <w:proofErr w:type="spellEnd"/>
      <w:r w:rsidRPr="00956834">
        <w:rPr>
          <w:rFonts w:ascii="Times New Roman" w:hAnsi="Times New Roman"/>
          <w:sz w:val="24"/>
          <w:szCs w:val="24"/>
        </w:rPr>
        <w:t xml:space="preserve"> similarly underlines the role of the court in approving a final compromise. The tests included in the legislation designed to ensure fairness as between all creditors have been </w:t>
      </w:r>
      <w:r w:rsidR="00536874">
        <w:rPr>
          <w:rFonts w:ascii="Times New Roman" w:hAnsi="Times New Roman"/>
          <w:sz w:val="24"/>
          <w:szCs w:val="24"/>
        </w:rPr>
        <w:t xml:space="preserve">further </w:t>
      </w:r>
      <w:r w:rsidRPr="00956834">
        <w:rPr>
          <w:rFonts w:ascii="Times New Roman" w:hAnsi="Times New Roman"/>
          <w:sz w:val="24"/>
          <w:szCs w:val="24"/>
        </w:rPr>
        <w:t>developed.</w:t>
      </w:r>
      <w:r w:rsidR="00536874">
        <w:rPr>
          <w:rStyle w:val="FootnoteReference"/>
          <w:rFonts w:ascii="Times New Roman" w:hAnsi="Times New Roman"/>
          <w:sz w:val="24"/>
          <w:szCs w:val="24"/>
        </w:rPr>
        <w:footnoteReference w:id="17"/>
      </w:r>
    </w:p>
    <w:p w14:paraId="3068C7BC" w14:textId="77777777" w:rsidR="00956834" w:rsidRDefault="00956834" w:rsidP="00956834">
      <w:pPr>
        <w:spacing w:after="0"/>
        <w:rPr>
          <w:rFonts w:ascii="Times New Roman" w:hAnsi="Times New Roman"/>
          <w:sz w:val="24"/>
          <w:szCs w:val="24"/>
        </w:rPr>
      </w:pPr>
    </w:p>
    <w:p w14:paraId="3EC346A5" w14:textId="77777777" w:rsidR="00956834" w:rsidRPr="002C5ABD" w:rsidRDefault="002C5ABD" w:rsidP="00956834">
      <w:pPr>
        <w:spacing w:after="0"/>
        <w:rPr>
          <w:rFonts w:ascii="Times New Roman" w:hAnsi="Times New Roman"/>
          <w:i/>
          <w:sz w:val="24"/>
          <w:szCs w:val="24"/>
        </w:rPr>
      </w:pPr>
      <w:r w:rsidRPr="002C5ABD">
        <w:rPr>
          <w:rFonts w:ascii="Times New Roman" w:hAnsi="Times New Roman"/>
          <w:i/>
          <w:sz w:val="24"/>
          <w:szCs w:val="24"/>
        </w:rPr>
        <w:t>Going Forward</w:t>
      </w:r>
    </w:p>
    <w:p w14:paraId="647A0F7E" w14:textId="77777777" w:rsidR="00956834" w:rsidRPr="00956834" w:rsidRDefault="00956834" w:rsidP="00956834">
      <w:pPr>
        <w:spacing w:after="0"/>
        <w:rPr>
          <w:rFonts w:ascii="Times New Roman" w:hAnsi="Times New Roman"/>
          <w:sz w:val="24"/>
          <w:szCs w:val="24"/>
        </w:rPr>
      </w:pPr>
    </w:p>
    <w:p w14:paraId="39B12FAA" w14:textId="77777777" w:rsidR="002C5ABD" w:rsidRDefault="00956834" w:rsidP="00956834">
      <w:pPr>
        <w:spacing w:after="0"/>
        <w:rPr>
          <w:rFonts w:ascii="Times New Roman" w:hAnsi="Times New Roman"/>
          <w:sz w:val="24"/>
          <w:szCs w:val="24"/>
        </w:rPr>
      </w:pPr>
      <w:r w:rsidRPr="00956834">
        <w:rPr>
          <w:rFonts w:ascii="Times New Roman" w:hAnsi="Times New Roman"/>
          <w:sz w:val="24"/>
          <w:szCs w:val="24"/>
        </w:rPr>
        <w:t>The recognition that corporate rescue is not for all enterprises, nor indeed all situations, has led to a measured response to the ebullient early days of examinership and corporate rescue. A cautionary note to sound</w:t>
      </w:r>
      <w:r w:rsidR="002C5ABD">
        <w:rPr>
          <w:rFonts w:ascii="Times New Roman" w:hAnsi="Times New Roman"/>
          <w:sz w:val="24"/>
          <w:szCs w:val="24"/>
        </w:rPr>
        <w:t>,</w:t>
      </w:r>
      <w:r w:rsidRPr="00956834">
        <w:rPr>
          <w:rFonts w:ascii="Times New Roman" w:hAnsi="Times New Roman"/>
          <w:sz w:val="24"/>
          <w:szCs w:val="24"/>
        </w:rPr>
        <w:t xml:space="preserve"> following the 30</w:t>
      </w:r>
      <w:r w:rsidR="002C5ABD">
        <w:rPr>
          <w:rFonts w:ascii="Times New Roman" w:hAnsi="Times New Roman"/>
          <w:sz w:val="24"/>
          <w:szCs w:val="24"/>
        </w:rPr>
        <w:t>-</w:t>
      </w:r>
      <w:r w:rsidRPr="00956834">
        <w:rPr>
          <w:rFonts w:ascii="Times New Roman" w:hAnsi="Times New Roman"/>
          <w:sz w:val="24"/>
          <w:szCs w:val="24"/>
        </w:rPr>
        <w:t>year period of examinership</w:t>
      </w:r>
      <w:r w:rsidR="002C5ABD">
        <w:rPr>
          <w:rFonts w:ascii="Times New Roman" w:hAnsi="Times New Roman"/>
          <w:sz w:val="24"/>
          <w:szCs w:val="24"/>
        </w:rPr>
        <w:t>,</w:t>
      </w:r>
      <w:r w:rsidRPr="00956834">
        <w:rPr>
          <w:rFonts w:ascii="Times New Roman" w:hAnsi="Times New Roman"/>
          <w:sz w:val="24"/>
          <w:szCs w:val="24"/>
        </w:rPr>
        <w:t xml:space="preserve"> is that</w:t>
      </w:r>
      <w:r w:rsidR="002C5ABD">
        <w:rPr>
          <w:rFonts w:ascii="Times New Roman" w:hAnsi="Times New Roman"/>
          <w:sz w:val="24"/>
          <w:szCs w:val="24"/>
        </w:rPr>
        <w:t>,</w:t>
      </w:r>
      <w:r w:rsidRPr="00956834">
        <w:rPr>
          <w:rFonts w:ascii="Times New Roman" w:hAnsi="Times New Roman"/>
          <w:sz w:val="24"/>
          <w:szCs w:val="24"/>
        </w:rPr>
        <w:t xml:space="preserve"> although rescue is an important part of the insolvency framework</w:t>
      </w:r>
      <w:r w:rsidR="002C5ABD">
        <w:rPr>
          <w:rFonts w:ascii="Times New Roman" w:hAnsi="Times New Roman"/>
          <w:sz w:val="24"/>
          <w:szCs w:val="24"/>
        </w:rPr>
        <w:t>,</w:t>
      </w:r>
      <w:r w:rsidRPr="00956834">
        <w:rPr>
          <w:rFonts w:ascii="Times New Roman" w:hAnsi="Times New Roman"/>
          <w:sz w:val="24"/>
          <w:szCs w:val="24"/>
        </w:rPr>
        <w:t xml:space="preserve"> it must not be overrated.</w:t>
      </w:r>
      <w:r w:rsidRPr="00956834">
        <w:rPr>
          <w:rStyle w:val="FootnoteReference"/>
          <w:rFonts w:ascii="Times New Roman" w:hAnsi="Times New Roman"/>
          <w:sz w:val="24"/>
          <w:szCs w:val="24"/>
        </w:rPr>
        <w:footnoteReference w:id="18"/>
      </w:r>
      <w:r w:rsidRPr="00956834">
        <w:rPr>
          <w:rFonts w:ascii="Times New Roman" w:hAnsi="Times New Roman"/>
          <w:sz w:val="24"/>
          <w:szCs w:val="24"/>
        </w:rPr>
        <w:t xml:space="preserve"> The policy objectives of rescue are reiterated but tempered with experience. In </w:t>
      </w:r>
      <w:r w:rsidRPr="00956834">
        <w:rPr>
          <w:rFonts w:ascii="Times New Roman" w:hAnsi="Times New Roman"/>
          <w:i/>
          <w:iCs/>
          <w:sz w:val="24"/>
          <w:szCs w:val="24"/>
        </w:rPr>
        <w:t>Traffic Group</w:t>
      </w:r>
      <w:r w:rsidR="002C5ABD">
        <w:rPr>
          <w:rFonts w:ascii="Times New Roman" w:hAnsi="Times New Roman"/>
          <w:iCs/>
          <w:sz w:val="24"/>
          <w:szCs w:val="24"/>
        </w:rPr>
        <w:t>,</w:t>
      </w:r>
      <w:r w:rsidRPr="00956834">
        <w:rPr>
          <w:rStyle w:val="FootnoteReference"/>
          <w:rFonts w:ascii="Times New Roman" w:hAnsi="Times New Roman"/>
          <w:sz w:val="24"/>
          <w:szCs w:val="24"/>
        </w:rPr>
        <w:footnoteReference w:id="19"/>
      </w:r>
      <w:r w:rsidRPr="00956834">
        <w:rPr>
          <w:rFonts w:ascii="Times New Roman" w:hAnsi="Times New Roman"/>
          <w:sz w:val="24"/>
          <w:szCs w:val="24"/>
        </w:rPr>
        <w:t xml:space="preserve"> Clarke J. stated the original aims of examinership as facilitating the continuation of the enterprise</w:t>
      </w:r>
      <w:r w:rsidR="002C5ABD">
        <w:rPr>
          <w:rFonts w:ascii="Times New Roman" w:hAnsi="Times New Roman"/>
          <w:sz w:val="24"/>
          <w:szCs w:val="24"/>
        </w:rPr>
        <w:t>:</w:t>
      </w:r>
    </w:p>
    <w:p w14:paraId="5D7E4CE5" w14:textId="77777777" w:rsidR="002C5ABD" w:rsidRDefault="002C5ABD" w:rsidP="00956834">
      <w:pPr>
        <w:spacing w:after="0"/>
        <w:rPr>
          <w:rFonts w:ascii="Times New Roman" w:hAnsi="Times New Roman"/>
          <w:sz w:val="24"/>
          <w:szCs w:val="24"/>
        </w:rPr>
      </w:pPr>
    </w:p>
    <w:p w14:paraId="5158D99D" w14:textId="77777777" w:rsidR="002C5ABD" w:rsidRPr="002C5ABD" w:rsidRDefault="00956834" w:rsidP="002C5ABD">
      <w:pPr>
        <w:spacing w:after="0"/>
        <w:ind w:left="720"/>
        <w:rPr>
          <w:rFonts w:ascii="Times New Roman" w:hAnsi="Times New Roman"/>
          <w:sz w:val="20"/>
        </w:rPr>
      </w:pPr>
      <w:r w:rsidRPr="002C5ABD">
        <w:rPr>
          <w:rFonts w:ascii="Times New Roman" w:hAnsi="Times New Roman"/>
          <w:sz w:val="20"/>
        </w:rPr>
        <w:t>“for the benefit of the economy as a whole and, of equal, or indeed greater, importance to enable as many as possible of the jobs which may be at stake in such enterprise to be maintained”.</w:t>
      </w:r>
    </w:p>
    <w:p w14:paraId="58A12F81" w14:textId="77777777" w:rsidR="002C5ABD" w:rsidRDefault="002C5ABD" w:rsidP="00956834">
      <w:pPr>
        <w:spacing w:after="0"/>
        <w:rPr>
          <w:rFonts w:ascii="Times New Roman" w:hAnsi="Times New Roman"/>
          <w:sz w:val="24"/>
          <w:szCs w:val="24"/>
        </w:rPr>
      </w:pPr>
    </w:p>
    <w:p w14:paraId="3AA84F0A" w14:textId="77777777" w:rsidR="002C5ABD" w:rsidRDefault="00956834" w:rsidP="00956834">
      <w:pPr>
        <w:spacing w:after="0"/>
        <w:rPr>
          <w:rFonts w:ascii="Times New Roman" w:hAnsi="Times New Roman"/>
          <w:sz w:val="24"/>
          <w:szCs w:val="24"/>
        </w:rPr>
      </w:pPr>
      <w:r w:rsidRPr="00956834">
        <w:rPr>
          <w:rFonts w:ascii="Times New Roman" w:hAnsi="Times New Roman"/>
          <w:sz w:val="24"/>
          <w:szCs w:val="24"/>
        </w:rPr>
        <w:t>However, it was also stated that examinership was</w:t>
      </w:r>
      <w:r w:rsidR="002C5ABD">
        <w:rPr>
          <w:rFonts w:ascii="Times New Roman" w:hAnsi="Times New Roman"/>
          <w:sz w:val="24"/>
          <w:szCs w:val="24"/>
        </w:rPr>
        <w:t>:</w:t>
      </w:r>
    </w:p>
    <w:p w14:paraId="65ED110A" w14:textId="77777777" w:rsidR="002C5ABD" w:rsidRDefault="002C5ABD" w:rsidP="00956834">
      <w:pPr>
        <w:spacing w:after="0"/>
        <w:rPr>
          <w:rFonts w:ascii="Times New Roman" w:hAnsi="Times New Roman"/>
          <w:sz w:val="24"/>
          <w:szCs w:val="24"/>
        </w:rPr>
      </w:pPr>
    </w:p>
    <w:p w14:paraId="52B3A7BD" w14:textId="77777777" w:rsidR="002C5ABD" w:rsidRPr="002C5ABD" w:rsidRDefault="00956834" w:rsidP="002C5ABD">
      <w:pPr>
        <w:spacing w:after="0"/>
        <w:ind w:left="720"/>
        <w:rPr>
          <w:rFonts w:ascii="Times New Roman" w:hAnsi="Times New Roman"/>
          <w:sz w:val="20"/>
        </w:rPr>
      </w:pPr>
      <w:r w:rsidRPr="002C5ABD">
        <w:rPr>
          <w:rFonts w:ascii="Times New Roman" w:hAnsi="Times New Roman"/>
          <w:sz w:val="20"/>
        </w:rPr>
        <w:t>“not designed to help shareholders whose investment has proved to be unsuccessful. It is to seek to save the enterprise and jobs.”</w:t>
      </w:r>
    </w:p>
    <w:p w14:paraId="5136E835" w14:textId="77777777" w:rsidR="002C5ABD" w:rsidRDefault="002C5ABD" w:rsidP="00956834">
      <w:pPr>
        <w:spacing w:after="0"/>
        <w:rPr>
          <w:rFonts w:ascii="Times New Roman" w:hAnsi="Times New Roman"/>
          <w:sz w:val="24"/>
          <w:szCs w:val="24"/>
        </w:rPr>
      </w:pPr>
    </w:p>
    <w:p w14:paraId="42771E55" w14:textId="77777777" w:rsidR="00956834" w:rsidRPr="00956834" w:rsidRDefault="00956834" w:rsidP="00956834">
      <w:pPr>
        <w:spacing w:after="0"/>
        <w:rPr>
          <w:rFonts w:ascii="Times New Roman" w:hAnsi="Times New Roman"/>
          <w:sz w:val="24"/>
          <w:szCs w:val="24"/>
        </w:rPr>
      </w:pPr>
      <w:r w:rsidRPr="00956834">
        <w:rPr>
          <w:rFonts w:ascii="Times New Roman" w:hAnsi="Times New Roman"/>
          <w:sz w:val="24"/>
          <w:szCs w:val="24"/>
        </w:rPr>
        <w:t xml:space="preserve">A similar observation was also made by the same judge, who is now the Chief Justice, in </w:t>
      </w:r>
      <w:r w:rsidRPr="00956834">
        <w:rPr>
          <w:rFonts w:ascii="Times New Roman" w:hAnsi="Times New Roman"/>
          <w:i/>
          <w:iCs/>
          <w:sz w:val="24"/>
          <w:szCs w:val="24"/>
        </w:rPr>
        <w:t xml:space="preserve">Re </w:t>
      </w:r>
      <w:proofErr w:type="spellStart"/>
      <w:r w:rsidRPr="00956834">
        <w:rPr>
          <w:rFonts w:ascii="Times New Roman" w:hAnsi="Times New Roman"/>
          <w:i/>
          <w:iCs/>
          <w:sz w:val="24"/>
          <w:szCs w:val="24"/>
        </w:rPr>
        <w:t>Vantive</w:t>
      </w:r>
      <w:proofErr w:type="spellEnd"/>
      <w:r w:rsidRPr="00956834">
        <w:rPr>
          <w:rFonts w:ascii="Times New Roman" w:hAnsi="Times New Roman"/>
          <w:i/>
          <w:iCs/>
          <w:sz w:val="24"/>
          <w:szCs w:val="24"/>
        </w:rPr>
        <w:t xml:space="preserve"> Holdings</w:t>
      </w:r>
      <w:r w:rsidRPr="00956834">
        <w:rPr>
          <w:rFonts w:ascii="Times New Roman" w:hAnsi="Times New Roman"/>
          <w:sz w:val="24"/>
          <w:szCs w:val="24"/>
        </w:rPr>
        <w:t>. And similarly</w:t>
      </w:r>
      <w:r w:rsidR="002C5ABD">
        <w:rPr>
          <w:rFonts w:ascii="Times New Roman" w:hAnsi="Times New Roman"/>
          <w:sz w:val="24"/>
          <w:szCs w:val="24"/>
        </w:rPr>
        <w:t>,</w:t>
      </w:r>
      <w:r w:rsidRPr="00956834">
        <w:rPr>
          <w:rFonts w:ascii="Times New Roman" w:hAnsi="Times New Roman"/>
          <w:sz w:val="24"/>
          <w:szCs w:val="24"/>
        </w:rPr>
        <w:t xml:space="preserve"> in the </w:t>
      </w:r>
      <w:proofErr w:type="spellStart"/>
      <w:r w:rsidRPr="00956834">
        <w:rPr>
          <w:rFonts w:ascii="Times New Roman" w:hAnsi="Times New Roman"/>
          <w:sz w:val="24"/>
          <w:szCs w:val="24"/>
        </w:rPr>
        <w:t>later</w:t>
      </w:r>
      <w:proofErr w:type="spellEnd"/>
      <w:r w:rsidRPr="00956834">
        <w:rPr>
          <w:rFonts w:ascii="Times New Roman" w:hAnsi="Times New Roman"/>
          <w:sz w:val="24"/>
          <w:szCs w:val="24"/>
        </w:rPr>
        <w:t xml:space="preserve"> case of </w:t>
      </w:r>
      <w:proofErr w:type="spellStart"/>
      <w:r w:rsidRPr="00956834">
        <w:rPr>
          <w:rFonts w:ascii="Times New Roman" w:hAnsi="Times New Roman"/>
          <w:i/>
          <w:iCs/>
          <w:sz w:val="24"/>
          <w:szCs w:val="24"/>
        </w:rPr>
        <w:t>McInerney</w:t>
      </w:r>
      <w:proofErr w:type="spellEnd"/>
      <w:r w:rsidR="002C5ABD">
        <w:rPr>
          <w:rFonts w:ascii="Times New Roman" w:hAnsi="Times New Roman"/>
          <w:iCs/>
          <w:sz w:val="24"/>
          <w:szCs w:val="24"/>
        </w:rPr>
        <w:t>,</w:t>
      </w:r>
      <w:r w:rsidRPr="00956834">
        <w:rPr>
          <w:rFonts w:ascii="Times New Roman" w:hAnsi="Times New Roman"/>
          <w:sz w:val="24"/>
          <w:szCs w:val="24"/>
        </w:rPr>
        <w:t xml:space="preserve"> it was observed by the Supreme Court</w:t>
      </w:r>
      <w:r w:rsidRPr="00956834">
        <w:rPr>
          <w:rStyle w:val="FootnoteReference"/>
          <w:rFonts w:ascii="Times New Roman" w:hAnsi="Times New Roman"/>
          <w:sz w:val="24"/>
          <w:szCs w:val="24"/>
        </w:rPr>
        <w:footnoteReference w:id="20"/>
      </w:r>
      <w:r w:rsidRPr="00956834">
        <w:rPr>
          <w:rFonts w:ascii="Times New Roman" w:hAnsi="Times New Roman"/>
          <w:sz w:val="24"/>
          <w:szCs w:val="24"/>
        </w:rPr>
        <w:t xml:space="preserve"> that the legislation is aimed at rescuing ‘fundamentally sound businesses</w:t>
      </w:r>
      <w:r w:rsidR="002C5ABD">
        <w:rPr>
          <w:rFonts w:ascii="Times New Roman" w:hAnsi="Times New Roman"/>
          <w:sz w:val="24"/>
          <w:szCs w:val="24"/>
        </w:rPr>
        <w:t>…</w:t>
      </w:r>
      <w:r w:rsidRPr="00956834">
        <w:rPr>
          <w:rFonts w:ascii="Times New Roman" w:hAnsi="Times New Roman"/>
          <w:sz w:val="24"/>
          <w:szCs w:val="24"/>
        </w:rPr>
        <w:t xml:space="preserve"> in a manner that is not unfair to any party’. In that later case</w:t>
      </w:r>
      <w:r w:rsidR="002C5ABD">
        <w:rPr>
          <w:rFonts w:ascii="Times New Roman" w:hAnsi="Times New Roman"/>
          <w:sz w:val="24"/>
          <w:szCs w:val="24"/>
        </w:rPr>
        <w:t>,</w:t>
      </w:r>
      <w:r w:rsidRPr="00956834">
        <w:rPr>
          <w:rFonts w:ascii="Times New Roman" w:hAnsi="Times New Roman"/>
          <w:sz w:val="24"/>
          <w:szCs w:val="24"/>
        </w:rPr>
        <w:t xml:space="preserve"> the principles of unfair prejudice were used to ground a refusal to accept a compromise.</w:t>
      </w:r>
    </w:p>
    <w:p w14:paraId="6ED37DFD" w14:textId="77777777" w:rsidR="002C5ABD" w:rsidRDefault="002C5ABD" w:rsidP="00956834">
      <w:pPr>
        <w:spacing w:after="0"/>
        <w:rPr>
          <w:rFonts w:ascii="Times New Roman" w:hAnsi="Times New Roman"/>
          <w:sz w:val="24"/>
          <w:szCs w:val="24"/>
        </w:rPr>
      </w:pPr>
    </w:p>
    <w:p w14:paraId="42954E51" w14:textId="77777777" w:rsidR="003B0263" w:rsidRPr="00956834" w:rsidRDefault="00956834" w:rsidP="00956834">
      <w:pPr>
        <w:spacing w:after="0"/>
        <w:rPr>
          <w:rFonts w:ascii="Times New Roman" w:hAnsi="Times New Roman"/>
          <w:sz w:val="24"/>
          <w:szCs w:val="24"/>
        </w:rPr>
      </w:pPr>
      <w:r w:rsidRPr="00956834">
        <w:rPr>
          <w:rFonts w:ascii="Times New Roman" w:hAnsi="Times New Roman"/>
          <w:sz w:val="24"/>
          <w:szCs w:val="24"/>
        </w:rPr>
        <w:t>In conclusion, the Irish experience as expressed through legislative amendments, but more importantly through an important range of cases and court decisions, provides a rich vein of study for those considering implementation o</w:t>
      </w:r>
      <w:bookmarkStart w:id="0" w:name="_GoBack"/>
      <w:bookmarkEnd w:id="0"/>
      <w:r w:rsidRPr="00956834">
        <w:rPr>
          <w:rFonts w:ascii="Times New Roman" w:hAnsi="Times New Roman"/>
          <w:sz w:val="24"/>
          <w:szCs w:val="24"/>
        </w:rPr>
        <w:t>f the PRD and its implications.</w:t>
      </w:r>
    </w:p>
    <w:sectPr w:rsidR="003B0263" w:rsidRPr="00956834"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9E279" w14:textId="77777777" w:rsidR="001C74BA" w:rsidRDefault="001C74BA">
      <w:r>
        <w:separator/>
      </w:r>
    </w:p>
  </w:endnote>
  <w:endnote w:type="continuationSeparator" w:id="0">
    <w:p w14:paraId="3772D2E5" w14:textId="77777777" w:rsidR="001C74BA" w:rsidRDefault="001C7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imes New Roman Bold">
    <w:altName w:val="Times New Roman"/>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E748C"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F0B7F4" w14:textId="77777777" w:rsidR="001C74BA" w:rsidRDefault="001C74BA">
      <w:r>
        <w:separator/>
      </w:r>
    </w:p>
  </w:footnote>
  <w:footnote w:type="continuationSeparator" w:id="0">
    <w:p w14:paraId="42FD64F1" w14:textId="77777777" w:rsidR="001C74BA" w:rsidRDefault="001C74BA">
      <w:r>
        <w:continuationSeparator/>
      </w:r>
    </w:p>
  </w:footnote>
  <w:footnote w:id="1">
    <w:p w14:paraId="2B35D1E9" w14:textId="77777777" w:rsidR="00956834" w:rsidRPr="00956834" w:rsidRDefault="00956834" w:rsidP="00956834">
      <w:pPr>
        <w:pStyle w:val="FootnoteText"/>
        <w:rPr>
          <w:rFonts w:ascii="Times New Roman" w:hAnsi="Times New Roman"/>
        </w:rPr>
      </w:pPr>
      <w:r w:rsidRPr="00956834">
        <w:rPr>
          <w:rStyle w:val="FootnoteReference"/>
          <w:rFonts w:ascii="Times New Roman" w:hAnsi="Times New Roman"/>
        </w:rPr>
        <w:footnoteRef/>
      </w:r>
      <w:r w:rsidRPr="00956834">
        <w:rPr>
          <w:rFonts w:ascii="Times New Roman" w:hAnsi="Times New Roman"/>
        </w:rPr>
        <w:t xml:space="preserve"> Companies (Amendment) Act 1990. See generally Lynch, Marshall and </w:t>
      </w:r>
      <w:proofErr w:type="spellStart"/>
      <w:r w:rsidRPr="00956834">
        <w:rPr>
          <w:rFonts w:ascii="Times New Roman" w:hAnsi="Times New Roman"/>
        </w:rPr>
        <w:t>O’Ferrall</w:t>
      </w:r>
      <w:proofErr w:type="spellEnd"/>
      <w:r w:rsidRPr="00956834">
        <w:rPr>
          <w:rFonts w:ascii="Times New Roman" w:hAnsi="Times New Roman"/>
        </w:rPr>
        <w:t xml:space="preserve">: </w:t>
      </w:r>
      <w:r w:rsidRPr="00956834">
        <w:rPr>
          <w:rFonts w:ascii="Times New Roman" w:hAnsi="Times New Roman"/>
          <w:i/>
        </w:rPr>
        <w:t xml:space="preserve">Corporate Insolvency and Rescue </w:t>
      </w:r>
      <w:r w:rsidRPr="00956834">
        <w:rPr>
          <w:rFonts w:ascii="Times New Roman" w:hAnsi="Times New Roman"/>
        </w:rPr>
        <w:t xml:space="preserve">(Butterworths, 1996) and Lynch Fannon and Murphy: </w:t>
      </w:r>
      <w:r w:rsidRPr="00956834">
        <w:rPr>
          <w:rFonts w:ascii="Times New Roman" w:hAnsi="Times New Roman"/>
          <w:i/>
        </w:rPr>
        <w:t xml:space="preserve">Corporate Insolvency and Rescue </w:t>
      </w:r>
      <w:r w:rsidRPr="00956834">
        <w:rPr>
          <w:rFonts w:ascii="Times New Roman" w:hAnsi="Times New Roman"/>
        </w:rPr>
        <w:t>(</w:t>
      </w:r>
      <w:r w:rsidR="002C5ABD">
        <w:rPr>
          <w:rFonts w:ascii="Times New Roman" w:hAnsi="Times New Roman"/>
        </w:rPr>
        <w:t>2nd</w:t>
      </w:r>
      <w:r w:rsidRPr="00956834">
        <w:rPr>
          <w:rFonts w:ascii="Times New Roman" w:hAnsi="Times New Roman"/>
        </w:rPr>
        <w:t xml:space="preserve"> Edition</w:t>
      </w:r>
      <w:r w:rsidR="002C5ABD">
        <w:rPr>
          <w:rFonts w:ascii="Times New Roman" w:hAnsi="Times New Roman"/>
        </w:rPr>
        <w:t>)</w:t>
      </w:r>
      <w:r w:rsidRPr="00956834">
        <w:rPr>
          <w:rFonts w:ascii="Times New Roman" w:hAnsi="Times New Roman"/>
        </w:rPr>
        <w:t xml:space="preserve"> </w:t>
      </w:r>
      <w:r w:rsidR="002C5ABD">
        <w:rPr>
          <w:rFonts w:ascii="Times New Roman" w:hAnsi="Times New Roman"/>
        </w:rPr>
        <w:t>(</w:t>
      </w:r>
      <w:r w:rsidRPr="00956834">
        <w:rPr>
          <w:rFonts w:ascii="Times New Roman" w:hAnsi="Times New Roman"/>
        </w:rPr>
        <w:t>Bloomsbury Professional, 2012)</w:t>
      </w:r>
      <w:r w:rsidR="002C5ABD">
        <w:rPr>
          <w:rFonts w:ascii="Times New Roman" w:hAnsi="Times New Roman"/>
        </w:rPr>
        <w:t>,</w:t>
      </w:r>
      <w:r w:rsidRPr="00956834">
        <w:rPr>
          <w:rFonts w:ascii="Times New Roman" w:hAnsi="Times New Roman"/>
        </w:rPr>
        <w:t xml:space="preserve"> Chapters 12 -14. O’Donnell and Nicholas: </w:t>
      </w:r>
      <w:proofErr w:type="spellStart"/>
      <w:r w:rsidRPr="00956834">
        <w:rPr>
          <w:rFonts w:ascii="Times New Roman" w:hAnsi="Times New Roman"/>
          <w:i/>
        </w:rPr>
        <w:t>Examinerships</w:t>
      </w:r>
      <w:proofErr w:type="spellEnd"/>
      <w:r w:rsidRPr="00956834">
        <w:rPr>
          <w:rFonts w:ascii="Times New Roman" w:hAnsi="Times New Roman"/>
          <w:i/>
        </w:rPr>
        <w:t xml:space="preserve"> </w:t>
      </w:r>
      <w:r w:rsidRPr="00956834">
        <w:rPr>
          <w:rFonts w:ascii="Times New Roman" w:hAnsi="Times New Roman"/>
        </w:rPr>
        <w:t>(</w:t>
      </w:r>
      <w:proofErr w:type="spellStart"/>
      <w:r w:rsidRPr="00956834">
        <w:rPr>
          <w:rFonts w:ascii="Times New Roman" w:hAnsi="Times New Roman"/>
        </w:rPr>
        <w:t>Londsdale</w:t>
      </w:r>
      <w:proofErr w:type="spellEnd"/>
      <w:r w:rsidRPr="00956834">
        <w:rPr>
          <w:rFonts w:ascii="Times New Roman" w:hAnsi="Times New Roman"/>
        </w:rPr>
        <w:t xml:space="preserve"> Law Publishing, 2016).</w:t>
      </w:r>
    </w:p>
  </w:footnote>
  <w:footnote w:id="2">
    <w:p w14:paraId="4AC2B0F5" w14:textId="77777777" w:rsidR="00956834" w:rsidRPr="00956834" w:rsidRDefault="00956834" w:rsidP="00956834">
      <w:pPr>
        <w:pStyle w:val="FootnoteText"/>
        <w:rPr>
          <w:rFonts w:ascii="Times New Roman" w:hAnsi="Times New Roman"/>
        </w:rPr>
      </w:pPr>
      <w:r w:rsidRPr="00956834">
        <w:rPr>
          <w:rStyle w:val="FootnoteReference"/>
          <w:rFonts w:ascii="Times New Roman" w:hAnsi="Times New Roman"/>
        </w:rPr>
        <w:footnoteRef/>
      </w:r>
      <w:r w:rsidRPr="00956834">
        <w:rPr>
          <w:rFonts w:ascii="Times New Roman" w:hAnsi="Times New Roman"/>
        </w:rPr>
        <w:t xml:space="preserve"> Companies Bill 1987.</w:t>
      </w:r>
    </w:p>
  </w:footnote>
  <w:footnote w:id="3">
    <w:p w14:paraId="2A0B94A0" w14:textId="77777777" w:rsidR="00956834" w:rsidRPr="00956834" w:rsidRDefault="00956834" w:rsidP="00956834">
      <w:pPr>
        <w:pStyle w:val="FootnoteText"/>
        <w:rPr>
          <w:rFonts w:ascii="Times New Roman" w:hAnsi="Times New Roman"/>
        </w:rPr>
      </w:pPr>
      <w:r w:rsidRPr="00956834">
        <w:rPr>
          <w:rStyle w:val="FootnoteReference"/>
          <w:rFonts w:ascii="Times New Roman" w:hAnsi="Times New Roman"/>
        </w:rPr>
        <w:footnoteRef/>
      </w:r>
      <w:r w:rsidRPr="00956834">
        <w:rPr>
          <w:rFonts w:ascii="Times New Roman" w:hAnsi="Times New Roman"/>
        </w:rPr>
        <w:t xml:space="preserve"> The examinership process is modelled on Chapter 11 of the US Federal Bankruptcy Code, but differs in some important respects. Interestingly</w:t>
      </w:r>
      <w:r w:rsidR="002C5ABD">
        <w:rPr>
          <w:rFonts w:ascii="Times New Roman" w:hAnsi="Times New Roman"/>
        </w:rPr>
        <w:t>,</w:t>
      </w:r>
      <w:r w:rsidRPr="00956834">
        <w:rPr>
          <w:rFonts w:ascii="Times New Roman" w:hAnsi="Times New Roman"/>
        </w:rPr>
        <w:t xml:space="preserve"> Chapter 11 includes the possibility of appointing a trustee or an examiner and it is from this that the unusual (and somewhat misleading) title of the Irish process is derived.</w:t>
      </w:r>
    </w:p>
  </w:footnote>
  <w:footnote w:id="4">
    <w:p w14:paraId="19518E00" w14:textId="77777777" w:rsidR="00956834" w:rsidRPr="00956834" w:rsidRDefault="00956834" w:rsidP="00956834">
      <w:pPr>
        <w:pStyle w:val="FootnoteText"/>
        <w:rPr>
          <w:rFonts w:ascii="Times New Roman" w:hAnsi="Times New Roman"/>
        </w:rPr>
      </w:pPr>
      <w:r w:rsidRPr="00956834">
        <w:rPr>
          <w:rStyle w:val="FootnoteReference"/>
          <w:rFonts w:ascii="Times New Roman" w:hAnsi="Times New Roman"/>
        </w:rPr>
        <w:footnoteRef/>
      </w:r>
      <w:r w:rsidRPr="00956834">
        <w:rPr>
          <w:rFonts w:ascii="Times New Roman" w:hAnsi="Times New Roman"/>
        </w:rPr>
        <w:t xml:space="preserve"> </w:t>
      </w:r>
      <w:r w:rsidRPr="00956834">
        <w:rPr>
          <w:rFonts w:ascii="Times New Roman" w:hAnsi="Times New Roman"/>
          <w:i/>
        </w:rPr>
        <w:t>Re Goodman International</w:t>
      </w:r>
      <w:r w:rsidRPr="00956834">
        <w:rPr>
          <w:rFonts w:ascii="Times New Roman" w:hAnsi="Times New Roman"/>
        </w:rPr>
        <w:t xml:space="preserve"> (28 January 1991), HC, Hamilton P, (1963–1993) Irish Company Law Reports 623.</w:t>
      </w:r>
    </w:p>
  </w:footnote>
  <w:footnote w:id="5">
    <w:p w14:paraId="68C1619A" w14:textId="77777777" w:rsidR="00956834" w:rsidRPr="00956834" w:rsidRDefault="00956834" w:rsidP="00956834">
      <w:pPr>
        <w:pStyle w:val="FootnoteText"/>
        <w:rPr>
          <w:rFonts w:ascii="Times New Roman" w:hAnsi="Times New Roman"/>
        </w:rPr>
      </w:pPr>
      <w:r w:rsidRPr="00956834">
        <w:rPr>
          <w:rStyle w:val="FootnoteReference"/>
          <w:rFonts w:ascii="Times New Roman" w:hAnsi="Times New Roman"/>
        </w:rPr>
        <w:footnoteRef/>
      </w:r>
      <w:r w:rsidRPr="00956834">
        <w:rPr>
          <w:rFonts w:ascii="Times New Roman" w:hAnsi="Times New Roman"/>
        </w:rPr>
        <w:t xml:space="preserve"> Companies Act 1990. Both pieces of legislation are now consolidated in the Companies Act 2014. The Examinership process is contained in Part 10 of that Act.</w:t>
      </w:r>
    </w:p>
  </w:footnote>
  <w:footnote w:id="6">
    <w:p w14:paraId="5DCA3559" w14:textId="77777777" w:rsidR="00956834" w:rsidRPr="00956834" w:rsidRDefault="00956834" w:rsidP="00956834">
      <w:pPr>
        <w:pStyle w:val="FootnoteText"/>
        <w:rPr>
          <w:rFonts w:ascii="Times New Roman" w:hAnsi="Times New Roman"/>
        </w:rPr>
      </w:pPr>
      <w:r w:rsidRPr="00956834">
        <w:rPr>
          <w:rStyle w:val="FootnoteReference"/>
          <w:rFonts w:ascii="Times New Roman" w:hAnsi="Times New Roman"/>
        </w:rPr>
        <w:footnoteRef/>
      </w:r>
      <w:r w:rsidRPr="00956834">
        <w:rPr>
          <w:rFonts w:ascii="Times New Roman" w:hAnsi="Times New Roman"/>
        </w:rPr>
        <w:t xml:space="preserve"> All references to ‘the court’ in the Irish context means the Irish High Court.</w:t>
      </w:r>
    </w:p>
  </w:footnote>
  <w:footnote w:id="7">
    <w:p w14:paraId="316D8075" w14:textId="77777777" w:rsidR="00956834" w:rsidRPr="00956834" w:rsidRDefault="00956834" w:rsidP="00956834">
      <w:pPr>
        <w:pStyle w:val="FootnoteText"/>
        <w:rPr>
          <w:rFonts w:ascii="Times New Roman" w:hAnsi="Times New Roman"/>
        </w:rPr>
      </w:pPr>
      <w:r w:rsidRPr="00956834">
        <w:rPr>
          <w:rStyle w:val="FootnoteReference"/>
          <w:rFonts w:ascii="Times New Roman" w:hAnsi="Times New Roman"/>
        </w:rPr>
        <w:footnoteRef/>
      </w:r>
      <w:r w:rsidRPr="00956834">
        <w:rPr>
          <w:rFonts w:ascii="Times New Roman" w:hAnsi="Times New Roman"/>
        </w:rPr>
        <w:t xml:space="preserve"> The original legislation provided for a prospect of survival. The requirement that this should be a ‘</w:t>
      </w:r>
      <w:r w:rsidRPr="00956834">
        <w:rPr>
          <w:rFonts w:ascii="Times New Roman" w:hAnsi="Times New Roman"/>
          <w:i/>
          <w:iCs/>
        </w:rPr>
        <w:t xml:space="preserve">reasonable </w:t>
      </w:r>
      <w:r w:rsidRPr="00956834">
        <w:rPr>
          <w:rFonts w:ascii="Times New Roman" w:hAnsi="Times New Roman"/>
        </w:rPr>
        <w:t>prospect of survival’ was added in the Companies (Amendment) Act 1999.</w:t>
      </w:r>
    </w:p>
  </w:footnote>
  <w:footnote w:id="8">
    <w:p w14:paraId="50E5DC46" w14:textId="77777777" w:rsidR="00956834" w:rsidRPr="00956834" w:rsidRDefault="00956834" w:rsidP="00956834">
      <w:pPr>
        <w:pStyle w:val="FootnoteText"/>
        <w:rPr>
          <w:rFonts w:ascii="Times New Roman" w:hAnsi="Times New Roman"/>
        </w:rPr>
      </w:pPr>
      <w:r w:rsidRPr="00956834">
        <w:rPr>
          <w:rStyle w:val="FootnoteReference"/>
          <w:rFonts w:ascii="Times New Roman" w:hAnsi="Times New Roman"/>
        </w:rPr>
        <w:footnoteRef/>
      </w:r>
      <w:r w:rsidRPr="00956834">
        <w:rPr>
          <w:rFonts w:ascii="Times New Roman" w:hAnsi="Times New Roman"/>
        </w:rPr>
        <w:t xml:space="preserve"> Section 509</w:t>
      </w:r>
      <w:r w:rsidR="002C5ABD">
        <w:rPr>
          <w:rFonts w:ascii="Times New Roman" w:hAnsi="Times New Roman"/>
        </w:rPr>
        <w:t>,</w:t>
      </w:r>
      <w:r w:rsidRPr="00956834">
        <w:rPr>
          <w:rFonts w:ascii="Times New Roman" w:hAnsi="Times New Roman"/>
        </w:rPr>
        <w:t xml:space="preserve"> Companies Act 2014.</w:t>
      </w:r>
    </w:p>
  </w:footnote>
  <w:footnote w:id="9">
    <w:p w14:paraId="1D40461E" w14:textId="77777777" w:rsidR="00956834" w:rsidRPr="00956834" w:rsidRDefault="00956834" w:rsidP="00956834">
      <w:pPr>
        <w:pStyle w:val="FootnoteText"/>
        <w:rPr>
          <w:rFonts w:ascii="Times New Roman" w:hAnsi="Times New Roman"/>
        </w:rPr>
      </w:pPr>
      <w:r w:rsidRPr="00956834">
        <w:rPr>
          <w:rStyle w:val="FootnoteReference"/>
          <w:rFonts w:ascii="Times New Roman" w:hAnsi="Times New Roman"/>
        </w:rPr>
        <w:footnoteRef/>
      </w:r>
      <w:r w:rsidRPr="00956834">
        <w:rPr>
          <w:rFonts w:ascii="Times New Roman" w:hAnsi="Times New Roman"/>
        </w:rPr>
        <w:t xml:space="preserve"> See generally Companies Act 2014, Part 8 dealing with Receivers and Part 11 dealing with Liquidations. See </w:t>
      </w:r>
      <w:r w:rsidRPr="00956834">
        <w:rPr>
          <w:rFonts w:ascii="Times New Roman" w:hAnsi="Times New Roman"/>
          <w:i/>
        </w:rPr>
        <w:t xml:space="preserve">supra </w:t>
      </w:r>
      <w:r w:rsidRPr="00956834">
        <w:rPr>
          <w:rFonts w:ascii="Times New Roman" w:hAnsi="Times New Roman"/>
        </w:rPr>
        <w:t xml:space="preserve">n. 1 Chapters 4-7. See also </w:t>
      </w:r>
      <w:proofErr w:type="spellStart"/>
      <w:r w:rsidRPr="00956834">
        <w:rPr>
          <w:rFonts w:ascii="Times New Roman" w:hAnsi="Times New Roman"/>
        </w:rPr>
        <w:t>Picarda</w:t>
      </w:r>
      <w:proofErr w:type="spellEnd"/>
      <w:r w:rsidRPr="00956834">
        <w:rPr>
          <w:rFonts w:ascii="Times New Roman" w:hAnsi="Times New Roman"/>
        </w:rPr>
        <w:t>: The Law of Receivers, Managers and Administrators (</w:t>
      </w:r>
      <w:r w:rsidR="002C5ABD">
        <w:rPr>
          <w:rFonts w:ascii="Times New Roman" w:hAnsi="Times New Roman"/>
        </w:rPr>
        <w:t xml:space="preserve">4th </w:t>
      </w:r>
      <w:r w:rsidRPr="00956834">
        <w:rPr>
          <w:rFonts w:ascii="Times New Roman" w:hAnsi="Times New Roman"/>
        </w:rPr>
        <w:t>Edition</w:t>
      </w:r>
      <w:r w:rsidR="002C5ABD">
        <w:rPr>
          <w:rFonts w:ascii="Times New Roman" w:hAnsi="Times New Roman"/>
        </w:rPr>
        <w:t>)</w:t>
      </w:r>
      <w:r w:rsidRPr="00956834">
        <w:rPr>
          <w:rFonts w:ascii="Times New Roman" w:hAnsi="Times New Roman"/>
        </w:rPr>
        <w:t xml:space="preserve"> </w:t>
      </w:r>
      <w:r w:rsidR="002C5ABD">
        <w:rPr>
          <w:rFonts w:ascii="Times New Roman" w:hAnsi="Times New Roman"/>
        </w:rPr>
        <w:t>(</w:t>
      </w:r>
      <w:r w:rsidRPr="00956834">
        <w:rPr>
          <w:rFonts w:ascii="Times New Roman" w:hAnsi="Times New Roman"/>
        </w:rPr>
        <w:t>Bloomsbury, 2006).</w:t>
      </w:r>
    </w:p>
  </w:footnote>
  <w:footnote w:id="10">
    <w:p w14:paraId="45CEBAD3" w14:textId="77777777" w:rsidR="00956834" w:rsidRPr="00956834" w:rsidRDefault="00956834" w:rsidP="00956834">
      <w:pPr>
        <w:pStyle w:val="FootnoteText"/>
        <w:rPr>
          <w:rFonts w:ascii="Times New Roman" w:hAnsi="Times New Roman"/>
        </w:rPr>
      </w:pPr>
      <w:r w:rsidRPr="00956834">
        <w:rPr>
          <w:rStyle w:val="FootnoteReference"/>
          <w:rFonts w:ascii="Times New Roman" w:hAnsi="Times New Roman"/>
        </w:rPr>
        <w:footnoteRef/>
      </w:r>
      <w:r w:rsidRPr="00956834">
        <w:rPr>
          <w:rFonts w:ascii="Times New Roman" w:hAnsi="Times New Roman"/>
        </w:rPr>
        <w:t xml:space="preserve"> </w:t>
      </w:r>
      <w:r w:rsidRPr="00956834">
        <w:rPr>
          <w:rFonts w:ascii="Times New Roman" w:hAnsi="Times New Roman"/>
          <w:i/>
        </w:rPr>
        <w:t>Re Atlantic Magnetics Ltd</w:t>
      </w:r>
      <w:r w:rsidRPr="00956834">
        <w:rPr>
          <w:rFonts w:ascii="Times New Roman" w:hAnsi="Times New Roman"/>
        </w:rPr>
        <w:t xml:space="preserve"> [1993] 2 IR 561</w:t>
      </w:r>
      <w:r w:rsidRPr="002C5ABD">
        <w:rPr>
          <w:rFonts w:ascii="Times New Roman" w:hAnsi="Times New Roman"/>
        </w:rPr>
        <w:t>;</w:t>
      </w:r>
      <w:r w:rsidRPr="00956834">
        <w:rPr>
          <w:rFonts w:ascii="Times New Roman" w:hAnsi="Times New Roman"/>
          <w:i/>
        </w:rPr>
        <w:t xml:space="preserve"> Re </w:t>
      </w:r>
      <w:proofErr w:type="spellStart"/>
      <w:r w:rsidRPr="00956834">
        <w:rPr>
          <w:rFonts w:ascii="Times New Roman" w:hAnsi="Times New Roman"/>
          <w:i/>
        </w:rPr>
        <w:t>Holidair</w:t>
      </w:r>
      <w:proofErr w:type="spellEnd"/>
      <w:r w:rsidRPr="00956834">
        <w:rPr>
          <w:rFonts w:ascii="Times New Roman" w:hAnsi="Times New Roman"/>
          <w:i/>
        </w:rPr>
        <w:t xml:space="preserve"> Ltd</w:t>
      </w:r>
      <w:r w:rsidRPr="00956834">
        <w:rPr>
          <w:rFonts w:ascii="Times New Roman" w:hAnsi="Times New Roman"/>
        </w:rPr>
        <w:t xml:space="preserve"> [1994] 1 IR 416</w:t>
      </w:r>
      <w:r w:rsidR="002C5ABD">
        <w:rPr>
          <w:rFonts w:ascii="Times New Roman" w:hAnsi="Times New Roman"/>
        </w:rPr>
        <w:t>.</w:t>
      </w:r>
    </w:p>
  </w:footnote>
  <w:footnote w:id="11">
    <w:p w14:paraId="26E206E6" w14:textId="77777777" w:rsidR="00956834" w:rsidRPr="00956834" w:rsidRDefault="00956834" w:rsidP="00956834">
      <w:pPr>
        <w:pStyle w:val="FootnoteText"/>
        <w:rPr>
          <w:rFonts w:ascii="Times New Roman" w:hAnsi="Times New Roman"/>
        </w:rPr>
      </w:pPr>
      <w:r w:rsidRPr="00956834">
        <w:rPr>
          <w:rStyle w:val="FootnoteReference"/>
          <w:rFonts w:ascii="Times New Roman" w:hAnsi="Times New Roman"/>
        </w:rPr>
        <w:footnoteRef/>
      </w:r>
      <w:r w:rsidRPr="00956834">
        <w:rPr>
          <w:rFonts w:ascii="Times New Roman" w:hAnsi="Times New Roman"/>
        </w:rPr>
        <w:t xml:space="preserve"> </w:t>
      </w:r>
      <w:r w:rsidR="002C5ABD" w:rsidRPr="00956834">
        <w:rPr>
          <w:rFonts w:ascii="Times New Roman" w:hAnsi="Times New Roman"/>
          <w:i/>
        </w:rPr>
        <w:t>Re Atlantic Magnetics Ltd</w:t>
      </w:r>
      <w:r w:rsidR="002C5ABD">
        <w:rPr>
          <w:rFonts w:ascii="Times New Roman" w:hAnsi="Times New Roman"/>
        </w:rPr>
        <w:t xml:space="preserve">, </w:t>
      </w:r>
      <w:r w:rsidRPr="00956834">
        <w:rPr>
          <w:rFonts w:ascii="Times New Roman" w:hAnsi="Times New Roman"/>
        </w:rPr>
        <w:t xml:space="preserve">p. 578. This observation is cited with approval by Finlay CJ in the Supreme Court in </w:t>
      </w:r>
      <w:r w:rsidRPr="00956834">
        <w:rPr>
          <w:rFonts w:ascii="Times New Roman" w:hAnsi="Times New Roman"/>
          <w:i/>
        </w:rPr>
        <w:t xml:space="preserve">Re </w:t>
      </w:r>
      <w:proofErr w:type="spellStart"/>
      <w:r w:rsidRPr="00956834">
        <w:rPr>
          <w:rFonts w:ascii="Times New Roman" w:hAnsi="Times New Roman"/>
          <w:i/>
        </w:rPr>
        <w:t>Holidair</w:t>
      </w:r>
      <w:proofErr w:type="spellEnd"/>
      <w:r w:rsidRPr="00956834">
        <w:rPr>
          <w:rFonts w:ascii="Times New Roman" w:hAnsi="Times New Roman"/>
          <w:i/>
        </w:rPr>
        <w:t xml:space="preserve"> Ltd</w:t>
      </w:r>
      <w:r w:rsidR="002C5ABD">
        <w:rPr>
          <w:rFonts w:ascii="Times New Roman" w:hAnsi="Times New Roman"/>
        </w:rPr>
        <w:t>,</w:t>
      </w:r>
      <w:r w:rsidRPr="00956834">
        <w:rPr>
          <w:rFonts w:ascii="Times New Roman" w:hAnsi="Times New Roman"/>
        </w:rPr>
        <w:t xml:space="preserve"> p</w:t>
      </w:r>
      <w:r w:rsidRPr="00956834">
        <w:rPr>
          <w:rFonts w:ascii="Times New Roman" w:hAnsi="Times New Roman"/>
          <w:i/>
        </w:rPr>
        <w:t>.</w:t>
      </w:r>
      <w:r w:rsidRPr="00956834">
        <w:rPr>
          <w:rFonts w:ascii="Times New Roman" w:hAnsi="Times New Roman"/>
        </w:rPr>
        <w:t xml:space="preserve"> 439.</w:t>
      </w:r>
    </w:p>
  </w:footnote>
  <w:footnote w:id="12">
    <w:p w14:paraId="482F5BA7" w14:textId="77777777" w:rsidR="00956834" w:rsidRPr="00956834" w:rsidRDefault="00956834" w:rsidP="00956834">
      <w:pPr>
        <w:pStyle w:val="FootnoteText"/>
        <w:rPr>
          <w:rFonts w:ascii="Times New Roman" w:hAnsi="Times New Roman"/>
        </w:rPr>
      </w:pPr>
      <w:r w:rsidRPr="00956834">
        <w:rPr>
          <w:rStyle w:val="FootnoteReference"/>
          <w:rFonts w:ascii="Times New Roman" w:hAnsi="Times New Roman"/>
        </w:rPr>
        <w:footnoteRef/>
      </w:r>
      <w:r w:rsidRPr="00956834">
        <w:rPr>
          <w:rFonts w:ascii="Times New Roman" w:hAnsi="Times New Roman"/>
        </w:rPr>
        <w:t xml:space="preserve"> Companies (Amendment) Act 1999. All of these provisions are now included in the Companies Act 2014, Part 10. Section</w:t>
      </w:r>
      <w:r w:rsidR="002C5ABD">
        <w:rPr>
          <w:rFonts w:ascii="Times New Roman" w:hAnsi="Times New Roman"/>
        </w:rPr>
        <w:t>s</w:t>
      </w:r>
      <w:r w:rsidRPr="00956834">
        <w:rPr>
          <w:rFonts w:ascii="Times New Roman" w:hAnsi="Times New Roman"/>
        </w:rPr>
        <w:t xml:space="preserve"> 524 and 525 allows the examiner to exercise a power to repudiate certain kinds of contracts and terms of contracts. Before 1999</w:t>
      </w:r>
      <w:r w:rsidR="002C5ABD">
        <w:rPr>
          <w:rFonts w:ascii="Times New Roman" w:hAnsi="Times New Roman"/>
        </w:rPr>
        <w:t>,</w:t>
      </w:r>
      <w:r w:rsidRPr="00956834">
        <w:rPr>
          <w:rFonts w:ascii="Times New Roman" w:hAnsi="Times New Roman"/>
        </w:rPr>
        <w:t xml:space="preserve"> the examiner could repudiate contracts entered into by the company where the performance of the contract would be detrimental to the survival of the company. After 1999</w:t>
      </w:r>
      <w:r w:rsidR="002C5ABD">
        <w:rPr>
          <w:rFonts w:ascii="Times New Roman" w:hAnsi="Times New Roman"/>
        </w:rPr>
        <w:t>,</w:t>
      </w:r>
      <w:r w:rsidRPr="00956834">
        <w:rPr>
          <w:rFonts w:ascii="Times New Roman" w:hAnsi="Times New Roman"/>
        </w:rPr>
        <w:t xml:space="preserve"> the express power to repudiate was confined to contracts entered into during the period of the examinership. However, the examiner still has the power to repudiate particular types of contracts which might prohibit the exercise of the right to borrow or created additional charges.</w:t>
      </w:r>
    </w:p>
  </w:footnote>
  <w:footnote w:id="13">
    <w:p w14:paraId="5BDBF50D" w14:textId="77777777" w:rsidR="00956834" w:rsidRPr="002C5ABD" w:rsidRDefault="00956834" w:rsidP="00956834">
      <w:pPr>
        <w:pStyle w:val="FootnoteText"/>
        <w:rPr>
          <w:rStyle w:val="FootnoteReference"/>
          <w:rFonts w:ascii="Times New Roman" w:hAnsi="Times New Roman"/>
          <w:vertAlign w:val="baseline"/>
        </w:rPr>
      </w:pPr>
      <w:r w:rsidRPr="00956834">
        <w:rPr>
          <w:rStyle w:val="FootnoteReference"/>
          <w:rFonts w:ascii="Times New Roman" w:hAnsi="Times New Roman"/>
        </w:rPr>
        <w:footnoteRef/>
      </w:r>
      <w:r w:rsidRPr="00956834">
        <w:rPr>
          <w:rFonts w:ascii="Times New Roman" w:hAnsi="Times New Roman"/>
        </w:rPr>
        <w:t xml:space="preserve"> </w:t>
      </w:r>
      <w:r w:rsidR="002C5ABD">
        <w:rPr>
          <w:rFonts w:ascii="Times New Roman" w:hAnsi="Times New Roman"/>
          <w:i/>
          <w:iCs/>
        </w:rPr>
        <w:t>Idem</w:t>
      </w:r>
      <w:r w:rsidRPr="00956834">
        <w:rPr>
          <w:rFonts w:ascii="Times New Roman" w:hAnsi="Times New Roman"/>
          <w:i/>
          <w:iCs/>
        </w:rPr>
        <w:t>.</w:t>
      </w:r>
      <w:r w:rsidRPr="00956834">
        <w:rPr>
          <w:rStyle w:val="FootnoteReference"/>
          <w:rFonts w:ascii="Times New Roman" w:hAnsi="Times New Roman"/>
        </w:rPr>
        <w:t xml:space="preserve"> </w:t>
      </w:r>
      <w:r w:rsidRPr="00956834">
        <w:rPr>
          <w:rFonts w:ascii="Times New Roman" w:hAnsi="Times New Roman"/>
        </w:rPr>
        <w:t xml:space="preserve"> A practi</w:t>
      </w:r>
      <w:r w:rsidR="002C5ABD">
        <w:rPr>
          <w:rFonts w:ascii="Times New Roman" w:hAnsi="Times New Roman"/>
        </w:rPr>
        <w:t>c</w:t>
      </w:r>
      <w:r w:rsidRPr="00956834">
        <w:rPr>
          <w:rFonts w:ascii="Times New Roman" w:hAnsi="Times New Roman"/>
        </w:rPr>
        <w:t xml:space="preserve">e had emerged whereby borrowing to fund the rescue was certified as expenses, but this practise stopped, after changes made in the 1999 Act regarding priority of costs and following cases such as </w:t>
      </w:r>
      <w:r w:rsidRPr="00956834">
        <w:rPr>
          <w:rFonts w:ascii="Times New Roman" w:hAnsi="Times New Roman"/>
          <w:i/>
          <w:iCs/>
        </w:rPr>
        <w:t xml:space="preserve">Re UMP Dairies Ltd. </w:t>
      </w:r>
      <w:r w:rsidRPr="00956834">
        <w:rPr>
          <w:rFonts w:ascii="Times New Roman" w:hAnsi="Times New Roman"/>
        </w:rPr>
        <w:t xml:space="preserve">[2009] IEHC 34. </w:t>
      </w:r>
      <w:r w:rsidRPr="00956834">
        <w:rPr>
          <w:rFonts w:ascii="Times New Roman" w:hAnsi="Times New Roman"/>
          <w:i/>
          <w:iCs/>
        </w:rPr>
        <w:t xml:space="preserve"> </w:t>
      </w:r>
      <w:r w:rsidRPr="00956834">
        <w:rPr>
          <w:rFonts w:ascii="Times New Roman" w:hAnsi="Times New Roman"/>
        </w:rPr>
        <w:t xml:space="preserve">See further Lynch Marshall and O’ </w:t>
      </w:r>
      <w:proofErr w:type="spellStart"/>
      <w:r w:rsidRPr="00956834">
        <w:rPr>
          <w:rFonts w:ascii="Times New Roman" w:hAnsi="Times New Roman"/>
        </w:rPr>
        <w:t>Ferrall</w:t>
      </w:r>
      <w:proofErr w:type="spellEnd"/>
      <w:r w:rsidR="002C5ABD">
        <w:rPr>
          <w:rFonts w:ascii="Times New Roman" w:hAnsi="Times New Roman"/>
        </w:rPr>
        <w:t>,</w:t>
      </w:r>
      <w:r w:rsidRPr="00956834">
        <w:rPr>
          <w:rFonts w:ascii="Times New Roman" w:hAnsi="Times New Roman"/>
        </w:rPr>
        <w:t xml:space="preserve"> </w:t>
      </w:r>
      <w:r w:rsidRPr="00956834">
        <w:rPr>
          <w:rFonts w:ascii="Times New Roman" w:hAnsi="Times New Roman"/>
          <w:i/>
          <w:iCs/>
        </w:rPr>
        <w:t xml:space="preserve">supra </w:t>
      </w:r>
      <w:r w:rsidRPr="00956834">
        <w:rPr>
          <w:rFonts w:ascii="Times New Roman" w:hAnsi="Times New Roman"/>
        </w:rPr>
        <w:t>n. 1.</w:t>
      </w:r>
    </w:p>
  </w:footnote>
  <w:footnote w:id="14">
    <w:p w14:paraId="2054D655" w14:textId="77777777" w:rsidR="00956834" w:rsidRPr="00956834" w:rsidRDefault="00956834" w:rsidP="00956834">
      <w:pPr>
        <w:pStyle w:val="FootnoteText"/>
        <w:rPr>
          <w:rFonts w:ascii="Times New Roman" w:hAnsi="Times New Roman"/>
        </w:rPr>
      </w:pPr>
      <w:r w:rsidRPr="00956834">
        <w:rPr>
          <w:rStyle w:val="FootnoteReference"/>
          <w:rFonts w:ascii="Times New Roman" w:hAnsi="Times New Roman"/>
        </w:rPr>
        <w:footnoteRef/>
      </w:r>
      <w:r w:rsidRPr="00956834">
        <w:rPr>
          <w:rFonts w:ascii="Times New Roman" w:hAnsi="Times New Roman"/>
        </w:rPr>
        <w:t xml:space="preserve"> Companies (Amendment) Act 1999.</w:t>
      </w:r>
    </w:p>
  </w:footnote>
  <w:footnote w:id="15">
    <w:p w14:paraId="71AF2FDA" w14:textId="77777777" w:rsidR="00956834" w:rsidRPr="00956834" w:rsidRDefault="00956834" w:rsidP="00956834">
      <w:pPr>
        <w:pStyle w:val="FootnoteText"/>
        <w:rPr>
          <w:rFonts w:ascii="Times New Roman" w:hAnsi="Times New Roman"/>
        </w:rPr>
      </w:pPr>
      <w:r w:rsidRPr="00956834">
        <w:rPr>
          <w:rStyle w:val="FootnoteReference"/>
          <w:rFonts w:ascii="Times New Roman" w:hAnsi="Times New Roman"/>
        </w:rPr>
        <w:footnoteRef/>
      </w:r>
      <w:r w:rsidRPr="00956834">
        <w:rPr>
          <w:rFonts w:ascii="Times New Roman" w:hAnsi="Times New Roman"/>
        </w:rPr>
        <w:t xml:space="preserve"> </w:t>
      </w:r>
      <w:r w:rsidRPr="00956834">
        <w:rPr>
          <w:rFonts w:ascii="Times New Roman" w:hAnsi="Times New Roman"/>
          <w:i/>
          <w:iCs/>
        </w:rPr>
        <w:t xml:space="preserve">Re </w:t>
      </w:r>
      <w:proofErr w:type="spellStart"/>
      <w:r w:rsidRPr="00956834">
        <w:rPr>
          <w:rFonts w:ascii="Times New Roman" w:hAnsi="Times New Roman"/>
          <w:i/>
          <w:iCs/>
        </w:rPr>
        <w:t>Vantive</w:t>
      </w:r>
      <w:proofErr w:type="spellEnd"/>
      <w:r w:rsidRPr="00956834">
        <w:rPr>
          <w:rFonts w:ascii="Times New Roman" w:hAnsi="Times New Roman"/>
          <w:i/>
          <w:iCs/>
        </w:rPr>
        <w:t xml:space="preserve"> Holdings</w:t>
      </w:r>
      <w:r w:rsidRPr="00956834">
        <w:rPr>
          <w:rFonts w:ascii="Times New Roman" w:hAnsi="Times New Roman"/>
        </w:rPr>
        <w:t xml:space="preserve"> [2009] IEHC 384; [2009] IESC 66. </w:t>
      </w:r>
      <w:r w:rsidRPr="00956834">
        <w:rPr>
          <w:rFonts w:ascii="Times New Roman" w:hAnsi="Times New Roman"/>
          <w:i/>
          <w:iCs/>
        </w:rPr>
        <w:t xml:space="preserve">Re </w:t>
      </w:r>
      <w:proofErr w:type="spellStart"/>
      <w:r w:rsidRPr="00956834">
        <w:rPr>
          <w:rFonts w:ascii="Times New Roman" w:hAnsi="Times New Roman"/>
          <w:i/>
          <w:iCs/>
        </w:rPr>
        <w:t>McInerney</w:t>
      </w:r>
      <w:proofErr w:type="spellEnd"/>
      <w:r w:rsidRPr="00956834">
        <w:rPr>
          <w:rFonts w:ascii="Times New Roman" w:hAnsi="Times New Roman"/>
          <w:i/>
          <w:iCs/>
        </w:rPr>
        <w:t xml:space="preserve"> Homes Ltd</w:t>
      </w:r>
      <w:r w:rsidRPr="00956834">
        <w:rPr>
          <w:rFonts w:ascii="Times New Roman" w:hAnsi="Times New Roman"/>
        </w:rPr>
        <w:t xml:space="preserve"> [2011] IESC 31.</w:t>
      </w:r>
    </w:p>
  </w:footnote>
  <w:footnote w:id="16">
    <w:p w14:paraId="68CBA824" w14:textId="77777777" w:rsidR="00956834" w:rsidRPr="00956834" w:rsidRDefault="00956834" w:rsidP="00956834">
      <w:pPr>
        <w:pStyle w:val="FootnoteText"/>
        <w:rPr>
          <w:rFonts w:ascii="Times New Roman" w:hAnsi="Times New Roman"/>
        </w:rPr>
      </w:pPr>
      <w:r w:rsidRPr="00956834">
        <w:rPr>
          <w:rStyle w:val="FootnoteReference"/>
          <w:rFonts w:ascii="Times New Roman" w:hAnsi="Times New Roman"/>
        </w:rPr>
        <w:footnoteRef/>
      </w:r>
      <w:r w:rsidRPr="00956834">
        <w:rPr>
          <w:rFonts w:ascii="Times New Roman" w:hAnsi="Times New Roman"/>
        </w:rPr>
        <w:t xml:space="preserve"> </w:t>
      </w:r>
      <w:r w:rsidRPr="00956834">
        <w:rPr>
          <w:rFonts w:ascii="Times New Roman" w:hAnsi="Times New Roman"/>
          <w:i/>
          <w:iCs/>
        </w:rPr>
        <w:t xml:space="preserve">Supra </w:t>
      </w:r>
      <w:r w:rsidRPr="00956834">
        <w:rPr>
          <w:rFonts w:ascii="Times New Roman" w:hAnsi="Times New Roman"/>
        </w:rPr>
        <w:t>n. 15 in the High Court judgement.</w:t>
      </w:r>
    </w:p>
  </w:footnote>
  <w:footnote w:id="17">
    <w:p w14:paraId="5E8483A4" w14:textId="3A737D3A" w:rsidR="00536874" w:rsidRDefault="00536874" w:rsidP="00536874">
      <w:pPr>
        <w:pStyle w:val="FootnoteText"/>
      </w:pPr>
      <w:r>
        <w:rPr>
          <w:rStyle w:val="FootnoteReference"/>
        </w:rPr>
        <w:footnoteRef/>
      </w:r>
      <w:r>
        <w:t xml:space="preserve"> </w:t>
      </w:r>
      <w:r w:rsidRPr="00536874">
        <w:rPr>
          <w:rFonts w:ascii="Times New Roman" w:hAnsi="Times New Roman"/>
        </w:rPr>
        <w:t>Under s. 541 of the Companies Act 2014 which effectively re-enacts previous legislat</w:t>
      </w:r>
      <w:r>
        <w:rPr>
          <w:rFonts w:ascii="Times New Roman" w:hAnsi="Times New Roman"/>
        </w:rPr>
        <w:t>i</w:t>
      </w:r>
      <w:r w:rsidRPr="00536874">
        <w:rPr>
          <w:rFonts w:ascii="Times New Roman" w:hAnsi="Times New Roman"/>
        </w:rPr>
        <w:t>on, the court shall not confirm any proposals unless—</w:t>
      </w:r>
    </w:p>
    <w:p w14:paraId="1CBB017F" w14:textId="25C6107E" w:rsidR="00536874" w:rsidRPr="00536874" w:rsidRDefault="00536874" w:rsidP="00536874">
      <w:pPr>
        <w:pStyle w:val="FootnoteText"/>
        <w:rPr>
          <w:rFonts w:ascii="Times New Roman" w:hAnsi="Times New Roman"/>
        </w:rPr>
      </w:pPr>
      <w:r w:rsidRPr="00536874">
        <w:rPr>
          <w:rFonts w:ascii="Times New Roman" w:hAnsi="Times New Roman"/>
        </w:rPr>
        <w:t>“(a) at least one class of creditors whose interests or claims would be impaired by</w:t>
      </w:r>
    </w:p>
    <w:p w14:paraId="4D353396" w14:textId="77777777" w:rsidR="00536874" w:rsidRPr="00536874" w:rsidRDefault="00536874" w:rsidP="00536874">
      <w:pPr>
        <w:pStyle w:val="FootnoteText"/>
        <w:rPr>
          <w:rFonts w:ascii="Times New Roman" w:hAnsi="Times New Roman"/>
        </w:rPr>
      </w:pPr>
      <w:r w:rsidRPr="00536874">
        <w:rPr>
          <w:rFonts w:ascii="Times New Roman" w:hAnsi="Times New Roman"/>
        </w:rPr>
        <w:t>implementation of the proposals has accepted the proposals, and</w:t>
      </w:r>
    </w:p>
    <w:p w14:paraId="0D08E227" w14:textId="77777777" w:rsidR="00536874" w:rsidRPr="00536874" w:rsidRDefault="00536874" w:rsidP="00536874">
      <w:pPr>
        <w:pStyle w:val="FootnoteText"/>
        <w:rPr>
          <w:rFonts w:ascii="Times New Roman" w:hAnsi="Times New Roman"/>
        </w:rPr>
      </w:pPr>
      <w:r w:rsidRPr="00536874">
        <w:rPr>
          <w:rFonts w:ascii="Times New Roman" w:hAnsi="Times New Roman"/>
        </w:rPr>
        <w:t>(b) the court is satisfied that—</w:t>
      </w:r>
    </w:p>
    <w:p w14:paraId="28D8B1C9" w14:textId="77777777" w:rsidR="00536874" w:rsidRPr="00536874" w:rsidRDefault="00536874" w:rsidP="00536874">
      <w:pPr>
        <w:pStyle w:val="FootnoteText"/>
        <w:rPr>
          <w:rFonts w:ascii="Times New Roman" w:hAnsi="Times New Roman"/>
        </w:rPr>
      </w:pPr>
      <w:r w:rsidRPr="00536874">
        <w:rPr>
          <w:rFonts w:ascii="Times New Roman" w:hAnsi="Times New Roman"/>
        </w:rPr>
        <w:t>(i) the proposals are fair and equitable in relation to any class of members or</w:t>
      </w:r>
    </w:p>
    <w:p w14:paraId="1C2927AA" w14:textId="77777777" w:rsidR="00536874" w:rsidRPr="00536874" w:rsidRDefault="00536874" w:rsidP="00536874">
      <w:pPr>
        <w:pStyle w:val="FootnoteText"/>
        <w:rPr>
          <w:rFonts w:ascii="Times New Roman" w:hAnsi="Times New Roman"/>
        </w:rPr>
      </w:pPr>
      <w:r w:rsidRPr="00536874">
        <w:rPr>
          <w:rFonts w:ascii="Times New Roman" w:hAnsi="Times New Roman"/>
        </w:rPr>
        <w:t>creditors that has not accepted the proposals and whose interests or claims</w:t>
      </w:r>
    </w:p>
    <w:p w14:paraId="71E36EB6" w14:textId="77777777" w:rsidR="00536874" w:rsidRPr="00536874" w:rsidRDefault="00536874" w:rsidP="00536874">
      <w:pPr>
        <w:pStyle w:val="FootnoteText"/>
        <w:rPr>
          <w:rFonts w:ascii="Times New Roman" w:hAnsi="Times New Roman"/>
        </w:rPr>
      </w:pPr>
      <w:r w:rsidRPr="00536874">
        <w:rPr>
          <w:rFonts w:ascii="Times New Roman" w:hAnsi="Times New Roman"/>
        </w:rPr>
        <w:t>would be impaired by implementation, and</w:t>
      </w:r>
    </w:p>
    <w:p w14:paraId="3D1B20AC" w14:textId="77777777" w:rsidR="00536874" w:rsidRPr="00536874" w:rsidRDefault="00536874" w:rsidP="00536874">
      <w:pPr>
        <w:pStyle w:val="FootnoteText"/>
        <w:rPr>
          <w:rFonts w:ascii="Times New Roman" w:hAnsi="Times New Roman"/>
        </w:rPr>
      </w:pPr>
      <w:r w:rsidRPr="00536874">
        <w:rPr>
          <w:rFonts w:ascii="Times New Roman" w:hAnsi="Times New Roman"/>
        </w:rPr>
        <w:t>(ii) the proposals are not unfairly prejudicial to the interests of any interested</w:t>
      </w:r>
    </w:p>
    <w:p w14:paraId="54C13755" w14:textId="77777777" w:rsidR="00536874" w:rsidRDefault="00536874" w:rsidP="00536874">
      <w:pPr>
        <w:pStyle w:val="FootnoteText"/>
      </w:pPr>
      <w:r>
        <w:t>party,</w:t>
      </w:r>
    </w:p>
    <w:p w14:paraId="13749159" w14:textId="77777777" w:rsidR="00536874" w:rsidRPr="00536874" w:rsidRDefault="00536874" w:rsidP="00536874">
      <w:pPr>
        <w:pStyle w:val="FootnoteText"/>
        <w:rPr>
          <w:rFonts w:ascii="Times New Roman" w:hAnsi="Times New Roman"/>
        </w:rPr>
      </w:pPr>
      <w:r w:rsidRPr="00536874">
        <w:rPr>
          <w:rFonts w:ascii="Times New Roman" w:hAnsi="Times New Roman"/>
        </w:rPr>
        <w:t>and in any case shall not confirm any proposals if the sole or primary purpose of them</w:t>
      </w:r>
    </w:p>
    <w:p w14:paraId="0FA0AB55" w14:textId="79F8B229" w:rsidR="00536874" w:rsidRPr="00536874" w:rsidRDefault="00536874" w:rsidP="00536874">
      <w:pPr>
        <w:pStyle w:val="FootnoteText"/>
        <w:rPr>
          <w:lang w:val="en-IE"/>
        </w:rPr>
      </w:pPr>
      <w:r w:rsidRPr="00536874">
        <w:rPr>
          <w:rFonts w:ascii="Times New Roman" w:hAnsi="Times New Roman"/>
        </w:rPr>
        <w:t xml:space="preserve">is the avoidance of payment of tax </w:t>
      </w:r>
      <w:proofErr w:type="gramStart"/>
      <w:r w:rsidRPr="00536874">
        <w:rPr>
          <w:rFonts w:ascii="Times New Roman" w:hAnsi="Times New Roman"/>
        </w:rPr>
        <w:t>due.</w:t>
      </w:r>
      <w:proofErr w:type="gramEnd"/>
      <w:r w:rsidRPr="00536874">
        <w:rPr>
          <w:rFonts w:ascii="Times New Roman" w:hAnsi="Times New Roman"/>
        </w:rPr>
        <w:cr/>
      </w:r>
    </w:p>
  </w:footnote>
  <w:footnote w:id="18">
    <w:p w14:paraId="67FE6749" w14:textId="77777777" w:rsidR="00956834" w:rsidRPr="00956834" w:rsidRDefault="00956834" w:rsidP="00956834">
      <w:pPr>
        <w:pStyle w:val="FootnoteText"/>
        <w:rPr>
          <w:rFonts w:ascii="Times New Roman" w:hAnsi="Times New Roman"/>
        </w:rPr>
      </w:pPr>
      <w:r w:rsidRPr="00956834">
        <w:rPr>
          <w:rStyle w:val="FootnoteReference"/>
          <w:rFonts w:ascii="Times New Roman" w:hAnsi="Times New Roman"/>
        </w:rPr>
        <w:footnoteRef/>
      </w:r>
      <w:r w:rsidRPr="00956834">
        <w:rPr>
          <w:rFonts w:ascii="Times New Roman" w:hAnsi="Times New Roman"/>
        </w:rPr>
        <w:t xml:space="preserve"> </w:t>
      </w:r>
      <w:proofErr w:type="gramStart"/>
      <w:r w:rsidRPr="00956834">
        <w:rPr>
          <w:rFonts w:ascii="Times New Roman" w:hAnsi="Times New Roman"/>
        </w:rPr>
        <w:t>Indeed</w:t>
      </w:r>
      <w:proofErr w:type="gramEnd"/>
      <w:r w:rsidRPr="00956834">
        <w:rPr>
          <w:rFonts w:ascii="Times New Roman" w:hAnsi="Times New Roman"/>
        </w:rPr>
        <w:t xml:space="preserve"> this is borne out by figures comparing the utilisation of insolvency processes in recent years. Deloitte monitors the use of the various insolvency processes. In recent years the number of examinerships is around 3% of all insolvencies as compared with figures for CVLs being over around 70% each year between 2017-2019.</w:t>
      </w:r>
      <w:r w:rsidR="002C5ABD">
        <w:rPr>
          <w:rFonts w:ascii="Times New Roman" w:hAnsi="Times New Roman"/>
        </w:rPr>
        <w:t xml:space="preserve"> See: &lt;</w:t>
      </w:r>
      <w:r w:rsidRPr="00956834">
        <w:rPr>
          <w:rFonts w:ascii="Times New Roman" w:hAnsi="Times New Roman"/>
        </w:rPr>
        <w:t>www2.deloitte.com</w:t>
      </w:r>
      <w:r w:rsidR="002C5ABD">
        <w:rPr>
          <w:rFonts w:ascii="Times New Roman" w:hAnsi="Times New Roman"/>
        </w:rPr>
        <w:t>&gt;.</w:t>
      </w:r>
    </w:p>
  </w:footnote>
  <w:footnote w:id="19">
    <w:p w14:paraId="25CD3F2D" w14:textId="77777777" w:rsidR="00956834" w:rsidRPr="00956834" w:rsidRDefault="00956834" w:rsidP="00956834">
      <w:pPr>
        <w:pStyle w:val="FootnoteText"/>
        <w:rPr>
          <w:rFonts w:ascii="Times New Roman" w:hAnsi="Times New Roman"/>
        </w:rPr>
      </w:pPr>
      <w:r w:rsidRPr="00956834">
        <w:rPr>
          <w:rStyle w:val="FootnoteReference"/>
          <w:rFonts w:ascii="Times New Roman" w:hAnsi="Times New Roman"/>
        </w:rPr>
        <w:footnoteRef/>
      </w:r>
      <w:r w:rsidRPr="00956834">
        <w:rPr>
          <w:rFonts w:ascii="Times New Roman" w:hAnsi="Times New Roman"/>
        </w:rPr>
        <w:t xml:space="preserve"> </w:t>
      </w:r>
      <w:r w:rsidRPr="00956834">
        <w:rPr>
          <w:rFonts w:ascii="Times New Roman" w:hAnsi="Times New Roman"/>
          <w:i/>
        </w:rPr>
        <w:t>Re Traffic Group Ltd</w:t>
      </w:r>
      <w:r w:rsidRPr="00956834">
        <w:rPr>
          <w:rFonts w:ascii="Times New Roman" w:hAnsi="Times New Roman"/>
        </w:rPr>
        <w:t xml:space="preserve"> [2007] IEHC 445, [2008] 3 IR 253, para 5.5.</w:t>
      </w:r>
    </w:p>
  </w:footnote>
  <w:footnote w:id="20">
    <w:p w14:paraId="4DFD6B27" w14:textId="77777777" w:rsidR="00956834" w:rsidRPr="00956834" w:rsidRDefault="00956834" w:rsidP="00956834">
      <w:pPr>
        <w:pStyle w:val="FootnoteText"/>
        <w:rPr>
          <w:rFonts w:ascii="Times New Roman" w:hAnsi="Times New Roman"/>
        </w:rPr>
      </w:pPr>
      <w:r w:rsidRPr="00956834">
        <w:rPr>
          <w:rStyle w:val="FootnoteReference"/>
          <w:rFonts w:ascii="Times New Roman" w:hAnsi="Times New Roman"/>
        </w:rPr>
        <w:footnoteRef/>
      </w:r>
      <w:r w:rsidRPr="00956834">
        <w:rPr>
          <w:rFonts w:ascii="Times New Roman" w:hAnsi="Times New Roman"/>
        </w:rPr>
        <w:t xml:space="preserve"> </w:t>
      </w:r>
      <w:r w:rsidRPr="00956834">
        <w:rPr>
          <w:rFonts w:ascii="Times New Roman" w:hAnsi="Times New Roman"/>
          <w:i/>
        </w:rPr>
        <w:t xml:space="preserve">Re </w:t>
      </w:r>
      <w:proofErr w:type="spellStart"/>
      <w:r w:rsidRPr="00956834">
        <w:rPr>
          <w:rFonts w:ascii="Times New Roman" w:hAnsi="Times New Roman"/>
          <w:i/>
        </w:rPr>
        <w:t>McInerney</w:t>
      </w:r>
      <w:proofErr w:type="spellEnd"/>
      <w:r w:rsidRPr="00956834">
        <w:rPr>
          <w:rFonts w:ascii="Times New Roman" w:hAnsi="Times New Roman"/>
          <w:i/>
        </w:rPr>
        <w:t xml:space="preserve"> Homes Ltd</w:t>
      </w:r>
      <w:r w:rsidRPr="00956834">
        <w:rPr>
          <w:rFonts w:ascii="Times New Roman" w:hAnsi="Times New Roman"/>
        </w:rPr>
        <w:t xml:space="preserve"> [2011] IESC 31.</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EDDB5" w14:textId="77777777" w:rsidR="00BF3D3E" w:rsidRPr="00FD0D6F" w:rsidRDefault="00BF3D3E" w:rsidP="00C2522B">
    <w:pPr>
      <w:pStyle w:val="Header"/>
      <w:spacing w:after="0"/>
      <w:rPr>
        <w:rFonts w:ascii="Arial" w:hAnsi="Arial" w:cs="Arial"/>
        <w:b/>
      </w:rPr>
    </w:pPr>
    <w:r w:rsidRPr="00FD0D6F">
      <w:rPr>
        <w:rFonts w:ascii="Arial" w:hAnsi="Arial" w:cs="Arial"/>
        <w:b/>
      </w:rPr>
      <w:t>Inside Story (</w:t>
    </w:r>
    <w:r w:rsidR="00956834">
      <w:rPr>
        <w:rFonts w:ascii="Arial" w:hAnsi="Arial" w:cs="Arial"/>
        <w:b/>
      </w:rPr>
      <w:t>March</w:t>
    </w:r>
    <w:r w:rsidR="002A5779" w:rsidRPr="00FD0D6F">
      <w:rPr>
        <w:rFonts w:ascii="Arial" w:hAnsi="Arial" w:cs="Arial"/>
        <w:b/>
      </w:rPr>
      <w:t xml:space="preserve"> 20</w:t>
    </w:r>
    <w:r w:rsidR="00087612">
      <w:rPr>
        <w:rFonts w:ascii="Arial" w:hAnsi="Arial" w:cs="Arial"/>
        <w:b/>
      </w:rPr>
      <w:t>20</w:t>
    </w:r>
    <w:r w:rsidRPr="00FD0D6F">
      <w:rPr>
        <w:rFonts w:ascii="Arial" w:hAnsi="Arial" w:cs="Arial"/>
        <w:b/>
      </w:rPr>
      <w:t>)</w:t>
    </w:r>
  </w:p>
  <w:p w14:paraId="504C59AC" w14:textId="77777777" w:rsidR="00BF3D3E" w:rsidRPr="00FD0D6F" w:rsidRDefault="00956834" w:rsidP="00C2522B">
    <w:pPr>
      <w:pStyle w:val="Header"/>
      <w:spacing w:after="0"/>
      <w:rPr>
        <w:rFonts w:ascii="Arial" w:hAnsi="Arial" w:cs="Arial"/>
        <w:b/>
      </w:rPr>
    </w:pPr>
    <w:r>
      <w:rPr>
        <w:rFonts w:ascii="Arial" w:hAnsi="Arial" w:cs="Arial"/>
        <w:b/>
        <w:color w:val="000000"/>
      </w:rPr>
      <w:t xml:space="preserve">Irene Lynch Fannon </w:t>
    </w:r>
    <w:r w:rsidR="00BF3D3E" w:rsidRPr="00FD0D6F">
      <w:rPr>
        <w:rFonts w:ascii="Arial" w:hAnsi="Arial" w:cs="Arial"/>
        <w:b/>
      </w:rPr>
      <w:t>(</w:t>
    </w:r>
    <w:r>
      <w:rPr>
        <w:rFonts w:ascii="Arial" w:hAnsi="Arial" w:cs="Arial"/>
        <w:b/>
      </w:rPr>
      <w:t>Ireland</w:t>
    </w:r>
    <w:r w:rsidR="00BF3D3E" w:rsidRPr="00FD0D6F">
      <w:rPr>
        <w:rFonts w:ascii="Arial" w:hAnsi="Arial" w:cs="Arial"/>
        <w:b/>
      </w:rP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1E96E526"/>
    <w:lvl w:ilvl="0">
      <w:start w:val="1"/>
      <w:numFmt w:val="decimal"/>
      <w:lvlText w:val="%1."/>
      <w:lvlJc w:val="left"/>
      <w:pPr>
        <w:tabs>
          <w:tab w:val="num" w:pos="1209"/>
        </w:tabs>
        <w:ind w:left="1209" w:hanging="360"/>
      </w:pPr>
    </w:lvl>
  </w:abstractNum>
  <w:abstractNum w:abstractNumId="1">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nsid w:val="011A77C2"/>
    <w:multiLevelType w:val="hybridMultilevel"/>
    <w:tmpl w:val="199AA478"/>
    <w:lvl w:ilvl="0" w:tplc="89D656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6767F4E"/>
    <w:multiLevelType w:val="hybridMultilevel"/>
    <w:tmpl w:val="725CC10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10">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2">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3">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4C209D3"/>
    <w:multiLevelType w:val="hybridMultilevel"/>
    <w:tmpl w:val="A55A20CC"/>
    <w:lvl w:ilvl="0" w:tplc="A19ED8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9">
    <w:nsid w:val="52622E5C"/>
    <w:multiLevelType w:val="hybridMultilevel"/>
    <w:tmpl w:val="4CEA025C"/>
    <w:lvl w:ilvl="0" w:tplc="8B5A78E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617B6BD9"/>
    <w:multiLevelType w:val="hybridMultilevel"/>
    <w:tmpl w:val="E44824D4"/>
    <w:lvl w:ilvl="0" w:tplc="7526BE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9"/>
  </w:num>
  <w:num w:numId="2">
    <w:abstractNumId w:val="6"/>
  </w:num>
  <w:num w:numId="3">
    <w:abstractNumId w:val="23"/>
  </w:num>
  <w:num w:numId="4">
    <w:abstractNumId w:val="11"/>
  </w:num>
  <w:num w:numId="5">
    <w:abstractNumId w:val="12"/>
  </w:num>
  <w:num w:numId="6">
    <w:abstractNumId w:val="24"/>
  </w:num>
  <w:num w:numId="7">
    <w:abstractNumId w:val="0"/>
  </w:num>
  <w:num w:numId="8">
    <w:abstractNumId w:val="8"/>
  </w:num>
  <w:num w:numId="9">
    <w:abstractNumId w:val="2"/>
  </w:num>
  <w:num w:numId="10">
    <w:abstractNumId w:val="1"/>
  </w:num>
  <w:num w:numId="11">
    <w:abstractNumId w:val="20"/>
  </w:num>
  <w:num w:numId="12">
    <w:abstractNumId w:val="7"/>
  </w:num>
  <w:num w:numId="13">
    <w:abstractNumId w:val="18"/>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6"/>
  </w:num>
  <w:num w:numId="21">
    <w:abstractNumId w:val="23"/>
  </w:num>
  <w:num w:numId="22">
    <w:abstractNumId w:val="12"/>
  </w:num>
  <w:num w:numId="23">
    <w:abstractNumId w:val="11"/>
  </w:num>
  <w:num w:numId="24">
    <w:abstractNumId w:val="21"/>
  </w:num>
  <w:num w:numId="25">
    <w:abstractNumId w:val="14"/>
  </w:num>
  <w:num w:numId="26">
    <w:abstractNumId w:val="17"/>
  </w:num>
  <w:num w:numId="27">
    <w:abstractNumId w:val="13"/>
  </w:num>
  <w:num w:numId="28">
    <w:abstractNumId w:val="15"/>
  </w:num>
  <w:num w:numId="29">
    <w:abstractNumId w:val="5"/>
  </w:num>
  <w:num w:numId="30">
    <w:abstractNumId w:val="10"/>
  </w:num>
  <w:num w:numId="31">
    <w:abstractNumId w:val="4"/>
  </w:num>
  <w:num w:numId="32">
    <w:abstractNumId w:val="3"/>
  </w:num>
  <w:num w:numId="33">
    <w:abstractNumId w:val="22"/>
  </w:num>
  <w:num w:numId="34">
    <w:abstractNumId w:val="16"/>
  </w:num>
  <w:num w:numId="35">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3C5"/>
    <w:rsid w:val="00001C5A"/>
    <w:rsid w:val="000033DF"/>
    <w:rsid w:val="000551B8"/>
    <w:rsid w:val="00065DA6"/>
    <w:rsid w:val="00086E49"/>
    <w:rsid w:val="00087612"/>
    <w:rsid w:val="000921F0"/>
    <w:rsid w:val="00092307"/>
    <w:rsid w:val="000C4532"/>
    <w:rsid w:val="000C7620"/>
    <w:rsid w:val="000D3C8B"/>
    <w:rsid w:val="001258A8"/>
    <w:rsid w:val="00127C4A"/>
    <w:rsid w:val="00141375"/>
    <w:rsid w:val="00145356"/>
    <w:rsid w:val="001835B2"/>
    <w:rsid w:val="001934CC"/>
    <w:rsid w:val="001A713B"/>
    <w:rsid w:val="001B1AA8"/>
    <w:rsid w:val="001C5080"/>
    <w:rsid w:val="001C74BA"/>
    <w:rsid w:val="001D3A90"/>
    <w:rsid w:val="001F119D"/>
    <w:rsid w:val="0020085B"/>
    <w:rsid w:val="00247BAC"/>
    <w:rsid w:val="00276632"/>
    <w:rsid w:val="00280030"/>
    <w:rsid w:val="002A5779"/>
    <w:rsid w:val="002A5C92"/>
    <w:rsid w:val="002C5ABD"/>
    <w:rsid w:val="002E09E9"/>
    <w:rsid w:val="003021B6"/>
    <w:rsid w:val="003217E3"/>
    <w:rsid w:val="0032563F"/>
    <w:rsid w:val="00340FF0"/>
    <w:rsid w:val="003518FD"/>
    <w:rsid w:val="003666A0"/>
    <w:rsid w:val="00367985"/>
    <w:rsid w:val="0039013D"/>
    <w:rsid w:val="00395D89"/>
    <w:rsid w:val="00396E5A"/>
    <w:rsid w:val="003978ED"/>
    <w:rsid w:val="003B0263"/>
    <w:rsid w:val="003C284E"/>
    <w:rsid w:val="003C69AB"/>
    <w:rsid w:val="003E0564"/>
    <w:rsid w:val="00404D9A"/>
    <w:rsid w:val="00415AEE"/>
    <w:rsid w:val="00415DDB"/>
    <w:rsid w:val="00437BFE"/>
    <w:rsid w:val="004408B0"/>
    <w:rsid w:val="00440CF8"/>
    <w:rsid w:val="004433C5"/>
    <w:rsid w:val="00470254"/>
    <w:rsid w:val="00484F6D"/>
    <w:rsid w:val="004B3FED"/>
    <w:rsid w:val="004D1D7E"/>
    <w:rsid w:val="004F57B8"/>
    <w:rsid w:val="00535342"/>
    <w:rsid w:val="00536874"/>
    <w:rsid w:val="00557280"/>
    <w:rsid w:val="00557A0F"/>
    <w:rsid w:val="00565029"/>
    <w:rsid w:val="005764A7"/>
    <w:rsid w:val="00577785"/>
    <w:rsid w:val="00593E77"/>
    <w:rsid w:val="005D6C09"/>
    <w:rsid w:val="005D783E"/>
    <w:rsid w:val="005D79E3"/>
    <w:rsid w:val="005E7C6B"/>
    <w:rsid w:val="00617533"/>
    <w:rsid w:val="00623598"/>
    <w:rsid w:val="00631F24"/>
    <w:rsid w:val="006441B0"/>
    <w:rsid w:val="00694350"/>
    <w:rsid w:val="006D0A86"/>
    <w:rsid w:val="006E7E8D"/>
    <w:rsid w:val="00703D03"/>
    <w:rsid w:val="00707113"/>
    <w:rsid w:val="00740F50"/>
    <w:rsid w:val="00752792"/>
    <w:rsid w:val="00772427"/>
    <w:rsid w:val="00772DFE"/>
    <w:rsid w:val="00782731"/>
    <w:rsid w:val="00785E77"/>
    <w:rsid w:val="00790DFB"/>
    <w:rsid w:val="007A0387"/>
    <w:rsid w:val="007C4484"/>
    <w:rsid w:val="007D39E7"/>
    <w:rsid w:val="007E1590"/>
    <w:rsid w:val="00807744"/>
    <w:rsid w:val="008432D1"/>
    <w:rsid w:val="00847988"/>
    <w:rsid w:val="008506FC"/>
    <w:rsid w:val="00867725"/>
    <w:rsid w:val="00876BCD"/>
    <w:rsid w:val="00877CBB"/>
    <w:rsid w:val="00886023"/>
    <w:rsid w:val="009069C9"/>
    <w:rsid w:val="00933B42"/>
    <w:rsid w:val="0093601D"/>
    <w:rsid w:val="00956834"/>
    <w:rsid w:val="009656AB"/>
    <w:rsid w:val="00976F27"/>
    <w:rsid w:val="00977889"/>
    <w:rsid w:val="0098305D"/>
    <w:rsid w:val="009B5E68"/>
    <w:rsid w:val="009E51C4"/>
    <w:rsid w:val="009F52F0"/>
    <w:rsid w:val="00A07FE0"/>
    <w:rsid w:val="00A34959"/>
    <w:rsid w:val="00A3654A"/>
    <w:rsid w:val="00A439FC"/>
    <w:rsid w:val="00A61641"/>
    <w:rsid w:val="00A81F5B"/>
    <w:rsid w:val="00AA741E"/>
    <w:rsid w:val="00AD3470"/>
    <w:rsid w:val="00AD6AE4"/>
    <w:rsid w:val="00B021F0"/>
    <w:rsid w:val="00B05548"/>
    <w:rsid w:val="00B10912"/>
    <w:rsid w:val="00B40F88"/>
    <w:rsid w:val="00B46BCC"/>
    <w:rsid w:val="00B53B8D"/>
    <w:rsid w:val="00BA1EF1"/>
    <w:rsid w:val="00BC4C0D"/>
    <w:rsid w:val="00BD0697"/>
    <w:rsid w:val="00BF3D3E"/>
    <w:rsid w:val="00C16DFA"/>
    <w:rsid w:val="00C2522B"/>
    <w:rsid w:val="00C96534"/>
    <w:rsid w:val="00CE09C4"/>
    <w:rsid w:val="00D03DC1"/>
    <w:rsid w:val="00D2584B"/>
    <w:rsid w:val="00D31877"/>
    <w:rsid w:val="00D32C99"/>
    <w:rsid w:val="00D5309A"/>
    <w:rsid w:val="00D6291C"/>
    <w:rsid w:val="00D75A21"/>
    <w:rsid w:val="00DE5F99"/>
    <w:rsid w:val="00E007BF"/>
    <w:rsid w:val="00E2501C"/>
    <w:rsid w:val="00E37A5D"/>
    <w:rsid w:val="00E53ABF"/>
    <w:rsid w:val="00EA5386"/>
    <w:rsid w:val="00EB6116"/>
    <w:rsid w:val="00F07427"/>
    <w:rsid w:val="00F20AC6"/>
    <w:rsid w:val="00F36532"/>
    <w:rsid w:val="00F55F2D"/>
    <w:rsid w:val="00F77372"/>
    <w:rsid w:val="00F90C01"/>
    <w:rsid w:val="00FB7C3C"/>
    <w:rsid w:val="00FD0D6F"/>
    <w:rsid w:val="00FD1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231825"/>
  <w15:docId w15:val="{236A4FBB-290B-4B2B-BAC7-040F139B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rsid w:val="00740F50"/>
    <w:pPr>
      <w:spacing w:after="0"/>
    </w:pPr>
    <w:rPr>
      <w:sz w:val="20"/>
    </w:rPr>
  </w:style>
  <w:style w:type="character" w:customStyle="1" w:styleId="FootnoteTextChar">
    <w:name w:val="Footnote Text Char"/>
    <w:basedOn w:val="DefaultParagraphFont"/>
    <w:link w:val="FootnoteText"/>
    <w:uiPriority w:val="99"/>
    <w:rsid w:val="00740F50"/>
    <w:rPr>
      <w:rFonts w:ascii="Calibri" w:hAnsi="Calibri"/>
      <w:sz w:val="20"/>
      <w:szCs w:val="20"/>
    </w:rPr>
  </w:style>
  <w:style w:type="character" w:styleId="FootnoteReference">
    <w:name w:val="footnote reference"/>
    <w:basedOn w:val="DefaultParagraphFont"/>
    <w:uiPriority w:val="99"/>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character" w:styleId="Strong">
    <w:name w:val="Strong"/>
    <w:basedOn w:val="DefaultParagraphFont"/>
    <w:uiPriority w:val="22"/>
    <w:qFormat/>
    <w:rsid w:val="00B05548"/>
    <w:rPr>
      <w:b/>
      <w:bCs/>
    </w:rPr>
  </w:style>
  <w:style w:type="character" w:customStyle="1" w:styleId="tlid-translation">
    <w:name w:val="tlid-translation"/>
    <w:basedOn w:val="DefaultParagraphFont"/>
    <w:rsid w:val="00631F24"/>
  </w:style>
  <w:style w:type="paragraph" w:styleId="NoSpacing">
    <w:name w:val="No Spacing"/>
    <w:uiPriority w:val="1"/>
    <w:qFormat/>
    <w:rsid w:val="00631F24"/>
    <w:rPr>
      <w:rFonts w:asciiTheme="minorHAnsi" w:eastAsiaTheme="minorHAnsi" w:hAnsiTheme="minorHAnsi" w:cstheme="minorBidi"/>
      <w:sz w:val="22"/>
      <w:szCs w:val="22"/>
      <w:lang w:val="en-US" w:eastAsia="en-US"/>
    </w:rPr>
  </w:style>
  <w:style w:type="character" w:customStyle="1" w:styleId="st">
    <w:name w:val="st"/>
    <w:basedOn w:val="DefaultParagraphFont"/>
    <w:rsid w:val="00631F24"/>
  </w:style>
  <w:style w:type="character" w:customStyle="1" w:styleId="gt-baf-cell">
    <w:name w:val="gt-baf-cell"/>
    <w:basedOn w:val="DefaultParagraphFont"/>
    <w:rsid w:val="00782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178665220">
      <w:bodyDiv w:val="1"/>
      <w:marLeft w:val="0"/>
      <w:marRight w:val="0"/>
      <w:marTop w:val="0"/>
      <w:marBottom w:val="0"/>
      <w:divBdr>
        <w:top w:val="none" w:sz="0" w:space="0" w:color="auto"/>
        <w:left w:val="none" w:sz="0" w:space="0" w:color="auto"/>
        <w:bottom w:val="none" w:sz="0" w:space="0" w:color="auto"/>
        <w:right w:val="none" w:sz="0" w:space="0" w:color="auto"/>
      </w:divBdr>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5FAEF-1D77-5943-B089-CF56026A6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1160</Words>
  <Characters>6615</Characters>
  <Application>Microsoft Macintosh Word</Application>
  <DocSecurity>0</DocSecurity>
  <PresentationFormat/>
  <Lines>55</Lines>
  <Paragraphs>15</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7760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Newson</cp:lastModifiedBy>
  <cp:revision>3</cp:revision>
  <cp:lastPrinted>2017-11-20T20:14:00Z</cp:lastPrinted>
  <dcterms:created xsi:type="dcterms:W3CDTF">2020-02-19T17:57:00Z</dcterms:created>
  <dcterms:modified xsi:type="dcterms:W3CDTF">2020-02-20T14:05:00Z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