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048E7" w14:textId="77777777" w:rsidR="005D783E" w:rsidRPr="00B021F0" w:rsidRDefault="005D783E" w:rsidP="00631F24">
      <w:pPr>
        <w:spacing w:after="0"/>
        <w:rPr>
          <w:rFonts w:ascii="Times New Roman" w:hAnsi="Times New Roman"/>
          <w:sz w:val="24"/>
          <w:szCs w:val="24"/>
        </w:rPr>
      </w:pPr>
    </w:p>
    <w:p w14:paraId="03A983E3" w14:textId="7A71EEEB" w:rsidR="00617533" w:rsidRPr="00B021F0" w:rsidRDefault="00102657" w:rsidP="00631F24">
      <w:pPr>
        <w:spacing w:after="0"/>
        <w:jc w:val="center"/>
        <w:rPr>
          <w:rFonts w:ascii="Times New Roman" w:hAnsi="Times New Roman"/>
          <w:b/>
          <w:sz w:val="24"/>
          <w:szCs w:val="24"/>
        </w:rPr>
      </w:pPr>
      <w:r>
        <w:rPr>
          <w:rFonts w:ascii="Times New Roman" w:hAnsi="Times New Roman"/>
          <w:b/>
          <w:noProof/>
          <w:sz w:val="24"/>
          <w:szCs w:val="24"/>
        </w:rPr>
        <w:drawing>
          <wp:inline distT="0" distB="0" distL="0" distR="0" wp14:anchorId="7FE79B70" wp14:editId="4F1E2FE5">
            <wp:extent cx="3633143" cy="1453097"/>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3689198" cy="1475516"/>
                    </a:xfrm>
                    <a:prstGeom prst="rect">
                      <a:avLst/>
                    </a:prstGeom>
                  </pic:spPr>
                </pic:pic>
              </a:graphicData>
            </a:graphic>
          </wp:inline>
        </w:drawing>
      </w:r>
    </w:p>
    <w:p w14:paraId="19355743" w14:textId="77777777" w:rsidR="00617533" w:rsidRPr="00B021F0" w:rsidRDefault="00617533" w:rsidP="00631F24">
      <w:pPr>
        <w:spacing w:after="0"/>
        <w:jc w:val="center"/>
        <w:rPr>
          <w:rFonts w:ascii="Times New Roman" w:hAnsi="Times New Roman"/>
          <w:b/>
          <w:sz w:val="24"/>
          <w:szCs w:val="24"/>
        </w:rPr>
      </w:pPr>
    </w:p>
    <w:p w14:paraId="2E6156DE" w14:textId="6F0D8947" w:rsidR="00617533" w:rsidRPr="00B021F0" w:rsidRDefault="00617533" w:rsidP="00631F24">
      <w:pPr>
        <w:spacing w:after="0"/>
        <w:jc w:val="center"/>
        <w:rPr>
          <w:rFonts w:ascii="Times New Roman" w:hAnsi="Times New Roman"/>
          <w:b/>
          <w:sz w:val="36"/>
          <w:szCs w:val="36"/>
        </w:rPr>
      </w:pPr>
      <w:r w:rsidRPr="00B021F0">
        <w:rPr>
          <w:rFonts w:ascii="Times New Roman" w:hAnsi="Times New Roman"/>
          <w:b/>
          <w:sz w:val="36"/>
          <w:szCs w:val="36"/>
        </w:rPr>
        <w:t xml:space="preserve">Inside Story – </w:t>
      </w:r>
      <w:r w:rsidR="007252F7">
        <w:rPr>
          <w:rFonts w:ascii="Times New Roman" w:hAnsi="Times New Roman"/>
          <w:b/>
          <w:sz w:val="36"/>
          <w:szCs w:val="36"/>
        </w:rPr>
        <w:t>May</w:t>
      </w:r>
      <w:r w:rsidRPr="00B021F0">
        <w:rPr>
          <w:rFonts w:ascii="Times New Roman" w:hAnsi="Times New Roman"/>
          <w:b/>
          <w:sz w:val="36"/>
          <w:szCs w:val="36"/>
        </w:rPr>
        <w:t xml:space="preserve"> 20</w:t>
      </w:r>
      <w:r w:rsidR="00782731" w:rsidRPr="00B021F0">
        <w:rPr>
          <w:rFonts w:ascii="Times New Roman" w:hAnsi="Times New Roman"/>
          <w:b/>
          <w:sz w:val="36"/>
          <w:szCs w:val="36"/>
        </w:rPr>
        <w:t>20</w:t>
      </w:r>
    </w:p>
    <w:p w14:paraId="674E5EF5" w14:textId="77777777" w:rsidR="00617533" w:rsidRPr="00B021F0" w:rsidRDefault="00617533" w:rsidP="00631F24">
      <w:pPr>
        <w:spacing w:after="0"/>
        <w:jc w:val="center"/>
        <w:rPr>
          <w:rFonts w:ascii="Times New Roman" w:hAnsi="Times New Roman"/>
          <w:b/>
          <w:sz w:val="24"/>
          <w:szCs w:val="24"/>
        </w:rPr>
      </w:pPr>
    </w:p>
    <w:p w14:paraId="449DD4D0" w14:textId="2F97CD0D" w:rsidR="00F36532" w:rsidRPr="00B021F0" w:rsidRDefault="00292F18" w:rsidP="00631F24">
      <w:pPr>
        <w:spacing w:after="0"/>
        <w:jc w:val="center"/>
        <w:rPr>
          <w:rFonts w:ascii="Times New Roman" w:hAnsi="Times New Roman"/>
          <w:b/>
          <w:sz w:val="24"/>
          <w:szCs w:val="24"/>
        </w:rPr>
      </w:pPr>
      <w:r>
        <w:rPr>
          <w:rFonts w:ascii="Times New Roman" w:hAnsi="Times New Roman"/>
          <w:b/>
          <w:sz w:val="28"/>
          <w:szCs w:val="28"/>
          <w:lang w:val="en-US"/>
        </w:rPr>
        <w:t xml:space="preserve">Covid-19 and Insolvency Developments in </w:t>
      </w:r>
      <w:r w:rsidR="00377664">
        <w:rPr>
          <w:rFonts w:ascii="Times New Roman" w:hAnsi="Times New Roman"/>
          <w:b/>
          <w:sz w:val="28"/>
          <w:szCs w:val="28"/>
          <w:lang w:val="en-US"/>
        </w:rPr>
        <w:t>Italy</w:t>
      </w:r>
    </w:p>
    <w:p w14:paraId="75FA1A68" w14:textId="77777777" w:rsidR="00617533" w:rsidRPr="00B021F0" w:rsidRDefault="00617533" w:rsidP="00631F24">
      <w:pPr>
        <w:spacing w:after="0"/>
        <w:jc w:val="center"/>
        <w:rPr>
          <w:rFonts w:ascii="Times New Roman" w:hAnsi="Times New Roman"/>
          <w:b/>
          <w:sz w:val="24"/>
          <w:szCs w:val="24"/>
        </w:rPr>
      </w:pPr>
    </w:p>
    <w:p w14:paraId="64FBF3D5" w14:textId="327EB570" w:rsidR="00292F18" w:rsidRDefault="00292F18" w:rsidP="00631F24">
      <w:pPr>
        <w:spacing w:after="0"/>
        <w:jc w:val="center"/>
        <w:rPr>
          <w:rFonts w:ascii="Times New Roman" w:hAnsi="Times New Roman"/>
          <w:sz w:val="24"/>
          <w:szCs w:val="24"/>
        </w:rPr>
      </w:pPr>
      <w:r>
        <w:rPr>
          <w:rFonts w:ascii="Times New Roman" w:hAnsi="Times New Roman"/>
          <w:sz w:val="24"/>
          <w:szCs w:val="24"/>
        </w:rPr>
        <w:t>Domenico Benincasa</w:t>
      </w:r>
      <w:r w:rsidR="00782731" w:rsidRPr="00B021F0">
        <w:rPr>
          <w:rFonts w:ascii="Times New Roman" w:hAnsi="Times New Roman"/>
          <w:sz w:val="24"/>
          <w:szCs w:val="24"/>
        </w:rPr>
        <w:t>,</w:t>
      </w:r>
      <w:r w:rsidR="00631F24" w:rsidRPr="00B021F0">
        <w:rPr>
          <w:rFonts w:ascii="Times New Roman" w:hAnsi="Times New Roman"/>
          <w:sz w:val="24"/>
          <w:szCs w:val="24"/>
        </w:rPr>
        <w:t xml:space="preserve"> </w:t>
      </w:r>
      <w:r w:rsidR="00782731" w:rsidRPr="00B021F0">
        <w:rPr>
          <w:rFonts w:ascii="Times New Roman" w:hAnsi="Times New Roman"/>
          <w:sz w:val="24"/>
          <w:szCs w:val="24"/>
        </w:rPr>
        <w:t>P</w:t>
      </w:r>
      <w:r>
        <w:rPr>
          <w:rFonts w:ascii="Times New Roman" w:hAnsi="Times New Roman"/>
          <w:sz w:val="24"/>
          <w:szCs w:val="24"/>
        </w:rPr>
        <w:t xml:space="preserve">artner, </w:t>
      </w:r>
      <w:r w:rsidR="00CD71D4">
        <w:rPr>
          <w:rFonts w:ascii="Times New Roman" w:hAnsi="Times New Roman"/>
          <w:sz w:val="24"/>
          <w:szCs w:val="24"/>
        </w:rPr>
        <w:t xml:space="preserve">Studio Legale </w:t>
      </w:r>
      <w:r>
        <w:rPr>
          <w:rFonts w:ascii="Times New Roman" w:hAnsi="Times New Roman"/>
          <w:sz w:val="24"/>
          <w:szCs w:val="24"/>
        </w:rPr>
        <w:t xml:space="preserve">Benincasa Nervi </w:t>
      </w:r>
      <w:r w:rsidR="00CD71D4">
        <w:rPr>
          <w:rFonts w:ascii="Times New Roman" w:hAnsi="Times New Roman"/>
          <w:sz w:val="24"/>
          <w:szCs w:val="24"/>
        </w:rPr>
        <w:t xml:space="preserve">e </w:t>
      </w:r>
      <w:r>
        <w:rPr>
          <w:rFonts w:ascii="Times New Roman" w:hAnsi="Times New Roman"/>
          <w:sz w:val="24"/>
          <w:szCs w:val="24"/>
        </w:rPr>
        <w:t>Pelligrini</w:t>
      </w:r>
      <w:r w:rsidR="00782731" w:rsidRPr="00B021F0">
        <w:rPr>
          <w:rFonts w:ascii="Times New Roman" w:hAnsi="Times New Roman"/>
          <w:sz w:val="24"/>
          <w:szCs w:val="24"/>
        </w:rPr>
        <w:t xml:space="preserve">, </w:t>
      </w:r>
      <w:r>
        <w:rPr>
          <w:rFonts w:ascii="Times New Roman" w:hAnsi="Times New Roman"/>
          <w:sz w:val="24"/>
          <w:szCs w:val="24"/>
        </w:rPr>
        <w:t>Rome</w:t>
      </w:r>
      <w:r w:rsidR="00631F24" w:rsidRPr="00B021F0">
        <w:rPr>
          <w:rFonts w:ascii="Times New Roman" w:hAnsi="Times New Roman"/>
          <w:sz w:val="24"/>
          <w:szCs w:val="24"/>
        </w:rPr>
        <w:t xml:space="preserve">, </w:t>
      </w:r>
      <w:r w:rsidR="00377664">
        <w:rPr>
          <w:rFonts w:ascii="Times New Roman" w:hAnsi="Times New Roman"/>
          <w:sz w:val="24"/>
          <w:szCs w:val="24"/>
        </w:rPr>
        <w:t xml:space="preserve">Italy </w:t>
      </w:r>
    </w:p>
    <w:p w14:paraId="52AB1DE4" w14:textId="30C62F96" w:rsidR="00292F18" w:rsidRDefault="007A0387" w:rsidP="00631F24">
      <w:pPr>
        <w:spacing w:after="0"/>
        <w:jc w:val="center"/>
        <w:rPr>
          <w:rFonts w:ascii="Times New Roman" w:hAnsi="Times New Roman"/>
          <w:sz w:val="24"/>
          <w:szCs w:val="24"/>
        </w:rPr>
      </w:pPr>
      <w:r w:rsidRPr="00377664">
        <w:rPr>
          <w:rFonts w:ascii="Times New Roman" w:hAnsi="Times New Roman"/>
          <w:sz w:val="24"/>
          <w:szCs w:val="24"/>
        </w:rPr>
        <w:t>&lt;</w:t>
      </w:r>
      <w:r w:rsidR="00292F18" w:rsidRPr="00292F18">
        <w:rPr>
          <w:rFonts w:ascii="Times New Roman" w:hAnsi="Times New Roman"/>
          <w:sz w:val="24"/>
          <w:szCs w:val="24"/>
          <w:shd w:val="clear" w:color="auto" w:fill="FFFFFF"/>
        </w:rPr>
        <w:t>segreteria@studiobnppartners.it</w:t>
      </w:r>
      <w:r w:rsidRPr="00377664">
        <w:rPr>
          <w:rFonts w:ascii="Times New Roman" w:hAnsi="Times New Roman"/>
          <w:sz w:val="24"/>
          <w:szCs w:val="24"/>
        </w:rPr>
        <w:t>&gt;</w:t>
      </w:r>
      <w:r w:rsidR="00292F18">
        <w:rPr>
          <w:rFonts w:ascii="Times New Roman" w:hAnsi="Times New Roman"/>
          <w:sz w:val="24"/>
          <w:szCs w:val="24"/>
        </w:rPr>
        <w:t>;</w:t>
      </w:r>
    </w:p>
    <w:p w14:paraId="1EFFB3C3" w14:textId="379EC0DC" w:rsidR="00292F18" w:rsidRDefault="00292F18" w:rsidP="00292F18">
      <w:pPr>
        <w:spacing w:after="0"/>
        <w:jc w:val="center"/>
        <w:rPr>
          <w:rFonts w:ascii="Times New Roman" w:hAnsi="Times New Roman"/>
          <w:sz w:val="24"/>
          <w:szCs w:val="24"/>
        </w:rPr>
      </w:pPr>
      <w:r>
        <w:rPr>
          <w:rFonts w:ascii="Times New Roman" w:hAnsi="Times New Roman"/>
          <w:sz w:val="24"/>
          <w:szCs w:val="24"/>
        </w:rPr>
        <w:t>Francesca Burigo</w:t>
      </w:r>
      <w:r w:rsidRPr="00B021F0">
        <w:rPr>
          <w:rFonts w:ascii="Times New Roman" w:hAnsi="Times New Roman"/>
          <w:sz w:val="24"/>
          <w:szCs w:val="24"/>
        </w:rPr>
        <w:t>, Professor, Faculty of Law, Universit</w:t>
      </w:r>
      <w:r>
        <w:rPr>
          <w:rFonts w:ascii="Times New Roman" w:hAnsi="Times New Roman"/>
          <w:sz w:val="24"/>
          <w:szCs w:val="24"/>
        </w:rPr>
        <w:t>à</w:t>
      </w:r>
      <w:r w:rsidRPr="00B021F0">
        <w:rPr>
          <w:rFonts w:ascii="Times New Roman" w:hAnsi="Times New Roman"/>
          <w:sz w:val="24"/>
          <w:szCs w:val="24"/>
        </w:rPr>
        <w:t xml:space="preserve"> </w:t>
      </w:r>
      <w:r>
        <w:rPr>
          <w:rFonts w:ascii="Times New Roman" w:hAnsi="Times New Roman"/>
          <w:sz w:val="24"/>
          <w:szCs w:val="24"/>
        </w:rPr>
        <w:t>Ca</w:t>
      </w:r>
      <w:r w:rsidR="00DD1542">
        <w:rPr>
          <w:rFonts w:ascii="Times New Roman" w:hAnsi="Times New Roman"/>
          <w:sz w:val="24"/>
          <w:szCs w:val="24"/>
        </w:rPr>
        <w:t>’</w:t>
      </w:r>
      <w:r>
        <w:rPr>
          <w:rFonts w:ascii="Times New Roman" w:hAnsi="Times New Roman"/>
          <w:sz w:val="24"/>
          <w:szCs w:val="24"/>
        </w:rPr>
        <w:t xml:space="preserve"> Foscari, Venice</w:t>
      </w:r>
      <w:r w:rsidRPr="00B021F0">
        <w:rPr>
          <w:rFonts w:ascii="Times New Roman" w:hAnsi="Times New Roman"/>
          <w:sz w:val="24"/>
          <w:szCs w:val="24"/>
        </w:rPr>
        <w:t xml:space="preserve">, </w:t>
      </w:r>
      <w:r>
        <w:rPr>
          <w:rFonts w:ascii="Times New Roman" w:hAnsi="Times New Roman"/>
          <w:sz w:val="24"/>
          <w:szCs w:val="24"/>
        </w:rPr>
        <w:t xml:space="preserve">Italy </w:t>
      </w:r>
    </w:p>
    <w:p w14:paraId="1290883A" w14:textId="529FFEB4" w:rsidR="00292F18" w:rsidRPr="00292F18" w:rsidRDefault="00292F18" w:rsidP="00292F18">
      <w:pPr>
        <w:spacing w:after="0"/>
        <w:jc w:val="center"/>
        <w:rPr>
          <w:rFonts w:ascii="Times New Roman" w:hAnsi="Times New Roman"/>
          <w:sz w:val="24"/>
          <w:szCs w:val="24"/>
        </w:rPr>
      </w:pPr>
      <w:r w:rsidRPr="00292F18">
        <w:rPr>
          <w:rFonts w:ascii="Times New Roman" w:hAnsi="Times New Roman"/>
          <w:sz w:val="24"/>
          <w:szCs w:val="24"/>
        </w:rPr>
        <w:t>&lt;</w:t>
      </w:r>
      <w:r w:rsidRPr="00292F18">
        <w:rPr>
          <w:rFonts w:ascii="Times New Roman" w:hAnsi="Times New Roman"/>
          <w:sz w:val="24"/>
          <w:szCs w:val="24"/>
          <w:shd w:val="clear" w:color="auto" w:fill="FFFFFF"/>
        </w:rPr>
        <w:t>‎francesca.burigo@unive.it</w:t>
      </w:r>
      <w:r w:rsidRPr="00292F18">
        <w:rPr>
          <w:rFonts w:ascii="Times New Roman" w:hAnsi="Times New Roman"/>
          <w:sz w:val="24"/>
          <w:szCs w:val="24"/>
        </w:rPr>
        <w:t>&gt;;</w:t>
      </w:r>
    </w:p>
    <w:p w14:paraId="16D408BC" w14:textId="4668B2EB" w:rsidR="007A0387" w:rsidRPr="00010728" w:rsidRDefault="00010728" w:rsidP="00631F24">
      <w:pPr>
        <w:spacing w:after="0"/>
        <w:jc w:val="center"/>
        <w:rPr>
          <w:rFonts w:ascii="Times New Roman" w:hAnsi="Times New Roman"/>
          <w:sz w:val="24"/>
          <w:szCs w:val="24"/>
        </w:rPr>
      </w:pPr>
      <w:r>
        <w:rPr>
          <w:rFonts w:ascii="Times New Roman" w:hAnsi="Times New Roman"/>
          <w:sz w:val="24"/>
          <w:szCs w:val="24"/>
        </w:rPr>
        <w:t>Carlo Ghia</w:t>
      </w:r>
      <w:r w:rsidR="00292F18" w:rsidRPr="00B021F0">
        <w:rPr>
          <w:rFonts w:ascii="Times New Roman" w:hAnsi="Times New Roman"/>
          <w:sz w:val="24"/>
          <w:szCs w:val="24"/>
        </w:rPr>
        <w:t xml:space="preserve">, </w:t>
      </w:r>
      <w:r>
        <w:rPr>
          <w:rFonts w:ascii="Times New Roman" w:hAnsi="Times New Roman"/>
          <w:sz w:val="24"/>
          <w:szCs w:val="24"/>
        </w:rPr>
        <w:t>Partner</w:t>
      </w:r>
      <w:r w:rsidR="00292F18" w:rsidRPr="00B021F0">
        <w:rPr>
          <w:rFonts w:ascii="Times New Roman" w:hAnsi="Times New Roman"/>
          <w:sz w:val="24"/>
          <w:szCs w:val="24"/>
        </w:rPr>
        <w:t xml:space="preserve">, </w:t>
      </w:r>
      <w:r>
        <w:rPr>
          <w:rFonts w:ascii="Times New Roman" w:hAnsi="Times New Roman"/>
          <w:sz w:val="24"/>
          <w:szCs w:val="24"/>
        </w:rPr>
        <w:t>Studio Legale Ghia, Rome</w:t>
      </w:r>
      <w:r w:rsidR="00292F18" w:rsidRPr="00B021F0">
        <w:rPr>
          <w:rFonts w:ascii="Times New Roman" w:hAnsi="Times New Roman"/>
          <w:sz w:val="24"/>
          <w:szCs w:val="24"/>
        </w:rPr>
        <w:t xml:space="preserve">, </w:t>
      </w:r>
      <w:r w:rsidR="00292F18">
        <w:rPr>
          <w:rFonts w:ascii="Times New Roman" w:hAnsi="Times New Roman"/>
          <w:sz w:val="24"/>
          <w:szCs w:val="24"/>
        </w:rPr>
        <w:t xml:space="preserve">Italy </w:t>
      </w:r>
      <w:r w:rsidR="00292F18" w:rsidRPr="00010728">
        <w:rPr>
          <w:rFonts w:ascii="Times New Roman" w:hAnsi="Times New Roman"/>
          <w:sz w:val="24"/>
          <w:szCs w:val="24"/>
        </w:rPr>
        <w:t>&lt;</w:t>
      </w:r>
      <w:r w:rsidRPr="00010728">
        <w:rPr>
          <w:rFonts w:ascii="Times New Roman" w:hAnsi="Times New Roman"/>
          <w:sz w:val="24"/>
          <w:szCs w:val="24"/>
          <w:shd w:val="clear" w:color="auto" w:fill="FFFFFF"/>
        </w:rPr>
        <w:t>carlo.ghia@ghia.legal</w:t>
      </w:r>
      <w:r w:rsidR="00292F18" w:rsidRPr="00010728">
        <w:rPr>
          <w:rFonts w:ascii="Times New Roman" w:hAnsi="Times New Roman"/>
          <w:sz w:val="24"/>
          <w:szCs w:val="24"/>
        </w:rPr>
        <w:t>&gt;</w:t>
      </w:r>
      <w:r w:rsidR="007A0387" w:rsidRPr="00010728">
        <w:rPr>
          <w:rFonts w:ascii="Times New Roman" w:hAnsi="Times New Roman"/>
          <w:sz w:val="24"/>
          <w:szCs w:val="24"/>
        </w:rPr>
        <w:t>.</w:t>
      </w:r>
    </w:p>
    <w:p w14:paraId="5F5FDF00" w14:textId="77777777" w:rsidR="005D783E" w:rsidRPr="00B021F0" w:rsidRDefault="005D783E" w:rsidP="00631F24">
      <w:pPr>
        <w:spacing w:after="0"/>
        <w:rPr>
          <w:rFonts w:ascii="Times New Roman" w:hAnsi="Times New Roman"/>
          <w:sz w:val="24"/>
          <w:szCs w:val="24"/>
        </w:rPr>
      </w:pPr>
    </w:p>
    <w:p w14:paraId="7BFAE082" w14:textId="77777777" w:rsidR="005D783E" w:rsidRPr="00B021F0" w:rsidRDefault="005D783E" w:rsidP="00782731">
      <w:pPr>
        <w:spacing w:after="0"/>
        <w:rPr>
          <w:rFonts w:ascii="Times New Roman" w:hAnsi="Times New Roman"/>
          <w:i/>
          <w:sz w:val="24"/>
          <w:szCs w:val="24"/>
        </w:rPr>
      </w:pPr>
      <w:r w:rsidRPr="00B021F0">
        <w:rPr>
          <w:rFonts w:ascii="Times New Roman" w:hAnsi="Times New Roman"/>
          <w:i/>
          <w:sz w:val="24"/>
          <w:szCs w:val="24"/>
        </w:rPr>
        <w:t>Introduction</w:t>
      </w:r>
    </w:p>
    <w:p w14:paraId="6283CF70" w14:textId="77777777" w:rsidR="00EA5386" w:rsidRPr="00292F18" w:rsidRDefault="00EA5386" w:rsidP="00292F18">
      <w:pPr>
        <w:spacing w:after="0"/>
        <w:rPr>
          <w:rFonts w:ascii="Times New Roman" w:hAnsi="Times New Roman"/>
          <w:sz w:val="24"/>
          <w:szCs w:val="24"/>
        </w:rPr>
      </w:pPr>
    </w:p>
    <w:p w14:paraId="2AF3D5A0" w14:textId="6514B036" w:rsidR="00292F18" w:rsidRDefault="00292F18" w:rsidP="00292F18">
      <w:pPr>
        <w:pStyle w:val="Testonewsletter"/>
        <w:spacing w:after="0"/>
        <w:rPr>
          <w:rFonts w:ascii="Times New Roman" w:hAnsi="Times New Roman" w:cs="Times New Roman"/>
          <w:noProof/>
          <w:sz w:val="24"/>
          <w:lang w:val="en-US" w:eastAsia="it-IT"/>
        </w:rPr>
      </w:pPr>
      <w:r w:rsidRPr="00292F18">
        <w:rPr>
          <w:rFonts w:ascii="Times New Roman" w:hAnsi="Times New Roman" w:cs="Times New Roman"/>
          <w:noProof/>
          <w:sz w:val="24"/>
          <w:lang w:val="en-US" w:eastAsia="it-IT"/>
        </w:rPr>
        <w:t>Italy</w:t>
      </w:r>
      <w:r w:rsidR="00DD1542">
        <w:rPr>
          <w:rFonts w:ascii="Times New Roman" w:hAnsi="Times New Roman" w:cs="Times New Roman"/>
          <w:noProof/>
          <w:sz w:val="24"/>
          <w:lang w:val="en-US" w:eastAsia="it-IT"/>
        </w:rPr>
        <w:t>’</w:t>
      </w:r>
      <w:r w:rsidRPr="00292F18">
        <w:rPr>
          <w:rFonts w:ascii="Times New Roman" w:hAnsi="Times New Roman" w:cs="Times New Roman"/>
          <w:noProof/>
          <w:sz w:val="24"/>
          <w:lang w:val="en-US" w:eastAsia="it-IT"/>
        </w:rPr>
        <w:t xml:space="preserve">s national lockdown in response to the Covid-19 health emergency has been </w:t>
      </w:r>
      <w:r w:rsidR="00DD1542">
        <w:rPr>
          <w:rFonts w:ascii="Times New Roman" w:hAnsi="Times New Roman" w:cs="Times New Roman"/>
          <w:noProof/>
          <w:sz w:val="24"/>
          <w:lang w:val="en-US" w:eastAsia="it-IT"/>
        </w:rPr>
        <w:t xml:space="preserve">in place since 9 </w:t>
      </w:r>
      <w:r w:rsidRPr="00292F18">
        <w:rPr>
          <w:rFonts w:ascii="Times New Roman" w:hAnsi="Times New Roman" w:cs="Times New Roman"/>
          <w:noProof/>
          <w:sz w:val="24"/>
          <w:lang w:val="en-US" w:eastAsia="it-IT"/>
        </w:rPr>
        <w:t>March 2020.</w:t>
      </w:r>
      <w:r w:rsidR="00DD1542">
        <w:rPr>
          <w:rFonts w:ascii="Times New Roman" w:hAnsi="Times New Roman" w:cs="Times New Roman"/>
          <w:noProof/>
          <w:sz w:val="24"/>
          <w:lang w:val="en-US" w:eastAsia="it-IT"/>
        </w:rPr>
        <w:t xml:space="preserve"> </w:t>
      </w:r>
      <w:r w:rsidRPr="00292F18">
        <w:rPr>
          <w:rFonts w:ascii="Times New Roman" w:hAnsi="Times New Roman" w:cs="Times New Roman"/>
          <w:noProof/>
          <w:sz w:val="24"/>
          <w:lang w:val="en-US" w:eastAsia="it-IT"/>
        </w:rPr>
        <w:t xml:space="preserve">Several contingency rules aimed at containing the economic and financial impact of the related lockdown </w:t>
      </w:r>
      <w:r w:rsidR="00DD1542">
        <w:rPr>
          <w:rFonts w:ascii="Times New Roman" w:hAnsi="Times New Roman" w:cs="Times New Roman"/>
          <w:noProof/>
          <w:sz w:val="24"/>
          <w:lang w:val="en-US" w:eastAsia="it-IT"/>
        </w:rPr>
        <w:t xml:space="preserve">were quickly </w:t>
      </w:r>
      <w:r w:rsidRPr="00292F18">
        <w:rPr>
          <w:rFonts w:ascii="Times New Roman" w:hAnsi="Times New Roman" w:cs="Times New Roman"/>
          <w:noProof/>
          <w:sz w:val="24"/>
          <w:lang w:val="en-US" w:eastAsia="it-IT"/>
        </w:rPr>
        <w:t>adopted, affecting various area of law related to business activity, as company and insolvency law.</w:t>
      </w:r>
    </w:p>
    <w:p w14:paraId="161EB326" w14:textId="77777777" w:rsidR="00DD1542" w:rsidRPr="00292F18" w:rsidRDefault="00DD1542" w:rsidP="00292F18">
      <w:pPr>
        <w:pStyle w:val="Testonewsletter"/>
        <w:spacing w:after="0"/>
        <w:rPr>
          <w:rFonts w:ascii="Times New Roman" w:hAnsi="Times New Roman" w:cs="Times New Roman"/>
          <w:noProof/>
          <w:sz w:val="24"/>
          <w:lang w:val="en-US" w:eastAsia="it-IT"/>
        </w:rPr>
      </w:pPr>
    </w:p>
    <w:p w14:paraId="675713D8" w14:textId="6889CDF4" w:rsidR="00292F18" w:rsidRPr="00292F18" w:rsidRDefault="00292F18" w:rsidP="00292F18">
      <w:pPr>
        <w:pStyle w:val="Testonewsletter"/>
        <w:spacing w:after="0"/>
        <w:rPr>
          <w:rFonts w:ascii="Times New Roman" w:hAnsi="Times New Roman" w:cs="Times New Roman"/>
          <w:noProof/>
          <w:sz w:val="24"/>
          <w:lang w:val="en-US" w:eastAsia="it-IT"/>
        </w:rPr>
      </w:pPr>
      <w:r w:rsidRPr="00292F18">
        <w:rPr>
          <w:rFonts w:ascii="Times New Roman" w:hAnsi="Times New Roman" w:cs="Times New Roman"/>
          <w:noProof/>
          <w:sz w:val="24"/>
          <w:lang w:val="en-US" w:eastAsia="it-IT"/>
        </w:rPr>
        <w:t xml:space="preserve">This </w:t>
      </w:r>
      <w:r w:rsidR="00DD1542">
        <w:rPr>
          <w:rFonts w:ascii="Times New Roman" w:hAnsi="Times New Roman" w:cs="Times New Roman"/>
          <w:noProof/>
          <w:sz w:val="24"/>
          <w:lang w:val="en-US" w:eastAsia="it-IT"/>
        </w:rPr>
        <w:t xml:space="preserve">Inside Story </w:t>
      </w:r>
      <w:r w:rsidRPr="00292F18">
        <w:rPr>
          <w:rFonts w:ascii="Times New Roman" w:hAnsi="Times New Roman" w:cs="Times New Roman"/>
          <w:noProof/>
          <w:sz w:val="24"/>
          <w:lang w:val="en-US" w:eastAsia="it-IT"/>
        </w:rPr>
        <w:t>means to point out the most relevant changes involving insolvency law, on the premise that these provisions could be further modified or integrated due to the general uncertainty of the length (and after</w:t>
      </w:r>
      <w:r w:rsidR="00DD1542">
        <w:rPr>
          <w:rFonts w:ascii="Times New Roman" w:hAnsi="Times New Roman" w:cs="Times New Roman"/>
          <w:noProof/>
          <w:sz w:val="24"/>
          <w:lang w:val="en-US" w:eastAsia="it-IT"/>
        </w:rPr>
        <w:t xml:space="preserve"> </w:t>
      </w:r>
      <w:r w:rsidRPr="00292F18">
        <w:rPr>
          <w:rFonts w:ascii="Times New Roman" w:hAnsi="Times New Roman" w:cs="Times New Roman"/>
          <w:noProof/>
          <w:sz w:val="24"/>
          <w:lang w:val="en-US" w:eastAsia="it-IT"/>
        </w:rPr>
        <w:t>effects) of the emergency situation.</w:t>
      </w:r>
    </w:p>
    <w:p w14:paraId="09FF05F5" w14:textId="34D10472" w:rsidR="00DD1542" w:rsidRDefault="00DD1542" w:rsidP="00292F18">
      <w:pPr>
        <w:pStyle w:val="Testonewsletter"/>
        <w:spacing w:after="0"/>
        <w:rPr>
          <w:rFonts w:ascii="Times New Roman" w:hAnsi="Times New Roman" w:cs="Times New Roman"/>
          <w:sz w:val="24"/>
          <w:lang w:val="en-US"/>
        </w:rPr>
      </w:pPr>
    </w:p>
    <w:p w14:paraId="51A45A56" w14:textId="6A8AC3E3" w:rsidR="00DD1542" w:rsidRPr="00DD1542" w:rsidRDefault="00DD1542" w:rsidP="00292F18">
      <w:pPr>
        <w:pStyle w:val="Testonewsletter"/>
        <w:spacing w:after="0"/>
        <w:rPr>
          <w:rFonts w:ascii="Times New Roman" w:hAnsi="Times New Roman" w:cs="Times New Roman"/>
          <w:i/>
          <w:iCs/>
          <w:sz w:val="24"/>
          <w:lang w:val="en-US"/>
        </w:rPr>
      </w:pPr>
      <w:r w:rsidRPr="00DD1542">
        <w:rPr>
          <w:rFonts w:ascii="Times New Roman" w:hAnsi="Times New Roman" w:cs="Times New Roman"/>
          <w:i/>
          <w:iCs/>
          <w:sz w:val="24"/>
          <w:lang w:val="en-US"/>
        </w:rPr>
        <w:t>Rapid Remedies Introduced</w:t>
      </w:r>
    </w:p>
    <w:p w14:paraId="5CF13EEB" w14:textId="77777777" w:rsidR="00DD1542" w:rsidRDefault="00DD1542" w:rsidP="00292F18">
      <w:pPr>
        <w:pStyle w:val="Testonewsletter"/>
        <w:spacing w:after="0"/>
        <w:rPr>
          <w:rFonts w:ascii="Times New Roman" w:hAnsi="Times New Roman" w:cs="Times New Roman"/>
          <w:sz w:val="24"/>
          <w:lang w:val="en-US"/>
        </w:rPr>
      </w:pPr>
    </w:p>
    <w:p w14:paraId="12A13291" w14:textId="5F7B8E5A" w:rsidR="00292F18" w:rsidRDefault="00292F18" w:rsidP="00292F18">
      <w:pPr>
        <w:pStyle w:val="Testonewsletter"/>
        <w:spacing w:after="0"/>
        <w:rPr>
          <w:rFonts w:ascii="Times New Roman" w:hAnsi="Times New Roman" w:cs="Times New Roman"/>
          <w:sz w:val="24"/>
          <w:lang w:val="en-US"/>
        </w:rPr>
      </w:pPr>
      <w:r w:rsidRPr="00292F18">
        <w:rPr>
          <w:rFonts w:ascii="Times New Roman" w:hAnsi="Times New Roman" w:cs="Times New Roman"/>
          <w:sz w:val="24"/>
          <w:lang w:val="en-US"/>
        </w:rPr>
        <w:t xml:space="preserve">Indeed, the first set of remedies </w:t>
      </w:r>
      <w:r w:rsidR="00DD1542">
        <w:rPr>
          <w:rFonts w:ascii="Times New Roman" w:hAnsi="Times New Roman" w:cs="Times New Roman"/>
          <w:sz w:val="24"/>
          <w:lang w:val="en-US"/>
        </w:rPr>
        <w:t xml:space="preserve">for </w:t>
      </w:r>
      <w:r w:rsidRPr="00292F18">
        <w:rPr>
          <w:rFonts w:ascii="Times New Roman" w:hAnsi="Times New Roman" w:cs="Times New Roman"/>
          <w:sz w:val="24"/>
          <w:lang w:val="en-US"/>
        </w:rPr>
        <w:t xml:space="preserve">the health contingency involving judicial and procedural measures date back to </w:t>
      </w:r>
      <w:r w:rsidR="00DD1542">
        <w:rPr>
          <w:rFonts w:ascii="Times New Roman" w:hAnsi="Times New Roman" w:cs="Times New Roman"/>
          <w:sz w:val="24"/>
          <w:lang w:val="en-US"/>
        </w:rPr>
        <w:t xml:space="preserve">the </w:t>
      </w:r>
      <w:r w:rsidRPr="00292F18">
        <w:rPr>
          <w:rFonts w:ascii="Times New Roman" w:hAnsi="Times New Roman" w:cs="Times New Roman"/>
          <w:b/>
          <w:sz w:val="24"/>
          <w:lang w:val="en-US"/>
        </w:rPr>
        <w:t>Law Decree</w:t>
      </w:r>
      <w:r w:rsidR="00DD1542">
        <w:rPr>
          <w:rFonts w:ascii="Times New Roman" w:hAnsi="Times New Roman" w:cs="Times New Roman"/>
          <w:b/>
          <w:sz w:val="24"/>
          <w:lang w:val="en-US"/>
        </w:rPr>
        <w:t xml:space="preserve"> of 17</w:t>
      </w:r>
      <w:r w:rsidRPr="00292F18">
        <w:rPr>
          <w:rFonts w:ascii="Times New Roman" w:hAnsi="Times New Roman" w:cs="Times New Roman"/>
          <w:b/>
          <w:sz w:val="24"/>
          <w:lang w:val="en-US"/>
        </w:rPr>
        <w:t xml:space="preserve"> March 2020, no.</w:t>
      </w:r>
      <w:r w:rsidRPr="00292F18">
        <w:rPr>
          <w:rFonts w:ascii="Times New Roman" w:hAnsi="Times New Roman" w:cs="Times New Roman"/>
          <w:sz w:val="24"/>
          <w:lang w:val="en-US"/>
        </w:rPr>
        <w:t xml:space="preserve"> </w:t>
      </w:r>
      <w:r w:rsidRPr="00292F18">
        <w:rPr>
          <w:rFonts w:ascii="Times New Roman" w:hAnsi="Times New Roman" w:cs="Times New Roman"/>
          <w:b/>
          <w:sz w:val="24"/>
          <w:lang w:val="en-US"/>
        </w:rPr>
        <w:t>18</w:t>
      </w:r>
      <w:r w:rsidRPr="00292F18">
        <w:rPr>
          <w:rFonts w:ascii="Times New Roman" w:hAnsi="Times New Roman" w:cs="Times New Roman"/>
          <w:sz w:val="24"/>
          <w:lang w:val="en-US"/>
        </w:rPr>
        <w:t xml:space="preserve">, </w:t>
      </w:r>
      <w:r w:rsidR="00DD1542">
        <w:rPr>
          <w:rFonts w:ascii="Times New Roman" w:hAnsi="Times New Roman" w:cs="Times New Roman"/>
          <w:sz w:val="24"/>
          <w:lang w:val="en-US"/>
        </w:rPr>
        <w:t xml:space="preserve">the </w:t>
      </w:r>
      <w:r w:rsidRPr="00292F18">
        <w:rPr>
          <w:rFonts w:ascii="Times New Roman" w:hAnsi="Times New Roman" w:cs="Times New Roman"/>
          <w:sz w:val="24"/>
          <w:lang w:val="en-US"/>
        </w:rPr>
        <w:t>so</w:t>
      </w:r>
      <w:r w:rsidR="00DD1542">
        <w:rPr>
          <w:rFonts w:ascii="Times New Roman" w:hAnsi="Times New Roman" w:cs="Times New Roman"/>
          <w:sz w:val="24"/>
          <w:lang w:val="en-US"/>
        </w:rPr>
        <w:t>-</w:t>
      </w:r>
      <w:r w:rsidRPr="00292F18">
        <w:rPr>
          <w:rFonts w:ascii="Times New Roman" w:hAnsi="Times New Roman" w:cs="Times New Roman"/>
          <w:sz w:val="24"/>
          <w:lang w:val="en-US"/>
        </w:rPr>
        <w:t xml:space="preserve">called </w:t>
      </w:r>
      <w:r w:rsidR="00DD1542">
        <w:rPr>
          <w:rFonts w:ascii="Times New Roman" w:hAnsi="Times New Roman" w:cs="Times New Roman"/>
          <w:sz w:val="24"/>
          <w:lang w:val="en-US"/>
        </w:rPr>
        <w:t>“</w:t>
      </w:r>
      <w:r w:rsidRPr="00292F18">
        <w:rPr>
          <w:rFonts w:ascii="Times New Roman" w:hAnsi="Times New Roman" w:cs="Times New Roman"/>
          <w:b/>
          <w:sz w:val="24"/>
          <w:lang w:val="en-US"/>
        </w:rPr>
        <w:t>Cura Italia</w:t>
      </w:r>
      <w:r w:rsidR="00DD1542">
        <w:rPr>
          <w:rFonts w:ascii="Times New Roman" w:hAnsi="Times New Roman" w:cs="Times New Roman"/>
          <w:sz w:val="24"/>
          <w:lang w:val="en-US"/>
        </w:rPr>
        <w:t>”</w:t>
      </w:r>
      <w:r w:rsidRPr="00292F18">
        <w:rPr>
          <w:rFonts w:ascii="Times New Roman" w:hAnsi="Times New Roman" w:cs="Times New Roman"/>
          <w:sz w:val="24"/>
          <w:lang w:val="en-US"/>
        </w:rPr>
        <w:t>, providing that:</w:t>
      </w:r>
    </w:p>
    <w:p w14:paraId="17822143" w14:textId="77777777" w:rsidR="00DD1542" w:rsidRPr="00292F18" w:rsidRDefault="00DD1542" w:rsidP="00292F18">
      <w:pPr>
        <w:pStyle w:val="Testonewsletter"/>
        <w:spacing w:after="0"/>
        <w:rPr>
          <w:rFonts w:ascii="Times New Roman" w:hAnsi="Times New Roman" w:cs="Times New Roman"/>
          <w:sz w:val="24"/>
          <w:lang w:val="en-US"/>
        </w:rPr>
      </w:pPr>
    </w:p>
    <w:p w14:paraId="061C254D" w14:textId="77777777" w:rsidR="005F7A61" w:rsidRDefault="00292F18" w:rsidP="005F7A61">
      <w:pPr>
        <w:pStyle w:val="Testonewsletter"/>
        <w:numPr>
          <w:ilvl w:val="0"/>
          <w:numId w:val="36"/>
        </w:numPr>
        <w:spacing w:after="0"/>
        <w:ind w:right="195"/>
        <w:rPr>
          <w:rFonts w:ascii="Times New Roman" w:hAnsi="Times New Roman" w:cs="Times New Roman"/>
          <w:sz w:val="24"/>
          <w:lang w:val="en"/>
        </w:rPr>
      </w:pPr>
      <w:r w:rsidRPr="00292F18">
        <w:rPr>
          <w:rFonts w:ascii="Times New Roman" w:hAnsi="Times New Roman" w:cs="Times New Roman"/>
          <w:sz w:val="24"/>
          <w:lang w:val="en"/>
        </w:rPr>
        <w:t xml:space="preserve">except for few specific judgments (mainly in the field of criminal law), all hearings fixed between 9 March </w:t>
      </w:r>
      <w:r w:rsidR="00DD1542">
        <w:rPr>
          <w:rFonts w:ascii="Times New Roman" w:hAnsi="Times New Roman" w:cs="Times New Roman"/>
          <w:sz w:val="24"/>
          <w:lang w:val="en"/>
        </w:rPr>
        <w:t xml:space="preserve">and </w:t>
      </w:r>
      <w:r w:rsidRPr="00292F18">
        <w:rPr>
          <w:rFonts w:ascii="Times New Roman" w:hAnsi="Times New Roman" w:cs="Times New Roman"/>
          <w:sz w:val="24"/>
          <w:lang w:val="en"/>
        </w:rPr>
        <w:t xml:space="preserve">15 April will not </w:t>
      </w:r>
      <w:r w:rsidR="00DD1542">
        <w:rPr>
          <w:rFonts w:ascii="Times New Roman" w:hAnsi="Times New Roman" w:cs="Times New Roman"/>
          <w:sz w:val="24"/>
          <w:lang w:val="en"/>
        </w:rPr>
        <w:t xml:space="preserve">take held </w:t>
      </w:r>
      <w:r w:rsidRPr="00292F18">
        <w:rPr>
          <w:rFonts w:ascii="Times New Roman" w:hAnsi="Times New Roman" w:cs="Times New Roman"/>
          <w:sz w:val="24"/>
          <w:lang w:val="en"/>
        </w:rPr>
        <w:t xml:space="preserve">and are postponed accordingly </w:t>
      </w:r>
      <w:r w:rsidR="00DD1542">
        <w:rPr>
          <w:rFonts w:ascii="Times New Roman" w:hAnsi="Times New Roman" w:cs="Times New Roman"/>
          <w:sz w:val="24"/>
          <w:lang w:val="en"/>
        </w:rPr>
        <w:t xml:space="preserve">in </w:t>
      </w:r>
      <w:r w:rsidRPr="00292F18">
        <w:rPr>
          <w:rFonts w:ascii="Times New Roman" w:hAnsi="Times New Roman" w:cs="Times New Roman"/>
          <w:sz w:val="24"/>
          <w:lang w:val="en"/>
        </w:rPr>
        <w:t>the Court office schedule;</w:t>
      </w:r>
      <w:r w:rsidR="005F7A61">
        <w:rPr>
          <w:rFonts w:ascii="Times New Roman" w:hAnsi="Times New Roman" w:cs="Times New Roman"/>
          <w:sz w:val="24"/>
          <w:lang w:val="en"/>
        </w:rPr>
        <w:t xml:space="preserve"> and</w:t>
      </w:r>
    </w:p>
    <w:p w14:paraId="0614C2CE" w14:textId="3CDF86DE" w:rsidR="00292F18" w:rsidRPr="005F7A61" w:rsidRDefault="005F7A61" w:rsidP="005F7A61">
      <w:pPr>
        <w:pStyle w:val="Testonewsletter"/>
        <w:numPr>
          <w:ilvl w:val="0"/>
          <w:numId w:val="36"/>
        </w:numPr>
        <w:spacing w:after="0"/>
        <w:ind w:right="195"/>
        <w:rPr>
          <w:rFonts w:ascii="Times New Roman" w:hAnsi="Times New Roman" w:cs="Times New Roman"/>
          <w:sz w:val="24"/>
          <w:lang w:val="en"/>
        </w:rPr>
      </w:pPr>
      <w:r>
        <w:rPr>
          <w:rFonts w:ascii="Times New Roman" w:hAnsi="Times New Roman" w:cs="Times New Roman"/>
          <w:sz w:val="24"/>
          <w:lang w:val="en-US"/>
        </w:rPr>
        <w:t>t</w:t>
      </w:r>
      <w:r w:rsidR="00292F18" w:rsidRPr="005F7A61">
        <w:rPr>
          <w:rFonts w:ascii="Times New Roman" w:hAnsi="Times New Roman" w:cs="Times New Roman"/>
          <w:sz w:val="24"/>
          <w:lang w:val="en-US"/>
        </w:rPr>
        <w:t>he expiry of deadlines related to any act of civil and criminal proceedings (sa</w:t>
      </w:r>
      <w:r w:rsidR="00DD1542" w:rsidRPr="005F7A61">
        <w:rPr>
          <w:rFonts w:ascii="Times New Roman" w:hAnsi="Times New Roman" w:cs="Times New Roman"/>
          <w:sz w:val="24"/>
          <w:lang w:val="en-US"/>
        </w:rPr>
        <w:t>ving</w:t>
      </w:r>
      <w:r w:rsidR="00292F18" w:rsidRPr="005F7A61">
        <w:rPr>
          <w:rFonts w:ascii="Times New Roman" w:hAnsi="Times New Roman" w:cs="Times New Roman"/>
          <w:sz w:val="24"/>
          <w:lang w:val="en-US"/>
        </w:rPr>
        <w:t xml:space="preserve"> the above exception) is likewise suspended.</w:t>
      </w:r>
    </w:p>
    <w:p w14:paraId="10C5C8DC" w14:textId="77777777" w:rsidR="00DD1542" w:rsidRPr="005F7A61" w:rsidRDefault="00DD1542" w:rsidP="00292F18">
      <w:pPr>
        <w:pStyle w:val="Testonewsletter"/>
        <w:spacing w:after="0"/>
        <w:ind w:right="193"/>
        <w:rPr>
          <w:rFonts w:ascii="Times New Roman" w:hAnsi="Times New Roman" w:cs="Times New Roman"/>
          <w:sz w:val="24"/>
          <w:lang w:val="en"/>
        </w:rPr>
      </w:pPr>
    </w:p>
    <w:p w14:paraId="74DF2018" w14:textId="1C720BC7" w:rsidR="00292F18" w:rsidRPr="00292F18" w:rsidRDefault="00292F18" w:rsidP="00292F18">
      <w:pPr>
        <w:pStyle w:val="Testonewsletter"/>
        <w:spacing w:after="0"/>
        <w:ind w:right="193"/>
        <w:rPr>
          <w:rFonts w:ascii="Times New Roman" w:hAnsi="Times New Roman" w:cs="Times New Roman"/>
          <w:sz w:val="24"/>
          <w:lang w:val="en-US"/>
        </w:rPr>
      </w:pPr>
      <w:r w:rsidRPr="00292F18">
        <w:rPr>
          <w:rFonts w:ascii="Times New Roman" w:hAnsi="Times New Roman" w:cs="Times New Roman"/>
          <w:sz w:val="24"/>
          <w:lang w:val="en-US"/>
        </w:rPr>
        <w:t xml:space="preserve">Moreover, the recent </w:t>
      </w:r>
      <w:r w:rsidRPr="00292F18">
        <w:rPr>
          <w:rFonts w:ascii="Times New Roman" w:hAnsi="Times New Roman" w:cs="Times New Roman"/>
          <w:b/>
          <w:bCs/>
          <w:sz w:val="24"/>
          <w:lang w:val="en-US"/>
        </w:rPr>
        <w:t>Law Decree</w:t>
      </w:r>
      <w:r w:rsidR="00DD1542">
        <w:rPr>
          <w:rFonts w:ascii="Times New Roman" w:hAnsi="Times New Roman" w:cs="Times New Roman"/>
          <w:b/>
          <w:bCs/>
          <w:sz w:val="24"/>
          <w:lang w:val="en-US"/>
        </w:rPr>
        <w:t xml:space="preserve"> of 8</w:t>
      </w:r>
      <w:r w:rsidRPr="00292F18">
        <w:rPr>
          <w:rFonts w:ascii="Times New Roman" w:hAnsi="Times New Roman" w:cs="Times New Roman"/>
          <w:b/>
          <w:bCs/>
          <w:sz w:val="24"/>
          <w:lang w:val="en-US"/>
        </w:rPr>
        <w:t xml:space="preserve"> April 2020, no. 23</w:t>
      </w:r>
      <w:r w:rsidRPr="00292F18">
        <w:rPr>
          <w:rFonts w:ascii="Times New Roman" w:hAnsi="Times New Roman" w:cs="Times New Roman"/>
          <w:sz w:val="24"/>
          <w:lang w:val="en-US"/>
        </w:rPr>
        <w:t xml:space="preserve">, </w:t>
      </w:r>
      <w:r w:rsidR="00DD1542">
        <w:rPr>
          <w:rFonts w:ascii="Times New Roman" w:hAnsi="Times New Roman" w:cs="Times New Roman"/>
          <w:sz w:val="24"/>
          <w:lang w:val="en-US"/>
        </w:rPr>
        <w:t xml:space="preserve">the </w:t>
      </w:r>
      <w:r w:rsidRPr="00292F18">
        <w:rPr>
          <w:rFonts w:ascii="Times New Roman" w:hAnsi="Times New Roman" w:cs="Times New Roman"/>
          <w:sz w:val="24"/>
          <w:lang w:val="en-US"/>
        </w:rPr>
        <w:t>so</w:t>
      </w:r>
      <w:r w:rsidR="00DD1542">
        <w:rPr>
          <w:rFonts w:ascii="Times New Roman" w:hAnsi="Times New Roman" w:cs="Times New Roman"/>
          <w:sz w:val="24"/>
          <w:lang w:val="en-US"/>
        </w:rPr>
        <w:t>-</w:t>
      </w:r>
      <w:r w:rsidRPr="00292F18">
        <w:rPr>
          <w:rFonts w:ascii="Times New Roman" w:hAnsi="Times New Roman" w:cs="Times New Roman"/>
          <w:sz w:val="24"/>
          <w:lang w:val="en-US"/>
        </w:rPr>
        <w:t xml:space="preserve">called </w:t>
      </w:r>
      <w:r w:rsidR="00DD1542">
        <w:rPr>
          <w:rFonts w:ascii="Times New Roman" w:hAnsi="Times New Roman" w:cs="Times New Roman"/>
          <w:sz w:val="24"/>
          <w:lang w:val="en-US"/>
        </w:rPr>
        <w:t>“</w:t>
      </w:r>
      <w:r w:rsidRPr="00292F18">
        <w:rPr>
          <w:rFonts w:ascii="Times New Roman" w:hAnsi="Times New Roman" w:cs="Times New Roman"/>
          <w:b/>
          <w:bCs/>
          <w:sz w:val="24"/>
          <w:lang w:val="en-US"/>
        </w:rPr>
        <w:t>Decreto liquidità</w:t>
      </w:r>
      <w:r w:rsidR="00DD1542">
        <w:rPr>
          <w:rFonts w:ascii="Times New Roman" w:hAnsi="Times New Roman" w:cs="Times New Roman"/>
          <w:sz w:val="24"/>
          <w:lang w:val="en-US"/>
        </w:rPr>
        <w:t>”</w:t>
      </w:r>
      <w:r w:rsidRPr="00292F18">
        <w:rPr>
          <w:rFonts w:ascii="Times New Roman" w:hAnsi="Times New Roman" w:cs="Times New Roman"/>
          <w:sz w:val="24"/>
          <w:lang w:val="en-US"/>
        </w:rPr>
        <w:t xml:space="preserve">, stated that the final deadline of the aforesaid suspension is extended to </w:t>
      </w:r>
      <w:r w:rsidR="00DD1542">
        <w:rPr>
          <w:rFonts w:ascii="Times New Roman" w:hAnsi="Times New Roman" w:cs="Times New Roman"/>
          <w:sz w:val="24"/>
          <w:lang w:val="en-US"/>
        </w:rPr>
        <w:t xml:space="preserve">11 </w:t>
      </w:r>
      <w:r w:rsidRPr="00292F18">
        <w:rPr>
          <w:rFonts w:ascii="Times New Roman" w:hAnsi="Times New Roman" w:cs="Times New Roman"/>
          <w:sz w:val="24"/>
          <w:lang w:val="en-US"/>
        </w:rPr>
        <w:t>May.</w:t>
      </w:r>
      <w:r w:rsidR="00DD1542">
        <w:rPr>
          <w:rFonts w:ascii="Times New Roman" w:hAnsi="Times New Roman" w:cs="Times New Roman"/>
          <w:sz w:val="24"/>
          <w:lang w:val="en-US"/>
        </w:rPr>
        <w:t xml:space="preserve"> </w:t>
      </w:r>
      <w:r w:rsidRPr="00292F18">
        <w:rPr>
          <w:rFonts w:ascii="Times New Roman" w:hAnsi="Times New Roman" w:cs="Times New Roman"/>
          <w:sz w:val="24"/>
          <w:lang w:val="en-US"/>
        </w:rPr>
        <w:t>Although the previous Decree was already able to generally affect some aspects of insolvency proceedings</w:t>
      </w:r>
      <w:r w:rsidR="00DD1542">
        <w:rPr>
          <w:rFonts w:ascii="Times New Roman" w:hAnsi="Times New Roman" w:cs="Times New Roman"/>
          <w:sz w:val="24"/>
          <w:lang w:val="en-US"/>
        </w:rPr>
        <w:t>,</w:t>
      </w:r>
      <w:r w:rsidRPr="00292F18">
        <w:rPr>
          <w:rFonts w:ascii="Times New Roman" w:hAnsi="Times New Roman" w:cs="Times New Roman"/>
          <w:sz w:val="24"/>
          <w:lang w:val="en-US"/>
        </w:rPr>
        <w:t xml:space="preserve"> </w:t>
      </w:r>
      <w:r w:rsidR="00DD1542">
        <w:rPr>
          <w:rFonts w:ascii="Times New Roman" w:hAnsi="Times New Roman" w:cs="Times New Roman"/>
          <w:sz w:val="24"/>
          <w:lang w:val="en-US"/>
        </w:rPr>
        <w:t xml:space="preserve">such </w:t>
      </w:r>
      <w:r w:rsidRPr="00292F18">
        <w:rPr>
          <w:rFonts w:ascii="Times New Roman" w:hAnsi="Times New Roman" w:cs="Times New Roman"/>
          <w:sz w:val="24"/>
          <w:lang w:val="en-US"/>
        </w:rPr>
        <w:t>as the suspension of the 60/120 day-term for filing the restructuring proceedings (</w:t>
      </w:r>
      <w:r w:rsidR="00DD1542">
        <w:rPr>
          <w:rFonts w:ascii="Times New Roman" w:hAnsi="Times New Roman" w:cs="Times New Roman"/>
          <w:sz w:val="24"/>
          <w:lang w:val="en-US"/>
        </w:rPr>
        <w:t>“</w:t>
      </w:r>
      <w:r w:rsidRPr="00292F18">
        <w:rPr>
          <w:rFonts w:ascii="Times New Roman" w:hAnsi="Times New Roman" w:cs="Times New Roman"/>
          <w:sz w:val="24"/>
          <w:lang w:val="en-US"/>
        </w:rPr>
        <w:t>concordato preventivo</w:t>
      </w:r>
      <w:r w:rsidR="00DD1542">
        <w:rPr>
          <w:rFonts w:ascii="Times New Roman" w:hAnsi="Times New Roman" w:cs="Times New Roman"/>
          <w:sz w:val="24"/>
          <w:lang w:val="en-US"/>
        </w:rPr>
        <w:t>”</w:t>
      </w:r>
      <w:r w:rsidRPr="00292F18">
        <w:rPr>
          <w:rFonts w:ascii="Times New Roman" w:hAnsi="Times New Roman" w:cs="Times New Roman"/>
          <w:sz w:val="24"/>
          <w:lang w:val="en-US"/>
        </w:rPr>
        <w:t>) or agreements with creditors (</w:t>
      </w:r>
      <w:r w:rsidR="00DD1542">
        <w:rPr>
          <w:rFonts w:ascii="Times New Roman" w:hAnsi="Times New Roman" w:cs="Times New Roman"/>
          <w:sz w:val="24"/>
          <w:lang w:val="en-US"/>
        </w:rPr>
        <w:t>“</w:t>
      </w:r>
      <w:r w:rsidRPr="00292F18">
        <w:rPr>
          <w:rFonts w:ascii="Times New Roman" w:hAnsi="Times New Roman" w:cs="Times New Roman"/>
          <w:sz w:val="24"/>
          <w:lang w:val="en-US"/>
        </w:rPr>
        <w:t>accordi di ristrutturazione</w:t>
      </w:r>
      <w:r w:rsidR="00DD1542">
        <w:rPr>
          <w:rFonts w:ascii="Times New Roman" w:hAnsi="Times New Roman" w:cs="Times New Roman"/>
          <w:sz w:val="24"/>
          <w:lang w:val="en-US"/>
        </w:rPr>
        <w:t>”</w:t>
      </w:r>
      <w:r w:rsidRPr="00292F18">
        <w:rPr>
          <w:rFonts w:ascii="Times New Roman" w:hAnsi="Times New Roman" w:cs="Times New Roman"/>
          <w:sz w:val="24"/>
          <w:lang w:val="en-US"/>
        </w:rPr>
        <w:t xml:space="preserve"> after pre-petition fil</w:t>
      </w:r>
      <w:r w:rsidR="00DD1542">
        <w:rPr>
          <w:rFonts w:ascii="Times New Roman" w:hAnsi="Times New Roman" w:cs="Times New Roman"/>
          <w:sz w:val="24"/>
          <w:lang w:val="en-US"/>
        </w:rPr>
        <w:t>ings</w:t>
      </w:r>
      <w:r w:rsidRPr="00292F18">
        <w:rPr>
          <w:rFonts w:ascii="Times New Roman" w:hAnsi="Times New Roman" w:cs="Times New Roman"/>
          <w:sz w:val="24"/>
          <w:lang w:val="en-US"/>
        </w:rPr>
        <w:t xml:space="preserve">), more specific measures have been adopted by </w:t>
      </w:r>
      <w:r w:rsidRPr="00292F18">
        <w:rPr>
          <w:rFonts w:ascii="Times New Roman" w:hAnsi="Times New Roman" w:cs="Times New Roman"/>
          <w:sz w:val="24"/>
          <w:lang w:val="en-US"/>
        </w:rPr>
        <w:lastRenderedPageBreak/>
        <w:t xml:space="preserve">the latter decree (no. 23/2020), laying down a set of temporary (and contingent) measures for businesses affecting pivotal aspects of </w:t>
      </w:r>
      <w:r w:rsidR="00DD1542">
        <w:rPr>
          <w:rFonts w:ascii="Times New Roman" w:hAnsi="Times New Roman" w:cs="Times New Roman"/>
          <w:sz w:val="24"/>
          <w:lang w:val="en-US"/>
        </w:rPr>
        <w:t xml:space="preserve">the </w:t>
      </w:r>
      <w:r w:rsidRPr="00292F18">
        <w:rPr>
          <w:rFonts w:ascii="Times New Roman" w:hAnsi="Times New Roman" w:cs="Times New Roman"/>
          <w:sz w:val="24"/>
          <w:lang w:val="en-US"/>
        </w:rPr>
        <w:t>insolvency regime.</w:t>
      </w:r>
    </w:p>
    <w:p w14:paraId="551C2C01" w14:textId="77777777" w:rsidR="00DD1542" w:rsidRDefault="00DD1542" w:rsidP="00292F18">
      <w:pPr>
        <w:pStyle w:val="Testonewsletter"/>
        <w:spacing w:after="0"/>
        <w:ind w:right="193"/>
        <w:rPr>
          <w:rFonts w:ascii="Times New Roman" w:hAnsi="Times New Roman" w:cs="Times New Roman"/>
          <w:sz w:val="24"/>
          <w:lang w:val="en-US"/>
        </w:rPr>
      </w:pPr>
    </w:p>
    <w:p w14:paraId="2EDF2EA8" w14:textId="506A5645" w:rsidR="00292F18" w:rsidRPr="00292F18" w:rsidRDefault="00292F18" w:rsidP="00292F18">
      <w:pPr>
        <w:pStyle w:val="Testonewsletter"/>
        <w:spacing w:after="0"/>
        <w:ind w:right="193"/>
        <w:rPr>
          <w:rFonts w:ascii="Times New Roman" w:hAnsi="Times New Roman" w:cs="Times New Roman"/>
          <w:sz w:val="24"/>
          <w:lang w:val="en-US"/>
        </w:rPr>
      </w:pPr>
      <w:r w:rsidRPr="00292F18">
        <w:rPr>
          <w:rFonts w:ascii="Times New Roman" w:hAnsi="Times New Roman" w:cs="Times New Roman"/>
          <w:sz w:val="24"/>
          <w:lang w:val="en-US"/>
        </w:rPr>
        <w:t xml:space="preserve">The intervention aims to safeguard and preserve the continuity and going concern of businesses by several </w:t>
      </w:r>
      <w:r w:rsidR="00DD1542">
        <w:rPr>
          <w:rFonts w:ascii="Times New Roman" w:hAnsi="Times New Roman" w:cs="Times New Roman"/>
          <w:sz w:val="24"/>
          <w:lang w:val="en-US"/>
        </w:rPr>
        <w:t>“</w:t>
      </w:r>
      <w:r w:rsidRPr="00292F18">
        <w:rPr>
          <w:rFonts w:ascii="Times New Roman" w:hAnsi="Times New Roman" w:cs="Times New Roman"/>
          <w:sz w:val="24"/>
          <w:lang w:val="en-US"/>
        </w:rPr>
        <w:t>suspension mechanisms</w:t>
      </w:r>
      <w:r w:rsidR="00DD1542">
        <w:rPr>
          <w:rFonts w:ascii="Times New Roman" w:hAnsi="Times New Roman" w:cs="Times New Roman"/>
          <w:sz w:val="24"/>
          <w:lang w:val="en-US"/>
        </w:rPr>
        <w:t>”, as</w:t>
      </w:r>
      <w:r w:rsidRPr="00292F18">
        <w:rPr>
          <w:rFonts w:ascii="Times New Roman" w:hAnsi="Times New Roman" w:cs="Times New Roman"/>
          <w:sz w:val="24"/>
          <w:lang w:val="en-US"/>
        </w:rPr>
        <w:t xml:space="preserve"> described below.</w:t>
      </w:r>
    </w:p>
    <w:p w14:paraId="2B65F1F3" w14:textId="77777777" w:rsidR="00DD1542" w:rsidRDefault="00DD1542" w:rsidP="00292F18">
      <w:pPr>
        <w:pStyle w:val="Testonewsletter"/>
        <w:tabs>
          <w:tab w:val="left" w:pos="284"/>
        </w:tabs>
        <w:spacing w:after="0"/>
        <w:ind w:right="193"/>
        <w:rPr>
          <w:rFonts w:ascii="Times New Roman" w:hAnsi="Times New Roman" w:cs="Times New Roman"/>
          <w:b/>
          <w:bCs/>
          <w:color w:val="auto"/>
          <w:sz w:val="24"/>
          <w:lang w:val="en-US"/>
        </w:rPr>
      </w:pPr>
    </w:p>
    <w:p w14:paraId="430DB946" w14:textId="7E966BA4" w:rsidR="00292F18" w:rsidRPr="00DD1542" w:rsidRDefault="00292F18" w:rsidP="00292F18">
      <w:pPr>
        <w:pStyle w:val="Testonewsletter"/>
        <w:tabs>
          <w:tab w:val="left" w:pos="284"/>
        </w:tabs>
        <w:spacing w:after="0"/>
        <w:ind w:right="193"/>
        <w:rPr>
          <w:rFonts w:ascii="Times New Roman" w:hAnsi="Times New Roman" w:cs="Times New Roman"/>
          <w:i/>
          <w:iCs/>
          <w:color w:val="auto"/>
          <w:sz w:val="24"/>
          <w:lang w:val="en-US"/>
        </w:rPr>
      </w:pPr>
      <w:r w:rsidRPr="00DD1542">
        <w:rPr>
          <w:rFonts w:ascii="Times New Roman" w:hAnsi="Times New Roman" w:cs="Times New Roman"/>
          <w:i/>
          <w:iCs/>
          <w:color w:val="auto"/>
          <w:sz w:val="24"/>
          <w:lang w:val="en-US"/>
        </w:rPr>
        <w:t xml:space="preserve">Postponement of </w:t>
      </w:r>
      <w:r w:rsidR="00DD1542">
        <w:rPr>
          <w:rFonts w:ascii="Times New Roman" w:hAnsi="Times New Roman" w:cs="Times New Roman"/>
          <w:i/>
          <w:iCs/>
          <w:color w:val="auto"/>
          <w:sz w:val="24"/>
          <w:lang w:val="en-US"/>
        </w:rPr>
        <w:t>E</w:t>
      </w:r>
      <w:r w:rsidRPr="00DD1542">
        <w:rPr>
          <w:rFonts w:ascii="Times New Roman" w:hAnsi="Times New Roman" w:cs="Times New Roman"/>
          <w:i/>
          <w:iCs/>
          <w:color w:val="auto"/>
          <w:sz w:val="24"/>
          <w:lang w:val="en-US"/>
        </w:rPr>
        <w:t xml:space="preserve">ntry into </w:t>
      </w:r>
      <w:r w:rsidR="00DD1542">
        <w:rPr>
          <w:rFonts w:ascii="Times New Roman" w:hAnsi="Times New Roman" w:cs="Times New Roman"/>
          <w:i/>
          <w:iCs/>
          <w:color w:val="auto"/>
          <w:sz w:val="24"/>
          <w:lang w:val="en-US"/>
        </w:rPr>
        <w:t>F</w:t>
      </w:r>
      <w:r w:rsidRPr="00DD1542">
        <w:rPr>
          <w:rFonts w:ascii="Times New Roman" w:hAnsi="Times New Roman" w:cs="Times New Roman"/>
          <w:i/>
          <w:iCs/>
          <w:color w:val="auto"/>
          <w:sz w:val="24"/>
          <w:lang w:val="en-US"/>
        </w:rPr>
        <w:t xml:space="preserve">orce of the </w:t>
      </w:r>
      <w:r w:rsidR="00DD1542">
        <w:rPr>
          <w:rFonts w:ascii="Times New Roman" w:hAnsi="Times New Roman" w:cs="Times New Roman"/>
          <w:i/>
          <w:iCs/>
          <w:color w:val="auto"/>
          <w:sz w:val="24"/>
          <w:lang w:val="en-US"/>
        </w:rPr>
        <w:t>Upcoming I</w:t>
      </w:r>
      <w:r w:rsidRPr="00DD1542">
        <w:rPr>
          <w:rFonts w:ascii="Times New Roman" w:hAnsi="Times New Roman" w:cs="Times New Roman"/>
          <w:i/>
          <w:iCs/>
          <w:color w:val="auto"/>
          <w:sz w:val="24"/>
          <w:lang w:val="en-US"/>
        </w:rPr>
        <w:t>nsolvency Law Reform</w:t>
      </w:r>
    </w:p>
    <w:p w14:paraId="7059C554" w14:textId="77777777" w:rsidR="00DD1542" w:rsidRDefault="00DD1542" w:rsidP="00292F18">
      <w:pPr>
        <w:pStyle w:val="Testonewsletter"/>
        <w:tabs>
          <w:tab w:val="left" w:pos="284"/>
        </w:tabs>
        <w:spacing w:after="0"/>
        <w:ind w:right="193"/>
        <w:rPr>
          <w:rFonts w:ascii="Times New Roman" w:hAnsi="Times New Roman" w:cs="Times New Roman"/>
          <w:sz w:val="24"/>
          <w:lang w:val="en-US"/>
        </w:rPr>
      </w:pPr>
    </w:p>
    <w:p w14:paraId="367FAD1B" w14:textId="77777777" w:rsidR="00175B35" w:rsidRPr="00916F4F" w:rsidRDefault="00292F18" w:rsidP="00292F18">
      <w:pPr>
        <w:pStyle w:val="Testonewsletter"/>
        <w:tabs>
          <w:tab w:val="left" w:pos="284"/>
        </w:tabs>
        <w:spacing w:after="0"/>
        <w:ind w:right="193"/>
        <w:rPr>
          <w:rFonts w:ascii="Times New Roman" w:hAnsi="Times New Roman" w:cs="Times New Roman"/>
          <w:sz w:val="24"/>
          <w:lang w:val="en-US"/>
        </w:rPr>
      </w:pPr>
      <w:r w:rsidRPr="00916F4F">
        <w:rPr>
          <w:rFonts w:ascii="Times New Roman" w:hAnsi="Times New Roman" w:cs="Times New Roman"/>
          <w:sz w:val="24"/>
          <w:lang w:val="en-US"/>
        </w:rPr>
        <w:t>Art</w:t>
      </w:r>
      <w:r w:rsidR="00DD1542" w:rsidRPr="00916F4F">
        <w:rPr>
          <w:rFonts w:ascii="Times New Roman" w:hAnsi="Times New Roman" w:cs="Times New Roman"/>
          <w:sz w:val="24"/>
          <w:lang w:val="en-US"/>
        </w:rPr>
        <w:t>icle</w:t>
      </w:r>
      <w:r w:rsidRPr="00916F4F">
        <w:rPr>
          <w:rFonts w:ascii="Times New Roman" w:hAnsi="Times New Roman" w:cs="Times New Roman"/>
          <w:sz w:val="24"/>
          <w:lang w:val="en-US"/>
        </w:rPr>
        <w:t xml:space="preserve"> 5 of </w:t>
      </w:r>
      <w:r w:rsidR="00DD1542" w:rsidRPr="00916F4F">
        <w:rPr>
          <w:rFonts w:ascii="Times New Roman" w:hAnsi="Times New Roman" w:cs="Times New Roman"/>
          <w:sz w:val="24"/>
          <w:lang w:val="en-US"/>
        </w:rPr>
        <w:t>the “</w:t>
      </w:r>
      <w:r w:rsidRPr="00916F4F">
        <w:rPr>
          <w:rFonts w:ascii="Times New Roman" w:hAnsi="Times New Roman" w:cs="Times New Roman"/>
          <w:sz w:val="24"/>
          <w:lang w:val="en-US"/>
        </w:rPr>
        <w:t>Decreto liquidità</w:t>
      </w:r>
      <w:r w:rsidR="00DD1542" w:rsidRPr="00916F4F">
        <w:rPr>
          <w:rFonts w:ascii="Times New Roman" w:hAnsi="Times New Roman" w:cs="Times New Roman"/>
          <w:sz w:val="24"/>
          <w:lang w:val="en-US"/>
        </w:rPr>
        <w:t>”</w:t>
      </w:r>
      <w:r w:rsidRPr="00916F4F">
        <w:rPr>
          <w:rFonts w:ascii="Times New Roman" w:hAnsi="Times New Roman" w:cs="Times New Roman"/>
          <w:sz w:val="24"/>
          <w:lang w:val="en-US"/>
        </w:rPr>
        <w:t xml:space="preserve"> postpones until </w:t>
      </w:r>
      <w:r w:rsidR="00DD1542" w:rsidRPr="00916F4F">
        <w:rPr>
          <w:rFonts w:ascii="Times New Roman" w:hAnsi="Times New Roman" w:cs="Times New Roman"/>
          <w:sz w:val="24"/>
          <w:lang w:val="en-US"/>
        </w:rPr>
        <w:t>1</w:t>
      </w:r>
      <w:r w:rsidRPr="00916F4F">
        <w:rPr>
          <w:rFonts w:ascii="Times New Roman" w:hAnsi="Times New Roman" w:cs="Times New Roman"/>
          <w:sz w:val="24"/>
          <w:lang w:val="en-US"/>
        </w:rPr>
        <w:t xml:space="preserve"> September 2021 the enforcement of the new bankruptcy regime</w:t>
      </w:r>
      <w:r w:rsidR="00DD1542" w:rsidRPr="00916F4F">
        <w:rPr>
          <w:rFonts w:ascii="Times New Roman" w:hAnsi="Times New Roman" w:cs="Times New Roman"/>
          <w:sz w:val="24"/>
          <w:lang w:val="en-US"/>
        </w:rPr>
        <w:t xml:space="preserve"> </w:t>
      </w:r>
      <w:r w:rsidR="00DD1542" w:rsidRPr="00916F4F">
        <w:rPr>
          <w:rFonts w:ascii="Times New Roman" w:hAnsi="Times New Roman" w:cs="Times New Roman"/>
          <w:color w:val="auto"/>
          <w:sz w:val="24"/>
          <w:lang w:val="en-US"/>
        </w:rPr>
        <w:t>(the so-called Codice della crisi e dell’insolvenza d’impresa)</w:t>
      </w:r>
      <w:r w:rsidRPr="00916F4F">
        <w:rPr>
          <w:rFonts w:ascii="Times New Roman" w:hAnsi="Times New Roman" w:cs="Times New Roman"/>
          <w:sz w:val="24"/>
          <w:lang w:val="en-US"/>
        </w:rPr>
        <w:t xml:space="preserve"> (originally scheduled for </w:t>
      </w:r>
      <w:r w:rsidR="00175B35" w:rsidRPr="00916F4F">
        <w:rPr>
          <w:rFonts w:ascii="Times New Roman" w:hAnsi="Times New Roman" w:cs="Times New Roman"/>
          <w:sz w:val="24"/>
          <w:lang w:val="en-US"/>
        </w:rPr>
        <w:t xml:space="preserve">20 </w:t>
      </w:r>
      <w:r w:rsidRPr="00916F4F">
        <w:rPr>
          <w:rFonts w:ascii="Times New Roman" w:hAnsi="Times New Roman" w:cs="Times New Roman"/>
          <w:sz w:val="24"/>
          <w:lang w:val="en-US"/>
        </w:rPr>
        <w:t xml:space="preserve">August 2020 and already deferred, for certain aspects, to </w:t>
      </w:r>
      <w:r w:rsidR="00175B35" w:rsidRPr="00916F4F">
        <w:rPr>
          <w:rFonts w:ascii="Times New Roman" w:hAnsi="Times New Roman" w:cs="Times New Roman"/>
          <w:sz w:val="24"/>
          <w:lang w:val="en-US"/>
        </w:rPr>
        <w:t xml:space="preserve">15 </w:t>
      </w:r>
      <w:r w:rsidRPr="00916F4F">
        <w:rPr>
          <w:rFonts w:ascii="Times New Roman" w:hAnsi="Times New Roman" w:cs="Times New Roman"/>
          <w:sz w:val="24"/>
          <w:lang w:val="en-US"/>
        </w:rPr>
        <w:t xml:space="preserve">February 2021) in its entirety, with the exception of several provisions mainly related to corporate governance and adequate organizational structures to be adopted by the firms, </w:t>
      </w:r>
      <w:r w:rsidR="00175B35" w:rsidRPr="00916F4F">
        <w:rPr>
          <w:rFonts w:ascii="Times New Roman" w:hAnsi="Times New Roman" w:cs="Times New Roman"/>
          <w:sz w:val="24"/>
          <w:lang w:val="en-US"/>
        </w:rPr>
        <w:t xml:space="preserve">which have </w:t>
      </w:r>
      <w:r w:rsidRPr="00916F4F">
        <w:rPr>
          <w:rFonts w:ascii="Times New Roman" w:hAnsi="Times New Roman" w:cs="Times New Roman"/>
          <w:sz w:val="24"/>
          <w:lang w:val="en-US"/>
        </w:rPr>
        <w:t xml:space="preserve">already entered into force in 2019. </w:t>
      </w:r>
    </w:p>
    <w:p w14:paraId="113C039E" w14:textId="77777777" w:rsidR="00175B35" w:rsidRPr="00916F4F" w:rsidRDefault="00175B35" w:rsidP="00292F18">
      <w:pPr>
        <w:pStyle w:val="Testonewsletter"/>
        <w:tabs>
          <w:tab w:val="left" w:pos="284"/>
        </w:tabs>
        <w:spacing w:after="0"/>
        <w:ind w:right="193"/>
        <w:rPr>
          <w:rFonts w:ascii="Times New Roman" w:hAnsi="Times New Roman" w:cs="Times New Roman"/>
          <w:sz w:val="24"/>
          <w:lang w:val="en-US"/>
        </w:rPr>
      </w:pPr>
    </w:p>
    <w:p w14:paraId="00898EE5" w14:textId="40119281" w:rsidR="00292F18" w:rsidRPr="00916F4F" w:rsidRDefault="00292F18" w:rsidP="00292F18">
      <w:pPr>
        <w:pStyle w:val="Testonewsletter"/>
        <w:tabs>
          <w:tab w:val="left" w:pos="284"/>
        </w:tabs>
        <w:spacing w:after="0"/>
        <w:ind w:right="193"/>
        <w:rPr>
          <w:rFonts w:ascii="Times New Roman" w:hAnsi="Times New Roman" w:cs="Times New Roman"/>
          <w:sz w:val="24"/>
          <w:lang w:val="en-US"/>
        </w:rPr>
      </w:pPr>
      <w:r w:rsidRPr="00916F4F">
        <w:rPr>
          <w:rFonts w:ascii="Times New Roman" w:hAnsi="Times New Roman" w:cs="Times New Roman"/>
          <w:sz w:val="24"/>
          <w:lang w:val="en-US"/>
        </w:rPr>
        <w:t>This delay</w:t>
      </w:r>
      <w:r w:rsidR="00175B35" w:rsidRPr="00916F4F">
        <w:rPr>
          <w:rFonts w:ascii="Times New Roman" w:hAnsi="Times New Roman" w:cs="Times New Roman"/>
          <w:sz w:val="24"/>
          <w:lang w:val="en-US"/>
        </w:rPr>
        <w:t>,</w:t>
      </w:r>
      <w:r w:rsidRPr="00916F4F">
        <w:rPr>
          <w:rFonts w:ascii="Times New Roman" w:hAnsi="Times New Roman" w:cs="Times New Roman"/>
          <w:sz w:val="24"/>
          <w:lang w:val="en-US"/>
        </w:rPr>
        <w:t xml:space="preserve"> as specified in the accompanying Report</w:t>
      </w:r>
      <w:r w:rsidR="00175B35" w:rsidRPr="00916F4F">
        <w:rPr>
          <w:rFonts w:ascii="Times New Roman" w:hAnsi="Times New Roman" w:cs="Times New Roman"/>
          <w:sz w:val="24"/>
          <w:lang w:val="en-US"/>
        </w:rPr>
        <w:t>,</w:t>
      </w:r>
      <w:r w:rsidRPr="00916F4F">
        <w:rPr>
          <w:rFonts w:ascii="Times New Roman" w:hAnsi="Times New Roman" w:cs="Times New Roman"/>
          <w:sz w:val="24"/>
          <w:lang w:val="en-US"/>
        </w:rPr>
        <w:t xml:space="preserve"> is due to several related reasons. An early enforcement (i.e., by August 2020) of such a massive reform would have led to operational concerns and uncertainty, causing further damages in a period of symmetric crisis. Moreover, the same purposes of the new Code consist in the duty of early warnings and diagnosis of imminent crisis (with the introduction of procédure d</w:t>
      </w:r>
      <w:r w:rsidR="00DD1542" w:rsidRPr="00916F4F">
        <w:rPr>
          <w:rFonts w:ascii="Times New Roman" w:hAnsi="Times New Roman" w:cs="Times New Roman"/>
          <w:sz w:val="24"/>
          <w:lang w:val="en-US"/>
        </w:rPr>
        <w:t>’</w:t>
      </w:r>
      <w:r w:rsidRPr="00916F4F">
        <w:rPr>
          <w:rFonts w:ascii="Times New Roman" w:hAnsi="Times New Roman" w:cs="Times New Roman"/>
          <w:sz w:val="24"/>
          <w:lang w:val="en-US"/>
        </w:rPr>
        <w:t xml:space="preserve">alerte), assigning duties of reporting and intervention to internal and external supervisory bodies (as the Italian Revenue Agency or the Italian social security Institution). The introduction of such measures, conceived in a regular economic framework, would now be ineffective in selecting companies required to open </w:t>
      </w:r>
      <w:r w:rsidR="00175B35" w:rsidRPr="00916F4F">
        <w:rPr>
          <w:rFonts w:ascii="Times New Roman" w:hAnsi="Times New Roman" w:cs="Times New Roman"/>
          <w:sz w:val="24"/>
          <w:lang w:val="en-US"/>
        </w:rPr>
        <w:t>(</w:t>
      </w:r>
      <w:r w:rsidRPr="00916F4F">
        <w:rPr>
          <w:rFonts w:ascii="Times New Roman" w:hAnsi="Times New Roman" w:cs="Times New Roman"/>
          <w:sz w:val="24"/>
          <w:lang w:val="en-US"/>
        </w:rPr>
        <w:t>virtuous</w:t>
      </w:r>
      <w:r w:rsidR="00175B35" w:rsidRPr="00916F4F">
        <w:rPr>
          <w:rFonts w:ascii="Times New Roman" w:hAnsi="Times New Roman" w:cs="Times New Roman"/>
          <w:sz w:val="24"/>
          <w:lang w:val="en-US"/>
        </w:rPr>
        <w:t>)</w:t>
      </w:r>
      <w:r w:rsidRPr="00916F4F">
        <w:rPr>
          <w:rFonts w:ascii="Times New Roman" w:hAnsi="Times New Roman" w:cs="Times New Roman"/>
          <w:sz w:val="24"/>
          <w:lang w:val="en-US"/>
        </w:rPr>
        <w:t xml:space="preserve"> recovery </w:t>
      </w:r>
      <w:r w:rsidR="00175B35" w:rsidRPr="00916F4F">
        <w:rPr>
          <w:rFonts w:ascii="Times New Roman" w:hAnsi="Times New Roman" w:cs="Times New Roman"/>
          <w:sz w:val="24"/>
          <w:lang w:val="en-US"/>
        </w:rPr>
        <w:t xml:space="preserve">through </w:t>
      </w:r>
      <w:r w:rsidRPr="00916F4F">
        <w:rPr>
          <w:rFonts w:ascii="Times New Roman" w:hAnsi="Times New Roman" w:cs="Times New Roman"/>
          <w:sz w:val="24"/>
          <w:lang w:val="en-US"/>
        </w:rPr>
        <w:t>out-of-Court proceedings</w:t>
      </w:r>
      <w:r w:rsidR="00175B35" w:rsidRPr="00916F4F">
        <w:rPr>
          <w:rFonts w:ascii="Times New Roman" w:hAnsi="Times New Roman" w:cs="Times New Roman"/>
          <w:sz w:val="24"/>
          <w:lang w:val="en-US"/>
        </w:rPr>
        <w:t>. It could also be</w:t>
      </w:r>
      <w:r w:rsidRPr="00916F4F">
        <w:rPr>
          <w:rFonts w:ascii="Times New Roman" w:hAnsi="Times New Roman" w:cs="Times New Roman"/>
          <w:sz w:val="24"/>
          <w:lang w:val="en-US"/>
        </w:rPr>
        <w:t xml:space="preserve"> counterproductive since it </w:t>
      </w:r>
      <w:r w:rsidR="00175B35" w:rsidRPr="00916F4F">
        <w:rPr>
          <w:rFonts w:ascii="Times New Roman" w:hAnsi="Times New Roman" w:cs="Times New Roman"/>
          <w:sz w:val="24"/>
          <w:lang w:val="en-US"/>
        </w:rPr>
        <w:t xml:space="preserve">might </w:t>
      </w:r>
      <w:r w:rsidRPr="00916F4F">
        <w:rPr>
          <w:rFonts w:ascii="Times New Roman" w:hAnsi="Times New Roman" w:cs="Times New Roman"/>
          <w:sz w:val="24"/>
          <w:lang w:val="en-US"/>
        </w:rPr>
        <w:t xml:space="preserve">adversely </w:t>
      </w:r>
      <w:r w:rsidR="00175B35" w:rsidRPr="00916F4F">
        <w:rPr>
          <w:rFonts w:ascii="Times New Roman" w:hAnsi="Times New Roman" w:cs="Times New Roman"/>
          <w:sz w:val="24"/>
          <w:lang w:val="en-US"/>
        </w:rPr>
        <w:t xml:space="preserve">affect </w:t>
      </w:r>
      <w:r w:rsidRPr="00916F4F">
        <w:rPr>
          <w:rFonts w:ascii="Times New Roman" w:hAnsi="Times New Roman" w:cs="Times New Roman"/>
          <w:sz w:val="24"/>
          <w:lang w:val="en-US"/>
        </w:rPr>
        <w:t>the prospect of business continuity in many firms.</w:t>
      </w:r>
    </w:p>
    <w:p w14:paraId="7D2E22F8" w14:textId="77777777" w:rsidR="00175B35" w:rsidRPr="00916F4F" w:rsidRDefault="00175B35" w:rsidP="00292F18">
      <w:pPr>
        <w:pStyle w:val="Testonewsletter"/>
        <w:tabs>
          <w:tab w:val="left" w:pos="284"/>
        </w:tabs>
        <w:spacing w:after="0"/>
        <w:ind w:right="193"/>
        <w:rPr>
          <w:rFonts w:ascii="Times New Roman" w:hAnsi="Times New Roman" w:cs="Times New Roman"/>
          <w:sz w:val="24"/>
          <w:lang w:val="en-US"/>
        </w:rPr>
      </w:pPr>
    </w:p>
    <w:p w14:paraId="383BA036" w14:textId="0D98D657" w:rsidR="00292F18" w:rsidRPr="00916F4F" w:rsidRDefault="00175B35" w:rsidP="00292F18">
      <w:pPr>
        <w:pStyle w:val="Testonewsletter"/>
        <w:spacing w:after="0"/>
        <w:ind w:right="193"/>
        <w:rPr>
          <w:rFonts w:ascii="Times New Roman" w:hAnsi="Times New Roman" w:cs="Times New Roman"/>
          <w:sz w:val="24"/>
          <w:lang w:val="en-US"/>
        </w:rPr>
      </w:pPr>
      <w:r w:rsidRPr="00916F4F">
        <w:rPr>
          <w:rFonts w:ascii="Times New Roman" w:hAnsi="Times New Roman" w:cs="Times New Roman"/>
          <w:sz w:val="24"/>
          <w:lang w:val="en-US"/>
        </w:rPr>
        <w:t>As a result</w:t>
      </w:r>
      <w:r w:rsidR="00292F18" w:rsidRPr="00916F4F">
        <w:rPr>
          <w:rFonts w:ascii="Times New Roman" w:hAnsi="Times New Roman" w:cs="Times New Roman"/>
          <w:sz w:val="24"/>
          <w:lang w:val="en-US"/>
        </w:rPr>
        <w:t xml:space="preserve">, a deferral of the </w:t>
      </w:r>
      <w:r w:rsidRPr="00916F4F">
        <w:rPr>
          <w:rFonts w:ascii="Times New Roman" w:hAnsi="Times New Roman" w:cs="Times New Roman"/>
          <w:sz w:val="24"/>
          <w:lang w:val="en-US"/>
        </w:rPr>
        <w:t>i</w:t>
      </w:r>
      <w:r w:rsidR="00292F18" w:rsidRPr="00916F4F">
        <w:rPr>
          <w:rFonts w:ascii="Times New Roman" w:hAnsi="Times New Roman" w:cs="Times New Roman"/>
          <w:sz w:val="24"/>
          <w:lang w:val="en-US"/>
        </w:rPr>
        <w:t xml:space="preserve">nsolvency reform </w:t>
      </w:r>
      <w:r w:rsidRPr="00916F4F">
        <w:rPr>
          <w:rFonts w:ascii="Times New Roman" w:hAnsi="Times New Roman" w:cs="Times New Roman"/>
          <w:sz w:val="24"/>
          <w:lang w:val="en-US"/>
        </w:rPr>
        <w:t xml:space="preserve">could </w:t>
      </w:r>
      <w:r w:rsidR="00292F18" w:rsidRPr="00916F4F">
        <w:rPr>
          <w:rFonts w:ascii="Times New Roman" w:hAnsi="Times New Roman" w:cs="Times New Roman"/>
          <w:sz w:val="24"/>
          <w:lang w:val="en-US"/>
        </w:rPr>
        <w:t xml:space="preserve">also lead </w:t>
      </w:r>
      <w:r w:rsidRPr="00916F4F">
        <w:rPr>
          <w:rFonts w:ascii="Times New Roman" w:hAnsi="Times New Roman" w:cs="Times New Roman"/>
          <w:sz w:val="24"/>
          <w:lang w:val="en-US"/>
        </w:rPr>
        <w:t xml:space="preserve">to </w:t>
      </w:r>
      <w:r w:rsidR="00292F18" w:rsidRPr="00916F4F">
        <w:rPr>
          <w:rFonts w:ascii="Times New Roman" w:hAnsi="Times New Roman" w:cs="Times New Roman"/>
          <w:sz w:val="24"/>
          <w:lang w:val="en-US"/>
        </w:rPr>
        <w:t xml:space="preserve">the introduction of amendments for better compliance with the EU Directive (2019/1023) on preventive restructuring frameworks, </w:t>
      </w:r>
      <w:r w:rsidRPr="00916F4F">
        <w:rPr>
          <w:rFonts w:ascii="Times New Roman" w:hAnsi="Times New Roman" w:cs="Times New Roman"/>
          <w:sz w:val="24"/>
          <w:lang w:val="en-US"/>
        </w:rPr>
        <w:t xml:space="preserve">due </w:t>
      </w:r>
      <w:r w:rsidR="00292F18" w:rsidRPr="00916F4F">
        <w:rPr>
          <w:rFonts w:ascii="Times New Roman" w:hAnsi="Times New Roman" w:cs="Times New Roman"/>
          <w:sz w:val="24"/>
          <w:lang w:val="en-US"/>
        </w:rPr>
        <w:t>to be adopted by July 2021, and a rethinking of the efficiency and effectiveness of the internal management of certain bodies (as the Chamber of Commerce) required to play a pivotal role in the early warning procedures.</w:t>
      </w:r>
    </w:p>
    <w:p w14:paraId="3B6392E9" w14:textId="77777777" w:rsidR="00175B35" w:rsidRPr="00916F4F" w:rsidRDefault="00175B35" w:rsidP="00292F18">
      <w:pPr>
        <w:pStyle w:val="Testonewsletter"/>
        <w:spacing w:after="0"/>
        <w:ind w:right="193"/>
        <w:rPr>
          <w:rFonts w:ascii="Times New Roman" w:hAnsi="Times New Roman" w:cs="Times New Roman"/>
          <w:sz w:val="24"/>
          <w:lang w:val="en-US"/>
        </w:rPr>
      </w:pPr>
    </w:p>
    <w:p w14:paraId="627E1A39" w14:textId="6CECAD3A" w:rsidR="00292F18" w:rsidRPr="00175B35" w:rsidRDefault="00292F18" w:rsidP="00292F18">
      <w:pPr>
        <w:pStyle w:val="Testonewsletter"/>
        <w:tabs>
          <w:tab w:val="left" w:pos="284"/>
        </w:tabs>
        <w:spacing w:after="0"/>
        <w:ind w:right="193"/>
        <w:rPr>
          <w:rFonts w:ascii="Times New Roman" w:hAnsi="Times New Roman" w:cs="Times New Roman"/>
          <w:i/>
          <w:iCs/>
          <w:sz w:val="24"/>
          <w:lang w:val="en-US"/>
        </w:rPr>
      </w:pPr>
      <w:r w:rsidRPr="00175B35">
        <w:rPr>
          <w:rFonts w:ascii="Times New Roman" w:hAnsi="Times New Roman" w:cs="Times New Roman"/>
          <w:i/>
          <w:iCs/>
          <w:color w:val="auto"/>
          <w:sz w:val="24"/>
          <w:lang w:val="en-US"/>
        </w:rPr>
        <w:t>Temporary</w:t>
      </w:r>
      <w:r w:rsidRPr="00175B35">
        <w:rPr>
          <w:rFonts w:ascii="Times New Roman" w:hAnsi="Times New Roman" w:cs="Times New Roman"/>
          <w:i/>
          <w:iCs/>
          <w:sz w:val="24"/>
          <w:lang w:val="en-US"/>
        </w:rPr>
        <w:t xml:space="preserve"> </w:t>
      </w:r>
      <w:r w:rsidR="00175B35">
        <w:rPr>
          <w:rFonts w:ascii="Times New Roman" w:hAnsi="Times New Roman" w:cs="Times New Roman"/>
          <w:i/>
          <w:iCs/>
          <w:sz w:val="24"/>
          <w:lang w:val="en-US"/>
        </w:rPr>
        <w:t>D</w:t>
      </w:r>
      <w:r w:rsidRPr="00175B35">
        <w:rPr>
          <w:rFonts w:ascii="Times New Roman" w:hAnsi="Times New Roman" w:cs="Times New Roman"/>
          <w:i/>
          <w:iCs/>
          <w:sz w:val="24"/>
          <w:lang w:val="en-US"/>
        </w:rPr>
        <w:t xml:space="preserve">eferment </w:t>
      </w:r>
      <w:r w:rsidR="00175B35">
        <w:rPr>
          <w:rFonts w:ascii="Times New Roman" w:hAnsi="Times New Roman" w:cs="Times New Roman"/>
          <w:i/>
          <w:iCs/>
          <w:sz w:val="24"/>
          <w:lang w:val="en-US"/>
        </w:rPr>
        <w:t>of B</w:t>
      </w:r>
      <w:r w:rsidRPr="00175B35">
        <w:rPr>
          <w:rFonts w:ascii="Times New Roman" w:hAnsi="Times New Roman" w:cs="Times New Roman"/>
          <w:i/>
          <w:iCs/>
          <w:sz w:val="24"/>
          <w:lang w:val="en-US"/>
        </w:rPr>
        <w:t xml:space="preserve">ankruptcy </w:t>
      </w:r>
      <w:r w:rsidR="00175B35">
        <w:rPr>
          <w:rFonts w:ascii="Times New Roman" w:hAnsi="Times New Roman" w:cs="Times New Roman"/>
          <w:i/>
          <w:iCs/>
          <w:sz w:val="24"/>
          <w:lang w:val="en-US"/>
        </w:rPr>
        <w:t>F</w:t>
      </w:r>
      <w:r w:rsidRPr="00175B35">
        <w:rPr>
          <w:rFonts w:ascii="Times New Roman" w:hAnsi="Times New Roman" w:cs="Times New Roman"/>
          <w:i/>
          <w:iCs/>
          <w:sz w:val="24"/>
          <w:lang w:val="en-US"/>
        </w:rPr>
        <w:t>iling</w:t>
      </w:r>
      <w:r w:rsidR="00175B35">
        <w:rPr>
          <w:rFonts w:ascii="Times New Roman" w:hAnsi="Times New Roman" w:cs="Times New Roman"/>
          <w:i/>
          <w:iCs/>
          <w:sz w:val="24"/>
          <w:lang w:val="en-US"/>
        </w:rPr>
        <w:t>s</w:t>
      </w:r>
      <w:r w:rsidRPr="00175B35">
        <w:rPr>
          <w:rFonts w:ascii="Times New Roman" w:hAnsi="Times New Roman" w:cs="Times New Roman"/>
          <w:i/>
          <w:iCs/>
          <w:sz w:val="24"/>
          <w:lang w:val="en-US"/>
        </w:rPr>
        <w:t xml:space="preserve"> or </w:t>
      </w:r>
      <w:r w:rsidR="00175B35">
        <w:rPr>
          <w:rFonts w:ascii="Times New Roman" w:hAnsi="Times New Roman" w:cs="Times New Roman"/>
          <w:i/>
          <w:iCs/>
          <w:color w:val="auto"/>
          <w:sz w:val="24"/>
          <w:lang w:val="en-US"/>
        </w:rPr>
        <w:t>R</w:t>
      </w:r>
      <w:r w:rsidRPr="00175B35">
        <w:rPr>
          <w:rFonts w:ascii="Times New Roman" w:hAnsi="Times New Roman" w:cs="Times New Roman"/>
          <w:i/>
          <w:iCs/>
          <w:color w:val="auto"/>
          <w:sz w:val="24"/>
          <w:lang w:val="en-US"/>
        </w:rPr>
        <w:t>equest</w:t>
      </w:r>
      <w:r w:rsidR="00175B35">
        <w:rPr>
          <w:rFonts w:ascii="Times New Roman" w:hAnsi="Times New Roman" w:cs="Times New Roman"/>
          <w:i/>
          <w:iCs/>
          <w:color w:val="auto"/>
          <w:sz w:val="24"/>
          <w:lang w:val="en-US"/>
        </w:rPr>
        <w:t>s</w:t>
      </w:r>
    </w:p>
    <w:p w14:paraId="7B6D17F9" w14:textId="77777777" w:rsidR="00175B35" w:rsidRDefault="00175B35" w:rsidP="00292F18">
      <w:pPr>
        <w:pStyle w:val="Testonewsletter"/>
        <w:tabs>
          <w:tab w:val="left" w:pos="284"/>
        </w:tabs>
        <w:spacing w:after="0"/>
        <w:ind w:right="193"/>
        <w:rPr>
          <w:rFonts w:ascii="Times New Roman" w:hAnsi="Times New Roman" w:cs="Times New Roman"/>
          <w:sz w:val="24"/>
          <w:lang w:val="en-US"/>
        </w:rPr>
      </w:pPr>
    </w:p>
    <w:p w14:paraId="6386C850" w14:textId="77777777" w:rsidR="005F7A61" w:rsidRPr="00916F4F" w:rsidRDefault="00292F18" w:rsidP="00292F18">
      <w:pPr>
        <w:pStyle w:val="Testonewsletter"/>
        <w:tabs>
          <w:tab w:val="left" w:pos="284"/>
        </w:tabs>
        <w:spacing w:after="0"/>
        <w:ind w:right="193"/>
        <w:rPr>
          <w:rFonts w:ascii="Times New Roman" w:hAnsi="Times New Roman" w:cs="Times New Roman"/>
          <w:sz w:val="24"/>
          <w:lang w:val="en-US"/>
        </w:rPr>
      </w:pPr>
      <w:r w:rsidRPr="00916F4F">
        <w:rPr>
          <w:rFonts w:ascii="Times New Roman" w:hAnsi="Times New Roman" w:cs="Times New Roman"/>
          <w:sz w:val="24"/>
          <w:lang w:val="en-US"/>
        </w:rPr>
        <w:t>Relat</w:t>
      </w:r>
      <w:r w:rsidR="00175B35" w:rsidRPr="00916F4F">
        <w:rPr>
          <w:rFonts w:ascii="Times New Roman" w:hAnsi="Times New Roman" w:cs="Times New Roman"/>
          <w:sz w:val="24"/>
          <w:lang w:val="en-US"/>
        </w:rPr>
        <w:t>ed</w:t>
      </w:r>
      <w:r w:rsidRPr="00916F4F">
        <w:rPr>
          <w:rFonts w:ascii="Times New Roman" w:hAnsi="Times New Roman" w:cs="Times New Roman"/>
          <w:sz w:val="24"/>
          <w:lang w:val="en-US"/>
        </w:rPr>
        <w:t xml:space="preserve"> </w:t>
      </w:r>
      <w:r w:rsidR="00175B35" w:rsidRPr="00916F4F">
        <w:rPr>
          <w:rFonts w:ascii="Times New Roman" w:hAnsi="Times New Roman" w:cs="Times New Roman"/>
          <w:sz w:val="24"/>
          <w:lang w:val="en-US"/>
        </w:rPr>
        <w:t xml:space="preserve">to </w:t>
      </w:r>
      <w:r w:rsidRPr="00916F4F">
        <w:rPr>
          <w:rFonts w:ascii="Times New Roman" w:hAnsi="Times New Roman" w:cs="Times New Roman"/>
          <w:sz w:val="24"/>
          <w:lang w:val="en-US"/>
        </w:rPr>
        <w:t xml:space="preserve">the aforementioned aims at protecting companies that experience financial difficulties as a result of the COVID-19 pandemic and coherent with </w:t>
      </w:r>
      <w:r w:rsidR="00175B35" w:rsidRPr="00916F4F">
        <w:rPr>
          <w:rFonts w:ascii="Times New Roman" w:hAnsi="Times New Roman" w:cs="Times New Roman"/>
          <w:sz w:val="24"/>
          <w:lang w:val="en-US"/>
        </w:rPr>
        <w:t xml:space="preserve">the </w:t>
      </w:r>
      <w:r w:rsidRPr="00916F4F">
        <w:rPr>
          <w:rFonts w:ascii="Times New Roman" w:hAnsi="Times New Roman" w:cs="Times New Roman"/>
          <w:sz w:val="24"/>
          <w:lang w:val="en-US"/>
        </w:rPr>
        <w:t xml:space="preserve">temporary suspension of obligation to file for bankruptcy (winding-up) and consequent liabilities, </w:t>
      </w:r>
      <w:r w:rsidR="00175B35" w:rsidRPr="00916F4F">
        <w:rPr>
          <w:rFonts w:ascii="Times New Roman" w:hAnsi="Times New Roman" w:cs="Times New Roman"/>
          <w:sz w:val="24"/>
          <w:lang w:val="en-US"/>
        </w:rPr>
        <w:t>A</w:t>
      </w:r>
      <w:r w:rsidRPr="00916F4F">
        <w:rPr>
          <w:rFonts w:ascii="Times New Roman" w:hAnsi="Times New Roman" w:cs="Times New Roman"/>
          <w:sz w:val="24"/>
          <w:lang w:val="en-US"/>
        </w:rPr>
        <w:t>rt</w:t>
      </w:r>
      <w:r w:rsidR="00175B35" w:rsidRPr="00916F4F">
        <w:rPr>
          <w:rFonts w:ascii="Times New Roman" w:hAnsi="Times New Roman" w:cs="Times New Roman"/>
          <w:sz w:val="24"/>
          <w:lang w:val="en-US"/>
        </w:rPr>
        <w:t>icle</w:t>
      </w:r>
      <w:r w:rsidRPr="00916F4F">
        <w:rPr>
          <w:rFonts w:ascii="Times New Roman" w:hAnsi="Times New Roman" w:cs="Times New Roman"/>
          <w:sz w:val="24"/>
          <w:lang w:val="en-US"/>
        </w:rPr>
        <w:t xml:space="preserve"> 10 states that petitions for winding-up proceedings (as well as </w:t>
      </w:r>
      <w:r w:rsidR="00175B35" w:rsidRPr="00916F4F">
        <w:rPr>
          <w:rFonts w:ascii="Times New Roman" w:hAnsi="Times New Roman" w:cs="Times New Roman"/>
          <w:sz w:val="24"/>
          <w:lang w:val="en-US"/>
        </w:rPr>
        <w:t>admission</w:t>
      </w:r>
      <w:r w:rsidRPr="00916F4F">
        <w:rPr>
          <w:rFonts w:ascii="Times New Roman" w:hAnsi="Times New Roman" w:cs="Times New Roman"/>
          <w:sz w:val="24"/>
          <w:lang w:val="en-US"/>
        </w:rPr>
        <w:t xml:space="preserve"> to </w:t>
      </w:r>
      <w:r w:rsidR="00DD1542" w:rsidRPr="00916F4F">
        <w:rPr>
          <w:rFonts w:ascii="Times New Roman" w:hAnsi="Times New Roman" w:cs="Times New Roman"/>
          <w:sz w:val="24"/>
          <w:lang w:val="en-US"/>
        </w:rPr>
        <w:t>“</w:t>
      </w:r>
      <w:r w:rsidRPr="00916F4F">
        <w:rPr>
          <w:rFonts w:ascii="Times New Roman" w:hAnsi="Times New Roman" w:cs="Times New Roman"/>
          <w:sz w:val="24"/>
          <w:lang w:val="en-US"/>
        </w:rPr>
        <w:t>Liquidazione coatta amministrativa</w:t>
      </w:r>
      <w:r w:rsidR="00DD1542" w:rsidRPr="00916F4F">
        <w:rPr>
          <w:rFonts w:ascii="Times New Roman" w:hAnsi="Times New Roman" w:cs="Times New Roman"/>
          <w:sz w:val="24"/>
          <w:lang w:val="en-US"/>
        </w:rPr>
        <w:t>”</w:t>
      </w:r>
      <w:r w:rsidRPr="00916F4F">
        <w:rPr>
          <w:rFonts w:ascii="Times New Roman" w:hAnsi="Times New Roman" w:cs="Times New Roman"/>
          <w:sz w:val="24"/>
          <w:lang w:val="en-US"/>
        </w:rPr>
        <w:t xml:space="preserve"> and </w:t>
      </w:r>
      <w:r w:rsidR="00175B35" w:rsidRPr="00916F4F">
        <w:rPr>
          <w:rFonts w:ascii="Times New Roman" w:hAnsi="Times New Roman" w:cs="Times New Roman"/>
          <w:sz w:val="24"/>
          <w:lang w:val="en-US"/>
        </w:rPr>
        <w:t xml:space="preserve">the </w:t>
      </w:r>
      <w:r w:rsidR="00DD1542" w:rsidRPr="00916F4F">
        <w:rPr>
          <w:rFonts w:ascii="Times New Roman" w:hAnsi="Times New Roman" w:cs="Times New Roman"/>
          <w:sz w:val="24"/>
          <w:lang w:val="en-US"/>
        </w:rPr>
        <w:t>“</w:t>
      </w:r>
      <w:r w:rsidRPr="00916F4F">
        <w:rPr>
          <w:rFonts w:ascii="Times New Roman" w:hAnsi="Times New Roman" w:cs="Times New Roman"/>
          <w:sz w:val="24"/>
          <w:lang w:val="en-US"/>
        </w:rPr>
        <w:t>Amministrazione Straordinaria</w:t>
      </w:r>
      <w:r w:rsidR="00DD1542" w:rsidRPr="00916F4F">
        <w:rPr>
          <w:rFonts w:ascii="Times New Roman" w:hAnsi="Times New Roman" w:cs="Times New Roman"/>
          <w:sz w:val="24"/>
          <w:lang w:val="en-US"/>
        </w:rPr>
        <w:t>”</w:t>
      </w:r>
      <w:r w:rsidRPr="00916F4F">
        <w:rPr>
          <w:rFonts w:ascii="Times New Roman" w:hAnsi="Times New Roman" w:cs="Times New Roman"/>
          <w:sz w:val="24"/>
          <w:lang w:val="en-US"/>
        </w:rPr>
        <w:t xml:space="preserve"> of Large Enterprises) filed in the period between </w:t>
      </w:r>
      <w:r w:rsidR="00175B35" w:rsidRPr="00916F4F">
        <w:rPr>
          <w:rFonts w:ascii="Times New Roman" w:hAnsi="Times New Roman" w:cs="Times New Roman"/>
          <w:sz w:val="24"/>
          <w:lang w:val="en-US"/>
        </w:rPr>
        <w:t xml:space="preserve">9 </w:t>
      </w:r>
      <w:r w:rsidRPr="00916F4F">
        <w:rPr>
          <w:rFonts w:ascii="Times New Roman" w:hAnsi="Times New Roman" w:cs="Times New Roman"/>
          <w:sz w:val="24"/>
          <w:lang w:val="en-US"/>
        </w:rPr>
        <w:t xml:space="preserve">March 2020 and </w:t>
      </w:r>
      <w:r w:rsidR="00175B35" w:rsidRPr="00916F4F">
        <w:rPr>
          <w:rFonts w:ascii="Times New Roman" w:hAnsi="Times New Roman" w:cs="Times New Roman"/>
          <w:sz w:val="24"/>
          <w:lang w:val="en-US"/>
        </w:rPr>
        <w:t xml:space="preserve">30 </w:t>
      </w:r>
      <w:r w:rsidRPr="00916F4F">
        <w:rPr>
          <w:rFonts w:ascii="Times New Roman" w:hAnsi="Times New Roman" w:cs="Times New Roman"/>
          <w:sz w:val="24"/>
          <w:lang w:val="en-US"/>
        </w:rPr>
        <w:t>June 2020 are not admissible.</w:t>
      </w:r>
    </w:p>
    <w:p w14:paraId="04C14F92" w14:textId="77777777" w:rsidR="005F7A61" w:rsidRPr="00916F4F" w:rsidRDefault="005F7A61" w:rsidP="00292F18">
      <w:pPr>
        <w:pStyle w:val="Testonewsletter"/>
        <w:tabs>
          <w:tab w:val="left" w:pos="284"/>
        </w:tabs>
        <w:spacing w:after="0"/>
        <w:ind w:right="193"/>
        <w:rPr>
          <w:rFonts w:ascii="Times New Roman" w:hAnsi="Times New Roman" w:cs="Times New Roman"/>
          <w:sz w:val="24"/>
          <w:lang w:val="en-US"/>
        </w:rPr>
      </w:pPr>
    </w:p>
    <w:p w14:paraId="1AC0E383" w14:textId="363090EA" w:rsidR="00292F18" w:rsidRPr="00916F4F" w:rsidRDefault="00292F18" w:rsidP="00292F18">
      <w:pPr>
        <w:pStyle w:val="Testonewsletter"/>
        <w:tabs>
          <w:tab w:val="left" w:pos="284"/>
        </w:tabs>
        <w:spacing w:after="0"/>
        <w:ind w:right="193"/>
        <w:rPr>
          <w:rFonts w:ascii="Times New Roman" w:hAnsi="Times New Roman" w:cs="Times New Roman"/>
          <w:sz w:val="24"/>
          <w:lang w:val="en-US"/>
        </w:rPr>
      </w:pPr>
      <w:r w:rsidRPr="00916F4F">
        <w:rPr>
          <w:rFonts w:ascii="Times New Roman" w:hAnsi="Times New Roman" w:cs="Times New Roman"/>
          <w:sz w:val="24"/>
          <w:lang w:val="en-US"/>
        </w:rPr>
        <w:t>Th</w:t>
      </w:r>
      <w:r w:rsidR="005F7A61" w:rsidRPr="00916F4F">
        <w:rPr>
          <w:rFonts w:ascii="Times New Roman" w:hAnsi="Times New Roman" w:cs="Times New Roman"/>
          <w:sz w:val="24"/>
          <w:lang w:val="en-US"/>
        </w:rPr>
        <w:t>is</w:t>
      </w:r>
      <w:r w:rsidRPr="00916F4F">
        <w:rPr>
          <w:rFonts w:ascii="Times New Roman" w:hAnsi="Times New Roman" w:cs="Times New Roman"/>
          <w:sz w:val="24"/>
          <w:lang w:val="en-US"/>
        </w:rPr>
        <w:t xml:space="preserve"> provision also applies (quite surprisingly) </w:t>
      </w:r>
      <w:r w:rsidR="005F7A61" w:rsidRPr="00916F4F">
        <w:rPr>
          <w:rFonts w:ascii="Times New Roman" w:hAnsi="Times New Roman" w:cs="Times New Roman"/>
          <w:sz w:val="24"/>
          <w:lang w:val="en-US"/>
        </w:rPr>
        <w:t xml:space="preserve">to </w:t>
      </w:r>
      <w:r w:rsidRPr="00916F4F">
        <w:rPr>
          <w:rFonts w:ascii="Times New Roman" w:hAnsi="Times New Roman" w:cs="Times New Roman"/>
          <w:sz w:val="24"/>
          <w:lang w:val="en-US"/>
        </w:rPr>
        <w:t>voluntary petition</w:t>
      </w:r>
      <w:r w:rsidR="005F7A61" w:rsidRPr="00916F4F">
        <w:rPr>
          <w:rFonts w:ascii="Times New Roman" w:hAnsi="Times New Roman" w:cs="Times New Roman"/>
          <w:sz w:val="24"/>
          <w:lang w:val="en-US"/>
        </w:rPr>
        <w:t>s</w:t>
      </w:r>
      <w:r w:rsidRPr="00916F4F">
        <w:rPr>
          <w:rFonts w:ascii="Times New Roman" w:hAnsi="Times New Roman" w:cs="Times New Roman"/>
          <w:sz w:val="24"/>
          <w:lang w:val="en-US"/>
        </w:rPr>
        <w:t xml:space="preserve">; while </w:t>
      </w:r>
      <w:r w:rsidR="005F7A61" w:rsidRPr="00916F4F">
        <w:rPr>
          <w:rFonts w:ascii="Times New Roman" w:hAnsi="Times New Roman" w:cs="Times New Roman"/>
          <w:sz w:val="24"/>
          <w:lang w:val="en-US"/>
        </w:rPr>
        <w:t xml:space="preserve">it </w:t>
      </w:r>
      <w:r w:rsidRPr="00916F4F">
        <w:rPr>
          <w:rFonts w:ascii="Times New Roman" w:hAnsi="Times New Roman" w:cs="Times New Roman"/>
          <w:sz w:val="24"/>
          <w:lang w:val="en-US"/>
        </w:rPr>
        <w:t xml:space="preserve">is not applicable </w:t>
      </w:r>
      <w:r w:rsidR="005F7A61" w:rsidRPr="00916F4F">
        <w:rPr>
          <w:rFonts w:ascii="Times New Roman" w:hAnsi="Times New Roman" w:cs="Times New Roman"/>
          <w:sz w:val="24"/>
          <w:lang w:val="en-US"/>
        </w:rPr>
        <w:t xml:space="preserve">where </w:t>
      </w:r>
      <w:r w:rsidRPr="00916F4F">
        <w:rPr>
          <w:rFonts w:ascii="Times New Roman" w:hAnsi="Times New Roman" w:cs="Times New Roman"/>
          <w:sz w:val="24"/>
          <w:lang w:val="en-US"/>
        </w:rPr>
        <w:t xml:space="preserve">the filing is made by </w:t>
      </w:r>
      <w:r w:rsidR="005F7A61" w:rsidRPr="00916F4F">
        <w:rPr>
          <w:rFonts w:ascii="Times New Roman" w:hAnsi="Times New Roman" w:cs="Times New Roman"/>
          <w:sz w:val="24"/>
          <w:lang w:val="en-US"/>
        </w:rPr>
        <w:t xml:space="preserve">a </w:t>
      </w:r>
      <w:r w:rsidRPr="00916F4F">
        <w:rPr>
          <w:rFonts w:ascii="Times New Roman" w:hAnsi="Times New Roman" w:cs="Times New Roman"/>
          <w:sz w:val="24"/>
          <w:lang w:val="en-US"/>
        </w:rPr>
        <w:t xml:space="preserve">Public Prosecutor who </w:t>
      </w:r>
      <w:r w:rsidR="005F7A61" w:rsidRPr="00916F4F">
        <w:rPr>
          <w:rFonts w:ascii="Times New Roman" w:hAnsi="Times New Roman" w:cs="Times New Roman"/>
          <w:sz w:val="24"/>
          <w:lang w:val="en-US"/>
        </w:rPr>
        <w:t xml:space="preserve">has </w:t>
      </w:r>
      <w:r w:rsidRPr="00916F4F">
        <w:rPr>
          <w:rFonts w:ascii="Times New Roman" w:hAnsi="Times New Roman" w:cs="Times New Roman"/>
          <w:sz w:val="24"/>
          <w:lang w:val="en-US"/>
        </w:rPr>
        <w:t xml:space="preserve">also requested the granting of precautionary measures, in order to avoid or interrupt suspected acts of fraud or misconduct by the debtor. </w:t>
      </w:r>
      <w:r w:rsidR="005F7A61" w:rsidRPr="00916F4F">
        <w:rPr>
          <w:rFonts w:ascii="Times New Roman" w:hAnsi="Times New Roman" w:cs="Times New Roman"/>
          <w:sz w:val="24"/>
          <w:lang w:val="en-US"/>
        </w:rPr>
        <w:t>In order to protect creditors, i</w:t>
      </w:r>
      <w:r w:rsidRPr="00916F4F">
        <w:rPr>
          <w:rFonts w:ascii="Times New Roman" w:hAnsi="Times New Roman" w:cs="Times New Roman"/>
          <w:sz w:val="24"/>
          <w:lang w:val="en-US"/>
        </w:rPr>
        <w:t>t is also provided</w:t>
      </w:r>
      <w:r w:rsidR="005F7A61" w:rsidRPr="00916F4F">
        <w:rPr>
          <w:rFonts w:ascii="Times New Roman" w:hAnsi="Times New Roman" w:cs="Times New Roman"/>
          <w:sz w:val="24"/>
          <w:lang w:val="en-US"/>
        </w:rPr>
        <w:t xml:space="preserve"> </w:t>
      </w:r>
      <w:r w:rsidRPr="00916F4F">
        <w:rPr>
          <w:rFonts w:ascii="Times New Roman" w:hAnsi="Times New Roman" w:cs="Times New Roman"/>
          <w:sz w:val="24"/>
          <w:lang w:val="en-US"/>
        </w:rPr>
        <w:t>that</w:t>
      </w:r>
      <w:r w:rsidR="005F7A61" w:rsidRPr="00916F4F">
        <w:rPr>
          <w:rFonts w:ascii="Times New Roman" w:hAnsi="Times New Roman" w:cs="Times New Roman"/>
          <w:sz w:val="24"/>
          <w:lang w:val="en-US"/>
        </w:rPr>
        <w:t>,</w:t>
      </w:r>
      <w:r w:rsidRPr="00916F4F">
        <w:rPr>
          <w:rFonts w:ascii="Times New Roman" w:hAnsi="Times New Roman" w:cs="Times New Roman"/>
          <w:sz w:val="24"/>
          <w:lang w:val="en-US"/>
        </w:rPr>
        <w:t xml:space="preserve"> in case of </w:t>
      </w:r>
      <w:r w:rsidR="005F7A61" w:rsidRPr="00916F4F">
        <w:rPr>
          <w:rFonts w:ascii="Times New Roman" w:hAnsi="Times New Roman" w:cs="Times New Roman"/>
          <w:sz w:val="24"/>
          <w:lang w:val="en-US"/>
        </w:rPr>
        <w:t xml:space="preserve">a </w:t>
      </w:r>
      <w:r w:rsidRPr="00916F4F">
        <w:rPr>
          <w:rFonts w:ascii="Times New Roman" w:hAnsi="Times New Roman" w:cs="Times New Roman"/>
          <w:sz w:val="24"/>
          <w:lang w:val="en-US"/>
        </w:rPr>
        <w:t>future winding up, the period of suspension from March to June of this year will not be counted for the purpose of calculating the terms set forth by:</w:t>
      </w:r>
    </w:p>
    <w:p w14:paraId="74E4D428" w14:textId="17B5F514" w:rsidR="00292F18" w:rsidRPr="00916F4F" w:rsidRDefault="005F7A61" w:rsidP="005F7A61">
      <w:pPr>
        <w:pStyle w:val="Testonewsletter"/>
        <w:tabs>
          <w:tab w:val="left" w:pos="284"/>
        </w:tabs>
        <w:spacing w:after="0"/>
        <w:ind w:left="284" w:right="193" w:hanging="284"/>
        <w:rPr>
          <w:rFonts w:ascii="Times New Roman" w:hAnsi="Times New Roman" w:cs="Times New Roman"/>
          <w:sz w:val="24"/>
          <w:lang w:val="en-US"/>
        </w:rPr>
      </w:pPr>
      <w:r w:rsidRPr="00916F4F">
        <w:rPr>
          <w:rFonts w:ascii="Times New Roman" w:hAnsi="Times New Roman" w:cs="Times New Roman"/>
          <w:sz w:val="24"/>
          <w:lang w:val="en-US"/>
        </w:rPr>
        <w:tab/>
      </w:r>
      <w:r w:rsidR="00292F18" w:rsidRPr="00916F4F">
        <w:rPr>
          <w:rFonts w:ascii="Times New Roman" w:hAnsi="Times New Roman" w:cs="Times New Roman"/>
          <w:sz w:val="24"/>
          <w:lang w:val="en-US"/>
        </w:rPr>
        <w:t xml:space="preserve">- </w:t>
      </w:r>
      <w:r w:rsidRPr="00916F4F">
        <w:rPr>
          <w:rFonts w:ascii="Times New Roman" w:hAnsi="Times New Roman" w:cs="Times New Roman"/>
          <w:sz w:val="24"/>
          <w:lang w:val="en-US"/>
        </w:rPr>
        <w:t>A</w:t>
      </w:r>
      <w:r w:rsidR="00292F18" w:rsidRPr="00916F4F">
        <w:rPr>
          <w:rFonts w:ascii="Times New Roman" w:hAnsi="Times New Roman" w:cs="Times New Roman"/>
          <w:sz w:val="24"/>
          <w:lang w:val="en-US"/>
        </w:rPr>
        <w:t>rt</w:t>
      </w:r>
      <w:r w:rsidRPr="00916F4F">
        <w:rPr>
          <w:rFonts w:ascii="Times New Roman" w:hAnsi="Times New Roman" w:cs="Times New Roman"/>
          <w:sz w:val="24"/>
          <w:lang w:val="en-US"/>
        </w:rPr>
        <w:t>icle</w:t>
      </w:r>
      <w:r w:rsidR="00292F18" w:rsidRPr="00916F4F">
        <w:rPr>
          <w:rFonts w:ascii="Times New Roman" w:hAnsi="Times New Roman" w:cs="Times New Roman"/>
          <w:sz w:val="24"/>
          <w:lang w:val="en-US"/>
        </w:rPr>
        <w:t xml:space="preserve"> 10 of the Insolvency Law</w:t>
      </w:r>
      <w:r w:rsidRPr="00916F4F">
        <w:rPr>
          <w:rFonts w:ascii="Times New Roman" w:hAnsi="Times New Roman" w:cs="Times New Roman"/>
          <w:sz w:val="24"/>
          <w:lang w:val="en-US"/>
        </w:rPr>
        <w:t xml:space="preserve"> (</w:t>
      </w:r>
      <w:r w:rsidR="00292F18" w:rsidRPr="00916F4F">
        <w:rPr>
          <w:rFonts w:ascii="Times New Roman" w:hAnsi="Times New Roman" w:cs="Times New Roman"/>
          <w:sz w:val="24"/>
          <w:lang w:val="en-US"/>
        </w:rPr>
        <w:t>IL</w:t>
      </w:r>
      <w:r w:rsidRPr="00916F4F">
        <w:rPr>
          <w:rFonts w:ascii="Times New Roman" w:hAnsi="Times New Roman" w:cs="Times New Roman"/>
          <w:sz w:val="24"/>
          <w:lang w:val="en-US"/>
        </w:rPr>
        <w:t>)</w:t>
      </w:r>
      <w:r w:rsidR="00292F18" w:rsidRPr="00916F4F">
        <w:rPr>
          <w:rFonts w:ascii="Times New Roman" w:hAnsi="Times New Roman" w:cs="Times New Roman"/>
          <w:sz w:val="24"/>
          <w:lang w:val="en-US"/>
        </w:rPr>
        <w:t>, (i.e. winding up within 1 year from the cancellation from the Register of Companies)</w:t>
      </w:r>
      <w:r w:rsidRPr="00916F4F">
        <w:rPr>
          <w:rFonts w:ascii="Times New Roman" w:hAnsi="Times New Roman" w:cs="Times New Roman"/>
          <w:sz w:val="24"/>
          <w:lang w:val="en-US"/>
        </w:rPr>
        <w:t>;</w:t>
      </w:r>
      <w:r w:rsidR="00292F18" w:rsidRPr="00916F4F">
        <w:rPr>
          <w:rFonts w:ascii="Times New Roman" w:hAnsi="Times New Roman" w:cs="Times New Roman"/>
          <w:sz w:val="24"/>
          <w:lang w:val="en-US"/>
        </w:rPr>
        <w:t xml:space="preserve"> </w:t>
      </w:r>
      <w:r w:rsidRPr="00916F4F">
        <w:rPr>
          <w:rFonts w:ascii="Times New Roman" w:hAnsi="Times New Roman" w:cs="Times New Roman"/>
          <w:sz w:val="24"/>
          <w:lang w:val="en-US"/>
        </w:rPr>
        <w:t xml:space="preserve">or </w:t>
      </w:r>
    </w:p>
    <w:p w14:paraId="09ABEBE2" w14:textId="055D36CD" w:rsidR="00292F18" w:rsidRPr="00916F4F" w:rsidRDefault="005F7A61" w:rsidP="005F7A61">
      <w:pPr>
        <w:pStyle w:val="Testonewsletter"/>
        <w:tabs>
          <w:tab w:val="left" w:pos="284"/>
        </w:tabs>
        <w:spacing w:after="0"/>
        <w:ind w:left="284" w:right="195" w:hanging="284"/>
        <w:rPr>
          <w:rFonts w:ascii="Times New Roman" w:hAnsi="Times New Roman" w:cs="Times New Roman"/>
          <w:sz w:val="24"/>
          <w:lang w:val="en-US"/>
        </w:rPr>
      </w:pPr>
      <w:r w:rsidRPr="00916F4F">
        <w:rPr>
          <w:rFonts w:ascii="Times New Roman" w:hAnsi="Times New Roman" w:cs="Times New Roman"/>
          <w:sz w:val="24"/>
          <w:lang w:val="en-US"/>
        </w:rPr>
        <w:lastRenderedPageBreak/>
        <w:tab/>
      </w:r>
      <w:r w:rsidR="00292F18" w:rsidRPr="00916F4F">
        <w:rPr>
          <w:rFonts w:ascii="Times New Roman" w:hAnsi="Times New Roman" w:cs="Times New Roman"/>
          <w:sz w:val="24"/>
          <w:lang w:val="en-US"/>
        </w:rPr>
        <w:t xml:space="preserve">- </w:t>
      </w:r>
      <w:r w:rsidRPr="00916F4F">
        <w:rPr>
          <w:rFonts w:ascii="Times New Roman" w:hAnsi="Times New Roman" w:cs="Times New Roman"/>
          <w:sz w:val="24"/>
          <w:lang w:val="en-US"/>
        </w:rPr>
        <w:t>A</w:t>
      </w:r>
      <w:r w:rsidR="00292F18" w:rsidRPr="00916F4F">
        <w:rPr>
          <w:rFonts w:ascii="Times New Roman" w:hAnsi="Times New Roman" w:cs="Times New Roman"/>
          <w:sz w:val="24"/>
          <w:lang w:val="en-US"/>
        </w:rPr>
        <w:t>rt</w:t>
      </w:r>
      <w:r w:rsidRPr="00916F4F">
        <w:rPr>
          <w:rFonts w:ascii="Times New Roman" w:hAnsi="Times New Roman" w:cs="Times New Roman"/>
          <w:sz w:val="24"/>
          <w:lang w:val="en-US"/>
        </w:rPr>
        <w:t>icle</w:t>
      </w:r>
      <w:r w:rsidR="00292F18" w:rsidRPr="00916F4F">
        <w:rPr>
          <w:rFonts w:ascii="Times New Roman" w:hAnsi="Times New Roman" w:cs="Times New Roman"/>
          <w:sz w:val="24"/>
          <w:lang w:val="en-US"/>
        </w:rPr>
        <w:t xml:space="preserve"> 69-bis IL (forfeiture of claw-back petitions – so called azioni revocatorie – after 3 years from the declaration of winding-up and after a certain period from the completion of the operation). In th</w:t>
      </w:r>
      <w:r w:rsidRPr="00916F4F">
        <w:rPr>
          <w:rFonts w:ascii="Times New Roman" w:hAnsi="Times New Roman" w:cs="Times New Roman"/>
          <w:sz w:val="24"/>
          <w:lang w:val="en-US"/>
        </w:rPr>
        <w:t>e</w:t>
      </w:r>
      <w:r w:rsidR="00292F18" w:rsidRPr="00916F4F">
        <w:rPr>
          <w:rFonts w:ascii="Times New Roman" w:hAnsi="Times New Roman" w:cs="Times New Roman"/>
          <w:sz w:val="24"/>
          <w:lang w:val="en-US"/>
        </w:rPr>
        <w:t xml:space="preserve"> latter case, the variability </w:t>
      </w:r>
      <w:r w:rsidRPr="00916F4F">
        <w:rPr>
          <w:rFonts w:ascii="Times New Roman" w:hAnsi="Times New Roman" w:cs="Times New Roman"/>
          <w:sz w:val="24"/>
          <w:lang w:val="en-US"/>
        </w:rPr>
        <w:t xml:space="preserve">of the period </w:t>
      </w:r>
      <w:r w:rsidR="00292F18" w:rsidRPr="00916F4F">
        <w:rPr>
          <w:rFonts w:ascii="Times New Roman" w:hAnsi="Times New Roman" w:cs="Times New Roman"/>
          <w:sz w:val="24"/>
          <w:lang w:val="en-US"/>
        </w:rPr>
        <w:t>(6 months to 5 years) depends on the specific issues and types of claw</w:t>
      </w:r>
      <w:r w:rsidRPr="00916F4F">
        <w:rPr>
          <w:rFonts w:ascii="Times New Roman" w:hAnsi="Times New Roman" w:cs="Times New Roman"/>
          <w:sz w:val="24"/>
          <w:lang w:val="en-US"/>
        </w:rPr>
        <w:t>-</w:t>
      </w:r>
      <w:r w:rsidR="00292F18" w:rsidRPr="00916F4F">
        <w:rPr>
          <w:rFonts w:ascii="Times New Roman" w:hAnsi="Times New Roman" w:cs="Times New Roman"/>
          <w:sz w:val="24"/>
          <w:lang w:val="en-US"/>
        </w:rPr>
        <w:t xml:space="preserve">back (according to </w:t>
      </w:r>
      <w:r w:rsidRPr="00916F4F">
        <w:rPr>
          <w:rFonts w:ascii="Times New Roman" w:hAnsi="Times New Roman" w:cs="Times New Roman"/>
          <w:sz w:val="24"/>
          <w:lang w:val="en-US"/>
        </w:rPr>
        <w:t>Articles</w:t>
      </w:r>
      <w:r w:rsidR="00292F18" w:rsidRPr="00916F4F">
        <w:rPr>
          <w:rFonts w:ascii="Times New Roman" w:hAnsi="Times New Roman" w:cs="Times New Roman"/>
          <w:sz w:val="24"/>
          <w:lang w:val="en-US"/>
        </w:rPr>
        <w:t xml:space="preserve"> 64, 65, 67 and 69</w:t>
      </w:r>
      <w:r w:rsidRPr="00916F4F">
        <w:rPr>
          <w:rFonts w:ascii="Times New Roman" w:hAnsi="Times New Roman" w:cs="Times New Roman"/>
          <w:sz w:val="24"/>
          <w:lang w:val="en-US"/>
        </w:rPr>
        <w:t>,</w:t>
      </w:r>
      <w:r w:rsidR="00292F18" w:rsidRPr="00916F4F">
        <w:rPr>
          <w:rFonts w:ascii="Times New Roman" w:hAnsi="Times New Roman" w:cs="Times New Roman"/>
          <w:sz w:val="24"/>
          <w:lang w:val="en-US"/>
        </w:rPr>
        <w:t xml:space="preserve"> IL).</w:t>
      </w:r>
    </w:p>
    <w:p w14:paraId="149F9994" w14:textId="77777777" w:rsidR="005F7A61" w:rsidRPr="00916F4F" w:rsidRDefault="005F7A61" w:rsidP="00292F18">
      <w:pPr>
        <w:pStyle w:val="Testonewsletter"/>
        <w:tabs>
          <w:tab w:val="left" w:pos="284"/>
        </w:tabs>
        <w:spacing w:after="0"/>
        <w:ind w:right="195"/>
        <w:rPr>
          <w:rFonts w:ascii="Times New Roman" w:hAnsi="Times New Roman" w:cs="Times New Roman"/>
          <w:sz w:val="24"/>
          <w:lang w:val="en-US"/>
        </w:rPr>
      </w:pPr>
    </w:p>
    <w:p w14:paraId="2384FF91" w14:textId="2648A78A" w:rsidR="00292F18" w:rsidRPr="00916F4F" w:rsidRDefault="00292F18" w:rsidP="00292F18">
      <w:pPr>
        <w:pStyle w:val="Testonewsletter"/>
        <w:tabs>
          <w:tab w:val="left" w:pos="284"/>
        </w:tabs>
        <w:spacing w:after="0"/>
        <w:ind w:right="193"/>
        <w:rPr>
          <w:rFonts w:ascii="Times New Roman" w:hAnsi="Times New Roman" w:cs="Times New Roman"/>
          <w:i/>
          <w:iCs/>
          <w:sz w:val="24"/>
          <w:lang w:val="en-US"/>
        </w:rPr>
      </w:pPr>
      <w:r w:rsidRPr="00916F4F">
        <w:rPr>
          <w:rFonts w:ascii="Times New Roman" w:hAnsi="Times New Roman" w:cs="Times New Roman"/>
          <w:i/>
          <w:iCs/>
          <w:sz w:val="24"/>
          <w:lang w:val="en-US"/>
        </w:rPr>
        <w:t xml:space="preserve">Extension of </w:t>
      </w:r>
      <w:r w:rsidR="005F7A61" w:rsidRPr="00916F4F">
        <w:rPr>
          <w:rFonts w:ascii="Times New Roman" w:hAnsi="Times New Roman" w:cs="Times New Roman"/>
          <w:i/>
          <w:iCs/>
          <w:sz w:val="24"/>
          <w:lang w:val="en-US"/>
        </w:rPr>
        <w:t>T</w:t>
      </w:r>
      <w:r w:rsidRPr="00916F4F">
        <w:rPr>
          <w:rFonts w:ascii="Times New Roman" w:hAnsi="Times New Roman" w:cs="Times New Roman"/>
          <w:i/>
          <w:iCs/>
          <w:sz w:val="24"/>
          <w:lang w:val="en-US"/>
        </w:rPr>
        <w:t xml:space="preserve">erms provided for </w:t>
      </w:r>
      <w:r w:rsidR="005F7A61" w:rsidRPr="00916F4F">
        <w:rPr>
          <w:rFonts w:ascii="Times New Roman" w:hAnsi="Times New Roman" w:cs="Times New Roman"/>
          <w:i/>
          <w:iCs/>
          <w:sz w:val="24"/>
          <w:lang w:val="en-US"/>
        </w:rPr>
        <w:t>R</w:t>
      </w:r>
      <w:r w:rsidRPr="00916F4F">
        <w:rPr>
          <w:rFonts w:ascii="Times New Roman" w:hAnsi="Times New Roman" w:cs="Times New Roman"/>
          <w:i/>
          <w:iCs/>
          <w:sz w:val="24"/>
          <w:lang w:val="en-US"/>
        </w:rPr>
        <w:t xml:space="preserve">estructuring </w:t>
      </w:r>
      <w:r w:rsidR="005F7A61" w:rsidRPr="00916F4F">
        <w:rPr>
          <w:rFonts w:ascii="Times New Roman" w:hAnsi="Times New Roman" w:cs="Times New Roman"/>
          <w:i/>
          <w:iCs/>
          <w:sz w:val="24"/>
          <w:lang w:val="en-US"/>
        </w:rPr>
        <w:t>P</w:t>
      </w:r>
      <w:r w:rsidRPr="00916F4F">
        <w:rPr>
          <w:rFonts w:ascii="Times New Roman" w:hAnsi="Times New Roman" w:cs="Times New Roman"/>
          <w:i/>
          <w:iCs/>
          <w:sz w:val="24"/>
          <w:lang w:val="en-US"/>
        </w:rPr>
        <w:t xml:space="preserve">roceedings (Concordato Preventivo) and </w:t>
      </w:r>
      <w:r w:rsidR="005F7A61" w:rsidRPr="00916F4F">
        <w:rPr>
          <w:rFonts w:ascii="Times New Roman" w:hAnsi="Times New Roman" w:cs="Times New Roman"/>
          <w:i/>
          <w:iCs/>
          <w:color w:val="auto"/>
          <w:sz w:val="24"/>
          <w:lang w:val="en-US"/>
        </w:rPr>
        <w:t>A</w:t>
      </w:r>
      <w:r w:rsidRPr="00916F4F">
        <w:rPr>
          <w:rFonts w:ascii="Times New Roman" w:hAnsi="Times New Roman" w:cs="Times New Roman"/>
          <w:i/>
          <w:iCs/>
          <w:color w:val="auto"/>
          <w:sz w:val="24"/>
          <w:lang w:val="en-US"/>
        </w:rPr>
        <w:t>greements</w:t>
      </w:r>
      <w:r w:rsidRPr="00916F4F">
        <w:rPr>
          <w:rFonts w:ascii="Times New Roman" w:hAnsi="Times New Roman" w:cs="Times New Roman"/>
          <w:i/>
          <w:iCs/>
          <w:sz w:val="24"/>
          <w:lang w:val="en-US"/>
        </w:rPr>
        <w:t xml:space="preserve"> with </w:t>
      </w:r>
      <w:r w:rsidR="005F7A61" w:rsidRPr="00916F4F">
        <w:rPr>
          <w:rFonts w:ascii="Times New Roman" w:hAnsi="Times New Roman" w:cs="Times New Roman"/>
          <w:i/>
          <w:iCs/>
          <w:sz w:val="24"/>
          <w:lang w:val="en-US"/>
        </w:rPr>
        <w:t>C</w:t>
      </w:r>
      <w:r w:rsidRPr="00916F4F">
        <w:rPr>
          <w:rFonts w:ascii="Times New Roman" w:hAnsi="Times New Roman" w:cs="Times New Roman"/>
          <w:i/>
          <w:iCs/>
          <w:sz w:val="24"/>
          <w:lang w:val="en-US"/>
        </w:rPr>
        <w:t>reditors (Accordi di ristrutturazione)</w:t>
      </w:r>
    </w:p>
    <w:p w14:paraId="4C50251C" w14:textId="77777777" w:rsidR="005F7A61" w:rsidRPr="00292F18" w:rsidRDefault="005F7A61" w:rsidP="00292F18">
      <w:pPr>
        <w:pStyle w:val="Testonewsletter"/>
        <w:tabs>
          <w:tab w:val="left" w:pos="284"/>
        </w:tabs>
        <w:spacing w:after="0"/>
        <w:ind w:right="193"/>
        <w:rPr>
          <w:rFonts w:ascii="Times New Roman" w:hAnsi="Times New Roman" w:cs="Times New Roman"/>
          <w:b/>
          <w:bCs/>
          <w:sz w:val="24"/>
          <w:lang w:val="en-US"/>
        </w:rPr>
      </w:pPr>
    </w:p>
    <w:p w14:paraId="0764698C" w14:textId="77777777" w:rsidR="001715D8" w:rsidRPr="00916F4F" w:rsidRDefault="00292F18" w:rsidP="00292F18">
      <w:pPr>
        <w:pStyle w:val="Testonewsletter"/>
        <w:tabs>
          <w:tab w:val="left" w:pos="284"/>
        </w:tabs>
        <w:spacing w:after="0"/>
        <w:ind w:right="193"/>
        <w:rPr>
          <w:rFonts w:ascii="Times New Roman" w:hAnsi="Times New Roman" w:cs="Times New Roman"/>
          <w:sz w:val="24"/>
          <w:lang w:val="en-US"/>
        </w:rPr>
      </w:pPr>
      <w:r w:rsidRPr="00916F4F">
        <w:rPr>
          <w:rFonts w:ascii="Times New Roman" w:hAnsi="Times New Roman" w:cs="Times New Roman"/>
          <w:sz w:val="24"/>
          <w:lang w:val="en-US"/>
        </w:rPr>
        <w:t xml:space="preserve">With the aim of supporting companies and debtors within the exceptional COVID-19 phase, the Italian Government </w:t>
      </w:r>
      <w:r w:rsidR="001715D8" w:rsidRPr="00916F4F">
        <w:rPr>
          <w:rFonts w:ascii="Times New Roman" w:hAnsi="Times New Roman" w:cs="Times New Roman"/>
          <w:sz w:val="24"/>
          <w:lang w:val="en-US"/>
        </w:rPr>
        <w:t xml:space="preserve">has </w:t>
      </w:r>
      <w:r w:rsidRPr="00916F4F">
        <w:rPr>
          <w:rFonts w:ascii="Times New Roman" w:hAnsi="Times New Roman" w:cs="Times New Roman"/>
          <w:sz w:val="24"/>
          <w:lang w:val="en-US"/>
        </w:rPr>
        <w:t xml:space="preserve">introduced measures for the postponement of terms within restructuring plans. In particular, </w:t>
      </w:r>
      <w:r w:rsidR="001715D8" w:rsidRPr="00916F4F">
        <w:rPr>
          <w:rFonts w:ascii="Times New Roman" w:hAnsi="Times New Roman" w:cs="Times New Roman"/>
          <w:sz w:val="24"/>
          <w:lang w:val="en-US"/>
        </w:rPr>
        <w:t>A</w:t>
      </w:r>
      <w:r w:rsidRPr="00916F4F">
        <w:rPr>
          <w:rFonts w:ascii="Times New Roman" w:hAnsi="Times New Roman" w:cs="Times New Roman"/>
          <w:sz w:val="24"/>
          <w:lang w:val="en-US"/>
        </w:rPr>
        <w:t>rt</w:t>
      </w:r>
      <w:r w:rsidR="001715D8" w:rsidRPr="00916F4F">
        <w:rPr>
          <w:rFonts w:ascii="Times New Roman" w:hAnsi="Times New Roman" w:cs="Times New Roman"/>
          <w:sz w:val="24"/>
          <w:lang w:val="en-US"/>
        </w:rPr>
        <w:t>icle</w:t>
      </w:r>
      <w:r w:rsidRPr="00916F4F">
        <w:rPr>
          <w:rFonts w:ascii="Times New Roman" w:hAnsi="Times New Roman" w:cs="Times New Roman"/>
          <w:sz w:val="24"/>
          <w:lang w:val="en-US"/>
        </w:rPr>
        <w:t xml:space="preserve"> 9 of</w:t>
      </w:r>
      <w:r w:rsidR="001715D8" w:rsidRPr="00916F4F">
        <w:rPr>
          <w:rFonts w:ascii="Times New Roman" w:hAnsi="Times New Roman" w:cs="Times New Roman"/>
          <w:sz w:val="24"/>
          <w:lang w:val="en-US"/>
        </w:rPr>
        <w:t xml:space="preserve"> the</w:t>
      </w:r>
      <w:r w:rsidRPr="00916F4F">
        <w:rPr>
          <w:rFonts w:ascii="Times New Roman" w:hAnsi="Times New Roman" w:cs="Times New Roman"/>
          <w:sz w:val="24"/>
          <w:lang w:val="en-US"/>
        </w:rPr>
        <w:t xml:space="preserve"> </w:t>
      </w:r>
      <w:r w:rsidR="00DD1542" w:rsidRPr="00916F4F">
        <w:rPr>
          <w:rFonts w:ascii="Times New Roman" w:hAnsi="Times New Roman" w:cs="Times New Roman"/>
          <w:sz w:val="24"/>
          <w:lang w:val="en-US"/>
        </w:rPr>
        <w:t>“</w:t>
      </w:r>
      <w:r w:rsidRPr="00916F4F">
        <w:rPr>
          <w:rFonts w:ascii="Times New Roman" w:hAnsi="Times New Roman" w:cs="Times New Roman"/>
          <w:sz w:val="24"/>
          <w:lang w:val="en-US"/>
        </w:rPr>
        <w:t>Decreto Liquidità</w:t>
      </w:r>
      <w:r w:rsidR="00DD1542" w:rsidRPr="00916F4F">
        <w:rPr>
          <w:rFonts w:ascii="Times New Roman" w:hAnsi="Times New Roman" w:cs="Times New Roman"/>
          <w:sz w:val="24"/>
          <w:lang w:val="en-US"/>
        </w:rPr>
        <w:t>”</w:t>
      </w:r>
      <w:r w:rsidRPr="00916F4F">
        <w:rPr>
          <w:rFonts w:ascii="Times New Roman" w:hAnsi="Times New Roman" w:cs="Times New Roman"/>
          <w:sz w:val="24"/>
          <w:lang w:val="en-US"/>
        </w:rPr>
        <w:t xml:space="preserve"> provides </w:t>
      </w:r>
      <w:r w:rsidR="001715D8" w:rsidRPr="00916F4F">
        <w:rPr>
          <w:rFonts w:ascii="Times New Roman" w:hAnsi="Times New Roman" w:cs="Times New Roman"/>
          <w:sz w:val="24"/>
          <w:lang w:val="en-US"/>
        </w:rPr>
        <w:t>for an</w:t>
      </w:r>
      <w:r w:rsidRPr="00916F4F">
        <w:rPr>
          <w:rFonts w:ascii="Times New Roman" w:hAnsi="Times New Roman" w:cs="Times New Roman"/>
          <w:sz w:val="24"/>
          <w:lang w:val="en-US"/>
        </w:rPr>
        <w:t xml:space="preserve"> extension of six </w:t>
      </w:r>
      <w:r w:rsidR="001715D8" w:rsidRPr="00916F4F">
        <w:rPr>
          <w:rFonts w:ascii="Times New Roman" w:hAnsi="Times New Roman" w:cs="Times New Roman"/>
          <w:sz w:val="24"/>
          <w:lang w:val="en-US"/>
        </w:rPr>
        <w:t xml:space="preserve">further </w:t>
      </w:r>
      <w:r w:rsidRPr="00916F4F">
        <w:rPr>
          <w:rFonts w:ascii="Times New Roman" w:hAnsi="Times New Roman" w:cs="Times New Roman"/>
          <w:sz w:val="24"/>
          <w:lang w:val="en-US"/>
        </w:rPr>
        <w:t xml:space="preserve">months for all deadlines expiring between </w:t>
      </w:r>
      <w:r w:rsidR="001715D8" w:rsidRPr="00916F4F">
        <w:rPr>
          <w:rFonts w:ascii="Times New Roman" w:hAnsi="Times New Roman" w:cs="Times New Roman"/>
          <w:sz w:val="24"/>
          <w:lang w:val="en-US"/>
        </w:rPr>
        <w:t xml:space="preserve">23 </w:t>
      </w:r>
      <w:r w:rsidRPr="00916F4F">
        <w:rPr>
          <w:rFonts w:ascii="Times New Roman" w:hAnsi="Times New Roman" w:cs="Times New Roman"/>
          <w:sz w:val="24"/>
          <w:lang w:val="en-US"/>
        </w:rPr>
        <w:t xml:space="preserve">February 2020 and </w:t>
      </w:r>
      <w:r w:rsidR="001715D8" w:rsidRPr="00916F4F">
        <w:rPr>
          <w:rFonts w:ascii="Times New Roman" w:hAnsi="Times New Roman" w:cs="Times New Roman"/>
          <w:sz w:val="24"/>
          <w:lang w:val="en-US"/>
        </w:rPr>
        <w:t xml:space="preserve">31 </w:t>
      </w:r>
      <w:r w:rsidRPr="00916F4F">
        <w:rPr>
          <w:rFonts w:ascii="Times New Roman" w:hAnsi="Times New Roman" w:cs="Times New Roman"/>
          <w:sz w:val="24"/>
          <w:lang w:val="en-US"/>
        </w:rPr>
        <w:t>December 2021 for the fulfilment of restructuring plans formed under judicial restructuring proceedings and agreement with creditors already approved by creditors and Courts.</w:t>
      </w:r>
    </w:p>
    <w:p w14:paraId="3F231DC8" w14:textId="77777777" w:rsidR="001715D8" w:rsidRPr="00916F4F" w:rsidRDefault="001715D8" w:rsidP="00292F18">
      <w:pPr>
        <w:pStyle w:val="Testonewsletter"/>
        <w:tabs>
          <w:tab w:val="left" w:pos="284"/>
        </w:tabs>
        <w:spacing w:after="0"/>
        <w:ind w:right="193"/>
        <w:rPr>
          <w:rFonts w:ascii="Times New Roman" w:hAnsi="Times New Roman" w:cs="Times New Roman"/>
          <w:sz w:val="24"/>
          <w:lang w:val="en-US"/>
        </w:rPr>
      </w:pPr>
    </w:p>
    <w:p w14:paraId="5E151CDC" w14:textId="77777777" w:rsidR="001715D8" w:rsidRPr="00916F4F" w:rsidRDefault="00292F18" w:rsidP="00292F18">
      <w:pPr>
        <w:pStyle w:val="Testonewsletter"/>
        <w:tabs>
          <w:tab w:val="left" w:pos="284"/>
        </w:tabs>
        <w:spacing w:after="0"/>
        <w:ind w:right="193"/>
        <w:rPr>
          <w:rFonts w:ascii="Times New Roman" w:hAnsi="Times New Roman" w:cs="Times New Roman"/>
          <w:sz w:val="24"/>
          <w:lang w:val="en-US"/>
        </w:rPr>
      </w:pPr>
      <w:r w:rsidRPr="00916F4F">
        <w:rPr>
          <w:rFonts w:ascii="Times New Roman" w:hAnsi="Times New Roman" w:cs="Times New Roman"/>
          <w:sz w:val="24"/>
          <w:lang w:val="en-US"/>
        </w:rPr>
        <w:t xml:space="preserve">With regard to restructuring proceedings pending at </w:t>
      </w:r>
      <w:r w:rsidR="001715D8" w:rsidRPr="00916F4F">
        <w:rPr>
          <w:rFonts w:ascii="Times New Roman" w:hAnsi="Times New Roman" w:cs="Times New Roman"/>
          <w:sz w:val="24"/>
          <w:lang w:val="en-US"/>
        </w:rPr>
        <w:t xml:space="preserve">23 </w:t>
      </w:r>
      <w:r w:rsidRPr="00916F4F">
        <w:rPr>
          <w:rFonts w:ascii="Times New Roman" w:hAnsi="Times New Roman" w:cs="Times New Roman"/>
          <w:sz w:val="24"/>
          <w:lang w:val="en-US"/>
        </w:rPr>
        <w:t xml:space="preserve">February 2020 not yet submitted </w:t>
      </w:r>
      <w:r w:rsidR="001715D8" w:rsidRPr="00916F4F">
        <w:rPr>
          <w:rFonts w:ascii="Times New Roman" w:hAnsi="Times New Roman" w:cs="Times New Roman"/>
          <w:sz w:val="24"/>
          <w:lang w:val="en-US"/>
        </w:rPr>
        <w:t xml:space="preserve">for </w:t>
      </w:r>
      <w:r w:rsidRPr="00916F4F">
        <w:rPr>
          <w:rFonts w:ascii="Times New Roman" w:hAnsi="Times New Roman" w:cs="Times New Roman"/>
          <w:sz w:val="24"/>
          <w:lang w:val="en-US"/>
        </w:rPr>
        <w:t xml:space="preserve">the approval of the Court, the Decree provides that the debtor can file, until the hearing fixed for the approval of the plan by the Court, a specific motion in order to obtain a new non-extendable term (for </w:t>
      </w:r>
      <w:r w:rsidR="001715D8" w:rsidRPr="00916F4F">
        <w:rPr>
          <w:rFonts w:ascii="Times New Roman" w:hAnsi="Times New Roman" w:cs="Times New Roman"/>
          <w:sz w:val="24"/>
          <w:lang w:val="en-US"/>
        </w:rPr>
        <w:t xml:space="preserve">a </w:t>
      </w:r>
      <w:r w:rsidRPr="00916F4F">
        <w:rPr>
          <w:rFonts w:ascii="Times New Roman" w:hAnsi="Times New Roman" w:cs="Times New Roman"/>
          <w:sz w:val="24"/>
          <w:lang w:val="en-US"/>
        </w:rPr>
        <w:t xml:space="preserve">maximum </w:t>
      </w:r>
      <w:r w:rsidR="001715D8" w:rsidRPr="00916F4F">
        <w:rPr>
          <w:rFonts w:ascii="Times New Roman" w:hAnsi="Times New Roman" w:cs="Times New Roman"/>
          <w:sz w:val="24"/>
          <w:lang w:val="en-US"/>
        </w:rPr>
        <w:t xml:space="preserve">of </w:t>
      </w:r>
      <w:r w:rsidRPr="00916F4F">
        <w:rPr>
          <w:rFonts w:ascii="Times New Roman" w:hAnsi="Times New Roman" w:cs="Times New Roman"/>
          <w:sz w:val="24"/>
          <w:lang w:val="en-US"/>
        </w:rPr>
        <w:t xml:space="preserve">90 days starting </w:t>
      </w:r>
      <w:r w:rsidR="001715D8" w:rsidRPr="00916F4F">
        <w:rPr>
          <w:rFonts w:ascii="Times New Roman" w:hAnsi="Times New Roman" w:cs="Times New Roman"/>
          <w:sz w:val="24"/>
          <w:lang w:val="en-US"/>
        </w:rPr>
        <w:t xml:space="preserve">with </w:t>
      </w:r>
      <w:r w:rsidRPr="00916F4F">
        <w:rPr>
          <w:rFonts w:ascii="Times New Roman" w:hAnsi="Times New Roman" w:cs="Times New Roman"/>
          <w:sz w:val="24"/>
          <w:lang w:val="en-US"/>
        </w:rPr>
        <w:t xml:space="preserve">the decision of the Court) for the filing of a new restructuring plan or a new proposal to creditors. </w:t>
      </w:r>
      <w:r w:rsidR="001715D8" w:rsidRPr="00916F4F">
        <w:rPr>
          <w:rFonts w:ascii="Times New Roman" w:hAnsi="Times New Roman" w:cs="Times New Roman"/>
          <w:sz w:val="24"/>
          <w:lang w:val="en-US"/>
        </w:rPr>
        <w:t xml:space="preserve">In </w:t>
      </w:r>
      <w:r w:rsidRPr="00916F4F">
        <w:rPr>
          <w:rFonts w:ascii="Times New Roman" w:hAnsi="Times New Roman" w:cs="Times New Roman"/>
          <w:sz w:val="24"/>
          <w:lang w:val="en-US"/>
        </w:rPr>
        <w:t>this regard, the Decree excludes the possibility to file the motion for extension in those proceedings where voting operations have been already executed and the majorities provided by law have not been reached.</w:t>
      </w:r>
    </w:p>
    <w:p w14:paraId="2480808F" w14:textId="77777777" w:rsidR="001715D8" w:rsidRPr="00916F4F" w:rsidRDefault="001715D8" w:rsidP="00292F18">
      <w:pPr>
        <w:pStyle w:val="Testonewsletter"/>
        <w:tabs>
          <w:tab w:val="left" w:pos="284"/>
        </w:tabs>
        <w:spacing w:after="0"/>
        <w:ind w:right="193"/>
        <w:rPr>
          <w:rFonts w:ascii="Times New Roman" w:hAnsi="Times New Roman" w:cs="Times New Roman"/>
          <w:sz w:val="24"/>
          <w:lang w:val="en-US"/>
        </w:rPr>
      </w:pPr>
    </w:p>
    <w:p w14:paraId="404D1593" w14:textId="33820839" w:rsidR="00292F18" w:rsidRPr="00916F4F" w:rsidRDefault="00292F18" w:rsidP="00292F18">
      <w:pPr>
        <w:pStyle w:val="Testonewsletter"/>
        <w:tabs>
          <w:tab w:val="left" w:pos="284"/>
        </w:tabs>
        <w:spacing w:after="0"/>
        <w:ind w:right="193"/>
        <w:rPr>
          <w:rFonts w:ascii="Times New Roman" w:hAnsi="Times New Roman" w:cs="Times New Roman"/>
          <w:sz w:val="24"/>
          <w:lang w:val="en-US"/>
        </w:rPr>
      </w:pPr>
      <w:r w:rsidRPr="00916F4F">
        <w:rPr>
          <w:rFonts w:ascii="Times New Roman" w:hAnsi="Times New Roman" w:cs="Times New Roman"/>
          <w:sz w:val="24"/>
          <w:lang w:val="en-US"/>
        </w:rPr>
        <w:t xml:space="preserve">The extension for </w:t>
      </w:r>
      <w:r w:rsidR="001715D8" w:rsidRPr="00916F4F">
        <w:rPr>
          <w:rFonts w:ascii="Times New Roman" w:hAnsi="Times New Roman" w:cs="Times New Roman"/>
          <w:sz w:val="24"/>
          <w:lang w:val="en-US"/>
        </w:rPr>
        <w:t xml:space="preserve">the </w:t>
      </w:r>
      <w:r w:rsidRPr="00916F4F">
        <w:rPr>
          <w:rFonts w:ascii="Times New Roman" w:hAnsi="Times New Roman" w:cs="Times New Roman"/>
          <w:sz w:val="24"/>
          <w:lang w:val="en-US"/>
        </w:rPr>
        <w:t xml:space="preserve">maximum 90-day period can be granted by the Court, even an insolvency motion against the debtor </w:t>
      </w:r>
      <w:r w:rsidR="001715D8" w:rsidRPr="00916F4F">
        <w:rPr>
          <w:rFonts w:ascii="Times New Roman" w:hAnsi="Times New Roman" w:cs="Times New Roman"/>
          <w:sz w:val="24"/>
          <w:lang w:val="en-US"/>
        </w:rPr>
        <w:t xml:space="preserve">is pending </w:t>
      </w:r>
      <w:r w:rsidRPr="00916F4F">
        <w:rPr>
          <w:rFonts w:ascii="Times New Roman" w:hAnsi="Times New Roman" w:cs="Times New Roman"/>
          <w:sz w:val="24"/>
          <w:lang w:val="en-US"/>
        </w:rPr>
        <w:t>and also in case</w:t>
      </w:r>
      <w:r w:rsidR="001715D8" w:rsidRPr="00916F4F">
        <w:rPr>
          <w:rFonts w:ascii="Times New Roman" w:hAnsi="Times New Roman" w:cs="Times New Roman"/>
          <w:sz w:val="24"/>
          <w:lang w:val="en-US"/>
        </w:rPr>
        <w:t>s where</w:t>
      </w:r>
      <w:r w:rsidRPr="00916F4F">
        <w:rPr>
          <w:rFonts w:ascii="Times New Roman" w:hAnsi="Times New Roman" w:cs="Times New Roman"/>
          <w:sz w:val="24"/>
          <w:lang w:val="en-US"/>
        </w:rPr>
        <w:t xml:space="preserve"> the debtor </w:t>
      </w:r>
      <w:r w:rsidR="001715D8" w:rsidRPr="00916F4F">
        <w:rPr>
          <w:rFonts w:ascii="Times New Roman" w:hAnsi="Times New Roman" w:cs="Times New Roman"/>
          <w:sz w:val="24"/>
          <w:lang w:val="en-US"/>
        </w:rPr>
        <w:t xml:space="preserve">has </w:t>
      </w:r>
      <w:r w:rsidRPr="00916F4F">
        <w:rPr>
          <w:rFonts w:ascii="Times New Roman" w:hAnsi="Times New Roman" w:cs="Times New Roman"/>
          <w:sz w:val="24"/>
          <w:lang w:val="en-US"/>
        </w:rPr>
        <w:t xml:space="preserve">already obtained an extension for the filing of the plan or the proposal during the period precedent to the COVID 19 emergency. In this specific case, the debtor </w:t>
      </w:r>
      <w:r w:rsidR="001715D8" w:rsidRPr="00916F4F">
        <w:rPr>
          <w:rFonts w:ascii="Times New Roman" w:hAnsi="Times New Roman" w:cs="Times New Roman"/>
          <w:sz w:val="24"/>
          <w:lang w:val="en-US"/>
        </w:rPr>
        <w:t xml:space="preserve">is required to present </w:t>
      </w:r>
      <w:r w:rsidRPr="00916F4F">
        <w:rPr>
          <w:rFonts w:ascii="Times New Roman" w:hAnsi="Times New Roman" w:cs="Times New Roman"/>
          <w:sz w:val="24"/>
          <w:lang w:val="en-US"/>
        </w:rPr>
        <w:t xml:space="preserve">specific evidence and demonstrate the need </w:t>
      </w:r>
      <w:r w:rsidR="001715D8" w:rsidRPr="00916F4F">
        <w:rPr>
          <w:rFonts w:ascii="Times New Roman" w:hAnsi="Times New Roman" w:cs="Times New Roman"/>
          <w:sz w:val="24"/>
          <w:lang w:val="en-US"/>
        </w:rPr>
        <w:t xml:space="preserve">for </w:t>
      </w:r>
      <w:r w:rsidRPr="00916F4F">
        <w:rPr>
          <w:rFonts w:ascii="Times New Roman" w:hAnsi="Times New Roman" w:cs="Times New Roman"/>
          <w:sz w:val="24"/>
          <w:lang w:val="en-US"/>
        </w:rPr>
        <w:t xml:space="preserve">the extension. The Court </w:t>
      </w:r>
      <w:r w:rsidR="001715D8" w:rsidRPr="00916F4F">
        <w:rPr>
          <w:rFonts w:ascii="Times New Roman" w:hAnsi="Times New Roman" w:cs="Times New Roman"/>
          <w:sz w:val="24"/>
          <w:lang w:val="en-US"/>
        </w:rPr>
        <w:t xml:space="preserve">will </w:t>
      </w:r>
      <w:r w:rsidRPr="00916F4F">
        <w:rPr>
          <w:rFonts w:ascii="Times New Roman" w:hAnsi="Times New Roman" w:cs="Times New Roman"/>
          <w:sz w:val="24"/>
          <w:lang w:val="en-US"/>
        </w:rPr>
        <w:t>decide on this specific motion, also hearing the Commissioner supervising the procedure and the public prosecutor.</w:t>
      </w:r>
    </w:p>
    <w:p w14:paraId="77A8676E" w14:textId="77777777" w:rsidR="001715D8" w:rsidRPr="00916F4F" w:rsidRDefault="001715D8" w:rsidP="00292F18">
      <w:pPr>
        <w:pStyle w:val="Testonewsletter"/>
        <w:tabs>
          <w:tab w:val="left" w:pos="284"/>
        </w:tabs>
        <w:spacing w:after="0"/>
        <w:ind w:right="193"/>
        <w:rPr>
          <w:rFonts w:ascii="Times New Roman" w:hAnsi="Times New Roman" w:cs="Times New Roman"/>
          <w:sz w:val="24"/>
          <w:lang w:val="en-US"/>
        </w:rPr>
      </w:pPr>
    </w:p>
    <w:p w14:paraId="68416F35" w14:textId="1A241DF0" w:rsidR="00292F18" w:rsidRPr="00916F4F" w:rsidRDefault="00292F18" w:rsidP="00292F18">
      <w:pPr>
        <w:pStyle w:val="Testonewsletter"/>
        <w:tabs>
          <w:tab w:val="left" w:pos="284"/>
        </w:tabs>
        <w:spacing w:after="0"/>
        <w:ind w:right="193"/>
        <w:rPr>
          <w:rFonts w:ascii="Times New Roman" w:hAnsi="Times New Roman" w:cs="Times New Roman"/>
          <w:sz w:val="24"/>
          <w:lang w:val="en-US"/>
        </w:rPr>
      </w:pPr>
      <w:r w:rsidRPr="00916F4F">
        <w:rPr>
          <w:rFonts w:ascii="Times New Roman" w:hAnsi="Times New Roman" w:cs="Times New Roman"/>
          <w:sz w:val="24"/>
          <w:lang w:val="en-US"/>
        </w:rPr>
        <w:t>It is also provided that</w:t>
      </w:r>
      <w:r w:rsidR="001715D8" w:rsidRPr="00916F4F">
        <w:rPr>
          <w:rFonts w:ascii="Times New Roman" w:hAnsi="Times New Roman" w:cs="Times New Roman"/>
          <w:sz w:val="24"/>
          <w:lang w:val="en-US"/>
        </w:rPr>
        <w:t>,</w:t>
      </w:r>
      <w:r w:rsidRPr="00916F4F">
        <w:rPr>
          <w:rFonts w:ascii="Times New Roman" w:hAnsi="Times New Roman" w:cs="Times New Roman"/>
          <w:sz w:val="24"/>
          <w:lang w:val="en-US"/>
        </w:rPr>
        <w:t xml:space="preserve"> if the debtor intends to file a motion in order to revise and obtain an extension of deadlines regarding the execution and fulfilment of the obligations provided in a plan already submitted to creditors, but not yet approved by the Court, the extension can be granted by the Court for a maximum period of six months. In this specific case</w:t>
      </w:r>
      <w:r w:rsidR="00B4169A" w:rsidRPr="00916F4F">
        <w:rPr>
          <w:rFonts w:ascii="Times New Roman" w:hAnsi="Times New Roman" w:cs="Times New Roman"/>
          <w:sz w:val="24"/>
          <w:lang w:val="en-US"/>
        </w:rPr>
        <w:t>,</w:t>
      </w:r>
      <w:r w:rsidRPr="00916F4F">
        <w:rPr>
          <w:rFonts w:ascii="Times New Roman" w:hAnsi="Times New Roman" w:cs="Times New Roman"/>
          <w:sz w:val="24"/>
          <w:lang w:val="en-US"/>
        </w:rPr>
        <w:t xml:space="preserve"> the Court </w:t>
      </w:r>
      <w:r w:rsidR="00B4169A" w:rsidRPr="00916F4F">
        <w:rPr>
          <w:rFonts w:ascii="Times New Roman" w:hAnsi="Times New Roman" w:cs="Times New Roman"/>
          <w:sz w:val="24"/>
          <w:lang w:val="en-US"/>
        </w:rPr>
        <w:t xml:space="preserve">will </w:t>
      </w:r>
      <w:r w:rsidRPr="00916F4F">
        <w:rPr>
          <w:rFonts w:ascii="Times New Roman" w:hAnsi="Times New Roman" w:cs="Times New Roman"/>
          <w:sz w:val="24"/>
          <w:lang w:val="en-US"/>
        </w:rPr>
        <w:t xml:space="preserve">approve </w:t>
      </w:r>
      <w:r w:rsidR="00B4169A" w:rsidRPr="00916F4F">
        <w:rPr>
          <w:rFonts w:ascii="Times New Roman" w:hAnsi="Times New Roman" w:cs="Times New Roman"/>
          <w:sz w:val="24"/>
          <w:lang w:val="en-US"/>
        </w:rPr>
        <w:t xml:space="preserve">a </w:t>
      </w:r>
      <w:r w:rsidRPr="00916F4F">
        <w:rPr>
          <w:rFonts w:ascii="Times New Roman" w:hAnsi="Times New Roman" w:cs="Times New Roman"/>
          <w:sz w:val="24"/>
          <w:lang w:val="en-US"/>
        </w:rPr>
        <w:t>plan</w:t>
      </w:r>
      <w:r w:rsidR="00B4169A" w:rsidRPr="00916F4F">
        <w:rPr>
          <w:rFonts w:ascii="Times New Roman" w:hAnsi="Times New Roman" w:cs="Times New Roman"/>
          <w:sz w:val="24"/>
          <w:lang w:val="en-US"/>
        </w:rPr>
        <w:t xml:space="preserve"> and</w:t>
      </w:r>
      <w:r w:rsidRPr="00916F4F">
        <w:rPr>
          <w:rFonts w:ascii="Times New Roman" w:hAnsi="Times New Roman" w:cs="Times New Roman"/>
          <w:sz w:val="24"/>
          <w:lang w:val="en-US"/>
        </w:rPr>
        <w:t xml:space="preserve"> highlight </w:t>
      </w:r>
      <w:r w:rsidR="00B4169A" w:rsidRPr="00916F4F">
        <w:rPr>
          <w:rFonts w:ascii="Times New Roman" w:hAnsi="Times New Roman" w:cs="Times New Roman"/>
          <w:sz w:val="24"/>
          <w:lang w:val="en-US"/>
        </w:rPr>
        <w:t>with</w:t>
      </w:r>
      <w:r w:rsidRPr="00916F4F">
        <w:rPr>
          <w:rFonts w:ascii="Times New Roman" w:hAnsi="Times New Roman" w:cs="Times New Roman"/>
          <w:sz w:val="24"/>
          <w:lang w:val="en-US"/>
        </w:rPr>
        <w:t>in the approval the new deadlines granted.</w:t>
      </w:r>
    </w:p>
    <w:p w14:paraId="7DEF1D2F" w14:textId="77777777" w:rsidR="00B4169A" w:rsidRPr="00916F4F" w:rsidRDefault="00B4169A" w:rsidP="00292F18">
      <w:pPr>
        <w:pStyle w:val="Testonewsletter"/>
        <w:tabs>
          <w:tab w:val="left" w:pos="284"/>
        </w:tabs>
        <w:spacing w:after="0"/>
        <w:ind w:right="193"/>
        <w:rPr>
          <w:rFonts w:ascii="Times New Roman" w:hAnsi="Times New Roman" w:cs="Times New Roman"/>
          <w:sz w:val="24"/>
          <w:lang w:val="en-GB"/>
        </w:rPr>
      </w:pPr>
    </w:p>
    <w:p w14:paraId="06D08554" w14:textId="0BF5B4E9" w:rsidR="00292F18" w:rsidRPr="00916F4F" w:rsidRDefault="00292F18" w:rsidP="00292F18">
      <w:pPr>
        <w:pStyle w:val="Testonewsletter"/>
        <w:tabs>
          <w:tab w:val="left" w:pos="284"/>
        </w:tabs>
        <w:spacing w:after="0"/>
        <w:ind w:right="193"/>
        <w:rPr>
          <w:rFonts w:ascii="Times New Roman" w:hAnsi="Times New Roman" w:cs="Times New Roman"/>
          <w:sz w:val="24"/>
          <w:lang w:val="en-GB"/>
        </w:rPr>
      </w:pPr>
      <w:r w:rsidRPr="00916F4F">
        <w:rPr>
          <w:rFonts w:ascii="Times New Roman" w:hAnsi="Times New Roman" w:cs="Times New Roman"/>
          <w:sz w:val="24"/>
          <w:lang w:val="en-GB"/>
        </w:rPr>
        <w:t xml:space="preserve">The </w:t>
      </w:r>
      <w:r w:rsidRPr="00916F4F">
        <w:rPr>
          <w:rFonts w:ascii="Times New Roman" w:hAnsi="Times New Roman" w:cs="Times New Roman"/>
          <w:sz w:val="24"/>
          <w:lang w:val="en-US"/>
        </w:rPr>
        <w:t>same</w:t>
      </w:r>
      <w:r w:rsidRPr="00916F4F">
        <w:rPr>
          <w:rFonts w:ascii="Times New Roman" w:hAnsi="Times New Roman" w:cs="Times New Roman"/>
          <w:sz w:val="24"/>
          <w:lang w:val="en-GB"/>
        </w:rPr>
        <w:t xml:space="preserve"> decree </w:t>
      </w:r>
      <w:r w:rsidR="00B4169A" w:rsidRPr="00916F4F">
        <w:rPr>
          <w:rFonts w:ascii="Times New Roman" w:hAnsi="Times New Roman" w:cs="Times New Roman"/>
          <w:sz w:val="24"/>
          <w:lang w:val="en-GB"/>
        </w:rPr>
        <w:t xml:space="preserve">also </w:t>
      </w:r>
      <w:r w:rsidRPr="00916F4F">
        <w:rPr>
          <w:rFonts w:ascii="Times New Roman" w:hAnsi="Times New Roman" w:cs="Times New Roman"/>
          <w:sz w:val="24"/>
          <w:lang w:val="en-GB"/>
        </w:rPr>
        <w:t xml:space="preserve">suspends some provisions of the </w:t>
      </w:r>
      <w:r w:rsidR="00B4169A" w:rsidRPr="00916F4F">
        <w:rPr>
          <w:rFonts w:ascii="Times New Roman" w:hAnsi="Times New Roman" w:cs="Times New Roman"/>
          <w:sz w:val="24"/>
          <w:lang w:val="en-GB"/>
        </w:rPr>
        <w:t>C</w:t>
      </w:r>
      <w:r w:rsidRPr="00916F4F">
        <w:rPr>
          <w:rFonts w:ascii="Times New Roman" w:hAnsi="Times New Roman" w:cs="Times New Roman"/>
          <w:sz w:val="24"/>
          <w:lang w:val="en-GB"/>
        </w:rPr>
        <w:t xml:space="preserve">ivil </w:t>
      </w:r>
      <w:r w:rsidR="00B4169A" w:rsidRPr="00916F4F">
        <w:rPr>
          <w:rFonts w:ascii="Times New Roman" w:hAnsi="Times New Roman" w:cs="Times New Roman"/>
          <w:sz w:val="24"/>
          <w:lang w:val="en-GB"/>
        </w:rPr>
        <w:t>C</w:t>
      </w:r>
      <w:r w:rsidRPr="00916F4F">
        <w:rPr>
          <w:rFonts w:ascii="Times New Roman" w:hAnsi="Times New Roman" w:cs="Times New Roman"/>
          <w:sz w:val="24"/>
          <w:lang w:val="en-GB"/>
        </w:rPr>
        <w:t>ode concerning company law with a</w:t>
      </w:r>
      <w:r w:rsidR="00B4169A" w:rsidRPr="00916F4F">
        <w:rPr>
          <w:rFonts w:ascii="Times New Roman" w:hAnsi="Times New Roman" w:cs="Times New Roman"/>
          <w:sz w:val="24"/>
          <w:lang w:val="en-GB"/>
        </w:rPr>
        <w:t>n</w:t>
      </w:r>
      <w:r w:rsidRPr="00916F4F">
        <w:rPr>
          <w:rFonts w:ascii="Times New Roman" w:hAnsi="Times New Roman" w:cs="Times New Roman"/>
          <w:sz w:val="24"/>
          <w:lang w:val="en-GB"/>
        </w:rPr>
        <w:t xml:space="preserve"> (in)direct effect also on insolvency law. More specifically, the suspensions involve the reduction</w:t>
      </w:r>
      <w:r w:rsidR="00B4169A"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even </w:t>
      </w:r>
      <w:r w:rsidR="00B4169A" w:rsidRPr="00916F4F">
        <w:rPr>
          <w:rFonts w:ascii="Times New Roman" w:hAnsi="Times New Roman" w:cs="Times New Roman"/>
          <w:sz w:val="24"/>
          <w:lang w:val="en-GB"/>
        </w:rPr>
        <w:t xml:space="preserve">to </w:t>
      </w:r>
      <w:r w:rsidRPr="00916F4F">
        <w:rPr>
          <w:rFonts w:ascii="Times New Roman" w:hAnsi="Times New Roman" w:cs="Times New Roman"/>
          <w:sz w:val="24"/>
          <w:lang w:val="en-GB"/>
        </w:rPr>
        <w:t>below the legal minimum</w:t>
      </w:r>
      <w:r w:rsidR="00B4169A"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of capital </w:t>
      </w:r>
      <w:r w:rsidR="00B4169A" w:rsidRPr="00916F4F">
        <w:rPr>
          <w:rFonts w:ascii="Times New Roman" w:hAnsi="Times New Roman" w:cs="Times New Roman"/>
          <w:sz w:val="24"/>
          <w:lang w:val="en-GB"/>
        </w:rPr>
        <w:t xml:space="preserve">consequent on </w:t>
      </w:r>
      <w:r w:rsidRPr="00916F4F">
        <w:rPr>
          <w:rFonts w:ascii="Times New Roman" w:hAnsi="Times New Roman" w:cs="Times New Roman"/>
          <w:sz w:val="24"/>
          <w:lang w:val="en-GB"/>
        </w:rPr>
        <w:t>losses (</w:t>
      </w:r>
      <w:r w:rsidR="00B4169A" w:rsidRPr="00916F4F">
        <w:rPr>
          <w:rFonts w:ascii="Times New Roman" w:hAnsi="Times New Roman" w:cs="Times New Roman"/>
          <w:sz w:val="24"/>
          <w:lang w:val="en-GB"/>
        </w:rPr>
        <w:t>Article</w:t>
      </w:r>
      <w:r w:rsidRPr="00916F4F">
        <w:rPr>
          <w:rFonts w:ascii="Times New Roman" w:hAnsi="Times New Roman" w:cs="Times New Roman"/>
          <w:sz w:val="24"/>
          <w:lang w:val="en-GB"/>
        </w:rPr>
        <w:t xml:space="preserve"> 6</w:t>
      </w:r>
      <w:r w:rsidR="00B4169A"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w:t>
      </w:r>
      <w:r w:rsidR="00DD1542" w:rsidRPr="00916F4F">
        <w:rPr>
          <w:rFonts w:ascii="Times New Roman" w:hAnsi="Times New Roman" w:cs="Times New Roman"/>
          <w:sz w:val="24"/>
          <w:lang w:val="en-GB"/>
        </w:rPr>
        <w:t>“</w:t>
      </w:r>
      <w:r w:rsidRPr="00916F4F">
        <w:rPr>
          <w:rFonts w:ascii="Times New Roman" w:hAnsi="Times New Roman" w:cs="Times New Roman"/>
          <w:sz w:val="24"/>
          <w:lang w:val="en-GB"/>
        </w:rPr>
        <w:t>Decreto liquidità</w:t>
      </w:r>
      <w:r w:rsidR="00DD1542" w:rsidRPr="00916F4F">
        <w:rPr>
          <w:rFonts w:ascii="Times New Roman" w:hAnsi="Times New Roman" w:cs="Times New Roman"/>
          <w:sz w:val="24"/>
          <w:lang w:val="en-GB"/>
        </w:rPr>
        <w:t>”</w:t>
      </w:r>
      <w:r w:rsidRPr="00916F4F">
        <w:rPr>
          <w:rFonts w:ascii="Times New Roman" w:hAnsi="Times New Roman" w:cs="Times New Roman"/>
          <w:sz w:val="24"/>
          <w:lang w:val="en-GB"/>
        </w:rPr>
        <w:t>), the recognition of the going</w:t>
      </w:r>
      <w:r w:rsidR="00B4169A" w:rsidRPr="00916F4F">
        <w:rPr>
          <w:rFonts w:ascii="Times New Roman" w:hAnsi="Times New Roman" w:cs="Times New Roman"/>
          <w:sz w:val="24"/>
          <w:lang w:val="en-GB"/>
        </w:rPr>
        <w:t>-</w:t>
      </w:r>
      <w:r w:rsidRPr="00916F4F">
        <w:rPr>
          <w:rFonts w:ascii="Times New Roman" w:hAnsi="Times New Roman" w:cs="Times New Roman"/>
          <w:sz w:val="24"/>
          <w:lang w:val="en-GB"/>
        </w:rPr>
        <w:t>concern principle (</w:t>
      </w:r>
      <w:r w:rsidR="00B4169A" w:rsidRPr="00916F4F">
        <w:rPr>
          <w:rFonts w:ascii="Times New Roman" w:hAnsi="Times New Roman" w:cs="Times New Roman"/>
          <w:sz w:val="24"/>
          <w:lang w:val="en-GB"/>
        </w:rPr>
        <w:t>A</w:t>
      </w:r>
      <w:r w:rsidRPr="00916F4F">
        <w:rPr>
          <w:rFonts w:ascii="Times New Roman" w:hAnsi="Times New Roman" w:cs="Times New Roman"/>
          <w:sz w:val="24"/>
          <w:lang w:val="en-GB"/>
        </w:rPr>
        <w:t>rt</w:t>
      </w:r>
      <w:r w:rsidR="00B4169A" w:rsidRPr="00916F4F">
        <w:rPr>
          <w:rFonts w:ascii="Times New Roman" w:hAnsi="Times New Roman" w:cs="Times New Roman"/>
          <w:sz w:val="24"/>
          <w:lang w:val="en-GB"/>
        </w:rPr>
        <w:t>icle</w:t>
      </w:r>
      <w:r w:rsidRPr="00916F4F">
        <w:rPr>
          <w:rFonts w:ascii="Times New Roman" w:hAnsi="Times New Roman" w:cs="Times New Roman"/>
          <w:sz w:val="24"/>
          <w:lang w:val="en-GB"/>
        </w:rPr>
        <w:t xml:space="preserve"> 7) and the subordination of new financing (</w:t>
      </w:r>
      <w:r w:rsidR="00B4169A" w:rsidRPr="00916F4F">
        <w:rPr>
          <w:rFonts w:ascii="Times New Roman" w:hAnsi="Times New Roman" w:cs="Times New Roman"/>
          <w:sz w:val="24"/>
          <w:lang w:val="en-GB"/>
        </w:rPr>
        <w:t>A</w:t>
      </w:r>
      <w:r w:rsidRPr="00916F4F">
        <w:rPr>
          <w:rFonts w:ascii="Times New Roman" w:hAnsi="Times New Roman" w:cs="Times New Roman"/>
          <w:sz w:val="24"/>
          <w:lang w:val="en-GB"/>
        </w:rPr>
        <w:t>rt</w:t>
      </w:r>
      <w:r w:rsidR="00B4169A" w:rsidRPr="00916F4F">
        <w:rPr>
          <w:rFonts w:ascii="Times New Roman" w:hAnsi="Times New Roman" w:cs="Times New Roman"/>
          <w:sz w:val="24"/>
          <w:lang w:val="en-GB"/>
        </w:rPr>
        <w:t>icle</w:t>
      </w:r>
      <w:r w:rsidRPr="00916F4F">
        <w:rPr>
          <w:rFonts w:ascii="Times New Roman" w:hAnsi="Times New Roman" w:cs="Times New Roman"/>
          <w:sz w:val="24"/>
          <w:lang w:val="en-GB"/>
        </w:rPr>
        <w:t xml:space="preserve"> 8).</w:t>
      </w:r>
    </w:p>
    <w:p w14:paraId="6C2A1320" w14:textId="77777777" w:rsidR="00B4169A" w:rsidRPr="00916F4F" w:rsidRDefault="00B4169A" w:rsidP="00292F18">
      <w:pPr>
        <w:pStyle w:val="Testonewsletter"/>
        <w:tabs>
          <w:tab w:val="left" w:pos="284"/>
        </w:tabs>
        <w:spacing w:after="0"/>
        <w:ind w:right="193"/>
        <w:rPr>
          <w:rFonts w:ascii="Times New Roman" w:hAnsi="Times New Roman" w:cs="Times New Roman"/>
          <w:sz w:val="24"/>
          <w:lang w:val="en-GB"/>
        </w:rPr>
      </w:pPr>
    </w:p>
    <w:p w14:paraId="0897A350" w14:textId="5FDA53AB" w:rsidR="00292F18" w:rsidRPr="00916F4F" w:rsidRDefault="00292F18" w:rsidP="00292F18">
      <w:pPr>
        <w:pStyle w:val="Testonewsletter"/>
        <w:tabs>
          <w:tab w:val="left" w:pos="284"/>
        </w:tabs>
        <w:spacing w:after="0"/>
        <w:ind w:right="193"/>
        <w:rPr>
          <w:rFonts w:ascii="Times New Roman" w:hAnsi="Times New Roman" w:cs="Times New Roman"/>
          <w:i/>
          <w:iCs/>
          <w:sz w:val="24"/>
          <w:lang w:val="en-GB"/>
        </w:rPr>
      </w:pPr>
      <w:r w:rsidRPr="00916F4F">
        <w:rPr>
          <w:rFonts w:ascii="Times New Roman" w:hAnsi="Times New Roman" w:cs="Times New Roman"/>
          <w:i/>
          <w:iCs/>
          <w:sz w:val="24"/>
          <w:lang w:val="en-US"/>
        </w:rPr>
        <w:t>Reduction</w:t>
      </w:r>
      <w:r w:rsidRPr="00916F4F">
        <w:rPr>
          <w:rFonts w:ascii="Times New Roman" w:hAnsi="Times New Roman" w:cs="Times New Roman"/>
          <w:i/>
          <w:iCs/>
          <w:sz w:val="24"/>
          <w:lang w:val="en-GB"/>
        </w:rPr>
        <w:t xml:space="preserve"> of </w:t>
      </w:r>
      <w:r w:rsidR="00B4169A" w:rsidRPr="00916F4F">
        <w:rPr>
          <w:rFonts w:ascii="Times New Roman" w:hAnsi="Times New Roman" w:cs="Times New Roman"/>
          <w:i/>
          <w:iCs/>
          <w:sz w:val="24"/>
          <w:lang w:val="en-GB"/>
        </w:rPr>
        <w:t>C</w:t>
      </w:r>
      <w:r w:rsidRPr="00916F4F">
        <w:rPr>
          <w:rFonts w:ascii="Times New Roman" w:hAnsi="Times New Roman" w:cs="Times New Roman"/>
          <w:i/>
          <w:iCs/>
          <w:sz w:val="24"/>
          <w:lang w:val="en-GB"/>
        </w:rPr>
        <w:t xml:space="preserve">apital </w:t>
      </w:r>
      <w:r w:rsidRPr="00916F4F">
        <w:rPr>
          <w:rFonts w:ascii="Times New Roman" w:hAnsi="Times New Roman" w:cs="Times New Roman"/>
          <w:i/>
          <w:iCs/>
          <w:color w:val="auto"/>
          <w:sz w:val="24"/>
          <w:lang w:val="en-US"/>
        </w:rPr>
        <w:t>pursuant</w:t>
      </w:r>
      <w:r w:rsidRPr="00916F4F">
        <w:rPr>
          <w:rFonts w:ascii="Times New Roman" w:hAnsi="Times New Roman" w:cs="Times New Roman"/>
          <w:i/>
          <w:iCs/>
          <w:sz w:val="24"/>
          <w:lang w:val="en-GB"/>
        </w:rPr>
        <w:t xml:space="preserve"> to </w:t>
      </w:r>
      <w:r w:rsidR="00B4169A" w:rsidRPr="00916F4F">
        <w:rPr>
          <w:rFonts w:ascii="Times New Roman" w:hAnsi="Times New Roman" w:cs="Times New Roman"/>
          <w:i/>
          <w:iCs/>
          <w:sz w:val="24"/>
          <w:lang w:val="en-GB"/>
        </w:rPr>
        <w:t>L</w:t>
      </w:r>
      <w:r w:rsidRPr="00916F4F">
        <w:rPr>
          <w:rFonts w:ascii="Times New Roman" w:hAnsi="Times New Roman" w:cs="Times New Roman"/>
          <w:i/>
          <w:iCs/>
          <w:sz w:val="24"/>
          <w:lang w:val="en-GB"/>
        </w:rPr>
        <w:t>osses</w:t>
      </w:r>
    </w:p>
    <w:p w14:paraId="0DD68367" w14:textId="77777777" w:rsidR="00B4169A" w:rsidRDefault="00B4169A" w:rsidP="00292F18">
      <w:pPr>
        <w:pStyle w:val="Testonewsletter"/>
        <w:tabs>
          <w:tab w:val="left" w:pos="284"/>
        </w:tabs>
        <w:spacing w:after="0"/>
        <w:ind w:right="193"/>
        <w:rPr>
          <w:rFonts w:ascii="Times New Roman" w:hAnsi="Times New Roman" w:cs="Times New Roman"/>
          <w:sz w:val="24"/>
          <w:lang w:val="en-GB"/>
        </w:rPr>
      </w:pPr>
    </w:p>
    <w:p w14:paraId="31E22588" w14:textId="77777777" w:rsidR="00B4169A" w:rsidRPr="00916F4F" w:rsidRDefault="00292F18" w:rsidP="00292F18">
      <w:pPr>
        <w:pStyle w:val="Testonewsletter"/>
        <w:tabs>
          <w:tab w:val="left" w:pos="284"/>
        </w:tabs>
        <w:spacing w:after="0"/>
        <w:ind w:right="193"/>
        <w:rPr>
          <w:rFonts w:ascii="Times New Roman" w:hAnsi="Times New Roman" w:cs="Times New Roman"/>
          <w:sz w:val="24"/>
          <w:lang w:val="en-GB"/>
        </w:rPr>
      </w:pPr>
      <w:r w:rsidRPr="00916F4F">
        <w:rPr>
          <w:rFonts w:ascii="Times New Roman" w:hAnsi="Times New Roman" w:cs="Times New Roman"/>
          <w:sz w:val="24"/>
          <w:lang w:val="en-GB"/>
        </w:rPr>
        <w:t xml:space="preserve">The current emergency situation is likely to increase the number of companies that will incur </w:t>
      </w:r>
      <w:r w:rsidR="00B4169A" w:rsidRPr="00916F4F">
        <w:rPr>
          <w:rFonts w:ascii="Times New Roman" w:hAnsi="Times New Roman" w:cs="Times New Roman"/>
          <w:sz w:val="24"/>
          <w:lang w:val="en-GB"/>
        </w:rPr>
        <w:t xml:space="preserve">large </w:t>
      </w:r>
      <w:r w:rsidRPr="00916F4F">
        <w:rPr>
          <w:rFonts w:ascii="Times New Roman" w:hAnsi="Times New Roman" w:cs="Times New Roman"/>
          <w:sz w:val="24"/>
          <w:lang w:val="en-GB"/>
        </w:rPr>
        <w:t xml:space="preserve">losses in their balance sheets, despite the support measures envisaged in the decree. In this </w:t>
      </w:r>
      <w:r w:rsidR="00B4169A" w:rsidRPr="00916F4F">
        <w:rPr>
          <w:rFonts w:ascii="Times New Roman" w:hAnsi="Times New Roman" w:cs="Times New Roman"/>
          <w:sz w:val="24"/>
          <w:lang w:val="en-GB"/>
        </w:rPr>
        <w:t xml:space="preserve">light, </w:t>
      </w:r>
      <w:r w:rsidRPr="00916F4F">
        <w:rPr>
          <w:rFonts w:ascii="Times New Roman" w:hAnsi="Times New Roman" w:cs="Times New Roman"/>
          <w:sz w:val="24"/>
          <w:lang w:val="en-GB"/>
        </w:rPr>
        <w:t xml:space="preserve">the same decree provides for the suspension of some specific </w:t>
      </w:r>
      <w:r w:rsidRPr="00916F4F">
        <w:rPr>
          <w:rFonts w:ascii="Times New Roman" w:hAnsi="Times New Roman" w:cs="Times New Roman"/>
          <w:sz w:val="24"/>
          <w:lang w:val="en-GB"/>
        </w:rPr>
        <w:lastRenderedPageBreak/>
        <w:t>provisions of the civil code regulating the cases of reduction of capital pursuant to losses for more than one third of its and even when it falls below the legal minimum.</w:t>
      </w:r>
    </w:p>
    <w:p w14:paraId="20D61289" w14:textId="77777777" w:rsidR="00B4169A" w:rsidRPr="00916F4F" w:rsidRDefault="00B4169A" w:rsidP="00292F18">
      <w:pPr>
        <w:pStyle w:val="Testonewsletter"/>
        <w:tabs>
          <w:tab w:val="left" w:pos="284"/>
        </w:tabs>
        <w:spacing w:after="0"/>
        <w:ind w:right="193"/>
        <w:rPr>
          <w:rFonts w:ascii="Times New Roman" w:hAnsi="Times New Roman" w:cs="Times New Roman"/>
          <w:sz w:val="24"/>
          <w:lang w:val="en-GB"/>
        </w:rPr>
      </w:pPr>
    </w:p>
    <w:p w14:paraId="3C60E597" w14:textId="4B937BFD" w:rsidR="00292F18" w:rsidRPr="00916F4F" w:rsidRDefault="00292F18" w:rsidP="00292F18">
      <w:pPr>
        <w:pStyle w:val="Testonewsletter"/>
        <w:tabs>
          <w:tab w:val="left" w:pos="284"/>
        </w:tabs>
        <w:spacing w:after="0"/>
        <w:ind w:right="193"/>
        <w:rPr>
          <w:rFonts w:ascii="Times New Roman" w:hAnsi="Times New Roman" w:cs="Times New Roman"/>
          <w:sz w:val="24"/>
          <w:lang w:val="en-GB"/>
        </w:rPr>
      </w:pPr>
      <w:r w:rsidRPr="00916F4F">
        <w:rPr>
          <w:rFonts w:ascii="Times New Roman" w:hAnsi="Times New Roman" w:cs="Times New Roman"/>
          <w:sz w:val="24"/>
          <w:lang w:val="en-GB"/>
        </w:rPr>
        <w:t xml:space="preserve">This </w:t>
      </w:r>
      <w:r w:rsidR="00B4169A" w:rsidRPr="00916F4F">
        <w:rPr>
          <w:rFonts w:ascii="Times New Roman" w:hAnsi="Times New Roman" w:cs="Times New Roman"/>
          <w:sz w:val="24"/>
          <w:lang w:val="en-GB"/>
        </w:rPr>
        <w:t xml:space="preserve">is predicated </w:t>
      </w:r>
      <w:r w:rsidRPr="00916F4F">
        <w:rPr>
          <w:rFonts w:ascii="Times New Roman" w:hAnsi="Times New Roman" w:cs="Times New Roman"/>
          <w:sz w:val="24"/>
          <w:lang w:val="en-GB"/>
        </w:rPr>
        <w:t xml:space="preserve">on a prompt response </w:t>
      </w:r>
      <w:r w:rsidR="00B4169A" w:rsidRPr="00916F4F">
        <w:rPr>
          <w:rFonts w:ascii="Times New Roman" w:hAnsi="Times New Roman" w:cs="Times New Roman"/>
          <w:sz w:val="24"/>
          <w:lang w:val="en-GB"/>
        </w:rPr>
        <w:t xml:space="preserve">by </w:t>
      </w:r>
      <w:r w:rsidRPr="00916F4F">
        <w:rPr>
          <w:rFonts w:ascii="Times New Roman" w:hAnsi="Times New Roman" w:cs="Times New Roman"/>
          <w:sz w:val="24"/>
          <w:lang w:val="en-GB"/>
        </w:rPr>
        <w:t xml:space="preserve">directors, who </w:t>
      </w:r>
      <w:r w:rsidR="00B4169A" w:rsidRPr="00916F4F">
        <w:rPr>
          <w:rFonts w:ascii="Times New Roman" w:hAnsi="Times New Roman" w:cs="Times New Roman"/>
          <w:sz w:val="24"/>
          <w:lang w:val="en-GB"/>
        </w:rPr>
        <w:t xml:space="preserve">are required to summon a </w:t>
      </w:r>
      <w:r w:rsidRPr="00916F4F">
        <w:rPr>
          <w:rFonts w:ascii="Times New Roman" w:hAnsi="Times New Roman" w:cs="Times New Roman"/>
          <w:sz w:val="24"/>
          <w:lang w:val="en-GB"/>
        </w:rPr>
        <w:t>shareholders</w:t>
      </w:r>
      <w:r w:rsidR="00B4169A"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meeting without delay in order to resolve the reduction of capital. In principle</w:t>
      </w:r>
      <w:r w:rsidR="00B4169A"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Italian company law allows shareholders to wait until the end of the following financial year to see whether or not the loss could be recovered. This one-year waiting-period is granted</w:t>
      </w:r>
      <w:r w:rsidR="00B4169A"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insofar </w:t>
      </w:r>
      <w:r w:rsidR="00B4169A" w:rsidRPr="00916F4F">
        <w:rPr>
          <w:rFonts w:ascii="Times New Roman" w:hAnsi="Times New Roman" w:cs="Times New Roman"/>
          <w:sz w:val="24"/>
          <w:lang w:val="en-GB"/>
        </w:rPr>
        <w:t xml:space="preserve">as </w:t>
      </w:r>
      <w:r w:rsidRPr="00916F4F">
        <w:rPr>
          <w:rFonts w:ascii="Times New Roman" w:hAnsi="Times New Roman" w:cs="Times New Roman"/>
          <w:sz w:val="24"/>
          <w:lang w:val="en-GB"/>
        </w:rPr>
        <w:t>the loss does not affect the legal minimum. In all other cases</w:t>
      </w:r>
      <w:r w:rsidR="00B4169A"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shareholders have to choose between the reduction and simultaneous increase of capital to an amount not lower than the minimum set by the law, the conversion of the company, </w:t>
      </w:r>
      <w:r w:rsidR="00B4169A" w:rsidRPr="00916F4F">
        <w:rPr>
          <w:rFonts w:ascii="Times New Roman" w:hAnsi="Times New Roman" w:cs="Times New Roman"/>
          <w:sz w:val="24"/>
          <w:lang w:val="en-GB"/>
        </w:rPr>
        <w:t xml:space="preserve">or </w:t>
      </w:r>
      <w:r w:rsidRPr="00916F4F">
        <w:rPr>
          <w:rFonts w:ascii="Times New Roman" w:hAnsi="Times New Roman" w:cs="Times New Roman"/>
          <w:sz w:val="24"/>
          <w:lang w:val="en-GB"/>
        </w:rPr>
        <w:t xml:space="preserve">the termination of </w:t>
      </w:r>
      <w:r w:rsidR="00B4169A" w:rsidRPr="00916F4F">
        <w:rPr>
          <w:rFonts w:ascii="Times New Roman" w:hAnsi="Times New Roman" w:cs="Times New Roman"/>
          <w:sz w:val="24"/>
          <w:lang w:val="en-GB"/>
        </w:rPr>
        <w:t>the company</w:t>
      </w:r>
      <w:r w:rsidRPr="00916F4F">
        <w:rPr>
          <w:rFonts w:ascii="Times New Roman" w:hAnsi="Times New Roman" w:cs="Times New Roman"/>
          <w:sz w:val="24"/>
          <w:lang w:val="en-GB"/>
        </w:rPr>
        <w:t>.</w:t>
      </w:r>
    </w:p>
    <w:p w14:paraId="0429B5C9" w14:textId="77777777" w:rsidR="00B4169A" w:rsidRPr="00916F4F" w:rsidRDefault="00B4169A" w:rsidP="00292F18">
      <w:pPr>
        <w:pStyle w:val="Testonewsletter"/>
        <w:tabs>
          <w:tab w:val="left" w:pos="284"/>
        </w:tabs>
        <w:spacing w:after="0"/>
        <w:ind w:right="193"/>
        <w:rPr>
          <w:rFonts w:ascii="Times New Roman" w:hAnsi="Times New Roman" w:cs="Times New Roman"/>
          <w:sz w:val="24"/>
          <w:lang w:val="en-GB"/>
        </w:rPr>
      </w:pPr>
    </w:p>
    <w:p w14:paraId="6C54AE2A" w14:textId="260134E6" w:rsidR="00292F18" w:rsidRPr="00916F4F" w:rsidRDefault="00292F18" w:rsidP="00292F18">
      <w:pPr>
        <w:pStyle w:val="Testonewsletter"/>
        <w:tabs>
          <w:tab w:val="left" w:pos="284"/>
        </w:tabs>
        <w:spacing w:after="0"/>
        <w:ind w:right="193"/>
        <w:rPr>
          <w:rFonts w:ascii="Times New Roman" w:hAnsi="Times New Roman" w:cs="Times New Roman"/>
          <w:sz w:val="24"/>
          <w:lang w:val="en-GB"/>
        </w:rPr>
      </w:pPr>
      <w:r w:rsidRPr="00916F4F">
        <w:rPr>
          <w:rFonts w:ascii="Times New Roman" w:hAnsi="Times New Roman" w:cs="Times New Roman"/>
          <w:sz w:val="24"/>
          <w:lang w:val="en-GB"/>
        </w:rPr>
        <w:t>Art</w:t>
      </w:r>
      <w:r w:rsidR="00B4169A" w:rsidRPr="00916F4F">
        <w:rPr>
          <w:rFonts w:ascii="Times New Roman" w:hAnsi="Times New Roman" w:cs="Times New Roman"/>
          <w:sz w:val="24"/>
          <w:lang w:val="en-GB"/>
        </w:rPr>
        <w:t>icle</w:t>
      </w:r>
      <w:r w:rsidRPr="00916F4F">
        <w:rPr>
          <w:rFonts w:ascii="Times New Roman" w:hAnsi="Times New Roman" w:cs="Times New Roman"/>
          <w:sz w:val="24"/>
          <w:lang w:val="en-GB"/>
        </w:rPr>
        <w:t xml:space="preserve"> 6 of </w:t>
      </w:r>
      <w:r w:rsidR="00B4169A" w:rsidRPr="00916F4F">
        <w:rPr>
          <w:rFonts w:ascii="Times New Roman" w:hAnsi="Times New Roman" w:cs="Times New Roman"/>
          <w:sz w:val="24"/>
          <w:lang w:val="en-GB"/>
        </w:rPr>
        <w:t xml:space="preserve">the </w:t>
      </w:r>
      <w:r w:rsidR="00DD1542" w:rsidRPr="00916F4F">
        <w:rPr>
          <w:rFonts w:ascii="Times New Roman" w:hAnsi="Times New Roman" w:cs="Times New Roman"/>
          <w:sz w:val="24"/>
          <w:lang w:val="en-GB"/>
        </w:rPr>
        <w:t>“</w:t>
      </w:r>
      <w:r w:rsidRPr="00916F4F">
        <w:rPr>
          <w:rFonts w:ascii="Times New Roman" w:hAnsi="Times New Roman" w:cs="Times New Roman"/>
          <w:sz w:val="24"/>
          <w:lang w:val="en-GB"/>
        </w:rPr>
        <w:t>Decreto liquidità</w:t>
      </w:r>
      <w:r w:rsidR="00DD1542"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takes over the provisions regulating the reduction of capital below the legal minimum, the </w:t>
      </w:r>
      <w:r w:rsidR="00B4169A" w:rsidRPr="00916F4F">
        <w:rPr>
          <w:rFonts w:ascii="Times New Roman" w:hAnsi="Times New Roman" w:cs="Times New Roman"/>
          <w:sz w:val="24"/>
          <w:lang w:val="en-GB"/>
        </w:rPr>
        <w:t>one-</w:t>
      </w:r>
      <w:r w:rsidRPr="00916F4F">
        <w:rPr>
          <w:rFonts w:ascii="Times New Roman" w:hAnsi="Times New Roman" w:cs="Times New Roman"/>
          <w:sz w:val="24"/>
          <w:lang w:val="en-GB"/>
        </w:rPr>
        <w:t xml:space="preserve">year suspension and the consequent cause of termination of the company from the day of its entry into force until </w:t>
      </w:r>
      <w:r w:rsidR="00B4169A" w:rsidRPr="00916F4F">
        <w:rPr>
          <w:rFonts w:ascii="Times New Roman" w:hAnsi="Times New Roman" w:cs="Times New Roman"/>
          <w:sz w:val="24"/>
          <w:lang w:val="en-GB"/>
        </w:rPr>
        <w:t xml:space="preserve">31 </w:t>
      </w:r>
      <w:r w:rsidRPr="00916F4F">
        <w:rPr>
          <w:rFonts w:ascii="Times New Roman" w:hAnsi="Times New Roman" w:cs="Times New Roman"/>
          <w:sz w:val="24"/>
          <w:lang w:val="en-GB"/>
        </w:rPr>
        <w:t>December 2020.</w:t>
      </w:r>
    </w:p>
    <w:p w14:paraId="64F46268" w14:textId="77777777" w:rsidR="00B4169A" w:rsidRPr="00916F4F" w:rsidRDefault="00B4169A" w:rsidP="00B4169A">
      <w:pPr>
        <w:pStyle w:val="Testonewsletter"/>
        <w:tabs>
          <w:tab w:val="left" w:pos="284"/>
        </w:tabs>
        <w:spacing w:after="0"/>
        <w:ind w:right="193"/>
        <w:rPr>
          <w:rFonts w:ascii="Times New Roman" w:hAnsi="Times New Roman" w:cs="Times New Roman"/>
          <w:sz w:val="24"/>
          <w:lang w:val="en-GB"/>
        </w:rPr>
      </w:pPr>
    </w:p>
    <w:p w14:paraId="07AA7912" w14:textId="40A8702C" w:rsidR="00292F18" w:rsidRPr="00916F4F" w:rsidRDefault="00292F18" w:rsidP="00292F18">
      <w:pPr>
        <w:pStyle w:val="Testonewsletter"/>
        <w:tabs>
          <w:tab w:val="left" w:pos="284"/>
        </w:tabs>
        <w:spacing w:after="0"/>
        <w:ind w:right="193"/>
        <w:rPr>
          <w:rFonts w:ascii="Times New Roman" w:hAnsi="Times New Roman" w:cs="Times New Roman"/>
          <w:bCs/>
          <w:i/>
          <w:iCs/>
          <w:color w:val="auto"/>
          <w:sz w:val="24"/>
          <w:lang w:val="en-US"/>
        </w:rPr>
      </w:pPr>
      <w:r w:rsidRPr="00916F4F">
        <w:rPr>
          <w:rFonts w:ascii="Times New Roman" w:hAnsi="Times New Roman" w:cs="Times New Roman"/>
          <w:bCs/>
          <w:i/>
          <w:iCs/>
          <w:sz w:val="24"/>
          <w:lang w:val="en-GB"/>
        </w:rPr>
        <w:t xml:space="preserve">Going </w:t>
      </w:r>
      <w:r w:rsidR="00B4169A" w:rsidRPr="00916F4F">
        <w:rPr>
          <w:rFonts w:ascii="Times New Roman" w:hAnsi="Times New Roman" w:cs="Times New Roman"/>
          <w:bCs/>
          <w:i/>
          <w:iCs/>
          <w:sz w:val="24"/>
          <w:lang w:val="en-GB"/>
        </w:rPr>
        <w:t>C</w:t>
      </w:r>
      <w:r w:rsidRPr="00916F4F">
        <w:rPr>
          <w:rFonts w:ascii="Times New Roman" w:hAnsi="Times New Roman" w:cs="Times New Roman"/>
          <w:bCs/>
          <w:i/>
          <w:iCs/>
          <w:sz w:val="24"/>
          <w:lang w:val="en-GB"/>
        </w:rPr>
        <w:t xml:space="preserve">oncern </w:t>
      </w:r>
      <w:r w:rsidR="00B4169A" w:rsidRPr="00916F4F">
        <w:rPr>
          <w:rFonts w:ascii="Times New Roman" w:hAnsi="Times New Roman" w:cs="Times New Roman"/>
          <w:bCs/>
          <w:i/>
          <w:iCs/>
          <w:color w:val="auto"/>
          <w:sz w:val="24"/>
          <w:lang w:val="en-US"/>
        </w:rPr>
        <w:t>P</w:t>
      </w:r>
      <w:r w:rsidRPr="00916F4F">
        <w:rPr>
          <w:rFonts w:ascii="Times New Roman" w:hAnsi="Times New Roman" w:cs="Times New Roman"/>
          <w:bCs/>
          <w:i/>
          <w:iCs/>
          <w:color w:val="auto"/>
          <w:sz w:val="24"/>
          <w:lang w:val="en-US"/>
        </w:rPr>
        <w:t>rinciple</w:t>
      </w:r>
    </w:p>
    <w:p w14:paraId="18E41A55" w14:textId="77777777" w:rsidR="00B4169A" w:rsidRPr="00292F18" w:rsidRDefault="00B4169A" w:rsidP="00292F18">
      <w:pPr>
        <w:pStyle w:val="Testonewsletter"/>
        <w:tabs>
          <w:tab w:val="left" w:pos="284"/>
        </w:tabs>
        <w:spacing w:after="0"/>
        <w:ind w:right="193"/>
        <w:rPr>
          <w:rFonts w:ascii="Times New Roman" w:hAnsi="Times New Roman" w:cs="Times New Roman"/>
          <w:sz w:val="24"/>
          <w:lang w:val="en-GB"/>
        </w:rPr>
      </w:pPr>
    </w:p>
    <w:p w14:paraId="1420106C" w14:textId="77777777" w:rsidR="00B4169A" w:rsidRPr="00916F4F" w:rsidRDefault="00292F18" w:rsidP="00292F18">
      <w:pPr>
        <w:pStyle w:val="Testonewsletter"/>
        <w:tabs>
          <w:tab w:val="left" w:pos="284"/>
        </w:tabs>
        <w:spacing w:after="0"/>
        <w:ind w:right="193"/>
        <w:rPr>
          <w:rFonts w:ascii="Times New Roman" w:hAnsi="Times New Roman" w:cs="Times New Roman"/>
          <w:sz w:val="24"/>
          <w:lang w:val="en-GB"/>
        </w:rPr>
      </w:pPr>
      <w:r w:rsidRPr="00916F4F">
        <w:rPr>
          <w:rFonts w:ascii="Times New Roman" w:hAnsi="Times New Roman" w:cs="Times New Roman"/>
          <w:sz w:val="24"/>
          <w:lang w:val="en-GB"/>
        </w:rPr>
        <w:t>In this particular situation</w:t>
      </w:r>
      <w:r w:rsidR="00B4169A"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the going concern assessment of companies </w:t>
      </w:r>
      <w:r w:rsidR="00B4169A" w:rsidRPr="00916F4F">
        <w:rPr>
          <w:rFonts w:ascii="Times New Roman" w:hAnsi="Times New Roman" w:cs="Times New Roman"/>
          <w:sz w:val="24"/>
          <w:lang w:val="en-GB"/>
        </w:rPr>
        <w:t xml:space="preserve">will </w:t>
      </w:r>
      <w:r w:rsidRPr="00916F4F">
        <w:rPr>
          <w:rFonts w:ascii="Times New Roman" w:hAnsi="Times New Roman" w:cs="Times New Roman"/>
          <w:sz w:val="24"/>
          <w:lang w:val="en-GB"/>
        </w:rPr>
        <w:t xml:space="preserve">be affected by the economic downturn from the Covid-19 pandemic. Its consequences will be shown in the financial statements </w:t>
      </w:r>
      <w:r w:rsidR="00B4169A" w:rsidRPr="00916F4F">
        <w:rPr>
          <w:rFonts w:ascii="Times New Roman" w:hAnsi="Times New Roman" w:cs="Times New Roman"/>
          <w:sz w:val="24"/>
          <w:lang w:val="en-GB"/>
        </w:rPr>
        <w:t xml:space="preserve">for the 2020 </w:t>
      </w:r>
      <w:r w:rsidRPr="00916F4F">
        <w:rPr>
          <w:rFonts w:ascii="Times New Roman" w:hAnsi="Times New Roman" w:cs="Times New Roman"/>
          <w:sz w:val="24"/>
          <w:lang w:val="en-GB"/>
        </w:rPr>
        <w:t xml:space="preserve">financial year, which could </w:t>
      </w:r>
      <w:r w:rsidR="00B4169A" w:rsidRPr="00916F4F">
        <w:rPr>
          <w:rFonts w:ascii="Times New Roman" w:hAnsi="Times New Roman" w:cs="Times New Roman"/>
          <w:sz w:val="24"/>
          <w:lang w:val="en-GB"/>
        </w:rPr>
        <w:t xml:space="preserve">reveal the </w:t>
      </w:r>
      <w:r w:rsidRPr="00916F4F">
        <w:rPr>
          <w:rFonts w:ascii="Times New Roman" w:hAnsi="Times New Roman" w:cs="Times New Roman"/>
          <w:sz w:val="24"/>
          <w:lang w:val="en-GB"/>
        </w:rPr>
        <w:t xml:space="preserve">lack </w:t>
      </w:r>
      <w:r w:rsidR="00B4169A" w:rsidRPr="00916F4F">
        <w:rPr>
          <w:rFonts w:ascii="Times New Roman" w:hAnsi="Times New Roman" w:cs="Times New Roman"/>
          <w:sz w:val="24"/>
          <w:lang w:val="en-GB"/>
        </w:rPr>
        <w:t xml:space="preserve">of compliance with </w:t>
      </w:r>
      <w:r w:rsidRPr="00916F4F">
        <w:rPr>
          <w:rFonts w:ascii="Times New Roman" w:hAnsi="Times New Roman" w:cs="Times New Roman"/>
          <w:sz w:val="24"/>
          <w:lang w:val="en-GB"/>
        </w:rPr>
        <w:t xml:space="preserve">the going concern </w:t>
      </w:r>
      <w:r w:rsidR="00B4169A" w:rsidRPr="00916F4F">
        <w:rPr>
          <w:rFonts w:ascii="Times New Roman" w:hAnsi="Times New Roman" w:cs="Times New Roman"/>
          <w:sz w:val="24"/>
          <w:lang w:val="en-GB"/>
        </w:rPr>
        <w:t xml:space="preserve">principle </w:t>
      </w:r>
      <w:r w:rsidRPr="00916F4F">
        <w:rPr>
          <w:rFonts w:ascii="Times New Roman" w:hAnsi="Times New Roman" w:cs="Times New Roman"/>
          <w:sz w:val="24"/>
          <w:lang w:val="en-GB"/>
        </w:rPr>
        <w:t>and require the application of winding-up criteria. In order to neutralize the impact of this situation</w:t>
      </w:r>
      <w:r w:rsidR="00B4169A"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the </w:t>
      </w:r>
      <w:r w:rsidR="00DD1542" w:rsidRPr="00916F4F">
        <w:rPr>
          <w:rFonts w:ascii="Times New Roman" w:hAnsi="Times New Roman" w:cs="Times New Roman"/>
          <w:sz w:val="24"/>
          <w:lang w:val="en-GB"/>
        </w:rPr>
        <w:t>“</w:t>
      </w:r>
      <w:r w:rsidRPr="00916F4F">
        <w:rPr>
          <w:rFonts w:ascii="Times New Roman" w:hAnsi="Times New Roman" w:cs="Times New Roman"/>
          <w:sz w:val="24"/>
          <w:lang w:val="en-GB"/>
        </w:rPr>
        <w:t>Decreto liquidità</w:t>
      </w:r>
      <w:r w:rsidR="00DD1542"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sets a de jure assumption of presence of business continuity in the 2020 financial statement in case of positive assessment of going concern in the previous financial year </w:t>
      </w:r>
      <w:r w:rsidR="00B4169A" w:rsidRPr="00916F4F">
        <w:rPr>
          <w:rFonts w:ascii="Times New Roman" w:hAnsi="Times New Roman" w:cs="Times New Roman"/>
          <w:sz w:val="24"/>
          <w:lang w:val="en-GB"/>
        </w:rPr>
        <w:t xml:space="preserve">(provided the financial year ended </w:t>
      </w:r>
      <w:r w:rsidRPr="00916F4F">
        <w:rPr>
          <w:rFonts w:ascii="Times New Roman" w:hAnsi="Times New Roman" w:cs="Times New Roman"/>
          <w:sz w:val="24"/>
          <w:lang w:val="en-GB"/>
        </w:rPr>
        <w:t xml:space="preserve">before </w:t>
      </w:r>
      <w:r w:rsidR="00B4169A" w:rsidRPr="00916F4F">
        <w:rPr>
          <w:rFonts w:ascii="Times New Roman" w:hAnsi="Times New Roman" w:cs="Times New Roman"/>
          <w:sz w:val="24"/>
          <w:lang w:val="en-GB"/>
        </w:rPr>
        <w:t xml:space="preserve">23 </w:t>
      </w:r>
      <w:r w:rsidRPr="00916F4F">
        <w:rPr>
          <w:rFonts w:ascii="Times New Roman" w:hAnsi="Times New Roman" w:cs="Times New Roman"/>
          <w:sz w:val="24"/>
          <w:lang w:val="en-GB"/>
        </w:rPr>
        <w:t>February 2020</w:t>
      </w:r>
      <w:r w:rsidR="00B4169A" w:rsidRPr="00916F4F">
        <w:rPr>
          <w:rFonts w:ascii="Times New Roman" w:hAnsi="Times New Roman" w:cs="Times New Roman"/>
          <w:sz w:val="24"/>
          <w:lang w:val="en-GB"/>
        </w:rPr>
        <w:t>)</w:t>
      </w:r>
      <w:r w:rsidRPr="00916F4F">
        <w:rPr>
          <w:rFonts w:ascii="Times New Roman" w:hAnsi="Times New Roman" w:cs="Times New Roman"/>
          <w:sz w:val="24"/>
          <w:lang w:val="en-GB"/>
        </w:rPr>
        <w:t>.</w:t>
      </w:r>
    </w:p>
    <w:p w14:paraId="2B33D37E" w14:textId="77777777" w:rsidR="00B4169A" w:rsidRPr="00916F4F" w:rsidRDefault="00B4169A" w:rsidP="00292F18">
      <w:pPr>
        <w:pStyle w:val="Testonewsletter"/>
        <w:tabs>
          <w:tab w:val="left" w:pos="284"/>
        </w:tabs>
        <w:spacing w:after="0"/>
        <w:ind w:right="193"/>
        <w:rPr>
          <w:rFonts w:ascii="Times New Roman" w:hAnsi="Times New Roman" w:cs="Times New Roman"/>
          <w:sz w:val="24"/>
          <w:lang w:val="en-GB"/>
        </w:rPr>
      </w:pPr>
    </w:p>
    <w:p w14:paraId="31F36C1A" w14:textId="70F052C7" w:rsidR="00292F18" w:rsidRPr="00916F4F" w:rsidRDefault="00292F18" w:rsidP="00292F18">
      <w:pPr>
        <w:pStyle w:val="Testonewsletter"/>
        <w:tabs>
          <w:tab w:val="left" w:pos="284"/>
        </w:tabs>
        <w:spacing w:after="0"/>
        <w:ind w:right="193"/>
        <w:rPr>
          <w:rFonts w:ascii="Times New Roman" w:hAnsi="Times New Roman" w:cs="Times New Roman"/>
          <w:sz w:val="24"/>
          <w:lang w:val="en-GB"/>
        </w:rPr>
      </w:pPr>
      <w:r w:rsidRPr="00916F4F">
        <w:rPr>
          <w:rFonts w:ascii="Times New Roman" w:hAnsi="Times New Roman" w:cs="Times New Roman"/>
          <w:sz w:val="24"/>
          <w:lang w:val="en-GB"/>
        </w:rPr>
        <w:t xml:space="preserve">The application of the going concern principle has to be clearly illustrated in the explanatory notes of the financial statement. Moreover, proper reference to the findings of the balance sheet of the previous financial year is required by </w:t>
      </w:r>
      <w:r w:rsidR="00B4169A" w:rsidRPr="00916F4F">
        <w:rPr>
          <w:rFonts w:ascii="Times New Roman" w:hAnsi="Times New Roman" w:cs="Times New Roman"/>
          <w:sz w:val="24"/>
          <w:lang w:val="en-GB"/>
        </w:rPr>
        <w:t xml:space="preserve">Article </w:t>
      </w:r>
      <w:r w:rsidRPr="00916F4F">
        <w:rPr>
          <w:rFonts w:ascii="Times New Roman" w:hAnsi="Times New Roman" w:cs="Times New Roman"/>
          <w:sz w:val="24"/>
          <w:lang w:val="en-GB"/>
        </w:rPr>
        <w:t xml:space="preserve">7 of the said Decree. This temporary rule can be applied even to the financial statements of a financial year closed before </w:t>
      </w:r>
      <w:r w:rsidR="00B4169A" w:rsidRPr="00916F4F">
        <w:rPr>
          <w:rFonts w:ascii="Times New Roman" w:hAnsi="Times New Roman" w:cs="Times New Roman"/>
          <w:sz w:val="24"/>
          <w:lang w:val="en-GB"/>
        </w:rPr>
        <w:t xml:space="preserve">23 </w:t>
      </w:r>
      <w:r w:rsidRPr="00916F4F">
        <w:rPr>
          <w:rFonts w:ascii="Times New Roman" w:hAnsi="Times New Roman" w:cs="Times New Roman"/>
          <w:sz w:val="24"/>
          <w:lang w:val="en-GB"/>
        </w:rPr>
        <w:t>February 2020, but not yet approved by the shareholders</w:t>
      </w:r>
      <w:r w:rsidR="00DD1542"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meeting.</w:t>
      </w:r>
    </w:p>
    <w:p w14:paraId="4EA485CB" w14:textId="77777777" w:rsidR="00B4169A" w:rsidRPr="00916F4F" w:rsidRDefault="00B4169A" w:rsidP="00292F18">
      <w:pPr>
        <w:pStyle w:val="Testonewsletter"/>
        <w:tabs>
          <w:tab w:val="left" w:pos="284"/>
        </w:tabs>
        <w:spacing w:after="0"/>
        <w:ind w:right="193"/>
        <w:rPr>
          <w:rFonts w:ascii="Times New Roman" w:hAnsi="Times New Roman" w:cs="Times New Roman"/>
          <w:sz w:val="24"/>
          <w:lang w:val="en-GB"/>
        </w:rPr>
      </w:pPr>
    </w:p>
    <w:p w14:paraId="6286DCA3" w14:textId="794337EE" w:rsidR="00292F18" w:rsidRPr="00916F4F" w:rsidRDefault="00292F18" w:rsidP="00292F18">
      <w:pPr>
        <w:pStyle w:val="Testonewsletter"/>
        <w:tabs>
          <w:tab w:val="left" w:pos="284"/>
        </w:tabs>
        <w:spacing w:after="0"/>
        <w:ind w:right="193"/>
        <w:rPr>
          <w:rFonts w:ascii="Times New Roman" w:hAnsi="Times New Roman" w:cs="Times New Roman"/>
          <w:sz w:val="24"/>
          <w:lang w:val="en-GB"/>
        </w:rPr>
      </w:pPr>
      <w:r w:rsidRPr="00916F4F">
        <w:rPr>
          <w:rFonts w:ascii="Times New Roman" w:hAnsi="Times New Roman" w:cs="Times New Roman"/>
          <w:sz w:val="24"/>
          <w:lang w:val="en-GB"/>
        </w:rPr>
        <w:t xml:space="preserve">The provision recalls another measure of (previous) Law Decree no. 18/2020, </w:t>
      </w:r>
      <w:r w:rsidR="00B4169A" w:rsidRPr="00916F4F">
        <w:rPr>
          <w:rFonts w:ascii="Times New Roman" w:hAnsi="Times New Roman" w:cs="Times New Roman"/>
          <w:sz w:val="24"/>
          <w:lang w:val="en-GB"/>
        </w:rPr>
        <w:t>A</w:t>
      </w:r>
      <w:r w:rsidRPr="00916F4F">
        <w:rPr>
          <w:rFonts w:ascii="Times New Roman" w:hAnsi="Times New Roman" w:cs="Times New Roman"/>
          <w:sz w:val="24"/>
          <w:lang w:val="en-GB"/>
        </w:rPr>
        <w:t>rt</w:t>
      </w:r>
      <w:r w:rsidR="00B4169A" w:rsidRPr="00916F4F">
        <w:rPr>
          <w:rFonts w:ascii="Times New Roman" w:hAnsi="Times New Roman" w:cs="Times New Roman"/>
          <w:sz w:val="24"/>
          <w:lang w:val="en-GB"/>
        </w:rPr>
        <w:t>icle</w:t>
      </w:r>
      <w:r w:rsidRPr="00916F4F">
        <w:rPr>
          <w:rFonts w:ascii="Times New Roman" w:hAnsi="Times New Roman" w:cs="Times New Roman"/>
          <w:sz w:val="24"/>
          <w:lang w:val="en-GB"/>
        </w:rPr>
        <w:t xml:space="preserve"> 106, in light of the restrictions enforced for in-person meetings with direct impact on the functioning of companies</w:t>
      </w:r>
      <w:r w:rsidR="00DD1542" w:rsidRPr="00916F4F">
        <w:rPr>
          <w:rFonts w:ascii="Times New Roman" w:hAnsi="Times New Roman" w:cs="Times New Roman"/>
          <w:sz w:val="24"/>
          <w:lang w:val="en-GB"/>
        </w:rPr>
        <w:t>’</w:t>
      </w:r>
      <w:r w:rsidRPr="00916F4F">
        <w:rPr>
          <w:rFonts w:ascii="Times New Roman" w:hAnsi="Times New Roman" w:cs="Times New Roman"/>
          <w:sz w:val="24"/>
          <w:lang w:val="en-GB"/>
        </w:rPr>
        <w:t xml:space="preserve"> bodies: for all companies has been set an automatic postponement of the ordinary deadline for the approval of the 2019 financial statement to 180 days from the end of the financial year, instead of just 120 days.</w:t>
      </w:r>
    </w:p>
    <w:p w14:paraId="22C59AA7" w14:textId="77777777" w:rsidR="00B4169A" w:rsidRPr="00916F4F" w:rsidRDefault="00B4169A" w:rsidP="00292F18">
      <w:pPr>
        <w:pStyle w:val="Testonewsletter"/>
        <w:tabs>
          <w:tab w:val="left" w:pos="284"/>
        </w:tabs>
        <w:spacing w:after="0"/>
        <w:ind w:right="193"/>
        <w:rPr>
          <w:rFonts w:ascii="Times New Roman" w:hAnsi="Times New Roman" w:cs="Times New Roman"/>
          <w:sz w:val="24"/>
          <w:lang w:val="en-GB"/>
        </w:rPr>
      </w:pPr>
    </w:p>
    <w:p w14:paraId="6ACB4615" w14:textId="64D2C024" w:rsidR="00292F18" w:rsidRPr="00916F4F" w:rsidRDefault="00292F18" w:rsidP="00292F18">
      <w:pPr>
        <w:pStyle w:val="Testonewsletter"/>
        <w:tabs>
          <w:tab w:val="left" w:pos="284"/>
        </w:tabs>
        <w:spacing w:after="0"/>
        <w:ind w:right="193"/>
        <w:rPr>
          <w:rFonts w:ascii="Times New Roman" w:hAnsi="Times New Roman" w:cs="Times New Roman"/>
          <w:i/>
          <w:iCs/>
          <w:sz w:val="24"/>
          <w:lang w:val="en-GB"/>
        </w:rPr>
      </w:pPr>
      <w:r w:rsidRPr="00916F4F">
        <w:rPr>
          <w:rFonts w:ascii="Times New Roman" w:hAnsi="Times New Roman" w:cs="Times New Roman"/>
          <w:i/>
          <w:iCs/>
          <w:sz w:val="24"/>
          <w:lang w:val="en-US"/>
        </w:rPr>
        <w:t>New</w:t>
      </w:r>
      <w:r w:rsidRPr="00916F4F">
        <w:rPr>
          <w:rFonts w:ascii="Times New Roman" w:hAnsi="Times New Roman" w:cs="Times New Roman"/>
          <w:i/>
          <w:iCs/>
          <w:sz w:val="24"/>
          <w:lang w:val="en-GB"/>
        </w:rPr>
        <w:t xml:space="preserve"> </w:t>
      </w:r>
      <w:r w:rsidR="00B4169A" w:rsidRPr="00916F4F">
        <w:rPr>
          <w:rFonts w:ascii="Times New Roman" w:hAnsi="Times New Roman" w:cs="Times New Roman"/>
          <w:i/>
          <w:iCs/>
          <w:color w:val="auto"/>
          <w:sz w:val="24"/>
          <w:lang w:val="en-US"/>
        </w:rPr>
        <w:t>F</w:t>
      </w:r>
      <w:r w:rsidRPr="00916F4F">
        <w:rPr>
          <w:rFonts w:ascii="Times New Roman" w:hAnsi="Times New Roman" w:cs="Times New Roman"/>
          <w:i/>
          <w:iCs/>
          <w:color w:val="auto"/>
          <w:sz w:val="24"/>
          <w:lang w:val="en-US"/>
        </w:rPr>
        <w:t>inancin</w:t>
      </w:r>
      <w:r w:rsidR="00B4169A" w:rsidRPr="00916F4F">
        <w:rPr>
          <w:rFonts w:ascii="Times New Roman" w:hAnsi="Times New Roman" w:cs="Times New Roman"/>
          <w:i/>
          <w:iCs/>
          <w:color w:val="auto"/>
          <w:sz w:val="24"/>
          <w:lang w:val="en-US"/>
        </w:rPr>
        <w:t>g</w:t>
      </w:r>
    </w:p>
    <w:p w14:paraId="2745EEA8" w14:textId="77777777" w:rsidR="00B4169A" w:rsidRDefault="00B4169A" w:rsidP="00292F18">
      <w:pPr>
        <w:pStyle w:val="Testonewsletter"/>
        <w:tabs>
          <w:tab w:val="left" w:pos="284"/>
        </w:tabs>
        <w:spacing w:after="0"/>
        <w:ind w:right="193"/>
        <w:rPr>
          <w:rFonts w:ascii="Times New Roman" w:hAnsi="Times New Roman" w:cs="Times New Roman"/>
          <w:sz w:val="24"/>
          <w:lang w:val="en-GB"/>
        </w:rPr>
      </w:pPr>
    </w:p>
    <w:p w14:paraId="134C90E9" w14:textId="7798E0A9" w:rsidR="00292F18" w:rsidRPr="00916F4F" w:rsidRDefault="00292F18" w:rsidP="00292F18">
      <w:pPr>
        <w:pStyle w:val="Testonewsletter"/>
        <w:tabs>
          <w:tab w:val="left" w:pos="284"/>
        </w:tabs>
        <w:spacing w:after="0"/>
        <w:ind w:right="193"/>
        <w:rPr>
          <w:rFonts w:ascii="Times New Roman" w:hAnsi="Times New Roman" w:cs="Times New Roman"/>
          <w:sz w:val="24"/>
          <w:lang w:val="en-GB"/>
        </w:rPr>
      </w:pPr>
      <w:r w:rsidRPr="00916F4F">
        <w:rPr>
          <w:rFonts w:ascii="Times New Roman" w:hAnsi="Times New Roman" w:cs="Times New Roman"/>
          <w:sz w:val="24"/>
          <w:lang w:val="en-GB"/>
        </w:rPr>
        <w:t xml:space="preserve">In order to ensure adequate protection to new financing coming from shareholders, </w:t>
      </w:r>
      <w:r w:rsidR="00B4169A" w:rsidRPr="00916F4F">
        <w:rPr>
          <w:rFonts w:ascii="Times New Roman" w:hAnsi="Times New Roman" w:cs="Times New Roman"/>
          <w:sz w:val="24"/>
          <w:lang w:val="en-GB"/>
        </w:rPr>
        <w:t>Articles</w:t>
      </w:r>
      <w:r w:rsidRPr="00916F4F">
        <w:rPr>
          <w:rFonts w:ascii="Times New Roman" w:hAnsi="Times New Roman" w:cs="Times New Roman"/>
          <w:sz w:val="24"/>
          <w:lang w:val="en-GB"/>
        </w:rPr>
        <w:t xml:space="preserve"> 2467 and 2497-quinquies of the </w:t>
      </w:r>
      <w:r w:rsidR="00B4169A" w:rsidRPr="00916F4F">
        <w:rPr>
          <w:rFonts w:ascii="Times New Roman" w:hAnsi="Times New Roman" w:cs="Times New Roman"/>
          <w:sz w:val="24"/>
          <w:lang w:val="en-GB"/>
        </w:rPr>
        <w:t>C</w:t>
      </w:r>
      <w:r w:rsidRPr="00916F4F">
        <w:rPr>
          <w:rFonts w:ascii="Times New Roman" w:hAnsi="Times New Roman" w:cs="Times New Roman"/>
          <w:sz w:val="24"/>
          <w:lang w:val="en-GB"/>
        </w:rPr>
        <w:t xml:space="preserve">ivil </w:t>
      </w:r>
      <w:r w:rsidR="00B4169A" w:rsidRPr="00916F4F">
        <w:rPr>
          <w:rFonts w:ascii="Times New Roman" w:hAnsi="Times New Roman" w:cs="Times New Roman"/>
          <w:sz w:val="24"/>
          <w:lang w:val="en-GB"/>
        </w:rPr>
        <w:t>C</w:t>
      </w:r>
      <w:r w:rsidRPr="00916F4F">
        <w:rPr>
          <w:rFonts w:ascii="Times New Roman" w:hAnsi="Times New Roman" w:cs="Times New Roman"/>
          <w:sz w:val="24"/>
          <w:lang w:val="en-GB"/>
        </w:rPr>
        <w:t xml:space="preserve">ode have been suspended for funding provided by shareholders (or those who carry out direction and coordination activity </w:t>
      </w:r>
      <w:r w:rsidR="00B4169A" w:rsidRPr="00916F4F">
        <w:rPr>
          <w:rFonts w:ascii="Times New Roman" w:hAnsi="Times New Roman" w:cs="Times New Roman"/>
          <w:sz w:val="24"/>
          <w:lang w:val="en-GB"/>
        </w:rPr>
        <w:t xml:space="preserve">in the case of </w:t>
      </w:r>
      <w:r w:rsidRPr="00916F4F">
        <w:rPr>
          <w:rFonts w:ascii="Times New Roman" w:hAnsi="Times New Roman" w:cs="Times New Roman"/>
          <w:sz w:val="24"/>
          <w:lang w:val="en-GB"/>
        </w:rPr>
        <w:t xml:space="preserve">the company) in the period between the entry into force of the liquidity decree and </w:t>
      </w:r>
      <w:r w:rsidR="00B4169A" w:rsidRPr="00916F4F">
        <w:rPr>
          <w:rFonts w:ascii="Times New Roman" w:hAnsi="Times New Roman" w:cs="Times New Roman"/>
          <w:sz w:val="24"/>
          <w:lang w:val="en-GB"/>
        </w:rPr>
        <w:t xml:space="preserve">31 </w:t>
      </w:r>
      <w:r w:rsidRPr="00916F4F">
        <w:rPr>
          <w:rFonts w:ascii="Times New Roman" w:hAnsi="Times New Roman" w:cs="Times New Roman"/>
          <w:sz w:val="24"/>
          <w:lang w:val="en-GB"/>
        </w:rPr>
        <w:t xml:space="preserve">December 2020. This suspension avoids the treatment of the new financing granted as subordinated to the claims of the other creditors of the company, a rule of the </w:t>
      </w:r>
      <w:r w:rsidR="00B4169A" w:rsidRPr="00916F4F">
        <w:rPr>
          <w:rFonts w:ascii="Times New Roman" w:hAnsi="Times New Roman" w:cs="Times New Roman"/>
          <w:sz w:val="24"/>
          <w:lang w:val="en-GB"/>
        </w:rPr>
        <w:t>C</w:t>
      </w:r>
      <w:r w:rsidRPr="00916F4F">
        <w:rPr>
          <w:rFonts w:ascii="Times New Roman" w:hAnsi="Times New Roman" w:cs="Times New Roman"/>
          <w:sz w:val="24"/>
          <w:lang w:val="en-GB"/>
        </w:rPr>
        <w:t xml:space="preserve">ivil </w:t>
      </w:r>
      <w:r w:rsidR="00B4169A" w:rsidRPr="00916F4F">
        <w:rPr>
          <w:rFonts w:ascii="Times New Roman" w:hAnsi="Times New Roman" w:cs="Times New Roman"/>
          <w:sz w:val="24"/>
          <w:lang w:val="en-GB"/>
        </w:rPr>
        <w:t>C</w:t>
      </w:r>
      <w:r w:rsidRPr="00916F4F">
        <w:rPr>
          <w:rFonts w:ascii="Times New Roman" w:hAnsi="Times New Roman" w:cs="Times New Roman"/>
          <w:sz w:val="24"/>
          <w:lang w:val="en-GB"/>
        </w:rPr>
        <w:t xml:space="preserve">ode intended to sanction those exercising direction and coordination activity who </w:t>
      </w:r>
      <w:r w:rsidR="00B4169A" w:rsidRPr="00916F4F">
        <w:rPr>
          <w:rFonts w:ascii="Times New Roman" w:hAnsi="Times New Roman" w:cs="Times New Roman"/>
          <w:sz w:val="24"/>
          <w:lang w:val="en-GB"/>
        </w:rPr>
        <w:t>contribute</w:t>
      </w:r>
      <w:r w:rsidRPr="00916F4F">
        <w:rPr>
          <w:rFonts w:ascii="Times New Roman" w:hAnsi="Times New Roman" w:cs="Times New Roman"/>
          <w:sz w:val="24"/>
          <w:lang w:val="en-GB"/>
        </w:rPr>
        <w:t xml:space="preserve"> fresh resources to the company by way of debt capital instead of risk capital </w:t>
      </w:r>
      <w:r w:rsidR="00B4169A" w:rsidRPr="00916F4F">
        <w:rPr>
          <w:rFonts w:ascii="Times New Roman" w:hAnsi="Times New Roman" w:cs="Times New Roman"/>
          <w:sz w:val="24"/>
          <w:lang w:val="en-GB"/>
        </w:rPr>
        <w:t xml:space="preserve">at a time where </w:t>
      </w:r>
      <w:r w:rsidRPr="00916F4F">
        <w:rPr>
          <w:rFonts w:ascii="Times New Roman" w:hAnsi="Times New Roman" w:cs="Times New Roman"/>
          <w:sz w:val="24"/>
          <w:lang w:val="en-GB"/>
        </w:rPr>
        <w:lastRenderedPageBreak/>
        <w:t xml:space="preserve">the second would have been more reasonable for the financial situation of the company or in presence of an excessive </w:t>
      </w:r>
      <w:r w:rsidR="00CD71D4" w:rsidRPr="00916F4F">
        <w:rPr>
          <w:rFonts w:ascii="Times New Roman" w:hAnsi="Times New Roman" w:cs="Times New Roman"/>
          <w:sz w:val="24"/>
          <w:lang w:val="en-GB"/>
        </w:rPr>
        <w:t>imbalance</w:t>
      </w:r>
      <w:r w:rsidRPr="00916F4F">
        <w:rPr>
          <w:rFonts w:ascii="Times New Roman" w:hAnsi="Times New Roman" w:cs="Times New Roman"/>
          <w:sz w:val="24"/>
          <w:lang w:val="en-GB"/>
        </w:rPr>
        <w:t xml:space="preserve"> of debt compared to net capital.</w:t>
      </w:r>
    </w:p>
    <w:p w14:paraId="6CA97F8D" w14:textId="77777777" w:rsidR="00B4169A" w:rsidRPr="00292F18" w:rsidRDefault="00B4169A" w:rsidP="00292F18">
      <w:pPr>
        <w:pStyle w:val="Testonewsletter"/>
        <w:tabs>
          <w:tab w:val="left" w:pos="284"/>
        </w:tabs>
        <w:spacing w:after="0"/>
        <w:ind w:right="193"/>
        <w:rPr>
          <w:rFonts w:ascii="Times New Roman" w:hAnsi="Times New Roman" w:cs="Times New Roman"/>
          <w:sz w:val="24"/>
          <w:lang w:val="en-GB"/>
        </w:rPr>
      </w:pPr>
    </w:p>
    <w:p w14:paraId="2E49BE61" w14:textId="77777777" w:rsidR="00292F18" w:rsidRPr="00916F4F" w:rsidRDefault="00292F18" w:rsidP="00292F18">
      <w:pPr>
        <w:pStyle w:val="Testonewsletter"/>
        <w:tabs>
          <w:tab w:val="left" w:pos="284"/>
        </w:tabs>
        <w:spacing w:after="0"/>
        <w:ind w:right="193"/>
        <w:rPr>
          <w:rFonts w:ascii="Times New Roman" w:hAnsi="Times New Roman" w:cs="Times New Roman"/>
          <w:i/>
          <w:iCs/>
          <w:sz w:val="24"/>
          <w:u w:val="single"/>
          <w:lang w:val="en-US"/>
        </w:rPr>
      </w:pPr>
      <w:r w:rsidRPr="00916F4F">
        <w:rPr>
          <w:rFonts w:ascii="Times New Roman" w:hAnsi="Times New Roman" w:cs="Times New Roman"/>
          <w:i/>
          <w:iCs/>
          <w:color w:val="auto"/>
          <w:sz w:val="24"/>
          <w:lang w:val="en-US"/>
        </w:rPr>
        <w:t>Conclusions</w:t>
      </w:r>
    </w:p>
    <w:p w14:paraId="3A890F35" w14:textId="77777777" w:rsidR="00B4169A" w:rsidRDefault="00B4169A" w:rsidP="00292F18">
      <w:pPr>
        <w:pStyle w:val="Testonewsletter"/>
        <w:tabs>
          <w:tab w:val="left" w:pos="284"/>
        </w:tabs>
        <w:spacing w:after="0"/>
        <w:ind w:right="193"/>
        <w:rPr>
          <w:rFonts w:ascii="Times New Roman" w:hAnsi="Times New Roman" w:cs="Times New Roman"/>
          <w:sz w:val="24"/>
          <w:lang w:val="en-GB"/>
        </w:rPr>
      </w:pPr>
    </w:p>
    <w:p w14:paraId="5E194F00" w14:textId="5D369E7C" w:rsidR="00292F18" w:rsidRDefault="00292F18" w:rsidP="00292F18">
      <w:pPr>
        <w:pStyle w:val="Testonewsletter"/>
        <w:tabs>
          <w:tab w:val="left" w:pos="284"/>
        </w:tabs>
        <w:spacing w:after="0"/>
        <w:ind w:right="193"/>
        <w:rPr>
          <w:rFonts w:ascii="Times New Roman" w:hAnsi="Times New Roman" w:cs="Times New Roman"/>
          <w:bCs/>
          <w:sz w:val="24"/>
          <w:lang w:val="en-US"/>
        </w:rPr>
      </w:pPr>
      <w:r w:rsidRPr="00292F18">
        <w:rPr>
          <w:rFonts w:ascii="Times New Roman" w:hAnsi="Times New Roman" w:cs="Times New Roman"/>
          <w:sz w:val="24"/>
          <w:lang w:val="en-GB"/>
        </w:rPr>
        <w:t>All</w:t>
      </w:r>
      <w:r w:rsidRPr="00292F18">
        <w:rPr>
          <w:rFonts w:ascii="Times New Roman" w:hAnsi="Times New Roman" w:cs="Times New Roman"/>
          <w:bCs/>
          <w:sz w:val="24"/>
          <w:lang w:val="en-US"/>
        </w:rPr>
        <w:t xml:space="preserve"> measures adopted by the Italian Government with the above-mentioned Law Decrees essentially aim to face this particular emergency period and to support the current stasis of </w:t>
      </w:r>
      <w:r w:rsidRPr="00292F18">
        <w:rPr>
          <w:rFonts w:ascii="Times New Roman" w:hAnsi="Times New Roman" w:cs="Times New Roman"/>
          <w:sz w:val="24"/>
          <w:lang w:val="en-GB"/>
        </w:rPr>
        <w:t>commercial</w:t>
      </w:r>
      <w:r w:rsidRPr="00292F18">
        <w:rPr>
          <w:rFonts w:ascii="Times New Roman" w:hAnsi="Times New Roman" w:cs="Times New Roman"/>
          <w:bCs/>
          <w:sz w:val="24"/>
          <w:lang w:val="en-US"/>
        </w:rPr>
        <w:t xml:space="preserve"> transactions, mostly paralyzed by the lockdown imposed by the majority of National </w:t>
      </w:r>
      <w:r w:rsidRPr="00292F18">
        <w:rPr>
          <w:rFonts w:ascii="Times New Roman" w:hAnsi="Times New Roman" w:cs="Times New Roman"/>
          <w:sz w:val="24"/>
          <w:lang w:val="en-GB"/>
        </w:rPr>
        <w:t>Authorities</w:t>
      </w:r>
      <w:r w:rsidRPr="00292F18">
        <w:rPr>
          <w:rFonts w:ascii="Times New Roman" w:hAnsi="Times New Roman" w:cs="Times New Roman"/>
          <w:bCs/>
          <w:sz w:val="24"/>
          <w:lang w:val="en-US"/>
        </w:rPr>
        <w:t>.</w:t>
      </w:r>
    </w:p>
    <w:p w14:paraId="136AEFA3" w14:textId="77777777" w:rsidR="00B4169A" w:rsidRPr="00292F18" w:rsidRDefault="00B4169A" w:rsidP="00292F18">
      <w:pPr>
        <w:pStyle w:val="Testonewsletter"/>
        <w:tabs>
          <w:tab w:val="left" w:pos="284"/>
        </w:tabs>
        <w:spacing w:after="0"/>
        <w:ind w:right="193"/>
        <w:rPr>
          <w:rFonts w:ascii="Times New Roman" w:hAnsi="Times New Roman" w:cs="Times New Roman"/>
          <w:bCs/>
          <w:sz w:val="24"/>
          <w:lang w:val="en-US"/>
        </w:rPr>
      </w:pPr>
    </w:p>
    <w:p w14:paraId="42E6F87A" w14:textId="3F0FF17C" w:rsidR="003B0263" w:rsidRPr="00B4169A" w:rsidRDefault="00292F18" w:rsidP="00B4169A">
      <w:pPr>
        <w:pStyle w:val="Testonewsletter"/>
        <w:tabs>
          <w:tab w:val="left" w:pos="284"/>
        </w:tabs>
        <w:spacing w:after="0"/>
        <w:ind w:right="193"/>
        <w:rPr>
          <w:rFonts w:ascii="Times New Roman" w:hAnsi="Times New Roman" w:cs="Times New Roman"/>
          <w:bCs/>
          <w:sz w:val="24"/>
          <w:lang w:val="en-US"/>
        </w:rPr>
      </w:pPr>
      <w:r w:rsidRPr="00292F18">
        <w:rPr>
          <w:rFonts w:ascii="Times New Roman" w:hAnsi="Times New Roman" w:cs="Times New Roman"/>
          <w:bCs/>
          <w:sz w:val="24"/>
          <w:lang w:val="en-US"/>
        </w:rPr>
        <w:t>In this particular framework</w:t>
      </w:r>
      <w:r w:rsidR="00B4169A">
        <w:rPr>
          <w:rFonts w:ascii="Times New Roman" w:hAnsi="Times New Roman" w:cs="Times New Roman"/>
          <w:bCs/>
          <w:sz w:val="24"/>
          <w:lang w:val="en-US"/>
        </w:rPr>
        <w:t>,</w:t>
      </w:r>
      <w:r w:rsidRPr="00292F18">
        <w:rPr>
          <w:rFonts w:ascii="Times New Roman" w:hAnsi="Times New Roman" w:cs="Times New Roman"/>
          <w:bCs/>
          <w:sz w:val="24"/>
          <w:lang w:val="en-US"/>
        </w:rPr>
        <w:t xml:space="preserve"> it is necessary to permit </w:t>
      </w:r>
      <w:r w:rsidRPr="00292F18">
        <w:rPr>
          <w:rFonts w:ascii="Times New Roman" w:hAnsi="Times New Roman" w:cs="Times New Roman"/>
          <w:sz w:val="24"/>
          <w:lang w:val="en-GB"/>
        </w:rPr>
        <w:t>companies</w:t>
      </w:r>
      <w:r w:rsidRPr="00292F18">
        <w:rPr>
          <w:rFonts w:ascii="Times New Roman" w:hAnsi="Times New Roman" w:cs="Times New Roman"/>
          <w:bCs/>
          <w:sz w:val="24"/>
          <w:lang w:val="en-US"/>
        </w:rPr>
        <w:t xml:space="preserve"> and entrepreneurs to </w:t>
      </w:r>
      <w:r w:rsidR="00DD1542">
        <w:rPr>
          <w:rFonts w:ascii="Times New Roman" w:hAnsi="Times New Roman" w:cs="Times New Roman"/>
          <w:bCs/>
          <w:sz w:val="24"/>
          <w:lang w:val="en-US"/>
        </w:rPr>
        <w:t>“</w:t>
      </w:r>
      <w:r w:rsidRPr="00292F18">
        <w:rPr>
          <w:rFonts w:ascii="Times New Roman" w:hAnsi="Times New Roman" w:cs="Times New Roman"/>
          <w:bCs/>
          <w:sz w:val="24"/>
          <w:lang w:val="en-US"/>
        </w:rPr>
        <w:t>take a deep breath</w:t>
      </w:r>
      <w:r w:rsidR="00DD1542">
        <w:rPr>
          <w:rFonts w:ascii="Times New Roman" w:hAnsi="Times New Roman" w:cs="Times New Roman"/>
          <w:bCs/>
          <w:sz w:val="24"/>
          <w:lang w:val="en-US"/>
        </w:rPr>
        <w:t>”</w:t>
      </w:r>
      <w:r w:rsidRPr="00292F18">
        <w:rPr>
          <w:rFonts w:ascii="Times New Roman" w:hAnsi="Times New Roman" w:cs="Times New Roman"/>
          <w:bCs/>
          <w:sz w:val="24"/>
          <w:lang w:val="en-US"/>
        </w:rPr>
        <w:t xml:space="preserve"> and re-organize </w:t>
      </w:r>
      <w:r w:rsidRPr="00292F18">
        <w:rPr>
          <w:rFonts w:ascii="Times New Roman" w:hAnsi="Times New Roman" w:cs="Times New Roman"/>
          <w:sz w:val="24"/>
          <w:lang w:val="en-GB"/>
        </w:rPr>
        <w:t>their</w:t>
      </w:r>
      <w:r w:rsidRPr="00292F18">
        <w:rPr>
          <w:rFonts w:ascii="Times New Roman" w:hAnsi="Times New Roman" w:cs="Times New Roman"/>
          <w:bCs/>
          <w:sz w:val="24"/>
          <w:lang w:val="en-US"/>
        </w:rPr>
        <w:t xml:space="preserve"> business also with different visions on how the </w:t>
      </w:r>
      <w:r w:rsidR="00DD1542">
        <w:rPr>
          <w:rFonts w:ascii="Times New Roman" w:hAnsi="Times New Roman" w:cs="Times New Roman"/>
          <w:bCs/>
          <w:sz w:val="24"/>
          <w:lang w:val="en-US"/>
        </w:rPr>
        <w:t>“</w:t>
      </w:r>
      <w:r w:rsidRPr="00292F18">
        <w:rPr>
          <w:rFonts w:ascii="Times New Roman" w:hAnsi="Times New Roman" w:cs="Times New Roman"/>
          <w:bCs/>
          <w:sz w:val="24"/>
          <w:lang w:val="en-US"/>
        </w:rPr>
        <w:t xml:space="preserve">next life </w:t>
      </w:r>
      <w:proofErr w:type="gramStart"/>
      <w:r w:rsidR="00DD1542">
        <w:rPr>
          <w:rFonts w:ascii="Times New Roman" w:hAnsi="Times New Roman" w:cs="Times New Roman"/>
          <w:bCs/>
          <w:sz w:val="24"/>
          <w:lang w:val="en-US"/>
        </w:rPr>
        <w:t>“</w:t>
      </w:r>
      <w:r w:rsidRPr="00292F18">
        <w:rPr>
          <w:rFonts w:ascii="Times New Roman" w:hAnsi="Times New Roman" w:cs="Times New Roman"/>
          <w:bCs/>
          <w:sz w:val="24"/>
          <w:lang w:val="en-US"/>
        </w:rPr>
        <w:t xml:space="preserve"> of</w:t>
      </w:r>
      <w:proofErr w:type="gramEnd"/>
      <w:r w:rsidRPr="00292F18">
        <w:rPr>
          <w:rFonts w:ascii="Times New Roman" w:hAnsi="Times New Roman" w:cs="Times New Roman"/>
          <w:bCs/>
          <w:sz w:val="24"/>
          <w:lang w:val="en-US"/>
        </w:rPr>
        <w:t xml:space="preserve"> business transactions and commercial relationships will be handled, influenced by the COVID-19 emergency.</w:t>
      </w:r>
      <w:r w:rsidR="00B4169A">
        <w:rPr>
          <w:rFonts w:ascii="Times New Roman" w:hAnsi="Times New Roman" w:cs="Times New Roman"/>
          <w:bCs/>
          <w:sz w:val="24"/>
          <w:lang w:val="en-US"/>
        </w:rPr>
        <w:t xml:space="preserve"> </w:t>
      </w:r>
      <w:r w:rsidRPr="00292F18">
        <w:rPr>
          <w:rFonts w:ascii="Times New Roman" w:hAnsi="Times New Roman" w:cs="Times New Roman"/>
          <w:bCs/>
          <w:sz w:val="24"/>
          <w:lang w:val="en-US"/>
        </w:rPr>
        <w:t>These are contingency</w:t>
      </w:r>
      <w:r w:rsidR="00B4169A">
        <w:rPr>
          <w:bCs/>
          <w:lang w:val="en-US"/>
        </w:rPr>
        <w:t xml:space="preserve"> measures that are</w:t>
      </w:r>
      <w:r w:rsidRPr="00292F18">
        <w:rPr>
          <w:rFonts w:ascii="Times New Roman" w:hAnsi="Times New Roman" w:cs="Times New Roman"/>
          <w:bCs/>
          <w:sz w:val="24"/>
          <w:lang w:val="en-US"/>
        </w:rPr>
        <w:t xml:space="preserve"> necessary to prepare </w:t>
      </w:r>
      <w:r w:rsidR="00B4169A">
        <w:rPr>
          <w:bCs/>
          <w:lang w:val="en-US"/>
        </w:rPr>
        <w:t xml:space="preserve">Italy </w:t>
      </w:r>
      <w:r w:rsidRPr="00292F18">
        <w:rPr>
          <w:rFonts w:ascii="Times New Roman" w:hAnsi="Times New Roman" w:cs="Times New Roman"/>
          <w:bCs/>
          <w:sz w:val="24"/>
          <w:lang w:val="en-US"/>
        </w:rPr>
        <w:t>for the next worldwide</w:t>
      </w:r>
      <w:r w:rsidR="00B4169A">
        <w:rPr>
          <w:rFonts w:ascii="Times New Roman" w:hAnsi="Times New Roman" w:cs="Times New Roman"/>
          <w:bCs/>
          <w:sz w:val="24"/>
          <w:lang w:val="en-US"/>
        </w:rPr>
        <w:t xml:space="preserve"> gamble</w:t>
      </w:r>
      <w:r w:rsidRPr="00292F18">
        <w:rPr>
          <w:rFonts w:ascii="Times New Roman" w:hAnsi="Times New Roman" w:cs="Times New Roman"/>
          <w:bCs/>
          <w:sz w:val="24"/>
          <w:lang w:val="en-US"/>
        </w:rPr>
        <w:t xml:space="preserve">: the new </w:t>
      </w:r>
      <w:r w:rsidR="00B4169A">
        <w:rPr>
          <w:rFonts w:ascii="Times New Roman" w:hAnsi="Times New Roman" w:cs="Times New Roman"/>
          <w:bCs/>
          <w:sz w:val="24"/>
          <w:lang w:val="en-US"/>
        </w:rPr>
        <w:t>“</w:t>
      </w:r>
      <w:r w:rsidRPr="00292F18">
        <w:rPr>
          <w:rFonts w:ascii="Times New Roman" w:hAnsi="Times New Roman" w:cs="Times New Roman"/>
          <w:bCs/>
          <w:sz w:val="24"/>
          <w:lang w:val="en-US"/>
        </w:rPr>
        <w:t>fresh start</w:t>
      </w:r>
      <w:r w:rsidR="00B4169A">
        <w:rPr>
          <w:rFonts w:ascii="Times New Roman" w:hAnsi="Times New Roman" w:cs="Times New Roman"/>
          <w:bCs/>
          <w:sz w:val="24"/>
          <w:lang w:val="en-US"/>
        </w:rPr>
        <w:t>”</w:t>
      </w:r>
      <w:r w:rsidRPr="00292F18">
        <w:rPr>
          <w:rFonts w:ascii="Times New Roman" w:hAnsi="Times New Roman" w:cs="Times New Roman"/>
          <w:bCs/>
          <w:sz w:val="24"/>
          <w:lang w:val="en-US"/>
        </w:rPr>
        <w:t xml:space="preserve"> of the economic system.</w:t>
      </w:r>
    </w:p>
    <w:sectPr w:rsidR="003B0263" w:rsidRPr="00B4169A"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F1CE1" w14:textId="77777777" w:rsidR="00ED48D7" w:rsidRDefault="00ED48D7">
      <w:r>
        <w:separator/>
      </w:r>
    </w:p>
  </w:endnote>
  <w:endnote w:type="continuationSeparator" w:id="0">
    <w:p w14:paraId="365B8EA6" w14:textId="77777777" w:rsidR="00ED48D7" w:rsidRDefault="00ED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14C1B"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B035C" w14:textId="77777777" w:rsidR="00ED48D7" w:rsidRDefault="00ED48D7">
      <w:r>
        <w:separator/>
      </w:r>
    </w:p>
  </w:footnote>
  <w:footnote w:type="continuationSeparator" w:id="0">
    <w:p w14:paraId="6396276E" w14:textId="77777777" w:rsidR="00ED48D7" w:rsidRDefault="00ED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629AC" w14:textId="6B2B7694" w:rsidR="00BF3D3E" w:rsidRPr="00FD0D6F" w:rsidRDefault="00BF3D3E" w:rsidP="00C2522B">
    <w:pPr>
      <w:pStyle w:val="Header"/>
      <w:spacing w:after="0"/>
      <w:rPr>
        <w:rFonts w:ascii="Arial" w:hAnsi="Arial" w:cs="Arial"/>
        <w:b/>
      </w:rPr>
    </w:pPr>
    <w:r w:rsidRPr="00FD0D6F">
      <w:rPr>
        <w:rFonts w:ascii="Arial" w:hAnsi="Arial" w:cs="Arial"/>
        <w:b/>
      </w:rPr>
      <w:t>Inside Story (</w:t>
    </w:r>
    <w:r w:rsidR="007252F7">
      <w:rPr>
        <w:rFonts w:ascii="Arial" w:hAnsi="Arial" w:cs="Arial"/>
        <w:b/>
      </w:rPr>
      <w:t>May</w:t>
    </w:r>
    <w:r w:rsidR="002A5779" w:rsidRPr="00FD0D6F">
      <w:rPr>
        <w:rFonts w:ascii="Arial" w:hAnsi="Arial" w:cs="Arial"/>
        <w:b/>
      </w:rPr>
      <w:t xml:space="preserve"> 20</w:t>
    </w:r>
    <w:r w:rsidR="00087612">
      <w:rPr>
        <w:rFonts w:ascii="Arial" w:hAnsi="Arial" w:cs="Arial"/>
        <w:b/>
      </w:rPr>
      <w:t>20</w:t>
    </w:r>
    <w:r w:rsidRPr="00FD0D6F">
      <w:rPr>
        <w:rFonts w:ascii="Arial" w:hAnsi="Arial" w:cs="Arial"/>
        <w:b/>
      </w:rPr>
      <w:t>)</w:t>
    </w:r>
  </w:p>
  <w:p w14:paraId="5C29B3B4" w14:textId="1C8563B1" w:rsidR="00BF3D3E" w:rsidRPr="00FD0D6F" w:rsidRDefault="00292F18" w:rsidP="00C2522B">
    <w:pPr>
      <w:pStyle w:val="Header"/>
      <w:spacing w:after="0"/>
      <w:rPr>
        <w:rFonts w:ascii="Arial" w:hAnsi="Arial" w:cs="Arial"/>
        <w:b/>
      </w:rPr>
    </w:pPr>
    <w:r>
      <w:rPr>
        <w:rFonts w:ascii="Arial" w:hAnsi="Arial" w:cs="Arial"/>
        <w:b/>
        <w:color w:val="000000"/>
      </w:rPr>
      <w:t xml:space="preserve">Benincasa, Burigo and Ghia </w:t>
    </w:r>
    <w:r w:rsidR="00BF3D3E" w:rsidRPr="00FD0D6F">
      <w:rPr>
        <w:rFonts w:ascii="Arial" w:hAnsi="Arial" w:cs="Arial"/>
        <w:b/>
      </w:rPr>
      <w:t>(</w:t>
    </w:r>
    <w:r w:rsidR="00377664">
      <w:rPr>
        <w:rFonts w:ascii="Arial" w:hAnsi="Arial" w:cs="Arial"/>
        <w:b/>
      </w:rPr>
      <w:t>Italy</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523ED6"/>
    <w:multiLevelType w:val="hybridMultilevel"/>
    <w:tmpl w:val="F6F6028C"/>
    <w:lvl w:ilvl="0" w:tplc="C8D07A6C">
      <w:start w:val="2"/>
      <w:numFmt w:val="bullet"/>
      <w:lvlText w:val="-"/>
      <w:lvlJc w:val="left"/>
      <w:pPr>
        <w:ind w:left="1004" w:hanging="360"/>
      </w:pPr>
      <w:rPr>
        <w:rFonts w:ascii="Times New Roman" w:eastAsiaTheme="minorHAnsi"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cs="Wingdings" w:hint="default"/>
      </w:rPr>
    </w:lvl>
    <w:lvl w:ilvl="3" w:tplc="04100001" w:tentative="1">
      <w:start w:val="1"/>
      <w:numFmt w:val="bullet"/>
      <w:lvlText w:val=""/>
      <w:lvlJc w:val="left"/>
      <w:pPr>
        <w:ind w:left="3164" w:hanging="360"/>
      </w:pPr>
      <w:rPr>
        <w:rFonts w:ascii="Symbol" w:hAnsi="Symbol" w:cs="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cs="Wingdings" w:hint="default"/>
      </w:rPr>
    </w:lvl>
    <w:lvl w:ilvl="6" w:tplc="04100001" w:tentative="1">
      <w:start w:val="1"/>
      <w:numFmt w:val="bullet"/>
      <w:lvlText w:val=""/>
      <w:lvlJc w:val="left"/>
      <w:pPr>
        <w:ind w:left="5324" w:hanging="360"/>
      </w:pPr>
      <w:rPr>
        <w:rFonts w:ascii="Symbol" w:hAnsi="Symbol" w:cs="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cs="Wingdings" w:hint="default"/>
      </w:rPr>
    </w:lvl>
  </w:abstractNum>
  <w:abstractNum w:abstractNumId="18"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0"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9"/>
  </w:num>
  <w:num w:numId="2">
    <w:abstractNumId w:val="6"/>
  </w:num>
  <w:num w:numId="3">
    <w:abstractNumId w:val="24"/>
  </w:num>
  <w:num w:numId="4">
    <w:abstractNumId w:val="11"/>
  </w:num>
  <w:num w:numId="5">
    <w:abstractNumId w:val="12"/>
  </w:num>
  <w:num w:numId="6">
    <w:abstractNumId w:val="25"/>
  </w:num>
  <w:num w:numId="7">
    <w:abstractNumId w:val="0"/>
  </w:num>
  <w:num w:numId="8">
    <w:abstractNumId w:val="8"/>
  </w:num>
  <w:num w:numId="9">
    <w:abstractNumId w:val="2"/>
  </w:num>
  <w:num w:numId="10">
    <w:abstractNumId w:val="1"/>
  </w:num>
  <w:num w:numId="11">
    <w:abstractNumId w:val="21"/>
  </w:num>
  <w:num w:numId="12">
    <w:abstractNumId w:val="7"/>
  </w:num>
  <w:num w:numId="13">
    <w:abstractNumId w:val="19"/>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6"/>
  </w:num>
  <w:num w:numId="21">
    <w:abstractNumId w:val="24"/>
  </w:num>
  <w:num w:numId="22">
    <w:abstractNumId w:val="12"/>
  </w:num>
  <w:num w:numId="23">
    <w:abstractNumId w:val="11"/>
  </w:num>
  <w:num w:numId="24">
    <w:abstractNumId w:val="22"/>
  </w:num>
  <w:num w:numId="25">
    <w:abstractNumId w:val="14"/>
  </w:num>
  <w:num w:numId="26">
    <w:abstractNumId w:val="18"/>
  </w:num>
  <w:num w:numId="27">
    <w:abstractNumId w:val="13"/>
  </w:num>
  <w:num w:numId="28">
    <w:abstractNumId w:val="15"/>
  </w:num>
  <w:num w:numId="29">
    <w:abstractNumId w:val="5"/>
  </w:num>
  <w:num w:numId="30">
    <w:abstractNumId w:val="10"/>
  </w:num>
  <w:num w:numId="31">
    <w:abstractNumId w:val="4"/>
  </w:num>
  <w:num w:numId="32">
    <w:abstractNumId w:val="3"/>
  </w:num>
  <w:num w:numId="33">
    <w:abstractNumId w:val="23"/>
  </w:num>
  <w:num w:numId="34">
    <w:abstractNumId w:val="16"/>
  </w:num>
  <w:num w:numId="35">
    <w:abstractNumId w:val="20"/>
  </w:num>
  <w:num w:numId="3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10728"/>
    <w:rsid w:val="00065DA6"/>
    <w:rsid w:val="00086E49"/>
    <w:rsid w:val="00087612"/>
    <w:rsid w:val="000921F0"/>
    <w:rsid w:val="00092307"/>
    <w:rsid w:val="000C4532"/>
    <w:rsid w:val="000C7620"/>
    <w:rsid w:val="000D3C8B"/>
    <w:rsid w:val="00102657"/>
    <w:rsid w:val="001258A8"/>
    <w:rsid w:val="00127C4A"/>
    <w:rsid w:val="00141375"/>
    <w:rsid w:val="00145356"/>
    <w:rsid w:val="001715D8"/>
    <w:rsid w:val="00175B35"/>
    <w:rsid w:val="001835B2"/>
    <w:rsid w:val="001934CC"/>
    <w:rsid w:val="001A713B"/>
    <w:rsid w:val="001B1AA8"/>
    <w:rsid w:val="001C5080"/>
    <w:rsid w:val="001D3A90"/>
    <w:rsid w:val="001F119D"/>
    <w:rsid w:val="0020085B"/>
    <w:rsid w:val="00247BAC"/>
    <w:rsid w:val="00276632"/>
    <w:rsid w:val="00280030"/>
    <w:rsid w:val="00292F18"/>
    <w:rsid w:val="002A5779"/>
    <w:rsid w:val="002A5C92"/>
    <w:rsid w:val="002E09E9"/>
    <w:rsid w:val="003021B6"/>
    <w:rsid w:val="003217E3"/>
    <w:rsid w:val="0032563F"/>
    <w:rsid w:val="00340FF0"/>
    <w:rsid w:val="003452FF"/>
    <w:rsid w:val="003518FD"/>
    <w:rsid w:val="003666A0"/>
    <w:rsid w:val="00367985"/>
    <w:rsid w:val="00377664"/>
    <w:rsid w:val="0039013D"/>
    <w:rsid w:val="00395D89"/>
    <w:rsid w:val="00396E5A"/>
    <w:rsid w:val="003978ED"/>
    <w:rsid w:val="003B0263"/>
    <w:rsid w:val="003C284E"/>
    <w:rsid w:val="003C69AB"/>
    <w:rsid w:val="00404D9A"/>
    <w:rsid w:val="00415AEE"/>
    <w:rsid w:val="00415DDB"/>
    <w:rsid w:val="00437BFE"/>
    <w:rsid w:val="004408B0"/>
    <w:rsid w:val="00440CF8"/>
    <w:rsid w:val="004433C5"/>
    <w:rsid w:val="00470254"/>
    <w:rsid w:val="00484F6D"/>
    <w:rsid w:val="004B3FED"/>
    <w:rsid w:val="004D1D7E"/>
    <w:rsid w:val="004F57B8"/>
    <w:rsid w:val="004F59EF"/>
    <w:rsid w:val="00535342"/>
    <w:rsid w:val="00557280"/>
    <w:rsid w:val="00557A0F"/>
    <w:rsid w:val="00565029"/>
    <w:rsid w:val="005764A7"/>
    <w:rsid w:val="00577785"/>
    <w:rsid w:val="00593E77"/>
    <w:rsid w:val="005D6C09"/>
    <w:rsid w:val="005D783E"/>
    <w:rsid w:val="005D79E3"/>
    <w:rsid w:val="005E7C6B"/>
    <w:rsid w:val="005F7A61"/>
    <w:rsid w:val="00617533"/>
    <w:rsid w:val="00623598"/>
    <w:rsid w:val="00631F24"/>
    <w:rsid w:val="006441B0"/>
    <w:rsid w:val="00694350"/>
    <w:rsid w:val="006D0A86"/>
    <w:rsid w:val="006E7E8D"/>
    <w:rsid w:val="00703D03"/>
    <w:rsid w:val="00707113"/>
    <w:rsid w:val="007252F7"/>
    <w:rsid w:val="00740F50"/>
    <w:rsid w:val="00752792"/>
    <w:rsid w:val="00772427"/>
    <w:rsid w:val="00772DFE"/>
    <w:rsid w:val="00782731"/>
    <w:rsid w:val="00785E77"/>
    <w:rsid w:val="00790DFB"/>
    <w:rsid w:val="007A0387"/>
    <w:rsid w:val="007C4484"/>
    <w:rsid w:val="007D39E7"/>
    <w:rsid w:val="007E1590"/>
    <w:rsid w:val="00807744"/>
    <w:rsid w:val="008432D1"/>
    <w:rsid w:val="00847988"/>
    <w:rsid w:val="008506FC"/>
    <w:rsid w:val="00867725"/>
    <w:rsid w:val="00876BCD"/>
    <w:rsid w:val="00877CBB"/>
    <w:rsid w:val="00886023"/>
    <w:rsid w:val="009069C9"/>
    <w:rsid w:val="00916F4F"/>
    <w:rsid w:val="00933B42"/>
    <w:rsid w:val="0093601D"/>
    <w:rsid w:val="009656AB"/>
    <w:rsid w:val="00976F27"/>
    <w:rsid w:val="00977889"/>
    <w:rsid w:val="0098305D"/>
    <w:rsid w:val="009B5E68"/>
    <w:rsid w:val="009E51C4"/>
    <w:rsid w:val="009F52F0"/>
    <w:rsid w:val="00A07FE0"/>
    <w:rsid w:val="00A34959"/>
    <w:rsid w:val="00A3654A"/>
    <w:rsid w:val="00A81F5B"/>
    <w:rsid w:val="00AA741E"/>
    <w:rsid w:val="00AD3470"/>
    <w:rsid w:val="00AD6AE4"/>
    <w:rsid w:val="00B021F0"/>
    <w:rsid w:val="00B05548"/>
    <w:rsid w:val="00B10912"/>
    <w:rsid w:val="00B40F88"/>
    <w:rsid w:val="00B4169A"/>
    <w:rsid w:val="00B46BCC"/>
    <w:rsid w:val="00B53B8D"/>
    <w:rsid w:val="00BA1EF1"/>
    <w:rsid w:val="00BC4C0D"/>
    <w:rsid w:val="00BD0697"/>
    <w:rsid w:val="00BF3D3E"/>
    <w:rsid w:val="00C16DFA"/>
    <w:rsid w:val="00C2522B"/>
    <w:rsid w:val="00C96534"/>
    <w:rsid w:val="00CD71D4"/>
    <w:rsid w:val="00CE09C4"/>
    <w:rsid w:val="00D03DC1"/>
    <w:rsid w:val="00D2584B"/>
    <w:rsid w:val="00D31877"/>
    <w:rsid w:val="00D32C99"/>
    <w:rsid w:val="00D5309A"/>
    <w:rsid w:val="00D6291C"/>
    <w:rsid w:val="00DD1542"/>
    <w:rsid w:val="00DE5F99"/>
    <w:rsid w:val="00E007BF"/>
    <w:rsid w:val="00E2501C"/>
    <w:rsid w:val="00E37A5D"/>
    <w:rsid w:val="00E53ABF"/>
    <w:rsid w:val="00EA5386"/>
    <w:rsid w:val="00EB6116"/>
    <w:rsid w:val="00ED48D7"/>
    <w:rsid w:val="00F07427"/>
    <w:rsid w:val="00F20AC6"/>
    <w:rsid w:val="00F36532"/>
    <w:rsid w:val="00F55F2D"/>
    <w:rsid w:val="00F77372"/>
    <w:rsid w:val="00F90C01"/>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56424"/>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292F18"/>
    <w:rPr>
      <w:color w:val="605E5C"/>
      <w:shd w:val="clear" w:color="auto" w:fill="E1DFDD"/>
    </w:rPr>
  </w:style>
  <w:style w:type="paragraph" w:customStyle="1" w:styleId="Testonewsletter">
    <w:name w:val="Testo newsletter"/>
    <w:basedOn w:val="Normal"/>
    <w:qFormat/>
    <w:rsid w:val="00292F18"/>
    <w:pPr>
      <w:spacing w:after="200"/>
    </w:pPr>
    <w:rPr>
      <w:rFonts w:asciiTheme="minorHAnsi" w:eastAsiaTheme="minorHAnsi" w:hAnsiTheme="minorHAnsi" w:cstheme="minorBidi"/>
      <w:color w:val="000000"/>
      <w:sz w:val="22"/>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B70F9-3F2F-428A-8EF9-355ED69B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Pages>
  <Words>1970</Words>
  <Characters>11229</Characters>
  <Application>Microsoft Office Word</Application>
  <DocSecurity>0</DocSecurity>
  <PresentationFormat/>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13173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23</cp:revision>
  <cp:lastPrinted>2017-11-20T20:14:00Z</cp:lastPrinted>
  <dcterms:created xsi:type="dcterms:W3CDTF">2019-03-06T11:14:00Z</dcterms:created>
  <dcterms:modified xsi:type="dcterms:W3CDTF">2020-05-22T09:47:00Z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