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048E7" w14:textId="77777777" w:rsidR="005D783E" w:rsidRPr="00B021F0" w:rsidRDefault="005D783E" w:rsidP="00631F24">
      <w:pPr>
        <w:spacing w:after="0"/>
        <w:rPr>
          <w:rFonts w:ascii="Times New Roman" w:hAnsi="Times New Roman"/>
          <w:sz w:val="24"/>
          <w:szCs w:val="24"/>
        </w:rPr>
      </w:pPr>
      <w:bookmarkStart w:id="0" w:name="_GoBack"/>
      <w:bookmarkEnd w:id="0"/>
    </w:p>
    <w:p w14:paraId="230E2A50" w14:textId="77777777" w:rsidR="00557C10" w:rsidRPr="00B021F0" w:rsidRDefault="00557C10" w:rsidP="00557C10">
      <w:pPr>
        <w:spacing w:after="0"/>
        <w:jc w:val="center"/>
        <w:rPr>
          <w:rFonts w:ascii="Times New Roman" w:hAnsi="Times New Roman"/>
          <w:b/>
          <w:sz w:val="24"/>
          <w:szCs w:val="24"/>
        </w:rPr>
      </w:pPr>
      <w:r>
        <w:rPr>
          <w:rFonts w:ascii="Times New Roman" w:hAnsi="Times New Roman"/>
          <w:b/>
          <w:noProof/>
          <w:sz w:val="24"/>
          <w:szCs w:val="24"/>
        </w:rPr>
        <w:drawing>
          <wp:inline distT="0" distB="0" distL="0" distR="0" wp14:anchorId="717A0EB5" wp14:editId="7293392D">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19355743" w14:textId="77777777" w:rsidR="00617533" w:rsidRPr="00B021F0" w:rsidRDefault="00617533" w:rsidP="00631F24">
      <w:pPr>
        <w:spacing w:after="0"/>
        <w:jc w:val="center"/>
        <w:rPr>
          <w:rFonts w:ascii="Times New Roman" w:hAnsi="Times New Roman"/>
          <w:b/>
          <w:sz w:val="24"/>
          <w:szCs w:val="24"/>
        </w:rPr>
      </w:pPr>
    </w:p>
    <w:p w14:paraId="2E6156DE" w14:textId="080C9EB4" w:rsidR="00617533" w:rsidRPr="00B021F0" w:rsidRDefault="00617533" w:rsidP="00631F24">
      <w:pPr>
        <w:spacing w:after="0"/>
        <w:jc w:val="center"/>
        <w:rPr>
          <w:rFonts w:ascii="Times New Roman" w:hAnsi="Times New Roman"/>
          <w:b/>
          <w:sz w:val="36"/>
          <w:szCs w:val="36"/>
        </w:rPr>
      </w:pPr>
      <w:r w:rsidRPr="00B021F0">
        <w:rPr>
          <w:rFonts w:ascii="Times New Roman" w:hAnsi="Times New Roman"/>
          <w:b/>
          <w:sz w:val="36"/>
          <w:szCs w:val="36"/>
        </w:rPr>
        <w:t xml:space="preserve">Inside Story – </w:t>
      </w:r>
      <w:r w:rsidR="00557C10">
        <w:rPr>
          <w:rFonts w:ascii="Times New Roman" w:hAnsi="Times New Roman"/>
          <w:b/>
          <w:sz w:val="36"/>
          <w:szCs w:val="36"/>
        </w:rPr>
        <w:t>October</w:t>
      </w:r>
      <w:r w:rsidRPr="00B021F0">
        <w:rPr>
          <w:rFonts w:ascii="Times New Roman" w:hAnsi="Times New Roman"/>
          <w:b/>
          <w:sz w:val="36"/>
          <w:szCs w:val="36"/>
        </w:rPr>
        <w:t xml:space="preserve"> 20</w:t>
      </w:r>
      <w:r w:rsidR="00782731" w:rsidRPr="00B021F0">
        <w:rPr>
          <w:rFonts w:ascii="Times New Roman" w:hAnsi="Times New Roman"/>
          <w:b/>
          <w:sz w:val="36"/>
          <w:szCs w:val="36"/>
        </w:rPr>
        <w:t>20</w:t>
      </w:r>
    </w:p>
    <w:p w14:paraId="674E5EF5" w14:textId="77777777" w:rsidR="00617533" w:rsidRPr="00B021F0" w:rsidRDefault="00617533" w:rsidP="00631F24">
      <w:pPr>
        <w:spacing w:after="0"/>
        <w:jc w:val="center"/>
        <w:rPr>
          <w:rFonts w:ascii="Times New Roman" w:hAnsi="Times New Roman"/>
          <w:b/>
          <w:sz w:val="24"/>
          <w:szCs w:val="24"/>
        </w:rPr>
      </w:pPr>
    </w:p>
    <w:p w14:paraId="449DD4D0" w14:textId="6625E920" w:rsidR="00F36532" w:rsidRPr="00B021F0" w:rsidRDefault="00377664" w:rsidP="00631F24">
      <w:pPr>
        <w:spacing w:after="0"/>
        <w:jc w:val="center"/>
        <w:rPr>
          <w:rFonts w:ascii="Times New Roman" w:hAnsi="Times New Roman"/>
          <w:b/>
          <w:sz w:val="24"/>
          <w:szCs w:val="24"/>
        </w:rPr>
      </w:pPr>
      <w:r>
        <w:rPr>
          <w:rFonts w:ascii="Times New Roman" w:hAnsi="Times New Roman"/>
          <w:b/>
          <w:sz w:val="28"/>
          <w:szCs w:val="28"/>
          <w:lang w:val="en-US"/>
        </w:rPr>
        <w:t>Making Sense of the COMI Definition in Italy</w:t>
      </w:r>
    </w:p>
    <w:p w14:paraId="75FA1A68" w14:textId="77777777" w:rsidR="00617533" w:rsidRPr="00B021F0" w:rsidRDefault="00617533" w:rsidP="00631F24">
      <w:pPr>
        <w:spacing w:after="0"/>
        <w:jc w:val="center"/>
        <w:rPr>
          <w:rFonts w:ascii="Times New Roman" w:hAnsi="Times New Roman"/>
          <w:b/>
          <w:sz w:val="24"/>
          <w:szCs w:val="24"/>
        </w:rPr>
      </w:pPr>
    </w:p>
    <w:p w14:paraId="16D408BC" w14:textId="4E1AC20E" w:rsidR="007A0387" w:rsidRPr="00C07418" w:rsidRDefault="00377664" w:rsidP="00631F24">
      <w:pPr>
        <w:spacing w:after="0"/>
        <w:jc w:val="center"/>
        <w:rPr>
          <w:rFonts w:ascii="Times New Roman" w:hAnsi="Times New Roman"/>
          <w:sz w:val="24"/>
          <w:szCs w:val="24"/>
          <w:lang w:val="en-US"/>
        </w:rPr>
      </w:pPr>
      <w:r w:rsidRPr="00C07418">
        <w:rPr>
          <w:rFonts w:ascii="Times New Roman" w:hAnsi="Times New Roman"/>
          <w:sz w:val="24"/>
          <w:szCs w:val="24"/>
          <w:lang w:val="en-US"/>
        </w:rPr>
        <w:t>Antonio Leandro</w:t>
      </w:r>
      <w:r w:rsidR="00782731" w:rsidRPr="00C07418">
        <w:rPr>
          <w:rFonts w:ascii="Times New Roman" w:hAnsi="Times New Roman"/>
          <w:sz w:val="24"/>
          <w:szCs w:val="24"/>
          <w:lang w:val="en-US"/>
        </w:rPr>
        <w:t>,</w:t>
      </w:r>
      <w:r w:rsidR="00631F24" w:rsidRPr="00C07418">
        <w:rPr>
          <w:rFonts w:ascii="Times New Roman" w:hAnsi="Times New Roman"/>
          <w:sz w:val="24"/>
          <w:szCs w:val="24"/>
          <w:lang w:val="en-US"/>
        </w:rPr>
        <w:t xml:space="preserve"> </w:t>
      </w:r>
      <w:r w:rsidR="00782731" w:rsidRPr="00C07418">
        <w:rPr>
          <w:rFonts w:ascii="Times New Roman" w:hAnsi="Times New Roman"/>
          <w:sz w:val="24"/>
          <w:szCs w:val="24"/>
          <w:lang w:val="en-US"/>
        </w:rPr>
        <w:t xml:space="preserve">Professor, </w:t>
      </w:r>
      <w:r w:rsidR="001D4D49" w:rsidRPr="00C07418">
        <w:rPr>
          <w:rFonts w:ascii="Times New Roman" w:hAnsi="Times New Roman"/>
          <w:sz w:val="24"/>
          <w:szCs w:val="24"/>
          <w:lang w:val="en-US"/>
        </w:rPr>
        <w:t>Department of</w:t>
      </w:r>
      <w:r w:rsidR="001D4D49">
        <w:rPr>
          <w:rFonts w:ascii="Times New Roman" w:hAnsi="Times New Roman"/>
          <w:sz w:val="24"/>
          <w:szCs w:val="24"/>
          <w:lang w:val="en-US"/>
        </w:rPr>
        <w:t xml:space="preserve"> Economics, Management and Business Law,</w:t>
      </w:r>
      <w:r w:rsidR="00782731" w:rsidRPr="00C07418">
        <w:rPr>
          <w:rFonts w:ascii="Times New Roman" w:hAnsi="Times New Roman"/>
          <w:sz w:val="24"/>
          <w:szCs w:val="24"/>
          <w:lang w:val="en-US"/>
        </w:rPr>
        <w:t xml:space="preserve"> </w:t>
      </w:r>
      <w:r w:rsidR="00631F24" w:rsidRPr="00C07418">
        <w:rPr>
          <w:rFonts w:ascii="Times New Roman" w:hAnsi="Times New Roman"/>
          <w:sz w:val="24"/>
          <w:szCs w:val="24"/>
          <w:lang w:val="en-US"/>
        </w:rPr>
        <w:t xml:space="preserve">University of </w:t>
      </w:r>
      <w:r w:rsidRPr="00C07418">
        <w:rPr>
          <w:rFonts w:ascii="Times New Roman" w:hAnsi="Times New Roman"/>
          <w:sz w:val="24"/>
          <w:szCs w:val="24"/>
          <w:lang w:val="en-US"/>
        </w:rPr>
        <w:t>Bari</w:t>
      </w:r>
      <w:r w:rsidR="00631F24" w:rsidRPr="00C07418">
        <w:rPr>
          <w:rFonts w:ascii="Times New Roman" w:hAnsi="Times New Roman"/>
          <w:sz w:val="24"/>
          <w:szCs w:val="24"/>
          <w:lang w:val="en-US"/>
        </w:rPr>
        <w:t xml:space="preserve">, </w:t>
      </w:r>
      <w:r w:rsidRPr="00C07418">
        <w:rPr>
          <w:rFonts w:ascii="Times New Roman" w:hAnsi="Times New Roman"/>
          <w:sz w:val="24"/>
          <w:szCs w:val="24"/>
          <w:lang w:val="en-US"/>
        </w:rPr>
        <w:t xml:space="preserve">Italy </w:t>
      </w:r>
      <w:r w:rsidR="007A0387" w:rsidRPr="00C07418">
        <w:rPr>
          <w:rFonts w:ascii="Times New Roman" w:hAnsi="Times New Roman"/>
          <w:sz w:val="24"/>
          <w:szCs w:val="24"/>
          <w:lang w:val="en-US"/>
        </w:rPr>
        <w:t>&lt;</w:t>
      </w:r>
      <w:r w:rsidRPr="00C07418">
        <w:rPr>
          <w:rFonts w:ascii="Times New Roman" w:hAnsi="Times New Roman"/>
          <w:sz w:val="24"/>
          <w:szCs w:val="24"/>
          <w:shd w:val="clear" w:color="auto" w:fill="FFFFFF"/>
          <w:lang w:val="en-US"/>
        </w:rPr>
        <w:t>antonio.leandro@uniba.it</w:t>
      </w:r>
      <w:r w:rsidR="007A0387" w:rsidRPr="00C07418">
        <w:rPr>
          <w:rFonts w:ascii="Times New Roman" w:hAnsi="Times New Roman"/>
          <w:sz w:val="24"/>
          <w:szCs w:val="24"/>
          <w:lang w:val="en-US"/>
        </w:rPr>
        <w:t>&gt;.</w:t>
      </w:r>
    </w:p>
    <w:p w14:paraId="5F5FDF00" w14:textId="77777777" w:rsidR="005D783E" w:rsidRPr="00C07418" w:rsidRDefault="005D783E" w:rsidP="00631F24">
      <w:pPr>
        <w:spacing w:after="0"/>
        <w:rPr>
          <w:rFonts w:ascii="Times New Roman" w:hAnsi="Times New Roman"/>
          <w:sz w:val="24"/>
          <w:szCs w:val="24"/>
          <w:lang w:val="en-US"/>
        </w:rPr>
      </w:pPr>
    </w:p>
    <w:p w14:paraId="7BFAE082" w14:textId="77777777" w:rsidR="005D783E" w:rsidRPr="00B021F0" w:rsidRDefault="005D783E" w:rsidP="00782731">
      <w:pPr>
        <w:spacing w:after="0"/>
        <w:rPr>
          <w:rFonts w:ascii="Times New Roman" w:hAnsi="Times New Roman"/>
          <w:i/>
          <w:sz w:val="24"/>
          <w:szCs w:val="24"/>
        </w:rPr>
      </w:pPr>
      <w:r w:rsidRPr="00B021F0">
        <w:rPr>
          <w:rFonts w:ascii="Times New Roman" w:hAnsi="Times New Roman"/>
          <w:i/>
          <w:sz w:val="24"/>
          <w:szCs w:val="24"/>
        </w:rPr>
        <w:t>Introduction</w:t>
      </w:r>
    </w:p>
    <w:p w14:paraId="6283CF70" w14:textId="77777777" w:rsidR="00EA5386" w:rsidRPr="00377664" w:rsidRDefault="00EA5386" w:rsidP="00377664">
      <w:pPr>
        <w:spacing w:after="0"/>
        <w:rPr>
          <w:rFonts w:ascii="Times New Roman" w:hAnsi="Times New Roman"/>
          <w:sz w:val="24"/>
          <w:szCs w:val="24"/>
        </w:rPr>
      </w:pPr>
    </w:p>
    <w:p w14:paraId="2F627444" w14:textId="67312320" w:rsidR="00377664" w:rsidRPr="00377664" w:rsidRDefault="00377664" w:rsidP="00377664">
      <w:pPr>
        <w:spacing w:after="0"/>
        <w:rPr>
          <w:rFonts w:ascii="Times New Roman" w:hAnsi="Times New Roman"/>
          <w:sz w:val="24"/>
          <w:szCs w:val="24"/>
          <w:shd w:val="clear" w:color="auto" w:fill="FFFFFF"/>
          <w:lang w:val="en-US"/>
        </w:rPr>
      </w:pPr>
      <w:r w:rsidRPr="00377664">
        <w:rPr>
          <w:rFonts w:ascii="Times New Roman" w:hAnsi="Times New Roman"/>
          <w:sz w:val="24"/>
          <w:szCs w:val="24"/>
          <w:lang w:val="en-US"/>
        </w:rPr>
        <w:t>It is well-known that the center of main interests (“COMI”) is defined by Regulation (EU) 2015/848 (“EIR”) as “</w:t>
      </w:r>
      <w:r w:rsidRPr="00377664">
        <w:rPr>
          <w:rFonts w:ascii="Times New Roman" w:hAnsi="Times New Roman"/>
          <w:sz w:val="24"/>
          <w:szCs w:val="24"/>
          <w:shd w:val="clear" w:color="auto" w:fill="FFFFFF"/>
          <w:lang w:val="en-US"/>
        </w:rPr>
        <w:t xml:space="preserve">the place where the debtor conducts the administration of its interests on a regular basis and which is ascertainable by third parties” </w:t>
      </w:r>
      <w:r w:rsidRPr="00377664">
        <w:rPr>
          <w:rFonts w:ascii="Times New Roman" w:hAnsi="Times New Roman"/>
          <w:sz w:val="24"/>
          <w:szCs w:val="24"/>
          <w:lang w:val="en-US"/>
        </w:rPr>
        <w:t>(Article 3 (1)</w:t>
      </w:r>
      <w:r w:rsidR="00557C10">
        <w:rPr>
          <w:rFonts w:ascii="Times New Roman" w:hAnsi="Times New Roman"/>
          <w:sz w:val="24"/>
          <w:szCs w:val="24"/>
          <w:lang w:val="en-US"/>
        </w:rPr>
        <w:t>)</w:t>
      </w:r>
      <w:r w:rsidRPr="00377664">
        <w:rPr>
          <w:rFonts w:ascii="Times New Roman" w:hAnsi="Times New Roman"/>
          <w:sz w:val="24"/>
          <w:szCs w:val="24"/>
          <w:shd w:val="clear" w:color="auto" w:fill="FFFFFF"/>
          <w:lang w:val="en-US"/>
        </w:rPr>
        <w:t>. It mainly works both as a ground of jurisdiction (to open the main proceedings) and as a ground for the Regulation to be applied.</w:t>
      </w:r>
    </w:p>
    <w:p w14:paraId="6F13319D" w14:textId="77777777" w:rsidR="00377664" w:rsidRPr="00377664" w:rsidRDefault="00377664" w:rsidP="00377664">
      <w:pPr>
        <w:spacing w:after="0"/>
        <w:rPr>
          <w:rFonts w:ascii="Times New Roman" w:hAnsi="Times New Roman"/>
          <w:sz w:val="24"/>
          <w:szCs w:val="24"/>
          <w:lang w:val="en-US"/>
        </w:rPr>
      </w:pPr>
    </w:p>
    <w:p w14:paraId="4E6336DD" w14:textId="3FE75EE8" w:rsidR="00377664" w:rsidRPr="00377664" w:rsidRDefault="00377664" w:rsidP="00377664">
      <w:pPr>
        <w:spacing w:after="0"/>
        <w:rPr>
          <w:rFonts w:ascii="Times New Roman" w:hAnsi="Times New Roman"/>
          <w:sz w:val="24"/>
          <w:szCs w:val="24"/>
          <w:lang w:val="en-US"/>
        </w:rPr>
      </w:pPr>
      <w:r w:rsidRPr="00377664">
        <w:rPr>
          <w:rFonts w:ascii="Times New Roman" w:hAnsi="Times New Roman"/>
          <w:sz w:val="24"/>
          <w:szCs w:val="24"/>
          <w:lang w:val="en-US"/>
        </w:rPr>
        <w:t>The Italian Business Crisis and Insolvency Code (hereinafter, “Code”), which was promulgated by legislative decree 12 January 2019 no. 14, revises the Italian insolvency law. One novelty is to have replaced the debtor’s “principal seat” with the COMI as a ground of jurisdiction (see Article 11)</w:t>
      </w:r>
      <w:r>
        <w:rPr>
          <w:rFonts w:ascii="Times New Roman" w:hAnsi="Times New Roman"/>
          <w:sz w:val="24"/>
          <w:szCs w:val="24"/>
          <w:lang w:val="en-US"/>
        </w:rPr>
        <w:t>,</w:t>
      </w:r>
      <w:r w:rsidRPr="00377664">
        <w:rPr>
          <w:rFonts w:ascii="Times New Roman" w:hAnsi="Times New Roman"/>
          <w:sz w:val="24"/>
          <w:szCs w:val="24"/>
          <w:lang w:val="en-US"/>
        </w:rPr>
        <w:t xml:space="preserve"> both to open Italian insolvency proceedings and to rule on the so-called “ancillary actions”. Besides, the Code embeds the same definition of the COMI as the EIR (see Article 2 (m)).</w:t>
      </w:r>
    </w:p>
    <w:p w14:paraId="4F3CAC9A" w14:textId="77777777" w:rsidR="00377664" w:rsidRPr="00377664" w:rsidRDefault="00377664" w:rsidP="00377664">
      <w:pPr>
        <w:spacing w:after="0"/>
        <w:rPr>
          <w:rFonts w:ascii="Times New Roman" w:hAnsi="Times New Roman"/>
          <w:sz w:val="24"/>
          <w:szCs w:val="24"/>
          <w:lang w:val="en-US"/>
        </w:rPr>
      </w:pPr>
    </w:p>
    <w:p w14:paraId="65B6747F" w14:textId="18AA1731" w:rsidR="00377664" w:rsidRPr="00377664" w:rsidRDefault="00377664" w:rsidP="00377664">
      <w:pPr>
        <w:spacing w:after="0"/>
        <w:rPr>
          <w:rFonts w:ascii="Times New Roman" w:hAnsi="Times New Roman"/>
          <w:sz w:val="24"/>
          <w:szCs w:val="24"/>
          <w:lang w:val="en-US"/>
        </w:rPr>
      </w:pPr>
      <w:r w:rsidRPr="00377664">
        <w:rPr>
          <w:rFonts w:ascii="Times New Roman" w:hAnsi="Times New Roman"/>
          <w:sz w:val="24"/>
          <w:szCs w:val="24"/>
          <w:lang w:val="en-US"/>
        </w:rPr>
        <w:t xml:space="preserve">In this regard, the Italian Government has followed the guidelines that the Italian Parliament set forth when delegating </w:t>
      </w:r>
      <w:r w:rsidR="00557C10">
        <w:rPr>
          <w:rFonts w:ascii="Times New Roman" w:hAnsi="Times New Roman"/>
          <w:sz w:val="24"/>
          <w:szCs w:val="24"/>
          <w:lang w:val="en-US"/>
        </w:rPr>
        <w:t xml:space="preserve">powers to </w:t>
      </w:r>
      <w:r w:rsidRPr="00377664">
        <w:rPr>
          <w:rFonts w:ascii="Times New Roman" w:hAnsi="Times New Roman"/>
          <w:sz w:val="24"/>
          <w:szCs w:val="24"/>
          <w:lang w:val="en-US"/>
        </w:rPr>
        <w:t xml:space="preserve">it to revise the Italian insolvency law “taking into account European Union Law and particularly Regulation (EU) 2015/848” (see Article 1 (2), </w:t>
      </w:r>
      <w:r w:rsidR="00557C10">
        <w:rPr>
          <w:rFonts w:ascii="Times New Roman" w:hAnsi="Times New Roman"/>
          <w:sz w:val="24"/>
          <w:szCs w:val="24"/>
          <w:lang w:val="en-US"/>
        </w:rPr>
        <w:t>L</w:t>
      </w:r>
      <w:r w:rsidRPr="00377664">
        <w:rPr>
          <w:rFonts w:ascii="Times New Roman" w:hAnsi="Times New Roman"/>
          <w:sz w:val="24"/>
          <w:szCs w:val="24"/>
          <w:lang w:val="en-US"/>
        </w:rPr>
        <w:t xml:space="preserve">aw 19 October 2017 no. 155). </w:t>
      </w:r>
      <w:r w:rsidR="00557C10">
        <w:rPr>
          <w:rFonts w:ascii="Times New Roman" w:hAnsi="Times New Roman"/>
          <w:sz w:val="24"/>
          <w:szCs w:val="24"/>
          <w:lang w:val="en-US"/>
        </w:rPr>
        <w:t xml:space="preserve">Although originally intended to </w:t>
      </w:r>
      <w:r w:rsidRPr="00377664">
        <w:rPr>
          <w:rFonts w:ascii="Times New Roman" w:hAnsi="Times New Roman"/>
          <w:sz w:val="24"/>
          <w:szCs w:val="24"/>
          <w:lang w:val="en-US"/>
        </w:rPr>
        <w:t xml:space="preserve">apply, </w:t>
      </w:r>
      <w:r w:rsidR="00557C10">
        <w:rPr>
          <w:rFonts w:ascii="Times New Roman" w:hAnsi="Times New Roman"/>
          <w:sz w:val="24"/>
          <w:szCs w:val="24"/>
          <w:lang w:val="en-US"/>
        </w:rPr>
        <w:t xml:space="preserve">with </w:t>
      </w:r>
      <w:r w:rsidRPr="00377664">
        <w:rPr>
          <w:rFonts w:ascii="Times New Roman" w:hAnsi="Times New Roman"/>
          <w:sz w:val="24"/>
          <w:szCs w:val="24"/>
          <w:lang w:val="en-US"/>
        </w:rPr>
        <w:t>some exceptions, as of 15 August 2020</w:t>
      </w:r>
      <w:r w:rsidR="00557C10">
        <w:rPr>
          <w:rFonts w:ascii="Times New Roman" w:hAnsi="Times New Roman"/>
          <w:sz w:val="24"/>
          <w:szCs w:val="24"/>
          <w:lang w:val="en-US"/>
        </w:rPr>
        <w:t>, the entry into force of the Code has now been postponed to 1 September 2021, due to the Covid-19 crisis</w:t>
      </w:r>
      <w:r w:rsidRPr="00377664">
        <w:rPr>
          <w:rFonts w:ascii="Times New Roman" w:hAnsi="Times New Roman"/>
          <w:sz w:val="24"/>
          <w:szCs w:val="24"/>
          <w:lang w:val="en-US"/>
        </w:rPr>
        <w:t>.</w:t>
      </w:r>
      <w:r w:rsidR="00557C10">
        <w:rPr>
          <w:rFonts w:ascii="Times New Roman" w:hAnsi="Times New Roman"/>
          <w:sz w:val="24"/>
          <w:szCs w:val="24"/>
          <w:lang w:val="en-US"/>
        </w:rPr>
        <w:t xml:space="preserve"> Nonetheless, the changes will constitute </w:t>
      </w:r>
      <w:r w:rsidR="00557C10" w:rsidRPr="00377664">
        <w:rPr>
          <w:rFonts w:ascii="Times New Roman" w:hAnsi="Times New Roman"/>
          <w:sz w:val="24"/>
          <w:szCs w:val="24"/>
          <w:lang w:val="en-US"/>
        </w:rPr>
        <w:t xml:space="preserve">novelties regarding </w:t>
      </w:r>
      <w:r w:rsidR="00557C10">
        <w:rPr>
          <w:rFonts w:ascii="Times New Roman" w:hAnsi="Times New Roman"/>
          <w:sz w:val="24"/>
          <w:szCs w:val="24"/>
          <w:lang w:val="en-US"/>
        </w:rPr>
        <w:t xml:space="preserve">the </w:t>
      </w:r>
      <w:r w:rsidR="00557C10" w:rsidRPr="00377664">
        <w:rPr>
          <w:rFonts w:ascii="Times New Roman" w:hAnsi="Times New Roman"/>
          <w:sz w:val="24"/>
          <w:szCs w:val="24"/>
          <w:lang w:val="en-US"/>
        </w:rPr>
        <w:t xml:space="preserve">jurisdiction </w:t>
      </w:r>
      <w:r w:rsidR="00557C10">
        <w:rPr>
          <w:rFonts w:ascii="Times New Roman" w:hAnsi="Times New Roman"/>
          <w:sz w:val="24"/>
          <w:szCs w:val="24"/>
          <w:lang w:val="en-US"/>
        </w:rPr>
        <w:t xml:space="preserve">of Italian courts </w:t>
      </w:r>
      <w:r w:rsidR="00557C10" w:rsidRPr="00377664">
        <w:rPr>
          <w:rFonts w:ascii="Times New Roman" w:hAnsi="Times New Roman"/>
          <w:sz w:val="24"/>
          <w:szCs w:val="24"/>
          <w:lang w:val="en-US"/>
        </w:rPr>
        <w:t>in insolvency matters</w:t>
      </w:r>
      <w:r w:rsidR="00557C10">
        <w:rPr>
          <w:rFonts w:ascii="Times New Roman" w:hAnsi="Times New Roman"/>
          <w:sz w:val="24"/>
          <w:szCs w:val="24"/>
          <w:lang w:val="en-US"/>
        </w:rPr>
        <w:t xml:space="preserve"> and some critical remarks are worth making</w:t>
      </w:r>
      <w:r w:rsidR="00557C10" w:rsidRPr="00377664">
        <w:rPr>
          <w:rFonts w:ascii="Times New Roman" w:hAnsi="Times New Roman"/>
          <w:sz w:val="24"/>
          <w:szCs w:val="24"/>
          <w:lang w:val="en-US"/>
        </w:rPr>
        <w:t>.</w:t>
      </w:r>
    </w:p>
    <w:p w14:paraId="23A02333" w14:textId="77777777" w:rsidR="00377664" w:rsidRPr="00377664" w:rsidRDefault="00377664" w:rsidP="00377664">
      <w:pPr>
        <w:spacing w:after="0"/>
        <w:rPr>
          <w:rFonts w:ascii="Times New Roman" w:hAnsi="Times New Roman"/>
          <w:sz w:val="24"/>
          <w:szCs w:val="24"/>
          <w:lang w:val="en-US"/>
        </w:rPr>
      </w:pPr>
    </w:p>
    <w:p w14:paraId="2B4B31A9" w14:textId="4F42D79D" w:rsidR="00377664" w:rsidRPr="00377664" w:rsidRDefault="00377664" w:rsidP="00377664">
      <w:pPr>
        <w:spacing w:after="0"/>
        <w:rPr>
          <w:rFonts w:ascii="Times New Roman" w:hAnsi="Times New Roman"/>
          <w:i/>
          <w:iCs/>
          <w:sz w:val="24"/>
          <w:szCs w:val="24"/>
          <w:lang w:val="en-US"/>
        </w:rPr>
      </w:pPr>
      <w:r w:rsidRPr="00377664">
        <w:rPr>
          <w:rFonts w:ascii="Times New Roman" w:hAnsi="Times New Roman"/>
          <w:i/>
          <w:iCs/>
          <w:sz w:val="24"/>
          <w:szCs w:val="24"/>
          <w:lang w:val="en-US"/>
        </w:rPr>
        <w:t>The Novelty of Jurisdiction in Insolvency Matters</w:t>
      </w:r>
    </w:p>
    <w:p w14:paraId="3065FDAA" w14:textId="77777777" w:rsidR="00377664" w:rsidRDefault="00377664" w:rsidP="00377664">
      <w:pPr>
        <w:spacing w:after="0"/>
        <w:rPr>
          <w:rFonts w:ascii="Times New Roman" w:hAnsi="Times New Roman"/>
          <w:sz w:val="24"/>
          <w:szCs w:val="24"/>
          <w:lang w:val="en-US"/>
        </w:rPr>
      </w:pPr>
    </w:p>
    <w:p w14:paraId="3848D890" w14:textId="56F144AC" w:rsidR="00377664" w:rsidRPr="00377664" w:rsidRDefault="00377664" w:rsidP="00377664">
      <w:pPr>
        <w:spacing w:after="0"/>
        <w:rPr>
          <w:rFonts w:ascii="Times New Roman" w:hAnsi="Times New Roman"/>
          <w:sz w:val="24"/>
          <w:szCs w:val="24"/>
          <w:lang w:val="en-US"/>
        </w:rPr>
      </w:pPr>
      <w:r w:rsidRPr="00377664">
        <w:rPr>
          <w:rFonts w:ascii="Times New Roman" w:hAnsi="Times New Roman"/>
          <w:sz w:val="24"/>
          <w:szCs w:val="24"/>
          <w:lang w:val="en-US"/>
        </w:rPr>
        <w:t>General</w:t>
      </w:r>
      <w:r>
        <w:rPr>
          <w:rFonts w:ascii="Times New Roman" w:hAnsi="Times New Roman"/>
          <w:sz w:val="24"/>
          <w:szCs w:val="24"/>
          <w:lang w:val="en-US"/>
        </w:rPr>
        <w:t>ly</w:t>
      </w:r>
      <w:r w:rsidRPr="00377664">
        <w:rPr>
          <w:rFonts w:ascii="Times New Roman" w:hAnsi="Times New Roman"/>
          <w:sz w:val="24"/>
          <w:szCs w:val="24"/>
          <w:lang w:val="en-US"/>
        </w:rPr>
        <w:t xml:space="preserve"> speaking, one may agree with the choice to shape the ground of jurisdiction upon the model of the EIR’s COMI</w:t>
      </w:r>
      <w:r>
        <w:rPr>
          <w:rFonts w:ascii="Times New Roman" w:hAnsi="Times New Roman"/>
          <w:sz w:val="24"/>
          <w:szCs w:val="24"/>
          <w:lang w:val="en-US"/>
        </w:rPr>
        <w:t>,</w:t>
      </w:r>
      <w:r w:rsidRPr="00377664">
        <w:rPr>
          <w:rFonts w:ascii="Times New Roman" w:hAnsi="Times New Roman"/>
          <w:sz w:val="24"/>
          <w:szCs w:val="24"/>
          <w:lang w:val="en-US"/>
        </w:rPr>
        <w:t xml:space="preserve"> so as to treat equally all debtors facing a crisis in Italy</w:t>
      </w:r>
      <w:r>
        <w:rPr>
          <w:rFonts w:ascii="Times New Roman" w:hAnsi="Times New Roman"/>
          <w:sz w:val="24"/>
          <w:szCs w:val="24"/>
          <w:lang w:val="en-US"/>
        </w:rPr>
        <w:t>,</w:t>
      </w:r>
      <w:r w:rsidRPr="00377664">
        <w:rPr>
          <w:rFonts w:ascii="Times New Roman" w:hAnsi="Times New Roman"/>
          <w:sz w:val="24"/>
          <w:szCs w:val="24"/>
          <w:lang w:val="en-US"/>
        </w:rPr>
        <w:t xml:space="preserve"> irrespective of where their registered office or other formal seats are located (within or outside the EU). However, it is worth recollecting that the EIR applies whe</w:t>
      </w:r>
      <w:r>
        <w:rPr>
          <w:rFonts w:ascii="Times New Roman" w:hAnsi="Times New Roman"/>
          <w:sz w:val="24"/>
          <w:szCs w:val="24"/>
          <w:lang w:val="en-US"/>
        </w:rPr>
        <w:t>re</w:t>
      </w:r>
      <w:r w:rsidRPr="00377664">
        <w:rPr>
          <w:rFonts w:ascii="Times New Roman" w:hAnsi="Times New Roman"/>
          <w:sz w:val="24"/>
          <w:szCs w:val="24"/>
          <w:lang w:val="en-US"/>
        </w:rPr>
        <w:t xml:space="preserve"> the COMI lies in a Member State, so that the Italian jurisdiction will rest on the EIR</w:t>
      </w:r>
      <w:r>
        <w:rPr>
          <w:rFonts w:ascii="Times New Roman" w:hAnsi="Times New Roman"/>
          <w:sz w:val="24"/>
          <w:szCs w:val="24"/>
          <w:lang w:val="en-US"/>
        </w:rPr>
        <w:t>,</w:t>
      </w:r>
      <w:r w:rsidRPr="00377664">
        <w:rPr>
          <w:rFonts w:ascii="Times New Roman" w:hAnsi="Times New Roman"/>
          <w:sz w:val="24"/>
          <w:szCs w:val="24"/>
          <w:lang w:val="en-US"/>
        </w:rPr>
        <w:t xml:space="preserve"> rather than on the Code with respect to </w:t>
      </w:r>
      <w:r w:rsidRPr="00377664">
        <w:rPr>
          <w:rFonts w:ascii="Times New Roman" w:hAnsi="Times New Roman"/>
          <w:sz w:val="24"/>
          <w:szCs w:val="24"/>
          <w:lang w:val="en-US"/>
        </w:rPr>
        <w:lastRenderedPageBreak/>
        <w:t>debtors having the</w:t>
      </w:r>
      <w:r>
        <w:rPr>
          <w:rFonts w:ascii="Times New Roman" w:hAnsi="Times New Roman"/>
          <w:sz w:val="24"/>
          <w:szCs w:val="24"/>
          <w:lang w:val="en-US"/>
        </w:rPr>
        <w:t>ir</w:t>
      </w:r>
      <w:r w:rsidRPr="00377664">
        <w:rPr>
          <w:rFonts w:ascii="Times New Roman" w:hAnsi="Times New Roman"/>
          <w:sz w:val="24"/>
          <w:szCs w:val="24"/>
          <w:lang w:val="en-US"/>
        </w:rPr>
        <w:t xml:space="preserve"> COMI in Italy. This also happens when the debtor having the COMI in Italy has its registered office in a third country. </w:t>
      </w:r>
    </w:p>
    <w:p w14:paraId="5DA8DFB5" w14:textId="77777777" w:rsidR="00377664" w:rsidRPr="00377664" w:rsidRDefault="00377664" w:rsidP="00377664">
      <w:pPr>
        <w:spacing w:after="0"/>
        <w:rPr>
          <w:rFonts w:ascii="Times New Roman" w:hAnsi="Times New Roman"/>
          <w:sz w:val="24"/>
          <w:szCs w:val="24"/>
          <w:lang w:val="en-US"/>
        </w:rPr>
      </w:pPr>
    </w:p>
    <w:p w14:paraId="329B02F7" w14:textId="16DA148E" w:rsidR="00377664" w:rsidRPr="00377664" w:rsidRDefault="00377664" w:rsidP="00377664">
      <w:pPr>
        <w:spacing w:after="0"/>
        <w:rPr>
          <w:rFonts w:ascii="Times New Roman" w:hAnsi="Times New Roman"/>
          <w:sz w:val="24"/>
          <w:szCs w:val="24"/>
          <w:lang w:val="en-US"/>
        </w:rPr>
      </w:pPr>
      <w:r w:rsidRPr="00377664">
        <w:rPr>
          <w:rFonts w:ascii="Times New Roman" w:hAnsi="Times New Roman"/>
          <w:sz w:val="24"/>
          <w:szCs w:val="24"/>
          <w:lang w:val="en-US"/>
        </w:rPr>
        <w:t>In addition, Articl</w:t>
      </w:r>
      <w:r w:rsidR="001D4D49">
        <w:rPr>
          <w:rFonts w:ascii="Times New Roman" w:hAnsi="Times New Roman"/>
          <w:sz w:val="24"/>
          <w:szCs w:val="24"/>
          <w:lang w:val="en-US"/>
        </w:rPr>
        <w:t xml:space="preserve">es 11 and </w:t>
      </w:r>
      <w:proofErr w:type="gramStart"/>
      <w:r w:rsidRPr="00377664">
        <w:rPr>
          <w:rFonts w:ascii="Times New Roman" w:hAnsi="Times New Roman"/>
          <w:sz w:val="24"/>
          <w:szCs w:val="24"/>
          <w:lang w:val="en-US"/>
        </w:rPr>
        <w:t xml:space="preserve">26 </w:t>
      </w:r>
      <w:r w:rsidR="001D4D49">
        <w:rPr>
          <w:rFonts w:ascii="Times New Roman" w:hAnsi="Times New Roman"/>
          <w:sz w:val="24"/>
          <w:szCs w:val="24"/>
          <w:lang w:val="en-US"/>
        </w:rPr>
        <w:t>,</w:t>
      </w:r>
      <w:proofErr w:type="gramEnd"/>
      <w:r w:rsidR="001D4D49">
        <w:rPr>
          <w:rFonts w:ascii="Times New Roman" w:hAnsi="Times New Roman"/>
          <w:sz w:val="24"/>
          <w:szCs w:val="24"/>
          <w:lang w:val="en-US"/>
        </w:rPr>
        <w:t xml:space="preserve"> taken as a whole, allow </w:t>
      </w:r>
      <w:r>
        <w:rPr>
          <w:rFonts w:ascii="Times New Roman" w:hAnsi="Times New Roman"/>
          <w:sz w:val="24"/>
          <w:szCs w:val="24"/>
          <w:lang w:val="en-US"/>
        </w:rPr>
        <w:t xml:space="preserve">for </w:t>
      </w:r>
      <w:r w:rsidR="001D4D49">
        <w:rPr>
          <w:rFonts w:ascii="Times New Roman" w:hAnsi="Times New Roman"/>
          <w:sz w:val="24"/>
          <w:szCs w:val="24"/>
          <w:lang w:val="en-US"/>
        </w:rPr>
        <w:t xml:space="preserve">jurisdiction and </w:t>
      </w:r>
      <w:r>
        <w:rPr>
          <w:rFonts w:ascii="Times New Roman" w:hAnsi="Times New Roman"/>
          <w:sz w:val="24"/>
          <w:szCs w:val="24"/>
          <w:lang w:val="en-US"/>
        </w:rPr>
        <w:t xml:space="preserve">the </w:t>
      </w:r>
      <w:r w:rsidRPr="00377664">
        <w:rPr>
          <w:rFonts w:ascii="Times New Roman" w:hAnsi="Times New Roman"/>
          <w:sz w:val="24"/>
          <w:szCs w:val="24"/>
          <w:lang w:val="en-US"/>
        </w:rPr>
        <w:t xml:space="preserve">opening </w:t>
      </w:r>
      <w:r>
        <w:rPr>
          <w:rFonts w:ascii="Times New Roman" w:hAnsi="Times New Roman"/>
          <w:sz w:val="24"/>
          <w:szCs w:val="24"/>
          <w:lang w:val="en-US"/>
        </w:rPr>
        <w:t xml:space="preserve">of </w:t>
      </w:r>
      <w:r w:rsidRPr="00377664">
        <w:rPr>
          <w:rFonts w:ascii="Times New Roman" w:hAnsi="Times New Roman"/>
          <w:sz w:val="24"/>
          <w:szCs w:val="24"/>
          <w:lang w:val="en-US"/>
        </w:rPr>
        <w:t xml:space="preserve">an insolvency proceeding in Italy with respect to a debtor with </w:t>
      </w:r>
      <w:r>
        <w:rPr>
          <w:rFonts w:ascii="Times New Roman" w:hAnsi="Times New Roman"/>
          <w:sz w:val="24"/>
          <w:szCs w:val="24"/>
          <w:lang w:val="en-US"/>
        </w:rPr>
        <w:t xml:space="preserve">a </w:t>
      </w:r>
      <w:r w:rsidRPr="00377664">
        <w:rPr>
          <w:rFonts w:ascii="Times New Roman" w:hAnsi="Times New Roman"/>
          <w:sz w:val="24"/>
          <w:szCs w:val="24"/>
          <w:lang w:val="en-US"/>
        </w:rPr>
        <w:t>COMI abroad</w:t>
      </w:r>
      <w:r w:rsidR="001D4D49">
        <w:rPr>
          <w:rFonts w:ascii="Times New Roman" w:hAnsi="Times New Roman"/>
          <w:sz w:val="24"/>
          <w:szCs w:val="24"/>
          <w:lang w:val="en-US"/>
        </w:rPr>
        <w:t xml:space="preserve"> that </w:t>
      </w:r>
      <w:r w:rsidRPr="00377664">
        <w:rPr>
          <w:rFonts w:ascii="Times New Roman" w:hAnsi="Times New Roman"/>
          <w:sz w:val="24"/>
          <w:szCs w:val="24"/>
          <w:lang w:val="en-US"/>
        </w:rPr>
        <w:t>has an establishment in Italy</w:t>
      </w:r>
      <w:r w:rsidR="001D4D49">
        <w:rPr>
          <w:rFonts w:ascii="Times New Roman" w:hAnsi="Times New Roman"/>
          <w:sz w:val="24"/>
          <w:szCs w:val="24"/>
          <w:lang w:val="en-US"/>
        </w:rPr>
        <w:t>, even if it has been submitted to insolvency proceedings abroad</w:t>
      </w:r>
      <w:r w:rsidRPr="00377664">
        <w:rPr>
          <w:rFonts w:ascii="Times New Roman" w:hAnsi="Times New Roman"/>
          <w:sz w:val="24"/>
          <w:szCs w:val="24"/>
          <w:lang w:val="en-US"/>
        </w:rPr>
        <w:t>. Unlike the former regime, it is no longer sufficient that the debtor has assets in Italy for the Italian proceeding to be opened.</w:t>
      </w:r>
    </w:p>
    <w:p w14:paraId="7110D043" w14:textId="77777777" w:rsidR="00377664" w:rsidRDefault="00377664" w:rsidP="00377664">
      <w:pPr>
        <w:spacing w:after="0"/>
        <w:rPr>
          <w:rFonts w:ascii="Times New Roman" w:hAnsi="Times New Roman"/>
          <w:sz w:val="24"/>
          <w:szCs w:val="24"/>
          <w:lang w:val="en-US"/>
        </w:rPr>
      </w:pPr>
    </w:p>
    <w:p w14:paraId="7FCD79E5" w14:textId="608190A7" w:rsidR="00377664" w:rsidRPr="00377664" w:rsidRDefault="00377664" w:rsidP="00377664">
      <w:pPr>
        <w:spacing w:after="0"/>
        <w:rPr>
          <w:rFonts w:ascii="Times New Roman" w:hAnsi="Times New Roman"/>
          <w:sz w:val="24"/>
          <w:szCs w:val="24"/>
          <w:lang w:val="en-US"/>
        </w:rPr>
      </w:pPr>
      <w:r w:rsidRPr="00377664">
        <w:rPr>
          <w:rFonts w:ascii="Times New Roman" w:hAnsi="Times New Roman"/>
          <w:sz w:val="24"/>
          <w:szCs w:val="24"/>
          <w:lang w:val="en-US"/>
        </w:rPr>
        <w:t xml:space="preserve">The criterion of the establishment works, as an Italian ground of jurisdiction, insofar as the COMI is located in a third country. If the COMI were to lie in </w:t>
      </w:r>
      <w:r w:rsidR="001D4D49">
        <w:rPr>
          <w:rFonts w:ascii="Times New Roman" w:hAnsi="Times New Roman"/>
          <w:sz w:val="24"/>
          <w:szCs w:val="24"/>
          <w:lang w:val="en-US"/>
        </w:rPr>
        <w:t xml:space="preserve">EU Member State </w:t>
      </w:r>
      <w:proofErr w:type="gramStart"/>
      <w:r w:rsidR="001D4D49">
        <w:rPr>
          <w:rFonts w:ascii="Times New Roman" w:hAnsi="Times New Roman"/>
          <w:sz w:val="24"/>
          <w:szCs w:val="24"/>
          <w:lang w:val="en-US"/>
        </w:rPr>
        <w:t>to</w:t>
      </w:r>
      <w:proofErr w:type="gramEnd"/>
      <w:r w:rsidR="001D4D49">
        <w:rPr>
          <w:rFonts w:ascii="Times New Roman" w:hAnsi="Times New Roman"/>
          <w:sz w:val="24"/>
          <w:szCs w:val="24"/>
          <w:lang w:val="en-US"/>
        </w:rPr>
        <w:t xml:space="preserve"> which EIR applies</w:t>
      </w:r>
      <w:r w:rsidRPr="00377664">
        <w:rPr>
          <w:rFonts w:ascii="Times New Roman" w:hAnsi="Times New Roman"/>
          <w:sz w:val="24"/>
          <w:szCs w:val="24"/>
          <w:lang w:val="en-US"/>
        </w:rPr>
        <w:t>, the criterion of the establishment</w:t>
      </w:r>
      <w:r w:rsidR="000E1C15">
        <w:rPr>
          <w:rFonts w:ascii="Times New Roman" w:hAnsi="Times New Roman"/>
          <w:sz w:val="24"/>
          <w:szCs w:val="24"/>
          <w:lang w:val="en-US"/>
        </w:rPr>
        <w:t xml:space="preserve"> would</w:t>
      </w:r>
      <w:r w:rsidRPr="00377664">
        <w:rPr>
          <w:rFonts w:ascii="Times New Roman" w:hAnsi="Times New Roman"/>
          <w:sz w:val="24"/>
          <w:szCs w:val="24"/>
          <w:lang w:val="en-US"/>
        </w:rPr>
        <w:t xml:space="preserve"> </w:t>
      </w:r>
      <w:r w:rsidR="001D4D49">
        <w:rPr>
          <w:rFonts w:ascii="Times New Roman" w:hAnsi="Times New Roman"/>
          <w:sz w:val="24"/>
          <w:szCs w:val="24"/>
          <w:lang w:val="en-US"/>
        </w:rPr>
        <w:t xml:space="preserve">work under </w:t>
      </w:r>
      <w:r w:rsidRPr="00377664">
        <w:rPr>
          <w:rFonts w:ascii="Times New Roman" w:hAnsi="Times New Roman"/>
          <w:sz w:val="24"/>
          <w:szCs w:val="24"/>
          <w:lang w:val="en-US"/>
        </w:rPr>
        <w:t xml:space="preserve">the EIR regime. </w:t>
      </w:r>
    </w:p>
    <w:p w14:paraId="08CA40ED" w14:textId="77777777" w:rsidR="00377664" w:rsidRPr="00377664" w:rsidRDefault="00377664" w:rsidP="00377664">
      <w:pPr>
        <w:spacing w:after="0"/>
        <w:rPr>
          <w:rFonts w:ascii="Times New Roman" w:hAnsi="Times New Roman"/>
          <w:sz w:val="24"/>
          <w:szCs w:val="24"/>
          <w:lang w:val="en-US"/>
        </w:rPr>
      </w:pPr>
    </w:p>
    <w:p w14:paraId="52298BF4" w14:textId="39A5C220" w:rsidR="00377664" w:rsidRPr="00377664" w:rsidRDefault="00377664" w:rsidP="00377664">
      <w:pPr>
        <w:spacing w:after="0"/>
        <w:rPr>
          <w:rFonts w:ascii="Times New Roman" w:hAnsi="Times New Roman"/>
          <w:sz w:val="24"/>
          <w:szCs w:val="24"/>
          <w:shd w:val="clear" w:color="auto" w:fill="FFFFFF"/>
          <w:lang w:val="en-US"/>
        </w:rPr>
      </w:pPr>
      <w:r w:rsidRPr="00377664">
        <w:rPr>
          <w:rFonts w:ascii="Times New Roman" w:hAnsi="Times New Roman"/>
          <w:sz w:val="24"/>
          <w:szCs w:val="24"/>
          <w:lang w:val="en-US"/>
        </w:rPr>
        <w:t xml:space="preserve">Taking account of the proclaimed inspiration </w:t>
      </w:r>
      <w:r>
        <w:rPr>
          <w:rFonts w:ascii="Times New Roman" w:hAnsi="Times New Roman"/>
          <w:sz w:val="24"/>
          <w:szCs w:val="24"/>
          <w:lang w:val="en-US"/>
        </w:rPr>
        <w:t xml:space="preserve">of </w:t>
      </w:r>
      <w:r w:rsidRPr="00377664">
        <w:rPr>
          <w:rFonts w:ascii="Times New Roman" w:hAnsi="Times New Roman"/>
          <w:sz w:val="24"/>
          <w:szCs w:val="24"/>
          <w:lang w:val="en-US"/>
        </w:rPr>
        <w:t xml:space="preserve">the EIR, what comes as a surprise is that the Code does not provide a definition of establishment upon the EIR’s model, as it does for the COMI. Admittedly, the explanatory report to the Code, </w:t>
      </w:r>
      <w:r w:rsidRPr="00377664">
        <w:rPr>
          <w:rFonts w:ascii="Times New Roman" w:hAnsi="Times New Roman"/>
          <w:i/>
          <w:iCs/>
          <w:sz w:val="24"/>
          <w:szCs w:val="24"/>
          <w:lang w:val="en-US"/>
        </w:rPr>
        <w:t xml:space="preserve">sub </w:t>
      </w:r>
      <w:r w:rsidRPr="00377664">
        <w:rPr>
          <w:rFonts w:ascii="Times New Roman" w:hAnsi="Times New Roman"/>
          <w:sz w:val="24"/>
          <w:szCs w:val="24"/>
          <w:lang w:val="en-US"/>
        </w:rPr>
        <w:t>Article 26, seems to implicitly match the notion of “establishment” to that encapsulated in the EIR</w:t>
      </w:r>
      <w:r>
        <w:rPr>
          <w:rFonts w:ascii="Times New Roman" w:hAnsi="Times New Roman"/>
          <w:sz w:val="24"/>
          <w:szCs w:val="24"/>
          <w:lang w:val="en-US"/>
        </w:rPr>
        <w:t>.</w:t>
      </w:r>
      <w:r w:rsidRPr="00377664">
        <w:rPr>
          <w:rFonts w:ascii="Times New Roman" w:hAnsi="Times New Roman"/>
          <w:sz w:val="24"/>
          <w:szCs w:val="24"/>
          <w:lang w:val="en-US"/>
        </w:rPr>
        <w:t xml:space="preserve"> </w:t>
      </w:r>
      <w:r>
        <w:rPr>
          <w:rFonts w:ascii="Times New Roman" w:hAnsi="Times New Roman"/>
          <w:sz w:val="24"/>
          <w:szCs w:val="24"/>
          <w:lang w:val="en-US"/>
        </w:rPr>
        <w:t xml:space="preserve">It is thus </w:t>
      </w:r>
      <w:r w:rsidRPr="00377664">
        <w:rPr>
          <w:rFonts w:ascii="Times New Roman" w:hAnsi="Times New Roman"/>
          <w:sz w:val="24"/>
          <w:szCs w:val="24"/>
          <w:lang w:val="en-US"/>
        </w:rPr>
        <w:t xml:space="preserve">for the interpreter to draw equal </w:t>
      </w:r>
      <w:r>
        <w:rPr>
          <w:rFonts w:ascii="Times New Roman" w:hAnsi="Times New Roman"/>
          <w:sz w:val="24"/>
          <w:szCs w:val="24"/>
          <w:lang w:val="en-US"/>
        </w:rPr>
        <w:t xml:space="preserve">conclusions </w:t>
      </w:r>
      <w:r w:rsidRPr="00377664">
        <w:rPr>
          <w:rFonts w:ascii="Times New Roman" w:hAnsi="Times New Roman"/>
          <w:sz w:val="24"/>
          <w:szCs w:val="24"/>
          <w:lang w:val="en-US"/>
        </w:rPr>
        <w:t xml:space="preserve">at the moment to assess whether an establishment lies in Italy. If so, secondary proceedings may be opened in Italy even when the debtor </w:t>
      </w:r>
      <w:r w:rsidRPr="00377664">
        <w:rPr>
          <w:rFonts w:ascii="Times New Roman" w:hAnsi="Times New Roman"/>
          <w:sz w:val="24"/>
          <w:szCs w:val="24"/>
          <w:shd w:val="clear" w:color="auto" w:fill="FFFFFF"/>
          <w:lang w:val="en-US"/>
        </w:rPr>
        <w:t>has carried out therein in the 3-month period prior to the request to open main insolvency proceedings a non-transitory economic activity with human means and assets.</w:t>
      </w:r>
    </w:p>
    <w:p w14:paraId="1EEAF0E6" w14:textId="77777777" w:rsidR="00377664" w:rsidRPr="00377664" w:rsidRDefault="00377664" w:rsidP="00377664">
      <w:pPr>
        <w:spacing w:after="0"/>
        <w:rPr>
          <w:rFonts w:ascii="Times New Roman" w:hAnsi="Times New Roman"/>
          <w:sz w:val="24"/>
          <w:szCs w:val="24"/>
          <w:lang w:val="en-US"/>
        </w:rPr>
      </w:pPr>
    </w:p>
    <w:p w14:paraId="3628788E" w14:textId="6AF7AC27" w:rsidR="00377664" w:rsidRPr="00377664" w:rsidRDefault="00377664" w:rsidP="00377664">
      <w:pPr>
        <w:spacing w:after="0"/>
        <w:rPr>
          <w:rFonts w:ascii="Times New Roman" w:hAnsi="Times New Roman"/>
          <w:sz w:val="24"/>
          <w:szCs w:val="24"/>
          <w:lang w:val="en-US"/>
        </w:rPr>
      </w:pPr>
      <w:r w:rsidRPr="00377664">
        <w:rPr>
          <w:rFonts w:ascii="Times New Roman" w:hAnsi="Times New Roman"/>
          <w:sz w:val="24"/>
          <w:szCs w:val="24"/>
          <w:lang w:val="en-US"/>
        </w:rPr>
        <w:t xml:space="preserve">Turning attention to the COMI, Article 26(2) </w:t>
      </w:r>
      <w:r>
        <w:rPr>
          <w:rFonts w:ascii="Times New Roman" w:hAnsi="Times New Roman"/>
          <w:sz w:val="24"/>
          <w:szCs w:val="24"/>
          <w:lang w:val="en-US"/>
        </w:rPr>
        <w:t xml:space="preserve">of the </w:t>
      </w:r>
      <w:r w:rsidRPr="00377664">
        <w:rPr>
          <w:rFonts w:ascii="Times New Roman" w:hAnsi="Times New Roman"/>
          <w:sz w:val="24"/>
          <w:szCs w:val="24"/>
          <w:lang w:val="en-US"/>
        </w:rPr>
        <w:t xml:space="preserve">Code makes no sense when </w:t>
      </w:r>
      <w:r>
        <w:rPr>
          <w:rFonts w:ascii="Times New Roman" w:hAnsi="Times New Roman"/>
          <w:sz w:val="24"/>
          <w:szCs w:val="24"/>
          <w:lang w:val="en-US"/>
        </w:rPr>
        <w:t xml:space="preserve">it </w:t>
      </w:r>
      <w:r w:rsidRPr="00377664">
        <w:rPr>
          <w:rFonts w:ascii="Times New Roman" w:hAnsi="Times New Roman"/>
          <w:sz w:val="24"/>
          <w:szCs w:val="24"/>
          <w:lang w:val="en-US"/>
        </w:rPr>
        <w:t>stat</w:t>
      </w:r>
      <w:r>
        <w:rPr>
          <w:rFonts w:ascii="Times New Roman" w:hAnsi="Times New Roman"/>
          <w:sz w:val="24"/>
          <w:szCs w:val="24"/>
          <w:lang w:val="en-US"/>
        </w:rPr>
        <w:t>es</w:t>
      </w:r>
      <w:r w:rsidRPr="00377664">
        <w:rPr>
          <w:rFonts w:ascii="Times New Roman" w:hAnsi="Times New Roman"/>
          <w:sz w:val="24"/>
          <w:szCs w:val="24"/>
          <w:lang w:val="en-US"/>
        </w:rPr>
        <w:t xml:space="preserve"> that “the transfer of the COMI abroad does not bar the Italian jurisdiction if it occurred in one year prior to the deposit of the request of opening the proceeding”. Actually, this provision only applies to transfers to third States, as intra-EU transfers are governed by the EIR (according to the CJEU’s case-law which has dealt with the topic under Regulation (EC) no. 1346/2000: see mainly Case C-1/04, </w:t>
      </w:r>
      <w:r w:rsidRPr="00377664">
        <w:rPr>
          <w:rFonts w:ascii="Times New Roman" w:hAnsi="Times New Roman"/>
          <w:i/>
          <w:sz w:val="24"/>
          <w:szCs w:val="24"/>
          <w:lang w:val="en-US"/>
        </w:rPr>
        <w:t xml:space="preserve">Susanne </w:t>
      </w:r>
      <w:proofErr w:type="spellStart"/>
      <w:r w:rsidRPr="00377664">
        <w:rPr>
          <w:rFonts w:ascii="Times New Roman" w:hAnsi="Times New Roman"/>
          <w:i/>
          <w:sz w:val="24"/>
          <w:szCs w:val="24"/>
          <w:lang w:val="en-US"/>
        </w:rPr>
        <w:t>Staubitz</w:t>
      </w:r>
      <w:proofErr w:type="spellEnd"/>
      <w:r w:rsidRPr="00377664">
        <w:rPr>
          <w:rFonts w:ascii="Times New Roman" w:hAnsi="Times New Roman"/>
          <w:i/>
          <w:sz w:val="24"/>
          <w:szCs w:val="24"/>
          <w:lang w:val="en-US"/>
        </w:rPr>
        <w:t>-Schreiber</w:t>
      </w:r>
      <w:r w:rsidRPr="00377664">
        <w:rPr>
          <w:rFonts w:ascii="Times New Roman" w:hAnsi="Times New Roman"/>
          <w:sz w:val="24"/>
          <w:szCs w:val="24"/>
          <w:lang w:val="en-US"/>
        </w:rPr>
        <w:t xml:space="preserve"> and Case C-396/09, </w:t>
      </w:r>
      <w:r w:rsidRPr="00377664">
        <w:rPr>
          <w:rFonts w:ascii="Times New Roman" w:hAnsi="Times New Roman"/>
          <w:i/>
          <w:sz w:val="24"/>
          <w:szCs w:val="24"/>
          <w:lang w:val="en-US"/>
        </w:rPr>
        <w:t>Interedil</w:t>
      </w:r>
      <w:r w:rsidRPr="00377664">
        <w:rPr>
          <w:rFonts w:ascii="Times New Roman" w:hAnsi="Times New Roman"/>
          <w:sz w:val="24"/>
          <w:szCs w:val="24"/>
          <w:lang w:val="en-US"/>
        </w:rPr>
        <w:t>).</w:t>
      </w:r>
    </w:p>
    <w:p w14:paraId="49A5A0A0" w14:textId="77777777" w:rsidR="00377664" w:rsidRPr="00377664" w:rsidRDefault="00377664" w:rsidP="00377664">
      <w:pPr>
        <w:spacing w:after="0"/>
        <w:rPr>
          <w:rFonts w:ascii="Times New Roman" w:hAnsi="Times New Roman"/>
          <w:sz w:val="24"/>
          <w:szCs w:val="24"/>
          <w:lang w:val="en-US"/>
        </w:rPr>
      </w:pPr>
    </w:p>
    <w:p w14:paraId="720FE713" w14:textId="3005A70A" w:rsidR="00377664" w:rsidRPr="00377664" w:rsidRDefault="00377664" w:rsidP="00377664">
      <w:pPr>
        <w:spacing w:after="0"/>
        <w:rPr>
          <w:rFonts w:ascii="Times New Roman" w:hAnsi="Times New Roman"/>
          <w:sz w:val="24"/>
          <w:szCs w:val="24"/>
          <w:lang w:val="en-US"/>
        </w:rPr>
      </w:pPr>
      <w:r w:rsidRPr="00377664">
        <w:rPr>
          <w:rFonts w:ascii="Times New Roman" w:hAnsi="Times New Roman"/>
          <w:sz w:val="24"/>
          <w:szCs w:val="24"/>
          <w:lang w:val="en-US"/>
        </w:rPr>
        <w:t>What raises puzzlement is the fact that, if the provision aims at deterring fraudulent or abusive transfers (impair</w:t>
      </w:r>
      <w:r>
        <w:rPr>
          <w:rFonts w:ascii="Times New Roman" w:hAnsi="Times New Roman"/>
          <w:sz w:val="24"/>
          <w:szCs w:val="24"/>
          <w:lang w:val="en-US"/>
        </w:rPr>
        <w:t>ing</w:t>
      </w:r>
      <w:r w:rsidRPr="00377664">
        <w:rPr>
          <w:rFonts w:ascii="Times New Roman" w:hAnsi="Times New Roman"/>
          <w:sz w:val="24"/>
          <w:szCs w:val="24"/>
          <w:lang w:val="en-US"/>
        </w:rPr>
        <w:t xml:space="preserve"> the interests of creditors), then the reference to the COMI is useless and misleading. As a matter of principle, one may wonder how the transfer of the COMI, which is in itself</w:t>
      </w:r>
      <w:r>
        <w:rPr>
          <w:rFonts w:ascii="Times New Roman" w:hAnsi="Times New Roman"/>
          <w:i/>
          <w:iCs/>
          <w:sz w:val="24"/>
          <w:szCs w:val="24"/>
          <w:lang w:val="en-US"/>
        </w:rPr>
        <w:t xml:space="preserve"> </w:t>
      </w:r>
      <w:r w:rsidRPr="00377664">
        <w:rPr>
          <w:rFonts w:ascii="Times New Roman" w:hAnsi="Times New Roman"/>
          <w:sz w:val="24"/>
          <w:szCs w:val="24"/>
          <w:lang w:val="en-US"/>
        </w:rPr>
        <w:t>real, may at law</w:t>
      </w:r>
      <w:r>
        <w:rPr>
          <w:rFonts w:ascii="Times New Roman" w:hAnsi="Times New Roman"/>
          <w:i/>
          <w:iCs/>
          <w:sz w:val="24"/>
          <w:szCs w:val="24"/>
          <w:lang w:val="en-US"/>
        </w:rPr>
        <w:t xml:space="preserve"> </w:t>
      </w:r>
      <w:r w:rsidRPr="00377664">
        <w:rPr>
          <w:rFonts w:ascii="Times New Roman" w:hAnsi="Times New Roman"/>
          <w:sz w:val="24"/>
          <w:szCs w:val="24"/>
          <w:lang w:val="en-US"/>
        </w:rPr>
        <w:t>and as a consequence of the rule</w:t>
      </w:r>
      <w:r>
        <w:rPr>
          <w:rFonts w:ascii="Times New Roman" w:hAnsi="Times New Roman"/>
          <w:i/>
          <w:iCs/>
          <w:sz w:val="24"/>
          <w:szCs w:val="24"/>
          <w:lang w:val="en-US"/>
        </w:rPr>
        <w:t xml:space="preserve"> </w:t>
      </w:r>
      <w:r w:rsidRPr="00377664">
        <w:rPr>
          <w:rFonts w:ascii="Times New Roman" w:hAnsi="Times New Roman"/>
          <w:sz w:val="24"/>
          <w:szCs w:val="24"/>
          <w:lang w:val="en-US"/>
        </w:rPr>
        <w:t>be presumptively fraudulent or abusive in the year before the request to open the proceedings as this provision seems to imply.</w:t>
      </w:r>
    </w:p>
    <w:p w14:paraId="786AD449" w14:textId="089CFAC6" w:rsidR="00377664" w:rsidRDefault="00377664" w:rsidP="00377664">
      <w:pPr>
        <w:spacing w:after="0"/>
        <w:rPr>
          <w:rFonts w:ascii="Times New Roman" w:hAnsi="Times New Roman"/>
          <w:sz w:val="24"/>
          <w:szCs w:val="24"/>
          <w:lang w:val="en-US"/>
        </w:rPr>
      </w:pPr>
    </w:p>
    <w:p w14:paraId="094D2D10" w14:textId="4DE9C21B" w:rsidR="00377664" w:rsidRPr="00377664" w:rsidRDefault="00377664" w:rsidP="00377664">
      <w:pPr>
        <w:spacing w:after="0"/>
        <w:rPr>
          <w:rFonts w:ascii="Times New Roman" w:hAnsi="Times New Roman"/>
          <w:i/>
          <w:iCs/>
          <w:sz w:val="24"/>
          <w:szCs w:val="24"/>
          <w:lang w:val="en-US"/>
        </w:rPr>
      </w:pPr>
      <w:r w:rsidRPr="00377664">
        <w:rPr>
          <w:rFonts w:ascii="Times New Roman" w:hAnsi="Times New Roman"/>
          <w:i/>
          <w:iCs/>
          <w:sz w:val="24"/>
          <w:szCs w:val="24"/>
          <w:lang w:val="en-US"/>
        </w:rPr>
        <w:t>Conclusion</w:t>
      </w:r>
    </w:p>
    <w:p w14:paraId="098E21E0" w14:textId="334DDF3B" w:rsidR="00377664" w:rsidRDefault="00377664" w:rsidP="00377664">
      <w:pPr>
        <w:spacing w:after="0"/>
        <w:rPr>
          <w:rFonts w:ascii="Times New Roman" w:hAnsi="Times New Roman"/>
          <w:sz w:val="24"/>
          <w:szCs w:val="24"/>
          <w:lang w:val="en-US"/>
        </w:rPr>
      </w:pPr>
    </w:p>
    <w:p w14:paraId="513F3084" w14:textId="77777777" w:rsidR="00377664" w:rsidRPr="00377664" w:rsidRDefault="00377664" w:rsidP="00377664">
      <w:pPr>
        <w:spacing w:after="0"/>
        <w:rPr>
          <w:rFonts w:ascii="Times New Roman" w:hAnsi="Times New Roman"/>
          <w:sz w:val="24"/>
          <w:szCs w:val="24"/>
          <w:lang w:val="en-US"/>
        </w:rPr>
      </w:pPr>
      <w:r w:rsidRPr="00377664">
        <w:rPr>
          <w:rFonts w:ascii="Times New Roman" w:hAnsi="Times New Roman"/>
          <w:sz w:val="24"/>
          <w:szCs w:val="24"/>
          <w:lang w:val="en-US"/>
        </w:rPr>
        <w:t>Logically</w:t>
      </w:r>
      <w:r>
        <w:rPr>
          <w:rFonts w:ascii="Times New Roman" w:hAnsi="Times New Roman"/>
          <w:sz w:val="24"/>
          <w:szCs w:val="24"/>
          <w:lang w:val="en-US"/>
        </w:rPr>
        <w:t>,</w:t>
      </w:r>
      <w:r w:rsidRPr="00377664">
        <w:rPr>
          <w:rFonts w:ascii="Times New Roman" w:hAnsi="Times New Roman"/>
          <w:sz w:val="24"/>
          <w:szCs w:val="24"/>
          <w:lang w:val="en-US"/>
        </w:rPr>
        <w:t xml:space="preserve"> the provision is consistent with the appropriate legislative choice to make use of the COMI in lieu of the “seat” as a ground of jurisdiction. However, it also conveys the inappropriate choice not to insert in the Code the presumptions of coincidence between COMI and registered office/individual’s place of business/habitual residence upon which the EIR’s jurisdictional regime rests. Moreover, it could have proven fitting to address the fraudulent transfer as the EIR does, i.e. by providing for temporal clauses disconnecting the aforementioned presumptions as regards transfers of registered office/individual’s place of business/habitual residence occurred shortly before the request to open the proceedings.</w:t>
      </w:r>
    </w:p>
    <w:p w14:paraId="4D79B5C5" w14:textId="77777777" w:rsidR="00377664" w:rsidRPr="00377664" w:rsidRDefault="00377664" w:rsidP="00377664">
      <w:pPr>
        <w:spacing w:after="0"/>
        <w:rPr>
          <w:rFonts w:ascii="Times New Roman" w:hAnsi="Times New Roman"/>
          <w:sz w:val="24"/>
          <w:szCs w:val="24"/>
          <w:lang w:val="en-US"/>
        </w:rPr>
      </w:pPr>
    </w:p>
    <w:p w14:paraId="355EFCD1" w14:textId="13799C96" w:rsidR="00377664" w:rsidRPr="00377664" w:rsidRDefault="00377664" w:rsidP="00377664">
      <w:pPr>
        <w:spacing w:after="0"/>
        <w:rPr>
          <w:rFonts w:ascii="Times New Roman" w:hAnsi="Times New Roman"/>
          <w:sz w:val="24"/>
          <w:szCs w:val="24"/>
          <w:lang w:val="en-US"/>
        </w:rPr>
      </w:pPr>
      <w:r>
        <w:rPr>
          <w:rFonts w:ascii="Times New Roman" w:hAnsi="Times New Roman"/>
          <w:sz w:val="24"/>
          <w:szCs w:val="24"/>
          <w:lang w:val="en-US"/>
        </w:rPr>
        <w:t>As t</w:t>
      </w:r>
      <w:r w:rsidRPr="00377664">
        <w:rPr>
          <w:rFonts w:ascii="Times New Roman" w:hAnsi="Times New Roman"/>
          <w:sz w:val="24"/>
          <w:szCs w:val="24"/>
          <w:lang w:val="en-US"/>
        </w:rPr>
        <w:t xml:space="preserve">he Code is currently </w:t>
      </w:r>
      <w:r w:rsidR="00557C10">
        <w:rPr>
          <w:rFonts w:ascii="Times New Roman" w:hAnsi="Times New Roman"/>
          <w:sz w:val="24"/>
          <w:szCs w:val="24"/>
          <w:lang w:val="en-US"/>
        </w:rPr>
        <w:t>in suspension awaiting a future date for entry into force,</w:t>
      </w:r>
      <w:r w:rsidRPr="00377664">
        <w:rPr>
          <w:rFonts w:ascii="Times New Roman" w:hAnsi="Times New Roman"/>
          <w:sz w:val="24"/>
          <w:szCs w:val="24"/>
          <w:lang w:val="en-US"/>
        </w:rPr>
        <w:t xml:space="preserve"> the </w:t>
      </w:r>
      <w:r w:rsidRPr="00377664">
        <w:rPr>
          <w:rFonts w:ascii="Times New Roman" w:hAnsi="Times New Roman"/>
          <w:iCs/>
          <w:sz w:val="24"/>
          <w:szCs w:val="24"/>
          <w:lang w:val="en-US"/>
        </w:rPr>
        <w:t xml:space="preserve">Italian </w:t>
      </w:r>
      <w:r w:rsidRPr="00377664">
        <w:rPr>
          <w:rFonts w:ascii="Times New Roman" w:hAnsi="Times New Roman"/>
          <w:sz w:val="24"/>
          <w:szCs w:val="24"/>
          <w:lang w:val="en-US"/>
        </w:rPr>
        <w:t xml:space="preserve">government </w:t>
      </w:r>
      <w:r w:rsidR="00557C10">
        <w:rPr>
          <w:rFonts w:ascii="Times New Roman" w:hAnsi="Times New Roman"/>
          <w:sz w:val="24"/>
          <w:szCs w:val="24"/>
          <w:lang w:val="en-US"/>
        </w:rPr>
        <w:t>c</w:t>
      </w:r>
      <w:r w:rsidRPr="00377664">
        <w:rPr>
          <w:rFonts w:ascii="Times New Roman" w:hAnsi="Times New Roman"/>
          <w:sz w:val="24"/>
          <w:szCs w:val="24"/>
          <w:lang w:val="en-US"/>
        </w:rPr>
        <w:t>ould take th</w:t>
      </w:r>
      <w:r w:rsidR="00557C10">
        <w:rPr>
          <w:rFonts w:ascii="Times New Roman" w:hAnsi="Times New Roman"/>
          <w:sz w:val="24"/>
          <w:szCs w:val="24"/>
          <w:lang w:val="en-US"/>
        </w:rPr>
        <w:t>e</w:t>
      </w:r>
      <w:r w:rsidRPr="00377664">
        <w:rPr>
          <w:rFonts w:ascii="Times New Roman" w:hAnsi="Times New Roman"/>
          <w:sz w:val="24"/>
          <w:szCs w:val="24"/>
          <w:lang w:val="en-US"/>
        </w:rPr>
        <w:t xml:space="preserve"> opportunity to </w:t>
      </w:r>
      <w:r w:rsidR="00557C10">
        <w:rPr>
          <w:rFonts w:ascii="Times New Roman" w:hAnsi="Times New Roman"/>
          <w:sz w:val="24"/>
          <w:szCs w:val="24"/>
          <w:lang w:val="en-US"/>
        </w:rPr>
        <w:t xml:space="preserve">further </w:t>
      </w:r>
      <w:r w:rsidRPr="00377664">
        <w:rPr>
          <w:rFonts w:ascii="Times New Roman" w:hAnsi="Times New Roman"/>
          <w:sz w:val="24"/>
          <w:szCs w:val="24"/>
          <w:lang w:val="en-US"/>
        </w:rPr>
        <w:t xml:space="preserve">amend the foregoing provisions in order to </w:t>
      </w:r>
      <w:r>
        <w:rPr>
          <w:rFonts w:ascii="Times New Roman" w:hAnsi="Times New Roman"/>
          <w:sz w:val="24"/>
          <w:szCs w:val="24"/>
          <w:lang w:val="en-US"/>
        </w:rPr>
        <w:t xml:space="preserve">ensure </w:t>
      </w:r>
      <w:r w:rsidRPr="00377664">
        <w:rPr>
          <w:rFonts w:ascii="Times New Roman" w:hAnsi="Times New Roman"/>
          <w:sz w:val="24"/>
          <w:szCs w:val="24"/>
          <w:lang w:val="en-US"/>
        </w:rPr>
        <w:t>conform</w:t>
      </w:r>
      <w:r>
        <w:rPr>
          <w:rFonts w:ascii="Times New Roman" w:hAnsi="Times New Roman"/>
          <w:sz w:val="24"/>
          <w:szCs w:val="24"/>
          <w:lang w:val="en-US"/>
        </w:rPr>
        <w:t>ity with</w:t>
      </w:r>
      <w:r w:rsidRPr="00377664">
        <w:rPr>
          <w:rFonts w:ascii="Times New Roman" w:hAnsi="Times New Roman"/>
          <w:sz w:val="24"/>
          <w:szCs w:val="24"/>
          <w:lang w:val="en-US"/>
        </w:rPr>
        <w:t xml:space="preserve"> the new insolvency rules </w:t>
      </w:r>
      <w:r>
        <w:rPr>
          <w:rFonts w:ascii="Times New Roman" w:hAnsi="Times New Roman"/>
          <w:sz w:val="24"/>
          <w:szCs w:val="24"/>
          <w:lang w:val="en-US"/>
        </w:rPr>
        <w:t xml:space="preserve">in </w:t>
      </w:r>
      <w:r w:rsidRPr="00377664">
        <w:rPr>
          <w:rFonts w:ascii="Times New Roman" w:hAnsi="Times New Roman"/>
          <w:sz w:val="24"/>
          <w:szCs w:val="24"/>
          <w:lang w:val="en-US"/>
        </w:rPr>
        <w:t>the EIR.</w:t>
      </w:r>
    </w:p>
    <w:p w14:paraId="42E6F87A" w14:textId="079D0F59" w:rsidR="003B0263" w:rsidRPr="00377664" w:rsidRDefault="003B0263" w:rsidP="00377664">
      <w:pPr>
        <w:pStyle w:val="NormalWeb"/>
        <w:spacing w:before="0" w:beforeAutospacing="0" w:after="0" w:afterAutospacing="0"/>
        <w:jc w:val="both"/>
        <w:rPr>
          <w:lang w:val="en-US"/>
        </w:rPr>
      </w:pPr>
    </w:p>
    <w:sectPr w:rsidR="003B0263" w:rsidRPr="00377664"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2818F" w14:textId="77777777" w:rsidR="00AC3327" w:rsidRDefault="00AC3327">
      <w:r>
        <w:separator/>
      </w:r>
    </w:p>
  </w:endnote>
  <w:endnote w:type="continuationSeparator" w:id="0">
    <w:p w14:paraId="141EBB27" w14:textId="77777777" w:rsidR="00AC3327" w:rsidRDefault="00AC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14C1B"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13611" w14:textId="77777777" w:rsidR="00AC3327" w:rsidRDefault="00AC3327">
      <w:r>
        <w:separator/>
      </w:r>
    </w:p>
  </w:footnote>
  <w:footnote w:type="continuationSeparator" w:id="0">
    <w:p w14:paraId="7661A82D" w14:textId="77777777" w:rsidR="00AC3327" w:rsidRDefault="00AC33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629AC" w14:textId="3889BB0F" w:rsidR="00BF3D3E" w:rsidRPr="00FD0D6F" w:rsidRDefault="00BF3D3E" w:rsidP="00C2522B">
    <w:pPr>
      <w:pStyle w:val="Header"/>
      <w:spacing w:after="0"/>
      <w:rPr>
        <w:rFonts w:ascii="Arial" w:hAnsi="Arial" w:cs="Arial"/>
        <w:b/>
      </w:rPr>
    </w:pPr>
    <w:r w:rsidRPr="00FD0D6F">
      <w:rPr>
        <w:rFonts w:ascii="Arial" w:hAnsi="Arial" w:cs="Arial"/>
        <w:b/>
      </w:rPr>
      <w:t>Inside Story (</w:t>
    </w:r>
    <w:r w:rsidR="00557C10">
      <w:rPr>
        <w:rFonts w:ascii="Arial" w:hAnsi="Arial" w:cs="Arial"/>
        <w:b/>
      </w:rPr>
      <w:t>October</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5C29B3B4" w14:textId="75C3A68A" w:rsidR="00BF3D3E" w:rsidRPr="00FD0D6F" w:rsidRDefault="00377664" w:rsidP="00C2522B">
    <w:pPr>
      <w:pStyle w:val="Header"/>
      <w:spacing w:after="0"/>
      <w:rPr>
        <w:rFonts w:ascii="Arial" w:hAnsi="Arial" w:cs="Arial"/>
        <w:b/>
      </w:rPr>
    </w:pPr>
    <w:r>
      <w:rPr>
        <w:rFonts w:ascii="Arial" w:hAnsi="Arial" w:cs="Arial"/>
        <w:b/>
        <w:color w:val="000000"/>
      </w:rPr>
      <w:t xml:space="preserve">Antonio Leandro </w:t>
    </w:r>
    <w:r w:rsidR="00BF3D3E" w:rsidRPr="00FD0D6F">
      <w:rPr>
        <w:rFonts w:ascii="Arial" w:hAnsi="Arial" w:cs="Arial"/>
        <w:b/>
      </w:rPr>
      <w:t>(</w:t>
    </w:r>
    <w:r>
      <w:rPr>
        <w:rFonts w:ascii="Arial" w:hAnsi="Arial" w:cs="Arial"/>
        <w:b/>
      </w:rPr>
      <w:t>Italy</w:t>
    </w:r>
    <w:r w:rsidR="00BF3D3E" w:rsidRPr="00FD0D6F">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50FC6"/>
    <w:rsid w:val="00065DA6"/>
    <w:rsid w:val="00086E49"/>
    <w:rsid w:val="00087612"/>
    <w:rsid w:val="000921F0"/>
    <w:rsid w:val="00092307"/>
    <w:rsid w:val="000C4532"/>
    <w:rsid w:val="000C7620"/>
    <w:rsid w:val="000D3C8B"/>
    <w:rsid w:val="000E1C15"/>
    <w:rsid w:val="001258A8"/>
    <w:rsid w:val="00127C4A"/>
    <w:rsid w:val="00141375"/>
    <w:rsid w:val="00145356"/>
    <w:rsid w:val="001835B2"/>
    <w:rsid w:val="001934CC"/>
    <w:rsid w:val="001A713B"/>
    <w:rsid w:val="001B1AA8"/>
    <w:rsid w:val="001C5080"/>
    <w:rsid w:val="001D3A90"/>
    <w:rsid w:val="001D4D49"/>
    <w:rsid w:val="001F119D"/>
    <w:rsid w:val="0020085B"/>
    <w:rsid w:val="00247BAC"/>
    <w:rsid w:val="00276632"/>
    <w:rsid w:val="00280030"/>
    <w:rsid w:val="002A5779"/>
    <w:rsid w:val="002A5C92"/>
    <w:rsid w:val="002E09E9"/>
    <w:rsid w:val="003021B6"/>
    <w:rsid w:val="003217E3"/>
    <w:rsid w:val="0032563F"/>
    <w:rsid w:val="00340FF0"/>
    <w:rsid w:val="003452FF"/>
    <w:rsid w:val="003518FD"/>
    <w:rsid w:val="003666A0"/>
    <w:rsid w:val="00367985"/>
    <w:rsid w:val="00377664"/>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84F6D"/>
    <w:rsid w:val="004B3FED"/>
    <w:rsid w:val="004D1D7E"/>
    <w:rsid w:val="004F57B8"/>
    <w:rsid w:val="005151EE"/>
    <w:rsid w:val="00535342"/>
    <w:rsid w:val="00557280"/>
    <w:rsid w:val="00557A0F"/>
    <w:rsid w:val="00557C10"/>
    <w:rsid w:val="00565029"/>
    <w:rsid w:val="005764A7"/>
    <w:rsid w:val="00577785"/>
    <w:rsid w:val="00593E77"/>
    <w:rsid w:val="005A707C"/>
    <w:rsid w:val="005D6C09"/>
    <w:rsid w:val="005D783E"/>
    <w:rsid w:val="005D79E3"/>
    <w:rsid w:val="005E7C6B"/>
    <w:rsid w:val="00617533"/>
    <w:rsid w:val="00623598"/>
    <w:rsid w:val="00631F24"/>
    <w:rsid w:val="006441B0"/>
    <w:rsid w:val="00694350"/>
    <w:rsid w:val="006D0A86"/>
    <w:rsid w:val="006E7E8D"/>
    <w:rsid w:val="00703D03"/>
    <w:rsid w:val="00707113"/>
    <w:rsid w:val="00740F50"/>
    <w:rsid w:val="00752792"/>
    <w:rsid w:val="00772427"/>
    <w:rsid w:val="00772DFE"/>
    <w:rsid w:val="00782731"/>
    <w:rsid w:val="00785E77"/>
    <w:rsid w:val="00790DFB"/>
    <w:rsid w:val="007A0387"/>
    <w:rsid w:val="007C4484"/>
    <w:rsid w:val="007D39E7"/>
    <w:rsid w:val="007E1590"/>
    <w:rsid w:val="007E1CB0"/>
    <w:rsid w:val="00807744"/>
    <w:rsid w:val="00831F3F"/>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5E68"/>
    <w:rsid w:val="009E51C4"/>
    <w:rsid w:val="009F52F0"/>
    <w:rsid w:val="00A07FE0"/>
    <w:rsid w:val="00A34959"/>
    <w:rsid w:val="00A3654A"/>
    <w:rsid w:val="00A81F5B"/>
    <w:rsid w:val="00AA741E"/>
    <w:rsid w:val="00AC3327"/>
    <w:rsid w:val="00AD3470"/>
    <w:rsid w:val="00AD6AE4"/>
    <w:rsid w:val="00B021F0"/>
    <w:rsid w:val="00B05548"/>
    <w:rsid w:val="00B10912"/>
    <w:rsid w:val="00B40F88"/>
    <w:rsid w:val="00B46BCC"/>
    <w:rsid w:val="00B53B8D"/>
    <w:rsid w:val="00BA1EF1"/>
    <w:rsid w:val="00BC4C0D"/>
    <w:rsid w:val="00BD0697"/>
    <w:rsid w:val="00BF3D3E"/>
    <w:rsid w:val="00C07418"/>
    <w:rsid w:val="00C16DFA"/>
    <w:rsid w:val="00C2522B"/>
    <w:rsid w:val="00C96534"/>
    <w:rsid w:val="00CE09C4"/>
    <w:rsid w:val="00D03DC1"/>
    <w:rsid w:val="00D2584B"/>
    <w:rsid w:val="00D31877"/>
    <w:rsid w:val="00D32C99"/>
    <w:rsid w:val="00D5309A"/>
    <w:rsid w:val="00D6291C"/>
    <w:rsid w:val="00DE5F99"/>
    <w:rsid w:val="00E007BF"/>
    <w:rsid w:val="00E2501C"/>
    <w:rsid w:val="00E37A5D"/>
    <w:rsid w:val="00E53ABF"/>
    <w:rsid w:val="00EA5386"/>
    <w:rsid w:val="00EB6116"/>
    <w:rsid w:val="00F07427"/>
    <w:rsid w:val="00F20AC6"/>
    <w:rsid w:val="00F36532"/>
    <w:rsid w:val="00F55F2D"/>
    <w:rsid w:val="00F77372"/>
    <w:rsid w:val="00F90C01"/>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56424"/>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C3972-BC2D-4449-A597-0FD318AB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4957</Characters>
  <Application>Microsoft Macintosh Word</Application>
  <DocSecurity>0</DocSecurity>
  <PresentationFormat/>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De Montfort University</Company>
  <LinksUpToDate>false</LinksUpToDate>
  <CharactersWithSpaces>5815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3</cp:revision>
  <cp:lastPrinted>2017-11-20T20:14:00Z</cp:lastPrinted>
  <dcterms:created xsi:type="dcterms:W3CDTF">2020-10-13T10:07:00Z</dcterms:created>
  <dcterms:modified xsi:type="dcterms:W3CDTF">2020-10-14T12:46:00Z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