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0E11D" w14:textId="3AD8AFA6" w:rsidR="005D783E" w:rsidRPr="003C338F" w:rsidRDefault="003C338F" w:rsidP="003C338F">
      <w:pPr>
        <w:tabs>
          <w:tab w:val="left" w:pos="474"/>
        </w:tabs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39E9118B" w14:textId="561C5F5A" w:rsidR="00617533" w:rsidRPr="003C338F" w:rsidRDefault="00492065" w:rsidP="008609CB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C338F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1982D471" wp14:editId="528F6F1F">
            <wp:extent cx="3946525" cy="1578436"/>
            <wp:effectExtent l="0" t="0" r="0" b="0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SOL Europe Logo RGB Smal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933" cy="1604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2CC93" w14:textId="77777777" w:rsidR="00617533" w:rsidRPr="003C338F" w:rsidRDefault="00617533" w:rsidP="008609CB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C7EFD65" w14:textId="504323D1" w:rsidR="00617533" w:rsidRPr="003C338F" w:rsidRDefault="00617533" w:rsidP="008609CB">
      <w:pPr>
        <w:spacing w:after="0"/>
        <w:contextualSpacing/>
        <w:jc w:val="center"/>
        <w:rPr>
          <w:rFonts w:ascii="Times New Roman" w:hAnsi="Times New Roman"/>
          <w:b/>
          <w:sz w:val="36"/>
          <w:szCs w:val="36"/>
        </w:rPr>
      </w:pPr>
      <w:r w:rsidRPr="003C338F">
        <w:rPr>
          <w:rFonts w:ascii="Times New Roman" w:hAnsi="Times New Roman"/>
          <w:b/>
          <w:sz w:val="36"/>
          <w:szCs w:val="36"/>
        </w:rPr>
        <w:t xml:space="preserve">Inside Story – </w:t>
      </w:r>
      <w:r w:rsidR="002331CA" w:rsidRPr="003C338F">
        <w:rPr>
          <w:rFonts w:ascii="Times New Roman" w:hAnsi="Times New Roman"/>
          <w:b/>
          <w:sz w:val="36"/>
          <w:szCs w:val="36"/>
        </w:rPr>
        <w:t>April</w:t>
      </w:r>
      <w:r w:rsidR="00786CA6" w:rsidRPr="003C338F">
        <w:rPr>
          <w:rFonts w:ascii="Times New Roman" w:hAnsi="Times New Roman"/>
          <w:b/>
          <w:sz w:val="36"/>
          <w:szCs w:val="36"/>
        </w:rPr>
        <w:t xml:space="preserve"> </w:t>
      </w:r>
      <w:r w:rsidRPr="003C338F">
        <w:rPr>
          <w:rFonts w:ascii="Times New Roman" w:hAnsi="Times New Roman"/>
          <w:b/>
          <w:sz w:val="36"/>
          <w:szCs w:val="36"/>
        </w:rPr>
        <w:t>20</w:t>
      </w:r>
      <w:r w:rsidR="00782731" w:rsidRPr="003C338F">
        <w:rPr>
          <w:rFonts w:ascii="Times New Roman" w:hAnsi="Times New Roman"/>
          <w:b/>
          <w:sz w:val="36"/>
          <w:szCs w:val="36"/>
        </w:rPr>
        <w:t>2</w:t>
      </w:r>
      <w:r w:rsidR="00CB7636" w:rsidRPr="003C338F">
        <w:rPr>
          <w:rFonts w:ascii="Times New Roman" w:hAnsi="Times New Roman"/>
          <w:b/>
          <w:sz w:val="36"/>
          <w:szCs w:val="36"/>
        </w:rPr>
        <w:t>1</w:t>
      </w:r>
    </w:p>
    <w:p w14:paraId="1ECBC4F0" w14:textId="77777777" w:rsidR="00617533" w:rsidRPr="003C338F" w:rsidRDefault="00617533" w:rsidP="008609CB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58F00F8" w14:textId="649E06EE" w:rsidR="001E7A6F" w:rsidRPr="003C338F" w:rsidRDefault="002331CA" w:rsidP="00A21078">
      <w:pPr>
        <w:spacing w:after="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3C338F">
        <w:rPr>
          <w:rFonts w:ascii="Times New Roman" w:hAnsi="Times New Roman"/>
          <w:b/>
          <w:bCs/>
          <w:sz w:val="28"/>
          <w:szCs w:val="28"/>
        </w:rPr>
        <w:t xml:space="preserve">Simplified </w:t>
      </w:r>
      <w:r w:rsidR="00A21078" w:rsidRPr="003C338F">
        <w:rPr>
          <w:rFonts w:ascii="Times New Roman" w:hAnsi="Times New Roman"/>
          <w:b/>
          <w:bCs/>
          <w:sz w:val="28"/>
          <w:szCs w:val="28"/>
        </w:rPr>
        <w:t xml:space="preserve">Restructuring </w:t>
      </w:r>
      <w:r w:rsidRPr="003C338F">
        <w:rPr>
          <w:rFonts w:ascii="Times New Roman" w:hAnsi="Times New Roman"/>
          <w:b/>
          <w:bCs/>
          <w:sz w:val="28"/>
          <w:szCs w:val="28"/>
        </w:rPr>
        <w:t xml:space="preserve">Proceedings </w:t>
      </w:r>
      <w:r w:rsidR="00A21078" w:rsidRPr="003C338F">
        <w:rPr>
          <w:rFonts w:ascii="Times New Roman" w:hAnsi="Times New Roman"/>
          <w:b/>
          <w:bCs/>
          <w:sz w:val="28"/>
          <w:szCs w:val="28"/>
        </w:rPr>
        <w:t xml:space="preserve">in </w:t>
      </w:r>
      <w:r w:rsidRPr="003C338F">
        <w:rPr>
          <w:rFonts w:ascii="Times New Roman" w:hAnsi="Times New Roman"/>
          <w:b/>
          <w:bCs/>
          <w:sz w:val="28"/>
          <w:szCs w:val="28"/>
        </w:rPr>
        <w:t>Poland</w:t>
      </w:r>
      <w:r w:rsidR="001E7A6F" w:rsidRPr="003C338F">
        <w:rPr>
          <w:rFonts w:ascii="Times New Roman" w:hAnsi="Times New Roman"/>
          <w:b/>
          <w:bCs/>
          <w:sz w:val="28"/>
          <w:szCs w:val="28"/>
        </w:rPr>
        <w:t>:</w:t>
      </w:r>
      <w:r w:rsidR="00A21078" w:rsidRPr="003C338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C338F">
        <w:rPr>
          <w:rFonts w:ascii="Times New Roman" w:hAnsi="Times New Roman"/>
          <w:b/>
          <w:bCs/>
          <w:sz w:val="28"/>
          <w:szCs w:val="28"/>
        </w:rPr>
        <w:t>Risks for Creditors</w:t>
      </w:r>
    </w:p>
    <w:p w14:paraId="75DFE654" w14:textId="77777777" w:rsidR="00E71E7B" w:rsidRPr="003C338F" w:rsidRDefault="00E71E7B" w:rsidP="008609CB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9FAD6ED" w14:textId="4929EDC5" w:rsidR="002331CA" w:rsidRPr="003C338F" w:rsidRDefault="002331CA" w:rsidP="003441B9">
      <w:pPr>
        <w:pStyle w:val="NoSpacing"/>
        <w:jc w:val="center"/>
        <w:rPr>
          <w:rFonts w:ascii="Times New Roman" w:hAnsi="Times New Roman" w:cs="Times New Roman"/>
          <w:i/>
          <w:iCs/>
          <w:lang w:val="en-GB"/>
        </w:rPr>
      </w:pPr>
      <w:r w:rsidRPr="003C338F">
        <w:rPr>
          <w:rFonts w:ascii="Times New Roman" w:hAnsi="Times New Roman" w:cs="Times New Roman"/>
          <w:i/>
          <w:iCs/>
          <w:lang w:val="en-GB"/>
        </w:rPr>
        <w:t xml:space="preserve">Paweł Chmieliński, </w:t>
      </w:r>
      <w:r w:rsidRPr="003C338F">
        <w:rPr>
          <w:rFonts w:ascii="Times New Roman" w:hAnsi="Times New Roman" w:cs="Times New Roman"/>
          <w:i/>
          <w:iCs/>
          <w:lang w:val="en-GB"/>
        </w:rPr>
        <w:t>A</w:t>
      </w:r>
      <w:r w:rsidRPr="003C338F">
        <w:rPr>
          <w:rFonts w:ascii="Times New Roman" w:hAnsi="Times New Roman" w:cs="Times New Roman"/>
          <w:i/>
          <w:iCs/>
          <w:lang w:val="en-GB"/>
        </w:rPr>
        <w:t>dvocate</w:t>
      </w:r>
      <w:r w:rsidRPr="003C338F">
        <w:rPr>
          <w:rFonts w:ascii="Times New Roman" w:hAnsi="Times New Roman" w:cs="Times New Roman"/>
          <w:i/>
          <w:iCs/>
          <w:lang w:val="en-GB"/>
        </w:rPr>
        <w:t xml:space="preserve"> and</w:t>
      </w:r>
      <w:r w:rsidRPr="003C338F">
        <w:rPr>
          <w:rFonts w:ascii="Times New Roman" w:hAnsi="Times New Roman" w:cs="Times New Roman"/>
          <w:i/>
          <w:iCs/>
          <w:lang w:val="en-GB"/>
        </w:rPr>
        <w:t xml:space="preserve"> </w:t>
      </w:r>
      <w:r w:rsidRPr="003C338F">
        <w:rPr>
          <w:rFonts w:ascii="Times New Roman" w:hAnsi="Times New Roman" w:cs="Times New Roman"/>
          <w:i/>
          <w:iCs/>
          <w:lang w:val="en-GB"/>
        </w:rPr>
        <w:t>R</w:t>
      </w:r>
      <w:r w:rsidRPr="003C338F">
        <w:rPr>
          <w:rFonts w:ascii="Times New Roman" w:hAnsi="Times New Roman" w:cs="Times New Roman"/>
          <w:i/>
          <w:iCs/>
          <w:lang w:val="en-GB"/>
        </w:rPr>
        <w:t xml:space="preserve">estructuring </w:t>
      </w:r>
      <w:r w:rsidRPr="003C338F">
        <w:rPr>
          <w:rFonts w:ascii="Times New Roman" w:hAnsi="Times New Roman" w:cs="Times New Roman"/>
          <w:i/>
          <w:iCs/>
          <w:lang w:val="en-GB"/>
        </w:rPr>
        <w:t>A</w:t>
      </w:r>
      <w:r w:rsidRPr="003C338F">
        <w:rPr>
          <w:rFonts w:ascii="Times New Roman" w:hAnsi="Times New Roman" w:cs="Times New Roman"/>
          <w:i/>
          <w:iCs/>
          <w:lang w:val="en-GB"/>
        </w:rPr>
        <w:t>dvisor</w:t>
      </w:r>
      <w:r w:rsidRPr="003C338F">
        <w:rPr>
          <w:rFonts w:ascii="Times New Roman" w:hAnsi="Times New Roman" w:cs="Times New Roman"/>
          <w:i/>
          <w:iCs/>
          <w:lang w:val="en-GB"/>
        </w:rPr>
        <w:t>,</w:t>
      </w:r>
      <w:r w:rsidRPr="003C338F">
        <w:rPr>
          <w:rFonts w:ascii="Times New Roman" w:hAnsi="Times New Roman" w:cs="Times New Roman"/>
          <w:i/>
          <w:iCs/>
          <w:lang w:val="en-GB"/>
        </w:rPr>
        <w:t xml:space="preserve"> KKLW Legal</w:t>
      </w:r>
      <w:r w:rsidRPr="003C338F">
        <w:rPr>
          <w:rFonts w:ascii="Times New Roman" w:hAnsi="Times New Roman" w:cs="Times New Roman"/>
          <w:i/>
          <w:iCs/>
          <w:lang w:val="en-GB"/>
        </w:rPr>
        <w:t xml:space="preserve">, Poland; </w:t>
      </w:r>
      <w:r w:rsidRPr="003C338F">
        <w:rPr>
          <w:rFonts w:ascii="Times New Roman" w:hAnsi="Times New Roman" w:cs="Times New Roman"/>
          <w:i/>
          <w:iCs/>
          <w:shd w:val="clear" w:color="auto" w:fill="FFFFFF"/>
          <w:lang w:val="en-GB"/>
        </w:rPr>
        <w:t>Email: &lt;</w:t>
      </w:r>
      <w:r w:rsidRPr="003C338F">
        <w:rPr>
          <w:rFonts w:ascii="Times New Roman" w:hAnsi="Times New Roman" w:cs="Times New Roman"/>
          <w:i/>
          <w:iCs/>
          <w:lang w:val="en-GB"/>
        </w:rPr>
        <w:t>pc</w:t>
      </w:r>
      <w:r w:rsidRPr="003C338F">
        <w:rPr>
          <w:rFonts w:ascii="Times New Roman" w:hAnsi="Times New Roman" w:cs="Times New Roman"/>
          <w:i/>
          <w:iCs/>
          <w:lang w:val="en-GB"/>
        </w:rPr>
        <w:t>hmieliński</w:t>
      </w:r>
      <w:r w:rsidRPr="003C338F">
        <w:rPr>
          <w:rFonts w:ascii="Times New Roman" w:hAnsi="Times New Roman" w:cs="Times New Roman"/>
          <w:i/>
          <w:iCs/>
          <w:shd w:val="clear" w:color="auto" w:fill="FFFFFF"/>
          <w:lang w:val="en-GB"/>
        </w:rPr>
        <w:t>@kklw.pl&gt;</w:t>
      </w:r>
      <w:r w:rsidRPr="003C338F">
        <w:rPr>
          <w:rFonts w:ascii="Times New Roman" w:hAnsi="Times New Roman" w:cs="Times New Roman"/>
          <w:i/>
          <w:iCs/>
          <w:shd w:val="clear" w:color="auto" w:fill="FFFFFF"/>
          <w:lang w:val="en-GB"/>
        </w:rPr>
        <w:t>; and</w:t>
      </w:r>
    </w:p>
    <w:p w14:paraId="716971A7" w14:textId="772318EE" w:rsidR="00104015" w:rsidRPr="003C338F" w:rsidRDefault="002331CA" w:rsidP="003441B9">
      <w:pPr>
        <w:pStyle w:val="NoSpacing"/>
        <w:jc w:val="center"/>
        <w:rPr>
          <w:rFonts w:ascii="Times New Roman" w:hAnsi="Times New Roman" w:cs="Times New Roman"/>
          <w:i/>
          <w:iCs/>
          <w:lang w:val="en-GB"/>
        </w:rPr>
      </w:pPr>
      <w:r w:rsidRPr="003C338F">
        <w:rPr>
          <w:rFonts w:ascii="Times New Roman" w:hAnsi="Times New Roman" w:cs="Times New Roman"/>
          <w:i/>
          <w:iCs/>
          <w:lang w:val="en-GB"/>
        </w:rPr>
        <w:t xml:space="preserve">Przemysław Wierzbicki, </w:t>
      </w:r>
      <w:r w:rsidRPr="003C338F">
        <w:rPr>
          <w:rFonts w:ascii="Times New Roman" w:hAnsi="Times New Roman" w:cs="Times New Roman"/>
          <w:i/>
          <w:iCs/>
          <w:lang w:val="en-GB"/>
        </w:rPr>
        <w:t>A</w:t>
      </w:r>
      <w:r w:rsidRPr="003C338F">
        <w:rPr>
          <w:rFonts w:ascii="Times New Roman" w:hAnsi="Times New Roman" w:cs="Times New Roman"/>
          <w:i/>
          <w:iCs/>
          <w:lang w:val="en-GB"/>
        </w:rPr>
        <w:t>dvocate</w:t>
      </w:r>
      <w:r w:rsidRPr="003C338F">
        <w:rPr>
          <w:rFonts w:ascii="Times New Roman" w:hAnsi="Times New Roman" w:cs="Times New Roman"/>
          <w:i/>
          <w:iCs/>
          <w:lang w:val="en-GB"/>
        </w:rPr>
        <w:t xml:space="preserve"> and</w:t>
      </w:r>
      <w:r w:rsidRPr="003C338F">
        <w:rPr>
          <w:rFonts w:ascii="Times New Roman" w:hAnsi="Times New Roman" w:cs="Times New Roman"/>
          <w:i/>
          <w:iCs/>
          <w:lang w:val="en-GB"/>
        </w:rPr>
        <w:t xml:space="preserve"> </w:t>
      </w:r>
      <w:r w:rsidRPr="003C338F">
        <w:rPr>
          <w:rFonts w:ascii="Times New Roman" w:hAnsi="Times New Roman" w:cs="Times New Roman"/>
          <w:i/>
          <w:iCs/>
          <w:lang w:val="en-GB"/>
        </w:rPr>
        <w:t>R</w:t>
      </w:r>
      <w:r w:rsidRPr="003C338F">
        <w:rPr>
          <w:rFonts w:ascii="Times New Roman" w:hAnsi="Times New Roman" w:cs="Times New Roman"/>
          <w:i/>
          <w:iCs/>
          <w:lang w:val="en-GB"/>
        </w:rPr>
        <w:t xml:space="preserve">estructuring </w:t>
      </w:r>
      <w:r w:rsidRPr="003C338F">
        <w:rPr>
          <w:rFonts w:ascii="Times New Roman" w:hAnsi="Times New Roman" w:cs="Times New Roman"/>
          <w:i/>
          <w:iCs/>
          <w:lang w:val="en-GB"/>
        </w:rPr>
        <w:t>A</w:t>
      </w:r>
      <w:r w:rsidRPr="003C338F">
        <w:rPr>
          <w:rFonts w:ascii="Times New Roman" w:hAnsi="Times New Roman" w:cs="Times New Roman"/>
          <w:i/>
          <w:iCs/>
          <w:lang w:val="en-GB"/>
        </w:rPr>
        <w:t>dvisor</w:t>
      </w:r>
      <w:r w:rsidRPr="003C338F">
        <w:rPr>
          <w:rFonts w:ascii="Times New Roman" w:hAnsi="Times New Roman" w:cs="Times New Roman"/>
          <w:i/>
          <w:iCs/>
          <w:lang w:val="en-GB"/>
        </w:rPr>
        <w:t>;</w:t>
      </w:r>
      <w:r w:rsidRPr="003C338F">
        <w:rPr>
          <w:rFonts w:ascii="Times New Roman" w:hAnsi="Times New Roman" w:cs="Times New Roman"/>
          <w:i/>
          <w:iCs/>
          <w:lang w:val="en-GB"/>
        </w:rPr>
        <w:t xml:space="preserve"> </w:t>
      </w:r>
      <w:r w:rsidRPr="003C338F">
        <w:rPr>
          <w:rFonts w:ascii="Times New Roman" w:hAnsi="Times New Roman" w:cs="Times New Roman"/>
          <w:i/>
          <w:iCs/>
          <w:lang w:val="en-GB"/>
        </w:rPr>
        <w:t>M</w:t>
      </w:r>
      <w:r w:rsidRPr="003C338F">
        <w:rPr>
          <w:rFonts w:ascii="Times New Roman" w:hAnsi="Times New Roman" w:cs="Times New Roman"/>
          <w:i/>
          <w:iCs/>
          <w:lang w:val="en-GB"/>
        </w:rPr>
        <w:t xml:space="preserve">anaging </w:t>
      </w:r>
      <w:r w:rsidRPr="003C338F">
        <w:rPr>
          <w:rFonts w:ascii="Times New Roman" w:hAnsi="Times New Roman" w:cs="Times New Roman"/>
          <w:i/>
          <w:iCs/>
          <w:lang w:val="en-GB"/>
        </w:rPr>
        <w:t>P</w:t>
      </w:r>
      <w:r w:rsidRPr="003C338F">
        <w:rPr>
          <w:rFonts w:ascii="Times New Roman" w:hAnsi="Times New Roman" w:cs="Times New Roman"/>
          <w:i/>
          <w:iCs/>
          <w:lang w:val="en-GB"/>
        </w:rPr>
        <w:t>artner</w:t>
      </w:r>
      <w:r w:rsidRPr="003C338F">
        <w:rPr>
          <w:rFonts w:ascii="Times New Roman" w:hAnsi="Times New Roman" w:cs="Times New Roman"/>
          <w:i/>
          <w:iCs/>
          <w:lang w:val="en-GB"/>
        </w:rPr>
        <w:t xml:space="preserve">, </w:t>
      </w:r>
      <w:r w:rsidRPr="003C338F">
        <w:rPr>
          <w:rFonts w:ascii="Times New Roman" w:hAnsi="Times New Roman" w:cs="Times New Roman"/>
          <w:i/>
          <w:iCs/>
          <w:lang w:val="en-GB"/>
        </w:rPr>
        <w:t>KKLW Legal</w:t>
      </w:r>
      <w:r w:rsidRPr="003C338F">
        <w:rPr>
          <w:rFonts w:ascii="Times New Roman" w:hAnsi="Times New Roman" w:cs="Times New Roman"/>
          <w:i/>
          <w:iCs/>
          <w:lang w:val="en-GB"/>
        </w:rPr>
        <w:t>, Poland</w:t>
      </w:r>
      <w:r w:rsidR="001E7A6F" w:rsidRPr="003C338F">
        <w:rPr>
          <w:rFonts w:ascii="Times New Roman" w:hAnsi="Times New Roman" w:cs="Times New Roman"/>
          <w:i/>
          <w:iCs/>
          <w:shd w:val="clear" w:color="auto" w:fill="FFFFFF"/>
          <w:lang w:val="en-GB"/>
        </w:rPr>
        <w:t>. Email: &lt;</w:t>
      </w:r>
      <w:r w:rsidRPr="003C338F">
        <w:rPr>
          <w:rFonts w:ascii="Times New Roman" w:hAnsi="Times New Roman" w:cs="Times New Roman"/>
          <w:i/>
          <w:iCs/>
          <w:shd w:val="clear" w:color="auto" w:fill="FFFFFF"/>
          <w:lang w:val="en-GB"/>
        </w:rPr>
        <w:t>pwierzbicki@kklw.pl</w:t>
      </w:r>
      <w:r w:rsidR="001E7A6F" w:rsidRPr="003C338F">
        <w:rPr>
          <w:rFonts w:ascii="Times New Roman" w:hAnsi="Times New Roman" w:cs="Times New Roman"/>
          <w:i/>
          <w:iCs/>
          <w:shd w:val="clear" w:color="auto" w:fill="FFFFFF"/>
          <w:lang w:val="en-GB"/>
        </w:rPr>
        <w:t>&gt;.</w:t>
      </w:r>
    </w:p>
    <w:p w14:paraId="127C267D" w14:textId="77777777" w:rsidR="00E71E7B" w:rsidRPr="003C338F" w:rsidRDefault="00E71E7B" w:rsidP="001E7A6F">
      <w:pPr>
        <w:spacing w:after="0"/>
        <w:contextualSpacing/>
        <w:rPr>
          <w:rFonts w:ascii="Times New Roman" w:hAnsi="Times New Roman"/>
          <w:i/>
          <w:sz w:val="24"/>
          <w:szCs w:val="24"/>
        </w:rPr>
      </w:pPr>
    </w:p>
    <w:p w14:paraId="3FDD4E1F" w14:textId="3DA5C6B1" w:rsidR="00E71E7B" w:rsidRPr="003C338F" w:rsidRDefault="00E71E7B" w:rsidP="001E7A6F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3C338F">
        <w:rPr>
          <w:rFonts w:ascii="Times New Roman" w:hAnsi="Times New Roman"/>
          <w:i/>
          <w:iCs/>
          <w:sz w:val="24"/>
          <w:szCs w:val="24"/>
        </w:rPr>
        <w:t>Introduction</w:t>
      </w:r>
    </w:p>
    <w:p w14:paraId="022788C5" w14:textId="77777777" w:rsidR="00E71E7B" w:rsidRPr="003C338F" w:rsidRDefault="00E71E7B" w:rsidP="003441B9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14:paraId="4836FE65" w14:textId="58DBD9BC" w:rsidR="003441B9" w:rsidRPr="003C338F" w:rsidRDefault="003441B9" w:rsidP="003441B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As a result of 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>COVID-19 outbreak, a new type of restructuring procedure was introduced in Poland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>: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>the “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>simplified restructuring procedure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>”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 (SRP)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 which, in principle, corresponds to the 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>“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scheme of arrangement” 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known to 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English law. There are, however, material nuances of 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>new regulations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 which may have 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negative impact on 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>rights of the foreign creditors. In this article, we provide also the most important solutions which foreign creditors can use to defend their interests.</w:t>
      </w:r>
    </w:p>
    <w:p w14:paraId="00CA4E73" w14:textId="77777777" w:rsidR="003441B9" w:rsidRPr="003C338F" w:rsidRDefault="003441B9" w:rsidP="003441B9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6C303883" w14:textId="5D1182A1" w:rsidR="003441B9" w:rsidRPr="003C338F" w:rsidRDefault="003441B9" w:rsidP="003441B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C338F">
        <w:rPr>
          <w:rFonts w:ascii="Times New Roman" w:hAnsi="Times New Roman" w:cs="Times New Roman"/>
          <w:sz w:val="24"/>
          <w:szCs w:val="24"/>
          <w:lang w:val="en-GB"/>
        </w:rPr>
        <w:t>A special feature of the new regulation is its temporary nature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>, which has been tied to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 the 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anticipated 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duration of the impact of 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>the pandemic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>As such, s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>implified restructuring procedure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 can be 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initiated as of 24 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June 2020 (date of the entry of the new regulation into force) 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till 30 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>June 2021.</w:t>
      </w:r>
    </w:p>
    <w:p w14:paraId="10F4F646" w14:textId="77777777" w:rsidR="003441B9" w:rsidRPr="003C338F" w:rsidRDefault="003441B9" w:rsidP="003441B9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098A40A" w14:textId="72436D59" w:rsidR="003441B9" w:rsidRPr="003C338F" w:rsidRDefault="003441B9" w:rsidP="003441B9">
      <w:pPr>
        <w:pStyle w:val="NoSpacing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3C338F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SRP – </w:t>
      </w:r>
      <w:r w:rsidRPr="003C338F">
        <w:rPr>
          <w:rFonts w:ascii="Times New Roman" w:hAnsi="Times New Roman" w:cs="Times New Roman"/>
          <w:i/>
          <w:iCs/>
          <w:sz w:val="24"/>
          <w:szCs w:val="24"/>
          <w:lang w:val="en-GB"/>
        </w:rPr>
        <w:t>W</w:t>
      </w:r>
      <w:r w:rsidRPr="003C338F">
        <w:rPr>
          <w:rFonts w:ascii="Times New Roman" w:hAnsi="Times New Roman" w:cs="Times New Roman"/>
          <w:i/>
          <w:iCs/>
          <w:sz w:val="24"/>
          <w:szCs w:val="24"/>
          <w:lang w:val="en-GB"/>
        </w:rPr>
        <w:t>hat does it mean?</w:t>
      </w:r>
    </w:p>
    <w:p w14:paraId="1AD9C77C" w14:textId="77777777" w:rsidR="003441B9" w:rsidRPr="003C338F" w:rsidRDefault="003441B9" w:rsidP="003441B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FC6AE33" w14:textId="4EB1C1E2" w:rsidR="003441B9" w:rsidRPr="003C338F" w:rsidRDefault="003441B9" w:rsidP="003441B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The simplified restructuring procedure assumes that the restructuring is carried out with limited participation </w:t>
      </w:r>
      <w:r w:rsidR="00872A8B"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by 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the court, but under </w:t>
      </w:r>
      <w:r w:rsidR="00872A8B"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supervision of a restructuring advisor chosen by the debtor. On the basis of an agreement </w:t>
      </w:r>
      <w:r w:rsidR="00872A8B"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that has been 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concluded, the arrangement administrator controls </w:t>
      </w:r>
      <w:r w:rsidR="00872A8B"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>activities of the debtor and ensures an efficient and compliant course of proceedings. The debtor</w:t>
      </w:r>
      <w:r w:rsidR="00872A8B" w:rsidRPr="003C338F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 together with the arrangement administrator</w:t>
      </w:r>
      <w:r w:rsidR="00872A8B" w:rsidRPr="003C338F">
        <w:rPr>
          <w:rFonts w:ascii="Times New Roman" w:hAnsi="Times New Roman" w:cs="Times New Roman"/>
          <w:sz w:val="24"/>
          <w:szCs w:val="24"/>
          <w:lang w:val="en-GB"/>
        </w:rPr>
        <w:t>, will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 prepare arrangement proposals and conduct the </w:t>
      </w:r>
      <w:r w:rsidR="00872A8B"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process 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of collecting creditors’ votes. The commencement of simplified restructuring proceedings requires an announcement </w:t>
      </w:r>
      <w:r w:rsidR="00872A8B"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to be placed 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in the Polish nation-wide </w:t>
      </w:r>
      <w:r w:rsidR="00872A8B" w:rsidRPr="003C338F">
        <w:rPr>
          <w:rFonts w:ascii="Times New Roman" w:hAnsi="Times New Roman" w:cs="Times New Roman"/>
          <w:sz w:val="24"/>
          <w:szCs w:val="24"/>
          <w:lang w:val="en-GB"/>
        </w:rPr>
        <w:t>O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fficial </w:t>
      </w:r>
      <w:r w:rsidR="00872A8B" w:rsidRPr="003C338F">
        <w:rPr>
          <w:rFonts w:ascii="Times New Roman" w:hAnsi="Times New Roman" w:cs="Times New Roman"/>
          <w:sz w:val="24"/>
          <w:szCs w:val="24"/>
          <w:lang w:val="en-GB"/>
        </w:rPr>
        <w:t>J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>ournal</w:t>
      </w:r>
      <w:r w:rsidR="00872A8B"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="003C338F" w:rsidRPr="003C338F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3C338F">
        <w:rPr>
          <w:rFonts w:ascii="Times New Roman" w:hAnsi="Times New Roman" w:cs="Times New Roman"/>
          <w:i/>
          <w:iCs/>
          <w:sz w:val="24"/>
          <w:szCs w:val="24"/>
          <w:lang w:val="en-GB"/>
        </w:rPr>
        <w:t>Monitor Sądowy i Gospodarczy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 (MSiG).</w:t>
      </w:r>
    </w:p>
    <w:p w14:paraId="74159F4F" w14:textId="77777777" w:rsidR="003441B9" w:rsidRPr="003C338F" w:rsidRDefault="003441B9" w:rsidP="003441B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C8D9028" w14:textId="7BBAFEAF" w:rsidR="003441B9" w:rsidRPr="003C338F" w:rsidRDefault="003441B9" w:rsidP="003441B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872A8B" w:rsidRPr="003C338F">
        <w:rPr>
          <w:rFonts w:ascii="Times New Roman" w:hAnsi="Times New Roman" w:cs="Times New Roman"/>
          <w:sz w:val="24"/>
          <w:szCs w:val="24"/>
          <w:lang w:val="en-GB"/>
        </w:rPr>
        <w:t>sequence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 of the SRP involves</w:t>
      </w:r>
      <w:r w:rsidR="00872A8B"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 the following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 step</w:t>
      </w:r>
      <w:r w:rsidR="00872A8B" w:rsidRPr="003C338F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4FC98638" w14:textId="77777777" w:rsidR="00872A8B" w:rsidRPr="003C338F" w:rsidRDefault="00872A8B" w:rsidP="003441B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DE0557A" w14:textId="17F3669A" w:rsidR="003441B9" w:rsidRPr="003C338F" w:rsidRDefault="00872A8B" w:rsidP="003441B9">
      <w:pPr>
        <w:pStyle w:val="NoSpacing"/>
        <w:numPr>
          <w:ilvl w:val="0"/>
          <w:numId w:val="4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C338F"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3441B9" w:rsidRPr="003C338F">
        <w:rPr>
          <w:rFonts w:ascii="Times New Roman" w:hAnsi="Times New Roman" w:cs="Times New Roman"/>
          <w:sz w:val="24"/>
          <w:szCs w:val="24"/>
          <w:lang w:val="en-GB"/>
        </w:rPr>
        <w:t>onclusion of an agreement with a restructuring advisor acting as an administrator of the arrangement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023C0869" w14:textId="526BBFC1" w:rsidR="003441B9" w:rsidRPr="003C338F" w:rsidRDefault="00872A8B" w:rsidP="003441B9">
      <w:pPr>
        <w:pStyle w:val="NoSpacing"/>
        <w:numPr>
          <w:ilvl w:val="0"/>
          <w:numId w:val="4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C338F">
        <w:rPr>
          <w:rFonts w:ascii="Times New Roman" w:hAnsi="Times New Roman" w:cs="Times New Roman"/>
          <w:sz w:val="24"/>
          <w:szCs w:val="24"/>
          <w:lang w:val="en-GB"/>
        </w:rPr>
        <w:lastRenderedPageBreak/>
        <w:t>A</w:t>
      </w:r>
      <w:r w:rsidR="003441B9"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ppointment of an arrangement day (only claims arising prior to the arrangement day 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will be </w:t>
      </w:r>
      <w:r w:rsidR="003441B9" w:rsidRPr="003C338F">
        <w:rPr>
          <w:rFonts w:ascii="Times New Roman" w:hAnsi="Times New Roman" w:cs="Times New Roman"/>
          <w:sz w:val="24"/>
          <w:szCs w:val="24"/>
          <w:lang w:val="en-GB"/>
        </w:rPr>
        <w:t>subject to restructuring)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541B4483" w14:textId="2E90796B" w:rsidR="003441B9" w:rsidRPr="003C338F" w:rsidRDefault="00872A8B" w:rsidP="003441B9">
      <w:pPr>
        <w:pStyle w:val="NoSpacing"/>
        <w:numPr>
          <w:ilvl w:val="0"/>
          <w:numId w:val="4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C338F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3441B9" w:rsidRPr="003C338F">
        <w:rPr>
          <w:rFonts w:ascii="Times New Roman" w:hAnsi="Times New Roman" w:cs="Times New Roman"/>
          <w:sz w:val="24"/>
          <w:szCs w:val="24"/>
          <w:lang w:val="en-GB"/>
        </w:rPr>
        <w:t>ublication in the MSiG o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>f</w:t>
      </w:r>
      <w:r w:rsidR="003441B9"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 the initiation of restructuring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3441B9"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 the date of publication of the announcement is the date of 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>commencement of</w:t>
      </w:r>
      <w:r w:rsidR="003441B9"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 proceedings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3520416A" w14:textId="72DBBC1E" w:rsidR="003441B9" w:rsidRPr="003C338F" w:rsidRDefault="00872A8B" w:rsidP="003441B9">
      <w:pPr>
        <w:pStyle w:val="NoSpacing"/>
        <w:numPr>
          <w:ilvl w:val="0"/>
          <w:numId w:val="4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C338F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3441B9" w:rsidRPr="003C338F">
        <w:rPr>
          <w:rFonts w:ascii="Times New Roman" w:hAnsi="Times New Roman" w:cs="Times New Roman"/>
          <w:sz w:val="24"/>
          <w:szCs w:val="24"/>
          <w:lang w:val="en-GB"/>
        </w:rPr>
        <w:t>reparation of the arrangement proposals, conducting creditors' voting procedure and (in the case of acceptance of the arrangement) filing a motion for approval of the arrangement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3441B9"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 if no motion for approval of the arrangement is filed within 4 months from the date of the announcement, the proceeding is discontinued by virtue of 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3441B9" w:rsidRPr="003C338F">
        <w:rPr>
          <w:rFonts w:ascii="Times New Roman" w:hAnsi="Times New Roman" w:cs="Times New Roman"/>
          <w:sz w:val="24"/>
          <w:szCs w:val="24"/>
          <w:lang w:val="en-GB"/>
        </w:rPr>
        <w:t>law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317A5899" w14:textId="5BA08515" w:rsidR="003441B9" w:rsidRPr="003C338F" w:rsidRDefault="00872A8B" w:rsidP="003441B9">
      <w:pPr>
        <w:pStyle w:val="NoSpacing"/>
        <w:numPr>
          <w:ilvl w:val="0"/>
          <w:numId w:val="4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C338F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3441B9"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pproval of the arrangement by the court 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="003441B9"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with </w:t>
      </w:r>
      <w:r w:rsidR="003441B9"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the court’s decision 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>capable of being appealed; and</w:t>
      </w:r>
    </w:p>
    <w:p w14:paraId="3DA5BE4C" w14:textId="1761DA7C" w:rsidR="003441B9" w:rsidRPr="003C338F" w:rsidRDefault="00872A8B" w:rsidP="003441B9">
      <w:pPr>
        <w:pStyle w:val="NoSpacing"/>
        <w:numPr>
          <w:ilvl w:val="0"/>
          <w:numId w:val="4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C338F">
        <w:rPr>
          <w:rFonts w:ascii="Times New Roman" w:hAnsi="Times New Roman" w:cs="Times New Roman"/>
          <w:sz w:val="24"/>
          <w:szCs w:val="24"/>
          <w:lang w:val="en-GB"/>
        </w:rPr>
        <w:t>E</w:t>
      </w:r>
      <w:r w:rsidR="003441B9" w:rsidRPr="003C338F">
        <w:rPr>
          <w:rFonts w:ascii="Times New Roman" w:hAnsi="Times New Roman" w:cs="Times New Roman"/>
          <w:sz w:val="24"/>
          <w:szCs w:val="24"/>
          <w:lang w:val="en-GB"/>
        </w:rPr>
        <w:t>ffective performance of the arrangement after approval by the court.</w:t>
      </w:r>
    </w:p>
    <w:p w14:paraId="1A8245D9" w14:textId="77777777" w:rsidR="003441B9" w:rsidRPr="003C338F" w:rsidRDefault="003441B9" w:rsidP="003441B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2BE6050" w14:textId="63E45FFA" w:rsidR="003441B9" w:rsidRPr="003C338F" w:rsidRDefault="00872A8B" w:rsidP="003441B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C338F">
        <w:rPr>
          <w:rFonts w:ascii="Times New Roman" w:hAnsi="Times New Roman" w:cs="Times New Roman"/>
          <w:sz w:val="24"/>
          <w:szCs w:val="24"/>
          <w:lang w:val="en-GB"/>
        </w:rPr>
        <w:t>The pre-</w:t>
      </w:r>
      <w:r w:rsidR="003441B9"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condition for effective carrying out of the simplified restructuring procedure is approval of the arrangement by the restructuring court. Refusal to approve the arrangement means 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3441B9" w:rsidRPr="003C338F">
        <w:rPr>
          <w:rFonts w:ascii="Times New Roman" w:hAnsi="Times New Roman" w:cs="Times New Roman"/>
          <w:sz w:val="24"/>
          <w:szCs w:val="24"/>
          <w:lang w:val="en-GB"/>
        </w:rPr>
        <w:t>failure of the simplified restructuring procedure.</w:t>
      </w:r>
    </w:p>
    <w:p w14:paraId="2C81A5AB" w14:textId="77777777" w:rsidR="003441B9" w:rsidRPr="003C338F" w:rsidRDefault="003441B9" w:rsidP="003441B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4BD6B57" w14:textId="05AF6359" w:rsidR="003441B9" w:rsidRPr="003C338F" w:rsidRDefault="00872A8B" w:rsidP="003441B9">
      <w:pPr>
        <w:pStyle w:val="NoSpacing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3C338F">
        <w:rPr>
          <w:rFonts w:ascii="Times New Roman" w:hAnsi="Times New Roman" w:cs="Times New Roman"/>
          <w:i/>
          <w:iCs/>
          <w:sz w:val="24"/>
          <w:szCs w:val="24"/>
          <w:lang w:val="en-GB"/>
        </w:rPr>
        <w:t>Key E</w:t>
      </w:r>
      <w:r w:rsidR="003441B9" w:rsidRPr="003C338F">
        <w:rPr>
          <w:rFonts w:ascii="Times New Roman" w:hAnsi="Times New Roman" w:cs="Times New Roman"/>
          <w:i/>
          <w:iCs/>
          <w:sz w:val="24"/>
          <w:szCs w:val="24"/>
          <w:lang w:val="en-GB"/>
        </w:rPr>
        <w:t>ffects of the SRP</w:t>
      </w:r>
    </w:p>
    <w:p w14:paraId="71CB9064" w14:textId="78D0E62B" w:rsidR="003441B9" w:rsidRPr="003C338F" w:rsidRDefault="003441B9" w:rsidP="003441B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11AF9C2" w14:textId="0DE1452D" w:rsidR="00872A8B" w:rsidRPr="003C338F" w:rsidRDefault="00872A8B" w:rsidP="003441B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C338F">
        <w:rPr>
          <w:rFonts w:ascii="Times New Roman" w:hAnsi="Times New Roman" w:cs="Times New Roman"/>
          <w:sz w:val="24"/>
          <w:szCs w:val="24"/>
          <w:lang w:val="en-GB"/>
        </w:rPr>
        <w:t>The following are the key effects of opening an SRP process:</w:t>
      </w:r>
    </w:p>
    <w:p w14:paraId="3C116F24" w14:textId="77777777" w:rsidR="00872A8B" w:rsidRPr="003C338F" w:rsidRDefault="00872A8B" w:rsidP="003441B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96F377A" w14:textId="6280E3C8" w:rsidR="003441B9" w:rsidRPr="003C338F" w:rsidRDefault="00872A8B" w:rsidP="00872A8B">
      <w:pPr>
        <w:pStyle w:val="NoSpacing"/>
        <w:numPr>
          <w:ilvl w:val="0"/>
          <w:numId w:val="44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3C338F">
        <w:rPr>
          <w:rFonts w:ascii="Times New Roman" w:hAnsi="Times New Roman" w:cs="Times New Roman"/>
          <w:b/>
          <w:bCs/>
          <w:sz w:val="24"/>
          <w:szCs w:val="24"/>
          <w:lang w:val="en-GB"/>
        </w:rPr>
        <w:t>P</w:t>
      </w:r>
      <w:r w:rsidR="003441B9" w:rsidRPr="003C338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rotection from </w:t>
      </w:r>
      <w:r w:rsidR="0047439B" w:rsidRPr="003C338F">
        <w:rPr>
          <w:rFonts w:ascii="Times New Roman" w:hAnsi="Times New Roman" w:cs="Times New Roman"/>
          <w:b/>
          <w:bCs/>
          <w:sz w:val="24"/>
          <w:szCs w:val="24"/>
          <w:lang w:val="en-GB"/>
        </w:rPr>
        <w:t>E</w:t>
      </w:r>
      <w:r w:rsidR="003441B9" w:rsidRPr="003C338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nforcement </w:t>
      </w:r>
      <w:r w:rsidR="0047439B" w:rsidRPr="003C338F">
        <w:rPr>
          <w:rFonts w:ascii="Times New Roman" w:hAnsi="Times New Roman" w:cs="Times New Roman"/>
          <w:b/>
          <w:bCs/>
          <w:sz w:val="24"/>
          <w:szCs w:val="24"/>
          <w:lang w:val="en-GB"/>
        </w:rPr>
        <w:t>P</w:t>
      </w:r>
      <w:r w:rsidR="003441B9" w:rsidRPr="003C338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roceedings and of </w:t>
      </w:r>
      <w:r w:rsidR="0047439B" w:rsidRPr="003C338F">
        <w:rPr>
          <w:rFonts w:ascii="Times New Roman" w:hAnsi="Times New Roman" w:cs="Times New Roman"/>
          <w:b/>
          <w:bCs/>
          <w:sz w:val="24"/>
          <w:szCs w:val="24"/>
          <w:lang w:val="en-GB"/>
        </w:rPr>
        <w:t>C</w:t>
      </w:r>
      <w:r w:rsidR="003441B9" w:rsidRPr="003C338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ourt-ordered </w:t>
      </w:r>
      <w:r w:rsidR="0047439B" w:rsidRPr="003C338F">
        <w:rPr>
          <w:rFonts w:ascii="Times New Roman" w:hAnsi="Times New Roman" w:cs="Times New Roman"/>
          <w:b/>
          <w:bCs/>
          <w:sz w:val="24"/>
          <w:szCs w:val="24"/>
          <w:lang w:val="en-GB"/>
        </w:rPr>
        <w:t>I</w:t>
      </w:r>
      <w:r w:rsidR="003441B9" w:rsidRPr="003C338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njunction </w:t>
      </w:r>
      <w:r w:rsidR="0047439B" w:rsidRPr="003C338F">
        <w:rPr>
          <w:rFonts w:ascii="Times New Roman" w:hAnsi="Times New Roman" w:cs="Times New Roman"/>
          <w:b/>
          <w:bCs/>
          <w:sz w:val="24"/>
          <w:szCs w:val="24"/>
          <w:lang w:val="en-GB"/>
        </w:rPr>
        <w:t>P</w:t>
      </w:r>
      <w:r w:rsidR="003441B9" w:rsidRPr="003C338F">
        <w:rPr>
          <w:rFonts w:ascii="Times New Roman" w:hAnsi="Times New Roman" w:cs="Times New Roman"/>
          <w:b/>
          <w:bCs/>
          <w:sz w:val="24"/>
          <w:szCs w:val="24"/>
          <w:lang w:val="en-GB"/>
        </w:rPr>
        <w:t>roceedings</w:t>
      </w:r>
    </w:p>
    <w:p w14:paraId="5904C155" w14:textId="77777777" w:rsidR="00872A8B" w:rsidRPr="003C338F" w:rsidRDefault="00872A8B" w:rsidP="003441B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AB01392" w14:textId="22F89EDB" w:rsidR="003441B9" w:rsidRPr="003C338F" w:rsidRDefault="003441B9" w:rsidP="003441B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As of the date of publication of the announcement, </w:t>
      </w:r>
      <w:r w:rsidR="0047439B"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>initiat</w:t>
      </w:r>
      <w:r w:rsidR="0047439B" w:rsidRPr="003C338F">
        <w:rPr>
          <w:rFonts w:ascii="Times New Roman" w:hAnsi="Times New Roman" w:cs="Times New Roman"/>
          <w:sz w:val="24"/>
          <w:szCs w:val="24"/>
          <w:lang w:val="en-GB"/>
        </w:rPr>
        <w:t>ion of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 enforcement proceedings and execut</w:t>
      </w:r>
      <w:r w:rsidR="0047439B" w:rsidRPr="003C338F">
        <w:rPr>
          <w:rFonts w:ascii="Times New Roman" w:hAnsi="Times New Roman" w:cs="Times New Roman"/>
          <w:sz w:val="24"/>
          <w:szCs w:val="24"/>
          <w:lang w:val="en-GB"/>
        </w:rPr>
        <w:t>ion of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 a</w:t>
      </w:r>
      <w:r w:rsidR="0047439B" w:rsidRPr="003C338F">
        <w:rPr>
          <w:rFonts w:ascii="Times New Roman" w:hAnsi="Times New Roman" w:cs="Times New Roman"/>
          <w:sz w:val="24"/>
          <w:szCs w:val="24"/>
          <w:lang w:val="en-GB"/>
        </w:rPr>
        <w:t>ny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 decision to grant an injunction</w:t>
      </w:r>
      <w:r w:rsidR="0047439B"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 becomes </w:t>
      </w:r>
      <w:r w:rsidR="0047439B" w:rsidRPr="003C338F">
        <w:rPr>
          <w:rFonts w:ascii="Times New Roman" w:hAnsi="Times New Roman" w:cs="Times New Roman"/>
          <w:sz w:val="24"/>
          <w:szCs w:val="24"/>
          <w:lang w:val="en-GB"/>
        </w:rPr>
        <w:t>inadmissible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. The protection </w:t>
      </w:r>
      <w:r w:rsidR="0047439B"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for 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>the debtor lasts until the completion of the restructuring proceedings or its discontinuance, which takes place if no application for approval of the arrangement is filed within 4 months from the date of publication.</w:t>
      </w:r>
    </w:p>
    <w:p w14:paraId="3FEB901F" w14:textId="77777777" w:rsidR="003441B9" w:rsidRPr="003C338F" w:rsidRDefault="003441B9" w:rsidP="003441B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B04C50F" w14:textId="172AFFF5" w:rsidR="003441B9" w:rsidRPr="003C338F" w:rsidRDefault="0047439B" w:rsidP="0047439B">
      <w:pPr>
        <w:pStyle w:val="NoSpacing"/>
        <w:numPr>
          <w:ilvl w:val="0"/>
          <w:numId w:val="44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3C338F">
        <w:rPr>
          <w:rFonts w:ascii="Times New Roman" w:hAnsi="Times New Roman" w:cs="Times New Roman"/>
          <w:b/>
          <w:bCs/>
          <w:sz w:val="24"/>
          <w:szCs w:val="24"/>
          <w:lang w:val="en-GB"/>
        </w:rPr>
        <w:t>S</w:t>
      </w:r>
      <w:r w:rsidR="003441B9" w:rsidRPr="003C338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ignificance of the </w:t>
      </w:r>
      <w:r w:rsidRPr="003C338F">
        <w:rPr>
          <w:rFonts w:ascii="Times New Roman" w:hAnsi="Times New Roman" w:cs="Times New Roman"/>
          <w:b/>
          <w:bCs/>
          <w:sz w:val="24"/>
          <w:szCs w:val="24"/>
          <w:lang w:val="en-GB"/>
        </w:rPr>
        <w:t>A</w:t>
      </w:r>
      <w:r w:rsidR="003441B9" w:rsidRPr="003C338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rrangement </w:t>
      </w:r>
      <w:r w:rsidRPr="003C338F">
        <w:rPr>
          <w:rFonts w:ascii="Times New Roman" w:hAnsi="Times New Roman" w:cs="Times New Roman"/>
          <w:b/>
          <w:bCs/>
          <w:sz w:val="24"/>
          <w:szCs w:val="24"/>
          <w:lang w:val="en-GB"/>
        </w:rPr>
        <w:t>D</w:t>
      </w:r>
      <w:r w:rsidR="003441B9" w:rsidRPr="003C338F">
        <w:rPr>
          <w:rFonts w:ascii="Times New Roman" w:hAnsi="Times New Roman" w:cs="Times New Roman"/>
          <w:b/>
          <w:bCs/>
          <w:sz w:val="24"/>
          <w:szCs w:val="24"/>
          <w:lang w:val="en-GB"/>
        </w:rPr>
        <w:t>ay</w:t>
      </w:r>
    </w:p>
    <w:p w14:paraId="0260D306" w14:textId="77777777" w:rsidR="0047439B" w:rsidRPr="003C338F" w:rsidRDefault="0047439B" w:rsidP="003441B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108BB73" w14:textId="4EA67CC3" w:rsidR="003441B9" w:rsidRPr="003C338F" w:rsidRDefault="003441B9" w:rsidP="003441B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The arrangement day may not fall earlier than 7 days before the filing of the application for </w:t>
      </w:r>
      <w:r w:rsidR="0047439B" w:rsidRPr="003C338F">
        <w:rPr>
          <w:rFonts w:ascii="Times New Roman" w:hAnsi="Times New Roman" w:cs="Times New Roman"/>
          <w:sz w:val="24"/>
          <w:szCs w:val="24"/>
          <w:lang w:val="en-GB"/>
        </w:rPr>
        <w:t>publication of an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 announcement in </w:t>
      </w:r>
      <w:r w:rsidR="0047439B"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MSiG and no later than 7 days after </w:t>
      </w:r>
      <w:r w:rsidR="0047439B"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its 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filing. The arrangement day determines the extent of </w:t>
      </w:r>
      <w:r w:rsidR="0047439B"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>claims to be restructured. Claims arising after the composition date should be paid by the debtor in a timely manner.</w:t>
      </w:r>
    </w:p>
    <w:p w14:paraId="170BECF1" w14:textId="77777777" w:rsidR="003441B9" w:rsidRPr="003C338F" w:rsidRDefault="003441B9" w:rsidP="003441B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F8D9BF0" w14:textId="7F7429C6" w:rsidR="003441B9" w:rsidRPr="003C338F" w:rsidRDefault="0047439B" w:rsidP="0047439B">
      <w:pPr>
        <w:pStyle w:val="NoSpacing"/>
        <w:numPr>
          <w:ilvl w:val="0"/>
          <w:numId w:val="44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3C338F">
        <w:rPr>
          <w:rFonts w:ascii="Times New Roman" w:hAnsi="Times New Roman" w:cs="Times New Roman"/>
          <w:b/>
          <w:bCs/>
          <w:sz w:val="24"/>
          <w:szCs w:val="24"/>
          <w:lang w:val="en-GB"/>
        </w:rPr>
        <w:t>L</w:t>
      </w:r>
      <w:r w:rsidR="003441B9" w:rsidRPr="003C338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imitations </w:t>
      </w:r>
      <w:r w:rsidRPr="003C338F">
        <w:rPr>
          <w:rFonts w:ascii="Times New Roman" w:hAnsi="Times New Roman" w:cs="Times New Roman"/>
          <w:b/>
          <w:bCs/>
          <w:sz w:val="24"/>
          <w:szCs w:val="24"/>
          <w:lang w:val="en-GB"/>
        </w:rPr>
        <w:t>on the T</w:t>
      </w:r>
      <w:r w:rsidR="003441B9" w:rsidRPr="003C338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ermination of </w:t>
      </w:r>
      <w:r w:rsidRPr="003C338F">
        <w:rPr>
          <w:rFonts w:ascii="Times New Roman" w:hAnsi="Times New Roman" w:cs="Times New Roman"/>
          <w:b/>
          <w:bCs/>
          <w:sz w:val="24"/>
          <w:szCs w:val="24"/>
          <w:lang w:val="en-GB"/>
        </w:rPr>
        <w:t>C</w:t>
      </w:r>
      <w:r w:rsidR="003441B9" w:rsidRPr="003C338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ertain </w:t>
      </w:r>
      <w:r w:rsidRPr="003C338F">
        <w:rPr>
          <w:rFonts w:ascii="Times New Roman" w:hAnsi="Times New Roman" w:cs="Times New Roman"/>
          <w:b/>
          <w:bCs/>
          <w:sz w:val="24"/>
          <w:szCs w:val="24"/>
          <w:lang w:val="en-GB"/>
        </w:rPr>
        <w:t>A</w:t>
      </w:r>
      <w:r w:rsidR="003441B9" w:rsidRPr="003C338F">
        <w:rPr>
          <w:rFonts w:ascii="Times New Roman" w:hAnsi="Times New Roman" w:cs="Times New Roman"/>
          <w:b/>
          <w:bCs/>
          <w:sz w:val="24"/>
          <w:szCs w:val="24"/>
          <w:lang w:val="en-GB"/>
        </w:rPr>
        <w:t>greements</w:t>
      </w:r>
    </w:p>
    <w:p w14:paraId="3BA4AAE3" w14:textId="77777777" w:rsidR="0047439B" w:rsidRPr="003C338F" w:rsidRDefault="0047439B" w:rsidP="003441B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6A41D7B" w14:textId="6958BC43" w:rsidR="003441B9" w:rsidRPr="003C338F" w:rsidRDefault="003441B9" w:rsidP="003441B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As of the date of publication of the announcement, the debtor is protected (with certain limitations) against </w:t>
      </w:r>
      <w:r w:rsidR="0047439B"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termination of, </w:t>
      </w:r>
      <w:r w:rsidR="0047439B" w:rsidRPr="003C338F">
        <w:rPr>
          <w:rFonts w:ascii="Times New Roman" w:hAnsi="Times New Roman" w:cs="Times New Roman"/>
          <w:i/>
          <w:iCs/>
          <w:sz w:val="24"/>
          <w:szCs w:val="24"/>
          <w:lang w:val="en-GB"/>
        </w:rPr>
        <w:t>inter alia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47439B"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>tenancy, loan, lease, property insurance or bank account agreements, sureties, guarantees or letters of credit.</w:t>
      </w:r>
    </w:p>
    <w:p w14:paraId="510BC29C" w14:textId="77777777" w:rsidR="003441B9" w:rsidRPr="003C338F" w:rsidRDefault="003441B9" w:rsidP="003441B9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B35CD16" w14:textId="6956BB73" w:rsidR="003441B9" w:rsidRPr="003C338F" w:rsidRDefault="0047439B" w:rsidP="0047439B">
      <w:pPr>
        <w:pStyle w:val="NoSpacing"/>
        <w:numPr>
          <w:ilvl w:val="0"/>
          <w:numId w:val="44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3C338F">
        <w:rPr>
          <w:rFonts w:ascii="Times New Roman" w:hAnsi="Times New Roman" w:cs="Times New Roman"/>
          <w:b/>
          <w:bCs/>
          <w:sz w:val="24"/>
          <w:szCs w:val="24"/>
          <w:lang w:val="en-GB"/>
        </w:rPr>
        <w:t>L</w:t>
      </w:r>
      <w:r w:rsidR="003441B9" w:rsidRPr="003C338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imitations </w:t>
      </w:r>
      <w:r w:rsidRPr="003C338F">
        <w:rPr>
          <w:rFonts w:ascii="Times New Roman" w:hAnsi="Times New Roman" w:cs="Times New Roman"/>
          <w:b/>
          <w:bCs/>
          <w:sz w:val="24"/>
          <w:szCs w:val="24"/>
          <w:lang w:val="en-GB"/>
        </w:rPr>
        <w:t>on the D</w:t>
      </w:r>
      <w:r w:rsidR="003441B9" w:rsidRPr="003C338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ebtor’s </w:t>
      </w:r>
      <w:r w:rsidRPr="003C338F">
        <w:rPr>
          <w:rFonts w:ascii="Times New Roman" w:hAnsi="Times New Roman" w:cs="Times New Roman"/>
          <w:b/>
          <w:bCs/>
          <w:sz w:val="24"/>
          <w:szCs w:val="24"/>
          <w:lang w:val="en-GB"/>
        </w:rPr>
        <w:t>A</w:t>
      </w:r>
      <w:r w:rsidR="003441B9" w:rsidRPr="003C338F">
        <w:rPr>
          <w:rFonts w:ascii="Times New Roman" w:hAnsi="Times New Roman" w:cs="Times New Roman"/>
          <w:b/>
          <w:bCs/>
          <w:sz w:val="24"/>
          <w:szCs w:val="24"/>
          <w:lang w:val="en-GB"/>
        </w:rPr>
        <w:t>ctions</w:t>
      </w:r>
    </w:p>
    <w:p w14:paraId="3123B2DF" w14:textId="77777777" w:rsidR="0047439B" w:rsidRPr="003C338F" w:rsidRDefault="0047439B" w:rsidP="003441B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A09ACD7" w14:textId="361A14BB" w:rsidR="003441B9" w:rsidRPr="003C338F" w:rsidRDefault="003441B9" w:rsidP="003441B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In the course of simplified restructuring proceedings, the debtor is restricted in </w:t>
      </w:r>
      <w:r w:rsidR="0047439B"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its 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>right to manage its assets. From the date of publication of the announcement, the debtor may only perform ordinary management actions, while</w:t>
      </w:r>
      <w:r w:rsidR="0047439B" w:rsidRPr="003C338F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 for actions exceeding the scope of ordinary management</w:t>
      </w:r>
      <w:r w:rsidR="0047439B" w:rsidRPr="003C338F">
        <w:rPr>
          <w:rFonts w:ascii="Times New Roman" w:hAnsi="Times New Roman" w:cs="Times New Roman"/>
          <w:sz w:val="24"/>
          <w:szCs w:val="24"/>
          <w:lang w:val="en-GB"/>
        </w:rPr>
        <w:t>, the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 consent of the arrangement administrator is required.</w:t>
      </w:r>
    </w:p>
    <w:p w14:paraId="1038AADF" w14:textId="77777777" w:rsidR="003441B9" w:rsidRPr="003C338F" w:rsidRDefault="003441B9" w:rsidP="003441B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8FFDCAA" w14:textId="0CDC32DC" w:rsidR="003441B9" w:rsidRPr="003C338F" w:rsidRDefault="0047439B" w:rsidP="0047439B">
      <w:pPr>
        <w:pStyle w:val="NoSpacing"/>
        <w:numPr>
          <w:ilvl w:val="0"/>
          <w:numId w:val="44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3C338F">
        <w:rPr>
          <w:rFonts w:ascii="Times New Roman" w:hAnsi="Times New Roman" w:cs="Times New Roman"/>
          <w:b/>
          <w:bCs/>
          <w:sz w:val="24"/>
          <w:szCs w:val="24"/>
          <w:lang w:val="en-GB"/>
        </w:rPr>
        <w:t>The I</w:t>
      </w:r>
      <w:r w:rsidR="003441B9" w:rsidRPr="003C338F">
        <w:rPr>
          <w:rFonts w:ascii="Times New Roman" w:hAnsi="Times New Roman" w:cs="Times New Roman"/>
          <w:b/>
          <w:bCs/>
          <w:sz w:val="24"/>
          <w:szCs w:val="24"/>
          <w:lang w:val="en-GB"/>
        </w:rPr>
        <w:t>nclu</w:t>
      </w:r>
      <w:r w:rsidRPr="003C338F">
        <w:rPr>
          <w:rFonts w:ascii="Times New Roman" w:hAnsi="Times New Roman" w:cs="Times New Roman"/>
          <w:b/>
          <w:bCs/>
          <w:sz w:val="24"/>
          <w:szCs w:val="24"/>
          <w:lang w:val="en-GB"/>
        </w:rPr>
        <w:t>sion of</w:t>
      </w:r>
      <w:r w:rsidR="003441B9" w:rsidRPr="003C338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3C338F">
        <w:rPr>
          <w:rFonts w:ascii="Times New Roman" w:hAnsi="Times New Roman" w:cs="Times New Roman"/>
          <w:b/>
          <w:bCs/>
          <w:sz w:val="24"/>
          <w:szCs w:val="24"/>
          <w:lang w:val="en-GB"/>
        </w:rPr>
        <w:t>C</w:t>
      </w:r>
      <w:r w:rsidR="003441B9" w:rsidRPr="003C338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laims secured on </w:t>
      </w:r>
      <w:r w:rsidRPr="003C338F">
        <w:rPr>
          <w:rFonts w:ascii="Times New Roman" w:hAnsi="Times New Roman" w:cs="Times New Roman"/>
          <w:b/>
          <w:bCs/>
          <w:sz w:val="24"/>
          <w:szCs w:val="24"/>
          <w:lang w:val="en-GB"/>
        </w:rPr>
        <w:t>P</w:t>
      </w:r>
      <w:r w:rsidR="003441B9" w:rsidRPr="003C338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roperty </w:t>
      </w:r>
      <w:r w:rsidRPr="003C338F">
        <w:rPr>
          <w:rFonts w:ascii="Times New Roman" w:hAnsi="Times New Roman" w:cs="Times New Roman"/>
          <w:b/>
          <w:bCs/>
          <w:sz w:val="24"/>
          <w:szCs w:val="24"/>
          <w:lang w:val="en-GB"/>
        </w:rPr>
        <w:t>with</w:t>
      </w:r>
      <w:r w:rsidR="003441B9" w:rsidRPr="003C338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in the </w:t>
      </w:r>
      <w:r w:rsidRPr="003C338F">
        <w:rPr>
          <w:rFonts w:ascii="Times New Roman" w:hAnsi="Times New Roman" w:cs="Times New Roman"/>
          <w:b/>
          <w:bCs/>
          <w:sz w:val="24"/>
          <w:szCs w:val="24"/>
          <w:lang w:val="en-GB"/>
        </w:rPr>
        <w:t>A</w:t>
      </w:r>
      <w:r w:rsidR="003441B9" w:rsidRPr="003C338F">
        <w:rPr>
          <w:rFonts w:ascii="Times New Roman" w:hAnsi="Times New Roman" w:cs="Times New Roman"/>
          <w:b/>
          <w:bCs/>
          <w:sz w:val="24"/>
          <w:szCs w:val="24"/>
          <w:lang w:val="en-GB"/>
        </w:rPr>
        <w:t>rrangement</w:t>
      </w:r>
    </w:p>
    <w:p w14:paraId="3B8BE896" w14:textId="77777777" w:rsidR="0047439B" w:rsidRPr="003C338F" w:rsidRDefault="0047439B" w:rsidP="003441B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AC153AE" w14:textId="34FB2D18" w:rsidR="003441B9" w:rsidRPr="003C338F" w:rsidRDefault="003441B9" w:rsidP="003441B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C338F">
        <w:rPr>
          <w:rFonts w:ascii="Times New Roman" w:hAnsi="Times New Roman" w:cs="Times New Roman"/>
          <w:sz w:val="24"/>
          <w:szCs w:val="24"/>
          <w:lang w:val="en-GB"/>
        </w:rPr>
        <w:t>It is not necessary to grant consent for claims secured on property to be included in the arrangement</w:t>
      </w:r>
      <w:r w:rsidR="0047439B" w:rsidRPr="003C338F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 if the arrangement proposals provide for full satisfaction of the claims (principal and ancillary claims) or satisfaction to a degree not lower than what the creditor could obtain from the collateral. The </w:t>
      </w:r>
      <w:r w:rsidRPr="003C338F">
        <w:rPr>
          <w:rFonts w:ascii="Times New Roman" w:hAnsi="Times New Roman" w:cs="Times New Roman"/>
          <w:i/>
          <w:iCs/>
          <w:sz w:val="24"/>
          <w:szCs w:val="24"/>
          <w:lang w:val="en-GB"/>
        </w:rPr>
        <w:t>in rem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 creditors do not have to vote </w:t>
      </w:r>
      <w:r w:rsidR="0047439B" w:rsidRPr="003C338F">
        <w:rPr>
          <w:rFonts w:ascii="Times New Roman" w:hAnsi="Times New Roman" w:cs="Times New Roman"/>
          <w:sz w:val="24"/>
          <w:szCs w:val="24"/>
          <w:lang w:val="en-GB"/>
        </w:rPr>
        <w:t>“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>in favo</w:t>
      </w:r>
      <w:r w:rsidR="0047439B" w:rsidRPr="003C338F">
        <w:rPr>
          <w:rFonts w:ascii="Times New Roman" w:hAnsi="Times New Roman" w:cs="Times New Roman"/>
          <w:sz w:val="24"/>
          <w:szCs w:val="24"/>
          <w:lang w:val="en-GB"/>
        </w:rPr>
        <w:t>u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>r</w:t>
      </w:r>
      <w:r w:rsidR="0047439B" w:rsidRPr="003C338F">
        <w:rPr>
          <w:rFonts w:ascii="Times New Roman" w:hAnsi="Times New Roman" w:cs="Times New Roman"/>
          <w:sz w:val="24"/>
          <w:szCs w:val="24"/>
          <w:lang w:val="en-GB"/>
        </w:rPr>
        <w:t>”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 of the arrangement, but they may be outvoted by other creditors (</w:t>
      </w:r>
      <w:r w:rsidR="0047439B"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which 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does not happen in a </w:t>
      </w:r>
      <w:r w:rsidR="0047439B" w:rsidRPr="003C338F">
        <w:rPr>
          <w:rFonts w:ascii="Times New Roman" w:hAnsi="Times New Roman" w:cs="Times New Roman"/>
          <w:sz w:val="24"/>
          <w:szCs w:val="24"/>
          <w:lang w:val="en-GB"/>
        </w:rPr>
        <w:t>“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>standard</w:t>
      </w:r>
      <w:r w:rsidR="0047439B" w:rsidRPr="003C338F">
        <w:rPr>
          <w:rFonts w:ascii="Times New Roman" w:hAnsi="Times New Roman" w:cs="Times New Roman"/>
          <w:sz w:val="24"/>
          <w:szCs w:val="24"/>
          <w:lang w:val="en-GB"/>
        </w:rPr>
        <w:t>” restructuring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 scenario).</w:t>
      </w:r>
    </w:p>
    <w:p w14:paraId="25B3FF99" w14:textId="77777777" w:rsidR="003441B9" w:rsidRPr="003C338F" w:rsidRDefault="003441B9" w:rsidP="003441B9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5614BB4" w14:textId="5BC46D0C" w:rsidR="003441B9" w:rsidRPr="003C338F" w:rsidRDefault="0047439B" w:rsidP="0047439B">
      <w:pPr>
        <w:pStyle w:val="NoSpacing"/>
        <w:numPr>
          <w:ilvl w:val="0"/>
          <w:numId w:val="44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3C338F">
        <w:rPr>
          <w:rFonts w:ascii="Times New Roman" w:hAnsi="Times New Roman" w:cs="Times New Roman"/>
          <w:b/>
          <w:bCs/>
          <w:sz w:val="24"/>
          <w:szCs w:val="24"/>
          <w:lang w:val="en-GB"/>
        </w:rPr>
        <w:t>R</w:t>
      </w:r>
      <w:r w:rsidR="003441B9" w:rsidRPr="003C338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ules on </w:t>
      </w:r>
      <w:r w:rsidRPr="003C338F">
        <w:rPr>
          <w:rFonts w:ascii="Times New Roman" w:hAnsi="Times New Roman" w:cs="Times New Roman"/>
          <w:b/>
          <w:bCs/>
          <w:sz w:val="24"/>
          <w:szCs w:val="24"/>
          <w:lang w:val="en-GB"/>
        </w:rPr>
        <w:t>A</w:t>
      </w:r>
      <w:r w:rsidR="003441B9" w:rsidRPr="003C338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doption of the SRP </w:t>
      </w:r>
      <w:r w:rsidRPr="003C338F">
        <w:rPr>
          <w:rFonts w:ascii="Times New Roman" w:hAnsi="Times New Roman" w:cs="Times New Roman"/>
          <w:b/>
          <w:bCs/>
          <w:sz w:val="24"/>
          <w:szCs w:val="24"/>
          <w:lang w:val="en-GB"/>
        </w:rPr>
        <w:t>A</w:t>
      </w:r>
      <w:r w:rsidR="003441B9" w:rsidRPr="003C338F">
        <w:rPr>
          <w:rFonts w:ascii="Times New Roman" w:hAnsi="Times New Roman" w:cs="Times New Roman"/>
          <w:b/>
          <w:bCs/>
          <w:sz w:val="24"/>
          <w:szCs w:val="24"/>
          <w:lang w:val="en-GB"/>
        </w:rPr>
        <w:t>rrangement</w:t>
      </w:r>
    </w:p>
    <w:p w14:paraId="058BA1DA" w14:textId="77777777" w:rsidR="0047439B" w:rsidRPr="003C338F" w:rsidRDefault="0047439B" w:rsidP="003441B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0A1F7EF" w14:textId="6D7A89BF" w:rsidR="003441B9" w:rsidRPr="003C338F" w:rsidRDefault="003441B9" w:rsidP="003441B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Pursuant to the general rules of procedure for adoption of the arrangement, the debtor may collect votes by correspondence on ballot papers, the draft of which </w:t>
      </w:r>
      <w:r w:rsidR="0047439B"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has been determined 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by virtue of </w:t>
      </w:r>
      <w:r w:rsidR="0047439B"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>law. The new regulations also allow for voting on the arrangement at a creditors</w:t>
      </w:r>
      <w:r w:rsidR="0047439B" w:rsidRPr="003C338F">
        <w:rPr>
          <w:rFonts w:ascii="Times New Roman" w:hAnsi="Times New Roman" w:cs="Times New Roman"/>
          <w:sz w:val="24"/>
          <w:szCs w:val="24"/>
          <w:lang w:val="en-GB"/>
        </w:rPr>
        <w:t>’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 meeting (instead of or in addition to collecting votes by correspondence). Voting at a creditors</w:t>
      </w:r>
      <w:r w:rsidR="0047439B" w:rsidRPr="003C338F">
        <w:rPr>
          <w:rFonts w:ascii="Times New Roman" w:hAnsi="Times New Roman" w:cs="Times New Roman"/>
          <w:sz w:val="24"/>
          <w:szCs w:val="24"/>
          <w:lang w:val="en-GB"/>
        </w:rPr>
        <w:t>’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 meeting may be carried out using electronic means of communication, in particular real-time transmission. A personal majority (more than half of the creditors) and a capital majority (at least 2/3 of all claims) are required to adopt the arrangement. The adoption of the arrangement is stated by the administrator in the report.</w:t>
      </w:r>
    </w:p>
    <w:p w14:paraId="60B1407F" w14:textId="77777777" w:rsidR="003441B9" w:rsidRPr="003C338F" w:rsidRDefault="003441B9" w:rsidP="003441B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B043C94" w14:textId="41CAB294" w:rsidR="003441B9" w:rsidRPr="003C338F" w:rsidRDefault="0047439B" w:rsidP="003441B9">
      <w:pPr>
        <w:pStyle w:val="NoSpacing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3C338F">
        <w:rPr>
          <w:rFonts w:ascii="Times New Roman" w:hAnsi="Times New Roman" w:cs="Times New Roman"/>
          <w:i/>
          <w:iCs/>
          <w:sz w:val="24"/>
          <w:szCs w:val="24"/>
          <w:lang w:val="en-GB"/>
        </w:rPr>
        <w:t>N</w:t>
      </w:r>
      <w:r w:rsidR="003441B9" w:rsidRPr="003C338F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otable </w:t>
      </w:r>
      <w:r w:rsidRPr="003C338F">
        <w:rPr>
          <w:rFonts w:ascii="Times New Roman" w:hAnsi="Times New Roman" w:cs="Times New Roman"/>
          <w:i/>
          <w:iCs/>
          <w:sz w:val="24"/>
          <w:szCs w:val="24"/>
          <w:lang w:val="en-GB"/>
        </w:rPr>
        <w:t>R</w:t>
      </w:r>
      <w:r w:rsidR="003441B9" w:rsidRPr="003C338F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isks for </w:t>
      </w:r>
      <w:r w:rsidRPr="003C338F">
        <w:rPr>
          <w:rFonts w:ascii="Times New Roman" w:hAnsi="Times New Roman" w:cs="Times New Roman"/>
          <w:i/>
          <w:iCs/>
          <w:sz w:val="24"/>
          <w:szCs w:val="24"/>
          <w:lang w:val="en-GB"/>
        </w:rPr>
        <w:t>F</w:t>
      </w:r>
      <w:r w:rsidR="003441B9" w:rsidRPr="003C338F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oreign </w:t>
      </w:r>
      <w:r w:rsidRPr="003C338F">
        <w:rPr>
          <w:rFonts w:ascii="Times New Roman" w:hAnsi="Times New Roman" w:cs="Times New Roman"/>
          <w:i/>
          <w:iCs/>
          <w:sz w:val="24"/>
          <w:szCs w:val="24"/>
          <w:lang w:val="en-GB"/>
        </w:rPr>
        <w:t>C</w:t>
      </w:r>
      <w:r w:rsidR="003441B9" w:rsidRPr="003C338F">
        <w:rPr>
          <w:rFonts w:ascii="Times New Roman" w:hAnsi="Times New Roman" w:cs="Times New Roman"/>
          <w:i/>
          <w:iCs/>
          <w:sz w:val="24"/>
          <w:szCs w:val="24"/>
          <w:lang w:val="en-GB"/>
        </w:rPr>
        <w:t>reditors</w:t>
      </w:r>
    </w:p>
    <w:p w14:paraId="3C94C30C" w14:textId="77777777" w:rsidR="003441B9" w:rsidRPr="003C338F" w:rsidRDefault="003441B9" w:rsidP="003441B9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320B6F90" w14:textId="0F542F84" w:rsidR="003441B9" w:rsidRPr="003C338F" w:rsidRDefault="003441B9" w:rsidP="003441B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C338F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47439B"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mongst other risks that can be envisaged, we think that an 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>SRP conducted by a debtor based in Poland may give rise to the following problems for foreign creditors:</w:t>
      </w:r>
    </w:p>
    <w:p w14:paraId="7BC3B6BC" w14:textId="77777777" w:rsidR="003441B9" w:rsidRPr="003C338F" w:rsidRDefault="003441B9" w:rsidP="003441B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E4638D2" w14:textId="2D92AB0B" w:rsidR="003441B9" w:rsidRPr="003C338F" w:rsidRDefault="0047439B" w:rsidP="003441B9">
      <w:pPr>
        <w:pStyle w:val="NoSpacing"/>
        <w:numPr>
          <w:ilvl w:val="0"/>
          <w:numId w:val="4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C338F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3441B9" w:rsidRPr="003C338F">
        <w:rPr>
          <w:rFonts w:ascii="Times New Roman" w:hAnsi="Times New Roman" w:cs="Times New Roman"/>
          <w:sz w:val="24"/>
          <w:szCs w:val="24"/>
          <w:lang w:val="en-GB"/>
        </w:rPr>
        <w:t>he risk of ineffective termination of the agreement by the landlord, lender, lessor, insurer or licensor, based abroad, whe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>re</w:t>
      </w:r>
      <w:r w:rsidR="003441B9"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 the other party to the agreement has in the meantime 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publicized the opening of the SRP </w:t>
      </w:r>
      <w:r w:rsidR="003441B9" w:rsidRPr="003C338F">
        <w:rPr>
          <w:rFonts w:ascii="Times New Roman" w:hAnsi="Times New Roman" w:cs="Times New Roman"/>
          <w:sz w:val="24"/>
          <w:szCs w:val="24"/>
          <w:lang w:val="en-GB"/>
        </w:rPr>
        <w:t>in the MSiG (permission of the administrator of the arrangement is required for termination in such a case)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3441B9"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 even if it concerns, for example, real estate outside Poland, which is rented by a Polish company undergo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>ing</w:t>
      </w:r>
      <w:r w:rsidR="003441B9"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 the 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SRP </w:t>
      </w:r>
      <w:r w:rsidR="003441B9" w:rsidRPr="003C338F">
        <w:rPr>
          <w:rFonts w:ascii="Times New Roman" w:hAnsi="Times New Roman" w:cs="Times New Roman"/>
          <w:sz w:val="24"/>
          <w:szCs w:val="24"/>
          <w:lang w:val="en-GB"/>
        </w:rPr>
        <w:t>process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06FE80C5" w14:textId="354302F3" w:rsidR="003441B9" w:rsidRPr="003C338F" w:rsidRDefault="0047439B" w:rsidP="003441B9">
      <w:pPr>
        <w:pStyle w:val="NoSpacing"/>
        <w:numPr>
          <w:ilvl w:val="0"/>
          <w:numId w:val="4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C338F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3441B9"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he reduced capabilities for foreign creditors to 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comply with </w:t>
      </w:r>
      <w:r w:rsidR="003441B9" w:rsidRPr="003C338F">
        <w:rPr>
          <w:rFonts w:ascii="Times New Roman" w:hAnsi="Times New Roman" w:cs="Times New Roman"/>
          <w:sz w:val="24"/>
          <w:szCs w:val="24"/>
          <w:lang w:val="en-GB"/>
        </w:rPr>
        <w:t>the effects of announcements in the MSiG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3441B9"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="003441B9" w:rsidRPr="003C338F">
        <w:rPr>
          <w:rFonts w:ascii="Times New Roman" w:hAnsi="Times New Roman" w:cs="Times New Roman"/>
          <w:sz w:val="24"/>
          <w:szCs w:val="24"/>
          <w:lang w:val="en-GB"/>
        </w:rPr>
        <w:t>problem for creditors without continuous access to the database of announcements in MSiG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6C9ECD0C" w14:textId="4DA4CB3E" w:rsidR="003441B9" w:rsidRPr="003C338F" w:rsidRDefault="0047439B" w:rsidP="003441B9">
      <w:pPr>
        <w:pStyle w:val="NoSpacing"/>
        <w:numPr>
          <w:ilvl w:val="0"/>
          <w:numId w:val="4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C338F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3441B9" w:rsidRPr="003C338F">
        <w:rPr>
          <w:rFonts w:ascii="Times New Roman" w:hAnsi="Times New Roman" w:cs="Times New Roman"/>
          <w:sz w:val="24"/>
          <w:szCs w:val="24"/>
          <w:lang w:val="en-GB"/>
        </w:rPr>
        <w:t>he automatic suspension of enforcement and execution of court-ordered injunction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>s:</w:t>
      </w:r>
      <w:r w:rsidR="003441B9"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 the law provides for suspension of such proceedings, 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including where </w:t>
      </w:r>
      <w:r w:rsidR="003441B9"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they involve a foreign judgment or a court decision on 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an </w:t>
      </w:r>
      <w:r w:rsidR="003441B9" w:rsidRPr="003C338F">
        <w:rPr>
          <w:rFonts w:ascii="Times New Roman" w:hAnsi="Times New Roman" w:cs="Times New Roman"/>
          <w:sz w:val="24"/>
          <w:szCs w:val="24"/>
          <w:lang w:val="en-GB"/>
        </w:rPr>
        <w:t>injunction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232D2A24" w14:textId="7466B89E" w:rsidR="003441B9" w:rsidRPr="003C338F" w:rsidRDefault="0047439B" w:rsidP="003441B9">
      <w:pPr>
        <w:pStyle w:val="NoSpacing"/>
        <w:numPr>
          <w:ilvl w:val="0"/>
          <w:numId w:val="4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C338F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3441B9"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he possibility 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for </w:t>
      </w:r>
      <w:r w:rsidR="003441B9" w:rsidRPr="003C338F">
        <w:rPr>
          <w:rFonts w:ascii="Times New Roman" w:hAnsi="Times New Roman" w:cs="Times New Roman"/>
          <w:sz w:val="24"/>
          <w:szCs w:val="24"/>
          <w:lang w:val="en-GB"/>
        </w:rPr>
        <w:t>inclusion of claims secured on the debtor’s property in the arrangement agreement without the knowledge of a foreign creditor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3441B9"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 foreign </w:t>
      </w:r>
      <w:r w:rsidR="003441B9" w:rsidRPr="003C338F">
        <w:rPr>
          <w:rFonts w:ascii="Times New Roman" w:hAnsi="Times New Roman" w:cs="Times New Roman"/>
          <w:i/>
          <w:iCs/>
          <w:sz w:val="24"/>
          <w:szCs w:val="24"/>
          <w:lang w:val="en-GB"/>
        </w:rPr>
        <w:t>in rem</w:t>
      </w:r>
      <w:r w:rsidR="003441B9"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 creditors may be surprised (having received ballot papers) that they are included in the arrangement and may be voted out of it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16B66665" w14:textId="216144CD" w:rsidR="003441B9" w:rsidRPr="003C338F" w:rsidRDefault="0047439B" w:rsidP="003441B9">
      <w:pPr>
        <w:pStyle w:val="NoSpacing"/>
        <w:numPr>
          <w:ilvl w:val="0"/>
          <w:numId w:val="4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C338F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3441B9"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he possibility 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for </w:t>
      </w:r>
      <w:r w:rsidR="003441B9" w:rsidRPr="003C338F">
        <w:rPr>
          <w:rFonts w:ascii="Times New Roman" w:hAnsi="Times New Roman" w:cs="Times New Roman"/>
          <w:sz w:val="24"/>
          <w:szCs w:val="24"/>
          <w:lang w:val="en-GB"/>
        </w:rPr>
        <w:t>collusion between some of local creditors and the debtor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6E82F6D2" w14:textId="27C213D9" w:rsidR="003441B9" w:rsidRPr="003C338F" w:rsidRDefault="0047439B" w:rsidP="003441B9">
      <w:pPr>
        <w:pStyle w:val="NoSpacing"/>
        <w:numPr>
          <w:ilvl w:val="0"/>
          <w:numId w:val="4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C338F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3441B9" w:rsidRPr="003C338F">
        <w:rPr>
          <w:rFonts w:ascii="Times New Roman" w:hAnsi="Times New Roman" w:cs="Times New Roman"/>
          <w:sz w:val="24"/>
          <w:szCs w:val="24"/>
          <w:lang w:val="en-GB"/>
        </w:rPr>
        <w:t>he right of the debtor to freely choose the date of arrangement, which determines the extent of claims to be restructured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3143D718" w14:textId="306AD670" w:rsidR="003441B9" w:rsidRPr="003C338F" w:rsidRDefault="0047439B" w:rsidP="003441B9">
      <w:pPr>
        <w:pStyle w:val="NoSpacing"/>
        <w:numPr>
          <w:ilvl w:val="0"/>
          <w:numId w:val="4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C338F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3441B9"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he limited liability of the debtor for opening 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an </w:t>
      </w:r>
      <w:r w:rsidR="003441B9"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SRP 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 xml:space="preserve">even </w:t>
      </w:r>
      <w:r w:rsidR="003441B9" w:rsidRPr="003C338F">
        <w:rPr>
          <w:rFonts w:ascii="Times New Roman" w:hAnsi="Times New Roman" w:cs="Times New Roman"/>
          <w:sz w:val="24"/>
          <w:szCs w:val="24"/>
          <w:lang w:val="en-GB"/>
        </w:rPr>
        <w:t>in bad faith</w:t>
      </w:r>
      <w:r w:rsidRPr="003C338F">
        <w:rPr>
          <w:rFonts w:ascii="Times New Roman" w:hAnsi="Times New Roman" w:cs="Times New Roman"/>
          <w:sz w:val="24"/>
          <w:szCs w:val="24"/>
          <w:lang w:val="en-GB"/>
        </w:rPr>
        <w:t>; and</w:t>
      </w:r>
    </w:p>
    <w:p w14:paraId="129F707D" w14:textId="0DB15331" w:rsidR="003441B9" w:rsidRPr="003C338F" w:rsidRDefault="0047439B" w:rsidP="003441B9">
      <w:pPr>
        <w:pStyle w:val="NoSpacing"/>
        <w:numPr>
          <w:ilvl w:val="0"/>
          <w:numId w:val="4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C338F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3441B9" w:rsidRPr="003C338F">
        <w:rPr>
          <w:rFonts w:ascii="Times New Roman" w:hAnsi="Times New Roman" w:cs="Times New Roman"/>
          <w:sz w:val="24"/>
          <w:szCs w:val="24"/>
          <w:lang w:val="en-GB"/>
        </w:rPr>
        <w:t>he limited responsibility of the arrangement administrator for the failure of SPR proceedings – as a result of improper supervision of the debtor’s activity.</w:t>
      </w:r>
    </w:p>
    <w:p w14:paraId="09AB2ACE" w14:textId="77777777" w:rsidR="003441B9" w:rsidRPr="003C338F" w:rsidRDefault="003441B9" w:rsidP="003441B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C347C3C" w14:textId="6878241D" w:rsidR="004F1265" w:rsidRPr="003C338F" w:rsidRDefault="0047439B" w:rsidP="003441B9">
      <w:pPr>
        <w:spacing w:after="0"/>
        <w:rPr>
          <w:rFonts w:ascii="Times New Roman" w:hAnsi="Times New Roman"/>
          <w:sz w:val="24"/>
          <w:szCs w:val="24"/>
        </w:rPr>
      </w:pPr>
      <w:r w:rsidRPr="003C338F">
        <w:rPr>
          <w:rFonts w:ascii="Times New Roman" w:hAnsi="Times New Roman"/>
          <w:i/>
          <w:iCs/>
          <w:sz w:val="24"/>
          <w:szCs w:val="24"/>
        </w:rPr>
        <w:t>Conclusion</w:t>
      </w:r>
    </w:p>
    <w:p w14:paraId="32B3A4AE" w14:textId="640E5163" w:rsidR="003441B9" w:rsidRPr="003C338F" w:rsidRDefault="003441B9" w:rsidP="003441B9">
      <w:pPr>
        <w:spacing w:after="0"/>
        <w:rPr>
          <w:rFonts w:ascii="Times New Roman" w:hAnsi="Times New Roman"/>
          <w:sz w:val="24"/>
          <w:szCs w:val="24"/>
        </w:rPr>
      </w:pPr>
    </w:p>
    <w:p w14:paraId="14552F8A" w14:textId="38884D8E" w:rsidR="0047439B" w:rsidRPr="003C338F" w:rsidRDefault="0047439B" w:rsidP="003441B9">
      <w:pPr>
        <w:spacing w:after="0"/>
        <w:rPr>
          <w:rFonts w:ascii="Times New Roman" w:hAnsi="Times New Roman"/>
          <w:sz w:val="24"/>
          <w:szCs w:val="24"/>
        </w:rPr>
      </w:pPr>
      <w:r w:rsidRPr="003C338F">
        <w:rPr>
          <w:rFonts w:ascii="Times New Roman" w:hAnsi="Times New Roman"/>
          <w:sz w:val="24"/>
          <w:szCs w:val="24"/>
        </w:rPr>
        <w:lastRenderedPageBreak/>
        <w:t>On balance, despite the risks associated with the SRP for a foreign creditor, the utility of the procedure, particularly given the ongoing pandemic, during which it will be available, is undoubtedly</w:t>
      </w:r>
      <w:r w:rsidR="00355F21" w:rsidRPr="003C338F">
        <w:rPr>
          <w:rFonts w:ascii="Times New Roman" w:hAnsi="Times New Roman"/>
          <w:sz w:val="24"/>
          <w:szCs w:val="24"/>
        </w:rPr>
        <w:t xml:space="preserve"> recognisable for debtors. It remains only for foreign creditors to be vigilant in respect of the risks and impact on secured collateral and contractual termination clauses.</w:t>
      </w:r>
    </w:p>
    <w:p w14:paraId="5761A948" w14:textId="77777777" w:rsidR="0047439B" w:rsidRPr="003C338F" w:rsidRDefault="0047439B" w:rsidP="003441B9">
      <w:pPr>
        <w:spacing w:after="0"/>
        <w:rPr>
          <w:rFonts w:ascii="Times New Roman" w:hAnsi="Times New Roman"/>
          <w:sz w:val="24"/>
          <w:szCs w:val="24"/>
        </w:rPr>
      </w:pPr>
    </w:p>
    <w:sectPr w:rsidR="0047439B" w:rsidRPr="003C338F" w:rsidSect="00086E49">
      <w:headerReference w:type="default" r:id="rId9"/>
      <w:footerReference w:type="default" r:id="rId10"/>
      <w:pgSz w:w="11907" w:h="16840" w:code="9"/>
      <w:pgMar w:top="1440" w:right="1418" w:bottom="1440" w:left="1418" w:header="720" w:footer="32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421318" w14:textId="77777777" w:rsidR="00603657" w:rsidRDefault="00603657">
      <w:r>
        <w:separator/>
      </w:r>
    </w:p>
  </w:endnote>
  <w:endnote w:type="continuationSeparator" w:id="0">
    <w:p w14:paraId="2081D702" w14:textId="77777777" w:rsidR="00603657" w:rsidRDefault="00603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3B342" w14:textId="77777777" w:rsidR="00BF3D3E" w:rsidRPr="001C5080" w:rsidRDefault="00BF3D3E" w:rsidP="00086E49">
    <w:pPr>
      <w:tabs>
        <w:tab w:val="center" w:pos="4536"/>
        <w:tab w:val="right" w:pos="8789"/>
      </w:tabs>
      <w:spacing w:after="0"/>
      <w:rPr>
        <w:rFonts w:cs="Calibri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A73AFB" w14:textId="77777777" w:rsidR="00603657" w:rsidRDefault="00603657">
      <w:r>
        <w:separator/>
      </w:r>
    </w:p>
  </w:footnote>
  <w:footnote w:type="continuationSeparator" w:id="0">
    <w:p w14:paraId="188441D3" w14:textId="77777777" w:rsidR="00603657" w:rsidRDefault="00603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840E7B" w14:textId="0289F92D" w:rsidR="00BF3D3E" w:rsidRPr="002331CA" w:rsidRDefault="00BF3D3E" w:rsidP="00C2522B">
    <w:pPr>
      <w:pStyle w:val="Header"/>
      <w:spacing w:after="0"/>
      <w:rPr>
        <w:rFonts w:ascii="Arial" w:hAnsi="Arial" w:cs="Arial"/>
        <w:b/>
        <w:sz w:val="20"/>
      </w:rPr>
    </w:pPr>
    <w:r w:rsidRPr="002331CA">
      <w:rPr>
        <w:rFonts w:ascii="Arial" w:hAnsi="Arial" w:cs="Arial"/>
        <w:b/>
        <w:sz w:val="20"/>
      </w:rPr>
      <w:t>Inside Story (</w:t>
    </w:r>
    <w:r w:rsidR="002331CA" w:rsidRPr="002331CA">
      <w:rPr>
        <w:rFonts w:ascii="Arial" w:hAnsi="Arial" w:cs="Arial"/>
        <w:b/>
        <w:sz w:val="20"/>
      </w:rPr>
      <w:t>April</w:t>
    </w:r>
    <w:r w:rsidR="002A5779" w:rsidRPr="002331CA">
      <w:rPr>
        <w:rFonts w:ascii="Arial" w:hAnsi="Arial" w:cs="Arial"/>
        <w:b/>
        <w:sz w:val="20"/>
      </w:rPr>
      <w:t xml:space="preserve"> 20</w:t>
    </w:r>
    <w:r w:rsidR="00087612" w:rsidRPr="002331CA">
      <w:rPr>
        <w:rFonts w:ascii="Arial" w:hAnsi="Arial" w:cs="Arial"/>
        <w:b/>
        <w:sz w:val="20"/>
      </w:rPr>
      <w:t>2</w:t>
    </w:r>
    <w:r w:rsidR="00CB7636" w:rsidRPr="002331CA">
      <w:rPr>
        <w:rFonts w:ascii="Arial" w:hAnsi="Arial" w:cs="Arial"/>
        <w:b/>
        <w:sz w:val="20"/>
      </w:rPr>
      <w:t>1</w:t>
    </w:r>
    <w:r w:rsidRPr="002331CA">
      <w:rPr>
        <w:rFonts w:ascii="Arial" w:hAnsi="Arial" w:cs="Arial"/>
        <w:b/>
        <w:sz w:val="20"/>
      </w:rPr>
      <w:t>)</w:t>
    </w:r>
  </w:p>
  <w:p w14:paraId="0F2C5C5A" w14:textId="34E61E58" w:rsidR="00BF3D3E" w:rsidRPr="002331CA" w:rsidRDefault="002331CA" w:rsidP="00C2522B">
    <w:pPr>
      <w:pStyle w:val="Header"/>
      <w:spacing w:after="0"/>
      <w:rPr>
        <w:rFonts w:ascii="Arial" w:hAnsi="Arial" w:cs="Arial"/>
        <w:b/>
        <w:sz w:val="20"/>
      </w:rPr>
    </w:pPr>
    <w:r w:rsidRPr="002331CA">
      <w:rPr>
        <w:rFonts w:ascii="Arial" w:hAnsi="Arial" w:cs="Arial"/>
        <w:b/>
        <w:bCs/>
        <w:sz w:val="20"/>
        <w:lang w:val="en-US"/>
      </w:rPr>
      <w:t>Paweł Chmieliński</w:t>
    </w:r>
    <w:r w:rsidRPr="002331CA">
      <w:rPr>
        <w:rFonts w:ascii="Arial" w:hAnsi="Arial" w:cs="Arial"/>
        <w:b/>
        <w:bCs/>
        <w:sz w:val="20"/>
      </w:rPr>
      <w:t xml:space="preserve"> and </w:t>
    </w:r>
    <w:r w:rsidRPr="002331CA">
      <w:rPr>
        <w:rFonts w:ascii="Arial" w:hAnsi="Arial" w:cs="Arial"/>
        <w:b/>
        <w:bCs/>
        <w:sz w:val="20"/>
        <w:lang w:val="en-US"/>
      </w:rPr>
      <w:t>Przemysław Wierzbicki</w:t>
    </w:r>
    <w:r w:rsidRPr="002331CA">
      <w:rPr>
        <w:rFonts w:ascii="Arial" w:hAnsi="Arial" w:cs="Arial"/>
        <w:b/>
        <w:bCs/>
        <w:sz w:val="20"/>
      </w:rPr>
      <w:t xml:space="preserve"> </w:t>
    </w:r>
    <w:r w:rsidR="00BF3D3E" w:rsidRPr="002331CA">
      <w:rPr>
        <w:rFonts w:ascii="Arial" w:hAnsi="Arial" w:cs="Arial"/>
        <w:b/>
        <w:sz w:val="20"/>
      </w:rPr>
      <w:t>(</w:t>
    </w:r>
    <w:r w:rsidRPr="002331CA">
      <w:rPr>
        <w:rFonts w:ascii="Arial" w:hAnsi="Arial" w:cs="Arial"/>
        <w:b/>
        <w:sz w:val="20"/>
      </w:rPr>
      <w:t>PL</w:t>
    </w:r>
    <w:r w:rsidR="00BF3D3E" w:rsidRPr="002331CA">
      <w:rPr>
        <w:rFonts w:ascii="Arial" w:hAnsi="Arial" w:cs="Arial"/>
        <w:b/>
        <w:sz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D"/>
    <w:multiLevelType w:val="singleLevel"/>
    <w:tmpl w:val="1E96E5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3"/>
    <w:multiLevelType w:val="singleLevel"/>
    <w:tmpl w:val="2056D4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50F647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1A77C2"/>
    <w:multiLevelType w:val="hybridMultilevel"/>
    <w:tmpl w:val="199AA478"/>
    <w:lvl w:ilvl="0" w:tplc="89D656C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767F4E"/>
    <w:multiLevelType w:val="hybridMultilevel"/>
    <w:tmpl w:val="725CC106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A74F4A"/>
    <w:multiLevelType w:val="hybridMultilevel"/>
    <w:tmpl w:val="45FEA50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F14876"/>
    <w:multiLevelType w:val="hybridMultilevel"/>
    <w:tmpl w:val="2356FA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E63970"/>
    <w:multiLevelType w:val="hybridMultilevel"/>
    <w:tmpl w:val="3A66EE40"/>
    <w:lvl w:ilvl="0" w:tplc="A8F0816C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066818"/>
    <w:multiLevelType w:val="hybridMultilevel"/>
    <w:tmpl w:val="A9BC44DE"/>
    <w:lvl w:ilvl="0" w:tplc="E564CF20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27F6E"/>
    <w:multiLevelType w:val="hybridMultilevel"/>
    <w:tmpl w:val="75E6650C"/>
    <w:lvl w:ilvl="0" w:tplc="86027A48">
      <w:start w:val="1"/>
      <w:numFmt w:val="decimal"/>
      <w:pStyle w:val="AgreementParties"/>
      <w:lvlText w:val="(%1)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1"/>
        <w:szCs w:val="22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666FBE"/>
    <w:multiLevelType w:val="hybridMultilevel"/>
    <w:tmpl w:val="1584AA5A"/>
    <w:lvl w:ilvl="0" w:tplc="AD9CF0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B8345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46F158C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7664F7B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Georgia" w:hAnsi="Georgia"/>
        <w:sz w:val="1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ascii="Georgia" w:hAnsi="Georgia"/>
        <w:sz w:val="18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ascii="Georgia" w:hAnsi="Georgia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ascii="Georgia" w:hAnsi="Georgia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ascii="Georgia" w:hAnsi="Georgia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ascii="Georgia" w:hAnsi="Georgia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ascii="Georgia" w:hAnsi="Georgia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ascii="Georgia" w:hAnsi="Georgia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ascii="Georgia" w:hAnsi="Georgia"/>
        <w:sz w:val="18"/>
      </w:rPr>
    </w:lvl>
  </w:abstractNum>
  <w:abstractNum w:abstractNumId="14" w15:restartNumberingAfterBreak="0">
    <w:nsid w:val="19A763CA"/>
    <w:multiLevelType w:val="hybridMultilevel"/>
    <w:tmpl w:val="9A124A0A"/>
    <w:lvl w:ilvl="0" w:tplc="2BB65A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A03051"/>
    <w:multiLevelType w:val="multilevel"/>
    <w:tmpl w:val="5986DCBC"/>
    <w:lvl w:ilvl="0">
      <w:start w:val="1"/>
      <w:numFmt w:val="decimal"/>
      <w:pStyle w:val="ScheduleClauses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1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sz w:val="21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041"/>
        </w:tabs>
        <w:ind w:left="2041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608"/>
        </w:tabs>
        <w:ind w:left="2608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3629"/>
        </w:tabs>
        <w:ind w:left="3629" w:hanging="362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9"/>
        </w:tabs>
        <w:ind w:left="3969" w:hanging="396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374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4320"/>
      </w:pPr>
      <w:rPr>
        <w:rFonts w:hint="default"/>
      </w:rPr>
    </w:lvl>
  </w:abstractNum>
  <w:abstractNum w:abstractNumId="16" w15:restartNumberingAfterBreak="0">
    <w:nsid w:val="1F5D6789"/>
    <w:multiLevelType w:val="hybridMultilevel"/>
    <w:tmpl w:val="85963F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600123"/>
    <w:multiLevelType w:val="hybridMultilevel"/>
    <w:tmpl w:val="8DE2A4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E165EB"/>
    <w:multiLevelType w:val="multilevel"/>
    <w:tmpl w:val="6A966230"/>
    <w:lvl w:ilvl="0">
      <w:start w:val="1"/>
      <w:numFmt w:val="decimal"/>
      <w:pStyle w:val="AgreementHeading1"/>
      <w:lvlText w:val="%1."/>
      <w:lvlJc w:val="left"/>
      <w:pPr>
        <w:tabs>
          <w:tab w:val="num" w:pos="720"/>
        </w:tabs>
        <w:ind w:left="0" w:firstLine="0"/>
      </w:pPr>
      <w:rPr>
        <w:rFonts w:ascii="Calibri" w:hAnsi="Calibri" w:hint="default"/>
        <w:b w:val="0"/>
        <w:i w:val="0"/>
        <w:caps/>
        <w:strike w:val="0"/>
        <w:dstrike w:val="0"/>
        <w:vanish w:val="0"/>
        <w:color w:val="000000"/>
        <w:sz w:val="21"/>
        <w:szCs w:val="22"/>
        <w:vertAlign w:val="baseline"/>
      </w:rPr>
    </w:lvl>
    <w:lvl w:ilvl="1">
      <w:start w:val="1"/>
      <w:numFmt w:val="decimal"/>
      <w:pStyle w:val="AgreementHeading2"/>
      <w:lvlText w:val="%1.%2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sz w:val="21"/>
        <w:szCs w:val="22"/>
      </w:rPr>
    </w:lvl>
    <w:lvl w:ilvl="2">
      <w:start w:val="1"/>
      <w:numFmt w:val="decimal"/>
      <w:pStyle w:val="AgreementHeading3"/>
      <w:lvlText w:val="%1.%2.%3"/>
      <w:lvlJc w:val="left"/>
      <w:pPr>
        <w:tabs>
          <w:tab w:val="num" w:pos="1474"/>
        </w:tabs>
        <w:ind w:left="1474" w:hanging="754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1"/>
        <w:szCs w:val="22"/>
        <w:vertAlign w:val="baseline"/>
      </w:rPr>
    </w:lvl>
    <w:lvl w:ilvl="3">
      <w:start w:val="1"/>
      <w:numFmt w:val="lowerLetter"/>
      <w:pStyle w:val="AgreementHeading4"/>
      <w:lvlText w:val="(%4)"/>
      <w:lvlJc w:val="left"/>
      <w:pPr>
        <w:tabs>
          <w:tab w:val="num" w:pos="2041"/>
        </w:tabs>
        <w:ind w:left="2041" w:hanging="56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1"/>
        <w:szCs w:val="22"/>
        <w:vertAlign w:val="baseline"/>
      </w:rPr>
    </w:lvl>
    <w:lvl w:ilvl="4">
      <w:start w:val="1"/>
      <w:numFmt w:val="lowerRoman"/>
      <w:pStyle w:val="AgreementHeading5"/>
      <w:lvlText w:val="(%5)"/>
      <w:lvlJc w:val="left"/>
      <w:pPr>
        <w:tabs>
          <w:tab w:val="num" w:pos="2608"/>
        </w:tabs>
        <w:ind w:left="2608" w:hanging="56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1"/>
        <w:szCs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3629"/>
        </w:tabs>
        <w:ind w:left="3629" w:hanging="362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9"/>
        </w:tabs>
        <w:ind w:left="3969" w:hanging="396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374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4320"/>
      </w:pPr>
      <w:rPr>
        <w:rFonts w:hint="default"/>
      </w:rPr>
    </w:lvl>
  </w:abstractNum>
  <w:abstractNum w:abstractNumId="19" w15:restartNumberingAfterBreak="0">
    <w:nsid w:val="3E0D3FBF"/>
    <w:multiLevelType w:val="multilevel"/>
    <w:tmpl w:val="6F3CE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0BF2113"/>
    <w:multiLevelType w:val="hybridMultilevel"/>
    <w:tmpl w:val="5D3A0458"/>
    <w:lvl w:ilvl="0" w:tplc="5DEA4AF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8A1CB1"/>
    <w:multiLevelType w:val="hybridMultilevel"/>
    <w:tmpl w:val="EB360D9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FC5C96"/>
    <w:multiLevelType w:val="hybridMultilevel"/>
    <w:tmpl w:val="DD0220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C209D3"/>
    <w:multiLevelType w:val="hybridMultilevel"/>
    <w:tmpl w:val="A55A20CC"/>
    <w:lvl w:ilvl="0" w:tplc="A19ED84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8371DD"/>
    <w:multiLevelType w:val="hybridMultilevel"/>
    <w:tmpl w:val="AD8E966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1F0F55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26" w15:restartNumberingAfterBreak="0">
    <w:nsid w:val="52622E5C"/>
    <w:multiLevelType w:val="hybridMultilevel"/>
    <w:tmpl w:val="4CEA025C"/>
    <w:lvl w:ilvl="0" w:tplc="8B5A78E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3B1686F"/>
    <w:multiLevelType w:val="hybridMultilevel"/>
    <w:tmpl w:val="616E1A48"/>
    <w:lvl w:ilvl="0" w:tplc="74402DC0">
      <w:start w:val="1"/>
      <w:numFmt w:val="decimal"/>
      <w:lvlText w:val="%1."/>
      <w:lvlJc w:val="left"/>
      <w:pPr>
        <w:ind w:left="1440" w:hanging="360"/>
      </w:pPr>
      <w:rPr>
        <w:rFonts w:ascii="Georgia" w:hAnsi="Georgia" w:hint="default"/>
        <w:b w:val="0"/>
        <w:i w:val="0"/>
        <w:caps w:val="0"/>
        <w:strike w:val="0"/>
        <w:dstrike w:val="0"/>
        <w:vanish w:val="0"/>
        <w:sz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A0C5807"/>
    <w:multiLevelType w:val="hybridMultilevel"/>
    <w:tmpl w:val="181E8578"/>
    <w:lvl w:ilvl="0" w:tplc="BAEEAE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5730A6"/>
    <w:multiLevelType w:val="multilevel"/>
    <w:tmpl w:val="1B6A0F2A"/>
    <w:lvl w:ilvl="0">
      <w:start w:val="1"/>
      <w:numFmt w:val="bullet"/>
      <w:pStyle w:val="DPBullet"/>
      <w:lvlText w:val="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pStyle w:val="DPBullet1"/>
      <w:lvlText w:val="−"/>
      <w:lvlJc w:val="left"/>
      <w:pPr>
        <w:ind w:left="680" w:hanging="340"/>
      </w:pPr>
      <w:rPr>
        <w:rFonts w:ascii="Times New Roman" w:hAnsi="Times New Roman" w:cs="Times New Roman" w:hint="default"/>
      </w:rPr>
    </w:lvl>
    <w:lvl w:ilvl="2">
      <w:start w:val="1"/>
      <w:numFmt w:val="bullet"/>
      <w:pStyle w:val="DPBullet2"/>
      <w:lvlText w:val="−"/>
      <w:lvlJc w:val="left"/>
      <w:pPr>
        <w:ind w:left="1021" w:hanging="341"/>
      </w:pPr>
      <w:rPr>
        <w:rFonts w:ascii="Times New Roman" w:hAnsi="Times New Roman" w:cs="Times New Roman" w:hint="default"/>
      </w:rPr>
    </w:lvl>
    <w:lvl w:ilvl="3">
      <w:start w:val="1"/>
      <w:numFmt w:val="none"/>
      <w:suff w:val="nothing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1386B6E"/>
    <w:multiLevelType w:val="hybridMultilevel"/>
    <w:tmpl w:val="5C5815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17B6BD9"/>
    <w:multiLevelType w:val="hybridMultilevel"/>
    <w:tmpl w:val="E44824D4"/>
    <w:lvl w:ilvl="0" w:tplc="7526BEB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C176D96"/>
    <w:multiLevelType w:val="hybridMultilevel"/>
    <w:tmpl w:val="B7724600"/>
    <w:lvl w:ilvl="0" w:tplc="0F82336A">
      <w:start w:val="1"/>
      <w:numFmt w:val="upperLetter"/>
      <w:pStyle w:val="AgreementRecitals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3EE41A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ascii="Georgia" w:hAnsi="Georgia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Georgia" w:hAnsi="Georgia"/>
        <w:sz w:val="1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Georgia" w:hAnsi="Georgia"/>
        <w:sz w:val="1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Georgia" w:hAnsi="Georgia"/>
        <w:sz w:val="18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Georgia" w:hAnsi="Georgia"/>
        <w:sz w:val="18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Georgia" w:hAnsi="Georgia"/>
        <w:sz w:val="18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Georgia" w:hAnsi="Georgia"/>
        <w:sz w:val="18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Georgia" w:hAnsi="Georgia"/>
        <w:sz w:val="18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Georgia" w:hAnsi="Georgia"/>
        <w:sz w:val="18"/>
      </w:rPr>
    </w:lvl>
  </w:abstractNum>
  <w:num w:numId="1">
    <w:abstractNumId w:val="13"/>
  </w:num>
  <w:num w:numId="2">
    <w:abstractNumId w:val="9"/>
  </w:num>
  <w:num w:numId="3">
    <w:abstractNumId w:val="32"/>
  </w:num>
  <w:num w:numId="4">
    <w:abstractNumId w:val="15"/>
  </w:num>
  <w:num w:numId="5">
    <w:abstractNumId w:val="18"/>
  </w:num>
  <w:num w:numId="6">
    <w:abstractNumId w:val="33"/>
  </w:num>
  <w:num w:numId="7">
    <w:abstractNumId w:val="0"/>
  </w:num>
  <w:num w:numId="8">
    <w:abstractNumId w:val="12"/>
  </w:num>
  <w:num w:numId="9">
    <w:abstractNumId w:val="2"/>
  </w:num>
  <w:num w:numId="10">
    <w:abstractNumId w:val="1"/>
  </w:num>
  <w:num w:numId="11">
    <w:abstractNumId w:val="27"/>
  </w:num>
  <w:num w:numId="12">
    <w:abstractNumId w:val="11"/>
  </w:num>
  <w:num w:numId="13">
    <w:abstractNumId w:val="25"/>
  </w:num>
  <w:num w:numId="14">
    <w:abstractNumId w:val="18"/>
  </w:num>
  <w:num w:numId="15">
    <w:abstractNumId w:val="18"/>
  </w:num>
  <w:num w:numId="16">
    <w:abstractNumId w:val="18"/>
  </w:num>
  <w:num w:numId="17">
    <w:abstractNumId w:val="18"/>
  </w:num>
  <w:num w:numId="18">
    <w:abstractNumId w:val="18"/>
  </w:num>
  <w:num w:numId="19">
    <w:abstractNumId w:val="18"/>
  </w:num>
  <w:num w:numId="20">
    <w:abstractNumId w:val="9"/>
  </w:num>
  <w:num w:numId="21">
    <w:abstractNumId w:val="32"/>
  </w:num>
  <w:num w:numId="22">
    <w:abstractNumId w:val="18"/>
  </w:num>
  <w:num w:numId="23">
    <w:abstractNumId w:val="15"/>
  </w:num>
  <w:num w:numId="24">
    <w:abstractNumId w:val="28"/>
  </w:num>
  <w:num w:numId="25">
    <w:abstractNumId w:val="21"/>
  </w:num>
  <w:num w:numId="26">
    <w:abstractNumId w:val="24"/>
  </w:num>
  <w:num w:numId="27">
    <w:abstractNumId w:val="19"/>
  </w:num>
  <w:num w:numId="28">
    <w:abstractNumId w:val="22"/>
  </w:num>
  <w:num w:numId="29">
    <w:abstractNumId w:val="7"/>
  </w:num>
  <w:num w:numId="30">
    <w:abstractNumId w:val="14"/>
  </w:num>
  <w:num w:numId="31">
    <w:abstractNumId w:val="4"/>
  </w:num>
  <w:num w:numId="32">
    <w:abstractNumId w:val="3"/>
  </w:num>
  <w:num w:numId="33">
    <w:abstractNumId w:val="31"/>
  </w:num>
  <w:num w:numId="34">
    <w:abstractNumId w:val="23"/>
  </w:num>
  <w:num w:numId="35">
    <w:abstractNumId w:val="26"/>
  </w:num>
  <w:num w:numId="36">
    <w:abstractNumId w:val="10"/>
  </w:num>
  <w:num w:numId="37">
    <w:abstractNumId w:val="5"/>
  </w:num>
  <w:num w:numId="38">
    <w:abstractNumId w:val="17"/>
  </w:num>
  <w:num w:numId="39">
    <w:abstractNumId w:val="6"/>
  </w:num>
  <w:num w:numId="40">
    <w:abstractNumId w:val="29"/>
  </w:num>
  <w:num w:numId="41">
    <w:abstractNumId w:val="30"/>
  </w:num>
  <w:num w:numId="42">
    <w:abstractNumId w:val="16"/>
  </w:num>
  <w:num w:numId="43">
    <w:abstractNumId w:val="8"/>
  </w:num>
  <w:num w:numId="44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33C5"/>
    <w:rsid w:val="00001C5A"/>
    <w:rsid w:val="000033DF"/>
    <w:rsid w:val="00065DA6"/>
    <w:rsid w:val="00086E49"/>
    <w:rsid w:val="00087612"/>
    <w:rsid w:val="000921F0"/>
    <w:rsid w:val="00092307"/>
    <w:rsid w:val="000C4532"/>
    <w:rsid w:val="000C7620"/>
    <w:rsid w:val="000D3C8B"/>
    <w:rsid w:val="00104015"/>
    <w:rsid w:val="0011181C"/>
    <w:rsid w:val="001258A8"/>
    <w:rsid w:val="00127C4A"/>
    <w:rsid w:val="00141375"/>
    <w:rsid w:val="00145356"/>
    <w:rsid w:val="00167198"/>
    <w:rsid w:val="001835B2"/>
    <w:rsid w:val="001934CC"/>
    <w:rsid w:val="001A713B"/>
    <w:rsid w:val="001A72DC"/>
    <w:rsid w:val="001B1AA8"/>
    <w:rsid w:val="001C5080"/>
    <w:rsid w:val="001D3A90"/>
    <w:rsid w:val="001E7A6F"/>
    <w:rsid w:val="001F119D"/>
    <w:rsid w:val="0020085B"/>
    <w:rsid w:val="00222353"/>
    <w:rsid w:val="002331CA"/>
    <w:rsid w:val="00247BAC"/>
    <w:rsid w:val="00276632"/>
    <w:rsid w:val="00280030"/>
    <w:rsid w:val="00284601"/>
    <w:rsid w:val="002A4C95"/>
    <w:rsid w:val="002A5779"/>
    <w:rsid w:val="002A5C92"/>
    <w:rsid w:val="002E09E9"/>
    <w:rsid w:val="003021B6"/>
    <w:rsid w:val="003217E3"/>
    <w:rsid w:val="0032563F"/>
    <w:rsid w:val="00340FF0"/>
    <w:rsid w:val="003441B9"/>
    <w:rsid w:val="003518FD"/>
    <w:rsid w:val="00355F21"/>
    <w:rsid w:val="003666A0"/>
    <w:rsid w:val="00367985"/>
    <w:rsid w:val="00372D4C"/>
    <w:rsid w:val="0039013D"/>
    <w:rsid w:val="00395D89"/>
    <w:rsid w:val="00396E5A"/>
    <w:rsid w:val="003978ED"/>
    <w:rsid w:val="003B0263"/>
    <w:rsid w:val="003C284E"/>
    <w:rsid w:val="003C338F"/>
    <w:rsid w:val="003C69AB"/>
    <w:rsid w:val="00404D9A"/>
    <w:rsid w:val="004131ED"/>
    <w:rsid w:val="00415AEE"/>
    <w:rsid w:val="00415DDB"/>
    <w:rsid w:val="004356E2"/>
    <w:rsid w:val="00437BFE"/>
    <w:rsid w:val="004408B0"/>
    <w:rsid w:val="00440CF8"/>
    <w:rsid w:val="004433C5"/>
    <w:rsid w:val="00470254"/>
    <w:rsid w:val="0047439B"/>
    <w:rsid w:val="00484F6D"/>
    <w:rsid w:val="00492065"/>
    <w:rsid w:val="004B3FED"/>
    <w:rsid w:val="004D1D7E"/>
    <w:rsid w:val="004F1265"/>
    <w:rsid w:val="004F57B8"/>
    <w:rsid w:val="00535342"/>
    <w:rsid w:val="00557280"/>
    <w:rsid w:val="00557A0F"/>
    <w:rsid w:val="00565029"/>
    <w:rsid w:val="005764A7"/>
    <w:rsid w:val="00577785"/>
    <w:rsid w:val="00581DAF"/>
    <w:rsid w:val="00593E77"/>
    <w:rsid w:val="005D6C09"/>
    <w:rsid w:val="005D783E"/>
    <w:rsid w:val="005D79E3"/>
    <w:rsid w:val="005E270C"/>
    <w:rsid w:val="005E7C6B"/>
    <w:rsid w:val="00603657"/>
    <w:rsid w:val="00617533"/>
    <w:rsid w:val="00623598"/>
    <w:rsid w:val="00631F24"/>
    <w:rsid w:val="006441B0"/>
    <w:rsid w:val="00674D11"/>
    <w:rsid w:val="00694350"/>
    <w:rsid w:val="006945CB"/>
    <w:rsid w:val="006D0A86"/>
    <w:rsid w:val="006E7E8D"/>
    <w:rsid w:val="00703D03"/>
    <w:rsid w:val="00707113"/>
    <w:rsid w:val="00740F50"/>
    <w:rsid w:val="00752792"/>
    <w:rsid w:val="00772427"/>
    <w:rsid w:val="00772DFE"/>
    <w:rsid w:val="00782731"/>
    <w:rsid w:val="00785E77"/>
    <w:rsid w:val="00786CA6"/>
    <w:rsid w:val="00790DFB"/>
    <w:rsid w:val="007A0387"/>
    <w:rsid w:val="007C4484"/>
    <w:rsid w:val="007D39E7"/>
    <w:rsid w:val="007E1590"/>
    <w:rsid w:val="00807744"/>
    <w:rsid w:val="008432D1"/>
    <w:rsid w:val="00847988"/>
    <w:rsid w:val="008506FC"/>
    <w:rsid w:val="008609CB"/>
    <w:rsid w:val="00867725"/>
    <w:rsid w:val="00872A8B"/>
    <w:rsid w:val="00876BCD"/>
    <w:rsid w:val="00877CBB"/>
    <w:rsid w:val="00886023"/>
    <w:rsid w:val="008979BB"/>
    <w:rsid w:val="008B0583"/>
    <w:rsid w:val="009069C9"/>
    <w:rsid w:val="00933B42"/>
    <w:rsid w:val="0093601D"/>
    <w:rsid w:val="009656AB"/>
    <w:rsid w:val="00976F27"/>
    <w:rsid w:val="00977889"/>
    <w:rsid w:val="0098305D"/>
    <w:rsid w:val="009B447C"/>
    <w:rsid w:val="009B5E68"/>
    <w:rsid w:val="009D62BA"/>
    <w:rsid w:val="009E51C4"/>
    <w:rsid w:val="009F52F0"/>
    <w:rsid w:val="00A07FE0"/>
    <w:rsid w:val="00A21078"/>
    <w:rsid w:val="00A34959"/>
    <w:rsid w:val="00A3654A"/>
    <w:rsid w:val="00A708AD"/>
    <w:rsid w:val="00A81F5B"/>
    <w:rsid w:val="00AA741E"/>
    <w:rsid w:val="00AD3470"/>
    <w:rsid w:val="00AD6AE4"/>
    <w:rsid w:val="00B021F0"/>
    <w:rsid w:val="00B05548"/>
    <w:rsid w:val="00B10912"/>
    <w:rsid w:val="00B40F88"/>
    <w:rsid w:val="00B46BCC"/>
    <w:rsid w:val="00B53B8D"/>
    <w:rsid w:val="00B64744"/>
    <w:rsid w:val="00BA1EF1"/>
    <w:rsid w:val="00BC225C"/>
    <w:rsid w:val="00BC4C0D"/>
    <w:rsid w:val="00BD0697"/>
    <w:rsid w:val="00BE2B07"/>
    <w:rsid w:val="00BF3D3E"/>
    <w:rsid w:val="00C16DFA"/>
    <w:rsid w:val="00C2522B"/>
    <w:rsid w:val="00C378D4"/>
    <w:rsid w:val="00C900E1"/>
    <w:rsid w:val="00C96534"/>
    <w:rsid w:val="00CA2E89"/>
    <w:rsid w:val="00CA53BB"/>
    <w:rsid w:val="00CB7636"/>
    <w:rsid w:val="00CE09C4"/>
    <w:rsid w:val="00D03DC1"/>
    <w:rsid w:val="00D05F7C"/>
    <w:rsid w:val="00D2584B"/>
    <w:rsid w:val="00D31877"/>
    <w:rsid w:val="00D32C99"/>
    <w:rsid w:val="00D5309A"/>
    <w:rsid w:val="00D6291C"/>
    <w:rsid w:val="00D74A36"/>
    <w:rsid w:val="00DE5F99"/>
    <w:rsid w:val="00E007BF"/>
    <w:rsid w:val="00E0090D"/>
    <w:rsid w:val="00E22801"/>
    <w:rsid w:val="00E2501C"/>
    <w:rsid w:val="00E37A5D"/>
    <w:rsid w:val="00E53ABF"/>
    <w:rsid w:val="00E71E7B"/>
    <w:rsid w:val="00EA5386"/>
    <w:rsid w:val="00EA585B"/>
    <w:rsid w:val="00EB6116"/>
    <w:rsid w:val="00EF6269"/>
    <w:rsid w:val="00F07427"/>
    <w:rsid w:val="00F20AC6"/>
    <w:rsid w:val="00F36532"/>
    <w:rsid w:val="00F419E1"/>
    <w:rsid w:val="00F55F2D"/>
    <w:rsid w:val="00F76C1F"/>
    <w:rsid w:val="00F77372"/>
    <w:rsid w:val="00F90C01"/>
    <w:rsid w:val="00FA08CE"/>
    <w:rsid w:val="00FA16B1"/>
    <w:rsid w:val="00FB5C70"/>
    <w:rsid w:val="00FB7C3C"/>
    <w:rsid w:val="00FD0D6F"/>
    <w:rsid w:val="00FD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C33E90"/>
  <w15:docId w15:val="{236A4FBB-290B-4B2B-BAC7-040F139BB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eorgia" w:eastAsia="Times New Roman" w:hAnsi="Georgia" w:cs="Times New Roman"/>
        <w:sz w:val="18"/>
        <w:szCs w:val="18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7E8D"/>
    <w:pPr>
      <w:spacing w:after="240"/>
      <w:jc w:val="both"/>
    </w:pPr>
    <w:rPr>
      <w:rFonts w:ascii="Calibri" w:hAnsi="Calibri"/>
      <w:sz w:val="21"/>
      <w:szCs w:val="20"/>
    </w:rPr>
  </w:style>
  <w:style w:type="paragraph" w:styleId="Heading1">
    <w:name w:val="heading 1"/>
    <w:basedOn w:val="Normal"/>
    <w:next w:val="Normal"/>
    <w:qFormat/>
    <w:rsid w:val="006E7E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E7E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E7E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6E7E8D"/>
    <w:pPr>
      <w:numPr>
        <w:numId w:val="13"/>
      </w:numPr>
    </w:pPr>
  </w:style>
  <w:style w:type="paragraph" w:customStyle="1" w:styleId="AgreementFooterGuernsey">
    <w:name w:val="Agreement Footer Guernsey"/>
    <w:basedOn w:val="Normal"/>
    <w:rsid w:val="006E7E8D"/>
    <w:pPr>
      <w:jc w:val="left"/>
    </w:pPr>
    <w:rPr>
      <w:sz w:val="20"/>
    </w:rPr>
  </w:style>
  <w:style w:type="paragraph" w:customStyle="1" w:styleId="AgreementFooterJersey">
    <w:name w:val="Agreement Footer Jersey"/>
    <w:basedOn w:val="Normal"/>
    <w:rsid w:val="006E7E8D"/>
    <w:pPr>
      <w:jc w:val="left"/>
    </w:pPr>
    <w:rPr>
      <w:sz w:val="12"/>
      <w:szCs w:val="12"/>
    </w:rPr>
  </w:style>
  <w:style w:type="paragraph" w:customStyle="1" w:styleId="AgreementHeading1">
    <w:name w:val="Agreement Heading 1"/>
    <w:basedOn w:val="Normal"/>
    <w:next w:val="BlockText"/>
    <w:rsid w:val="006E7E8D"/>
    <w:pPr>
      <w:keepNext/>
      <w:numPr>
        <w:numId w:val="22"/>
      </w:numPr>
    </w:pPr>
    <w:rPr>
      <w:rFonts w:hAnsi="Times New Roman Bold"/>
      <w:b/>
      <w:caps/>
    </w:rPr>
  </w:style>
  <w:style w:type="paragraph" w:styleId="BlockText">
    <w:name w:val="Block Text"/>
    <w:basedOn w:val="Normal"/>
    <w:rsid w:val="006E7E8D"/>
    <w:pPr>
      <w:tabs>
        <w:tab w:val="left" w:pos="720"/>
      </w:tabs>
      <w:ind w:left="720"/>
    </w:pPr>
  </w:style>
  <w:style w:type="paragraph" w:styleId="BodyText">
    <w:name w:val="Body Text"/>
    <w:basedOn w:val="Normal"/>
    <w:link w:val="BodyTextChar"/>
    <w:rsid w:val="006E7E8D"/>
  </w:style>
  <w:style w:type="character" w:customStyle="1" w:styleId="BodyTextChar">
    <w:name w:val="Body Text Char"/>
    <w:basedOn w:val="DefaultParagraphFont"/>
    <w:link w:val="BodyText"/>
    <w:rsid w:val="006E7E8D"/>
    <w:rPr>
      <w:rFonts w:ascii="Calibri" w:hAnsi="Calibri"/>
      <w:sz w:val="21"/>
      <w:szCs w:val="20"/>
    </w:rPr>
  </w:style>
  <w:style w:type="paragraph" w:customStyle="1" w:styleId="AgreementHeading2">
    <w:name w:val="Agreement Heading 2"/>
    <w:basedOn w:val="BodyText"/>
    <w:rsid w:val="006E7E8D"/>
    <w:pPr>
      <w:numPr>
        <w:ilvl w:val="1"/>
        <w:numId w:val="22"/>
      </w:numPr>
    </w:pPr>
  </w:style>
  <w:style w:type="paragraph" w:customStyle="1" w:styleId="AgreementHeading2bold">
    <w:name w:val="Agreement Heading 2 bold"/>
    <w:basedOn w:val="AgreementHeading2"/>
    <w:next w:val="BlockText"/>
    <w:rsid w:val="006E7E8D"/>
    <w:pPr>
      <w:keepNext/>
      <w:numPr>
        <w:ilvl w:val="0"/>
        <w:numId w:val="0"/>
      </w:numPr>
    </w:pPr>
    <w:rPr>
      <w:b/>
    </w:rPr>
  </w:style>
  <w:style w:type="paragraph" w:customStyle="1" w:styleId="AgreementHeading3">
    <w:name w:val="Agreement Heading 3"/>
    <w:basedOn w:val="Normal"/>
    <w:rsid w:val="006E7E8D"/>
    <w:pPr>
      <w:numPr>
        <w:ilvl w:val="2"/>
        <w:numId w:val="22"/>
      </w:numPr>
    </w:pPr>
  </w:style>
  <w:style w:type="paragraph" w:customStyle="1" w:styleId="AgreementHeading4">
    <w:name w:val="Agreement Heading 4"/>
    <w:basedOn w:val="Normal"/>
    <w:rsid w:val="006E7E8D"/>
    <w:pPr>
      <w:numPr>
        <w:ilvl w:val="3"/>
        <w:numId w:val="22"/>
      </w:numPr>
    </w:pPr>
  </w:style>
  <w:style w:type="paragraph" w:customStyle="1" w:styleId="AgreementHeading5">
    <w:name w:val="Agreement Heading 5"/>
    <w:basedOn w:val="Normal"/>
    <w:rsid w:val="006E7E8D"/>
    <w:pPr>
      <w:numPr>
        <w:ilvl w:val="4"/>
        <w:numId w:val="22"/>
      </w:numPr>
    </w:pPr>
  </w:style>
  <w:style w:type="paragraph" w:customStyle="1" w:styleId="AgreementParties">
    <w:name w:val="Agreement Parties"/>
    <w:basedOn w:val="Normal"/>
    <w:rsid w:val="006E7E8D"/>
    <w:pPr>
      <w:numPr>
        <w:numId w:val="20"/>
      </w:numPr>
    </w:pPr>
  </w:style>
  <w:style w:type="paragraph" w:customStyle="1" w:styleId="AgreementRecitals">
    <w:name w:val="Agreement Recitals"/>
    <w:basedOn w:val="Normal"/>
    <w:rsid w:val="006E7E8D"/>
    <w:pPr>
      <w:numPr>
        <w:numId w:val="21"/>
      </w:numPr>
    </w:pPr>
  </w:style>
  <w:style w:type="paragraph" w:styleId="BalloonText">
    <w:name w:val="Balloon Text"/>
    <w:basedOn w:val="Normal"/>
    <w:link w:val="BalloonTextChar"/>
    <w:uiPriority w:val="99"/>
    <w:unhideWhenUsed/>
    <w:rsid w:val="006E7E8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E7E8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6E7E8D"/>
    <w:pPr>
      <w:tabs>
        <w:tab w:val="center" w:pos="4153"/>
        <w:tab w:val="right" w:pos="8306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6E7E8D"/>
    <w:rPr>
      <w:rFonts w:ascii="Calibri" w:hAnsi="Calibri"/>
      <w:sz w:val="16"/>
      <w:szCs w:val="20"/>
    </w:rPr>
  </w:style>
  <w:style w:type="paragraph" w:customStyle="1" w:styleId="frontcover">
    <w:name w:val="frontcover"/>
    <w:basedOn w:val="Normal"/>
    <w:rsid w:val="006E7E8D"/>
    <w:pPr>
      <w:jc w:val="center"/>
    </w:pPr>
    <w:rPr>
      <w:b/>
    </w:rPr>
  </w:style>
  <w:style w:type="paragraph" w:styleId="Header">
    <w:name w:val="header"/>
    <w:basedOn w:val="Normal"/>
    <w:link w:val="HeaderChar"/>
    <w:uiPriority w:val="99"/>
    <w:rsid w:val="006E7E8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E8D"/>
    <w:rPr>
      <w:rFonts w:ascii="Calibri" w:hAnsi="Calibri"/>
      <w:sz w:val="21"/>
      <w:szCs w:val="20"/>
    </w:rPr>
  </w:style>
  <w:style w:type="character" w:styleId="Hyperlink">
    <w:name w:val="Hyperlink"/>
    <w:uiPriority w:val="99"/>
    <w:rsid w:val="006E7E8D"/>
    <w:rPr>
      <w:color w:val="0000FF"/>
      <w:u w:val="single"/>
    </w:rPr>
  </w:style>
  <w:style w:type="paragraph" w:customStyle="1" w:styleId="Level1noheading">
    <w:name w:val="Level 1 no heading"/>
    <w:basedOn w:val="AgreementHeading1"/>
    <w:rsid w:val="006E7E8D"/>
    <w:pPr>
      <w:numPr>
        <w:numId w:val="0"/>
      </w:numPr>
    </w:pPr>
    <w:rPr>
      <w:rFonts w:hAnsi="Times New Roman"/>
      <w:b w:val="0"/>
      <w:caps w:val="0"/>
    </w:rPr>
  </w:style>
  <w:style w:type="character" w:styleId="PageNumber">
    <w:name w:val="page number"/>
    <w:basedOn w:val="DefaultParagraphFont"/>
    <w:rsid w:val="006E7E8D"/>
  </w:style>
  <w:style w:type="paragraph" w:customStyle="1" w:styleId="ScheduleClauses">
    <w:name w:val="Schedule Clauses"/>
    <w:basedOn w:val="AgreementHeading1"/>
    <w:rsid w:val="006E7E8D"/>
    <w:pPr>
      <w:numPr>
        <w:numId w:val="23"/>
      </w:numPr>
    </w:pPr>
    <w:rPr>
      <w:rFonts w:hAnsi="Times New Roman"/>
      <w:b w:val="0"/>
      <w:caps w:val="0"/>
    </w:rPr>
  </w:style>
  <w:style w:type="paragraph" w:customStyle="1" w:styleId="ScheduleNumber">
    <w:name w:val="Schedule Number"/>
    <w:basedOn w:val="AgreementHeading1"/>
    <w:next w:val="Normal"/>
    <w:rsid w:val="006E7E8D"/>
    <w:pPr>
      <w:keepNext w:val="0"/>
      <w:keepLines/>
      <w:widowControl w:val="0"/>
      <w:numPr>
        <w:numId w:val="0"/>
      </w:numPr>
      <w:jc w:val="center"/>
    </w:pPr>
    <w:rPr>
      <w:rFonts w:hAnsi="Calibri"/>
    </w:rPr>
  </w:style>
  <w:style w:type="paragraph" w:customStyle="1" w:styleId="ScheduleTitle">
    <w:name w:val="Schedule Title"/>
    <w:basedOn w:val="ScheduleNumber"/>
    <w:next w:val="Normal"/>
    <w:rsid w:val="006E7E8D"/>
    <w:rPr>
      <w:b w:val="0"/>
      <w:caps w:val="0"/>
    </w:rPr>
  </w:style>
  <w:style w:type="table" w:styleId="TableGrid">
    <w:name w:val="Table Grid"/>
    <w:basedOn w:val="TableNormal"/>
    <w:rsid w:val="006E7E8D"/>
    <w:pPr>
      <w:spacing w:after="240" w:line="312" w:lineRule="auto"/>
      <w:jc w:val="both"/>
    </w:pPr>
    <w:rPr>
      <w:rFonts w:ascii="Calibri" w:hAnsi="Calibri"/>
      <w:sz w:val="21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6E7E8D"/>
    <w:pPr>
      <w:spacing w:before="120" w:after="360"/>
      <w:jc w:val="center"/>
    </w:pPr>
    <w:rPr>
      <w:rFonts w:hAnsi="Times New Roman Bold" w:cs="Arial"/>
      <w:b/>
      <w:bCs/>
      <w:caps/>
      <w:kern w:val="28"/>
    </w:rPr>
  </w:style>
  <w:style w:type="character" w:customStyle="1" w:styleId="TitleChar">
    <w:name w:val="Title Char"/>
    <w:basedOn w:val="DefaultParagraphFont"/>
    <w:link w:val="Title"/>
    <w:rsid w:val="006E7E8D"/>
    <w:rPr>
      <w:rFonts w:ascii="Calibri" w:hAnsi="Times New Roman Bold" w:cs="Arial"/>
      <w:b/>
      <w:bCs/>
      <w:caps/>
      <w:kern w:val="28"/>
      <w:sz w:val="21"/>
      <w:szCs w:val="20"/>
    </w:rPr>
  </w:style>
  <w:style w:type="paragraph" w:styleId="TOC1">
    <w:name w:val="toc 1"/>
    <w:basedOn w:val="Normal"/>
    <w:next w:val="Normal"/>
    <w:autoRedefine/>
    <w:rsid w:val="006E7E8D"/>
    <w:pPr>
      <w:tabs>
        <w:tab w:val="right" w:pos="9015"/>
      </w:tabs>
    </w:pPr>
    <w:rPr>
      <w:caps/>
    </w:rPr>
  </w:style>
  <w:style w:type="paragraph" w:styleId="TOC2">
    <w:name w:val="toc 2"/>
    <w:basedOn w:val="Normal"/>
    <w:next w:val="Normal"/>
    <w:rsid w:val="006E7E8D"/>
    <w:pPr>
      <w:tabs>
        <w:tab w:val="right" w:pos="9015"/>
      </w:tabs>
      <w:ind w:left="703"/>
    </w:pPr>
  </w:style>
  <w:style w:type="paragraph" w:styleId="TOC3">
    <w:name w:val="toc 3"/>
    <w:basedOn w:val="Normal"/>
    <w:next w:val="Normal"/>
    <w:autoRedefine/>
    <w:rsid w:val="006E7E8D"/>
    <w:pPr>
      <w:ind w:left="440"/>
    </w:pPr>
  </w:style>
  <w:style w:type="paragraph" w:styleId="TOC4">
    <w:name w:val="toc 4"/>
    <w:basedOn w:val="Normal"/>
    <w:next w:val="Normal"/>
    <w:autoRedefine/>
    <w:rsid w:val="006E7E8D"/>
    <w:pPr>
      <w:ind w:left="660"/>
    </w:pPr>
  </w:style>
  <w:style w:type="paragraph" w:styleId="TOC5">
    <w:name w:val="toc 5"/>
    <w:basedOn w:val="Normal"/>
    <w:next w:val="Normal"/>
    <w:autoRedefine/>
    <w:rsid w:val="006E7E8D"/>
    <w:pPr>
      <w:ind w:left="880"/>
    </w:pPr>
  </w:style>
  <w:style w:type="paragraph" w:styleId="TOC6">
    <w:name w:val="toc 6"/>
    <w:basedOn w:val="Normal"/>
    <w:next w:val="Normal"/>
    <w:autoRedefine/>
    <w:rsid w:val="006E7E8D"/>
    <w:pPr>
      <w:ind w:left="1100"/>
    </w:pPr>
  </w:style>
  <w:style w:type="paragraph" w:styleId="TOC7">
    <w:name w:val="toc 7"/>
    <w:basedOn w:val="Normal"/>
    <w:next w:val="Normal"/>
    <w:autoRedefine/>
    <w:rsid w:val="006E7E8D"/>
    <w:pPr>
      <w:ind w:left="1320"/>
    </w:pPr>
  </w:style>
  <w:style w:type="paragraph" w:styleId="TOC8">
    <w:name w:val="toc 8"/>
    <w:basedOn w:val="Normal"/>
    <w:next w:val="Normal"/>
    <w:autoRedefine/>
    <w:rsid w:val="006E7E8D"/>
    <w:pPr>
      <w:ind w:left="1540"/>
    </w:pPr>
  </w:style>
  <w:style w:type="paragraph" w:styleId="TOC9">
    <w:name w:val="toc 9"/>
    <w:basedOn w:val="Normal"/>
    <w:next w:val="Normal"/>
    <w:autoRedefine/>
    <w:rsid w:val="006E7E8D"/>
    <w:pPr>
      <w:ind w:left="1760"/>
    </w:pPr>
  </w:style>
  <w:style w:type="paragraph" w:customStyle="1" w:styleId="TOC10">
    <w:name w:val="TOC1"/>
    <w:basedOn w:val="TOC1"/>
    <w:rsid w:val="006E7E8D"/>
    <w:pPr>
      <w:tabs>
        <w:tab w:val="left" w:pos="720"/>
      </w:tabs>
    </w:pPr>
    <w:rPr>
      <w:caps w:val="0"/>
    </w:rPr>
  </w:style>
  <w:style w:type="paragraph" w:customStyle="1" w:styleId="Default">
    <w:name w:val="Default"/>
    <w:rsid w:val="000C453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FootnoteText">
    <w:name w:val="footnote text"/>
    <w:aliases w:val="Carattere,Carattere Carattere Carattere Carattere,Testo nota a piè di pagina Carattere Carattere,Testo nota a piè di pagina Carattere Carattere Carattere Carattere,Testo nota a piè di pagina Carattere1 Carattere Carattere"/>
    <w:basedOn w:val="Normal"/>
    <w:link w:val="FootnoteTextChar"/>
    <w:uiPriority w:val="99"/>
    <w:qFormat/>
    <w:rsid w:val="00740F50"/>
    <w:pPr>
      <w:spacing w:after="0"/>
    </w:pPr>
    <w:rPr>
      <w:sz w:val="20"/>
    </w:rPr>
  </w:style>
  <w:style w:type="character" w:customStyle="1" w:styleId="FootnoteTextChar">
    <w:name w:val="Footnote Text Char"/>
    <w:aliases w:val="Carattere Char,Carattere Carattere Carattere Carattere Char,Testo nota a piè di pagina Carattere Carattere Char,Testo nota a piè di pagina Carattere Carattere Carattere Carattere Char"/>
    <w:basedOn w:val="DefaultParagraphFont"/>
    <w:link w:val="FootnoteText"/>
    <w:uiPriority w:val="99"/>
    <w:rsid w:val="00740F50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qFormat/>
    <w:rsid w:val="00740F50"/>
    <w:rPr>
      <w:vertAlign w:val="superscript"/>
    </w:rPr>
  </w:style>
  <w:style w:type="paragraph" w:styleId="ListParagraph">
    <w:name w:val="List Paragraph"/>
    <w:basedOn w:val="Normal"/>
    <w:uiPriority w:val="34"/>
    <w:qFormat/>
    <w:rsid w:val="005D783E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2C99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BD069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hu-HU" w:eastAsia="hu-HU"/>
    </w:rPr>
  </w:style>
  <w:style w:type="character" w:styleId="Strong">
    <w:name w:val="Strong"/>
    <w:basedOn w:val="DefaultParagraphFont"/>
    <w:uiPriority w:val="22"/>
    <w:qFormat/>
    <w:rsid w:val="00B05548"/>
    <w:rPr>
      <w:b/>
      <w:bCs/>
    </w:rPr>
  </w:style>
  <w:style w:type="character" w:customStyle="1" w:styleId="tlid-translation">
    <w:name w:val="tlid-translation"/>
    <w:basedOn w:val="DefaultParagraphFont"/>
    <w:rsid w:val="00631F24"/>
  </w:style>
  <w:style w:type="paragraph" w:styleId="NoSpacing">
    <w:name w:val="No Spacing"/>
    <w:uiPriority w:val="1"/>
    <w:qFormat/>
    <w:rsid w:val="00631F24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st">
    <w:name w:val="st"/>
    <w:basedOn w:val="DefaultParagraphFont"/>
    <w:rsid w:val="00631F24"/>
  </w:style>
  <w:style w:type="character" w:customStyle="1" w:styleId="gt-baf-cell">
    <w:name w:val="gt-baf-cell"/>
    <w:basedOn w:val="DefaultParagraphFont"/>
    <w:rsid w:val="00782731"/>
  </w:style>
  <w:style w:type="character" w:styleId="UnresolvedMention">
    <w:name w:val="Unresolved Mention"/>
    <w:basedOn w:val="DefaultParagraphFont"/>
    <w:uiPriority w:val="99"/>
    <w:semiHidden/>
    <w:unhideWhenUsed/>
    <w:rsid w:val="00492065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492065"/>
  </w:style>
  <w:style w:type="character" w:styleId="Emphasis">
    <w:name w:val="Emphasis"/>
    <w:basedOn w:val="DefaultParagraphFont"/>
    <w:uiPriority w:val="20"/>
    <w:qFormat/>
    <w:rsid w:val="00492065"/>
    <w:rPr>
      <w:i/>
      <w:iCs/>
    </w:rPr>
  </w:style>
  <w:style w:type="paragraph" w:customStyle="1" w:styleId="DPBullet">
    <w:name w:val="DPBullet"/>
    <w:basedOn w:val="Normal"/>
    <w:uiPriority w:val="6"/>
    <w:qFormat/>
    <w:rsid w:val="008609CB"/>
    <w:pPr>
      <w:numPr>
        <w:numId w:val="40"/>
      </w:numPr>
      <w:spacing w:after="120" w:line="264" w:lineRule="auto"/>
      <w:contextualSpacing/>
      <w:jc w:val="left"/>
    </w:pPr>
    <w:rPr>
      <w:rFonts w:ascii="Garamond" w:eastAsiaTheme="minorHAnsi" w:hAnsi="Garamond"/>
      <w:lang w:eastAsia="en-US"/>
    </w:rPr>
  </w:style>
  <w:style w:type="paragraph" w:customStyle="1" w:styleId="DPBullet1">
    <w:name w:val="DPBullet1"/>
    <w:basedOn w:val="Normal"/>
    <w:uiPriority w:val="6"/>
    <w:rsid w:val="008609CB"/>
    <w:pPr>
      <w:numPr>
        <w:ilvl w:val="1"/>
        <w:numId w:val="40"/>
      </w:numPr>
      <w:spacing w:after="120" w:line="264" w:lineRule="auto"/>
      <w:contextualSpacing/>
      <w:jc w:val="left"/>
    </w:pPr>
    <w:rPr>
      <w:rFonts w:ascii="Garamond" w:eastAsiaTheme="minorHAnsi" w:hAnsi="Garamond"/>
      <w:lang w:eastAsia="en-US"/>
    </w:rPr>
  </w:style>
  <w:style w:type="paragraph" w:customStyle="1" w:styleId="DPBullet2">
    <w:name w:val="DPBullet2"/>
    <w:basedOn w:val="Normal"/>
    <w:uiPriority w:val="6"/>
    <w:rsid w:val="008609CB"/>
    <w:pPr>
      <w:numPr>
        <w:ilvl w:val="2"/>
        <w:numId w:val="40"/>
      </w:numPr>
      <w:spacing w:after="120" w:line="264" w:lineRule="auto"/>
      <w:contextualSpacing/>
      <w:jc w:val="left"/>
    </w:pPr>
    <w:rPr>
      <w:rFonts w:ascii="Garamond" w:eastAsiaTheme="minorHAnsi" w:hAnsi="Garamond"/>
      <w:lang w:eastAsia="en-US"/>
    </w:rPr>
  </w:style>
  <w:style w:type="paragraph" w:customStyle="1" w:styleId="DPHead2">
    <w:name w:val="DPHead2"/>
    <w:basedOn w:val="Normal"/>
    <w:next w:val="DPBodytxt"/>
    <w:uiPriority w:val="2"/>
    <w:qFormat/>
    <w:rsid w:val="008609CB"/>
    <w:pPr>
      <w:spacing w:after="60"/>
      <w:jc w:val="left"/>
      <w:outlineLvl w:val="2"/>
    </w:pPr>
    <w:rPr>
      <w:rFonts w:ascii="Arial" w:eastAsiaTheme="minorHAnsi" w:hAnsi="Arial" w:cs="Arial"/>
      <w:color w:val="4BACC6" w:themeColor="accent5"/>
      <w:sz w:val="24"/>
      <w:szCs w:val="24"/>
      <w:lang w:eastAsia="en-US"/>
    </w:rPr>
  </w:style>
  <w:style w:type="paragraph" w:customStyle="1" w:styleId="DPOpeningPara">
    <w:name w:val="DPOpeningPara"/>
    <w:basedOn w:val="Normal"/>
    <w:next w:val="DPBodytxt"/>
    <w:uiPriority w:val="5"/>
    <w:qFormat/>
    <w:rsid w:val="008609CB"/>
    <w:pPr>
      <w:spacing w:after="120" w:line="264" w:lineRule="auto"/>
      <w:jc w:val="left"/>
    </w:pPr>
    <w:rPr>
      <w:rFonts w:ascii="Garamond" w:eastAsiaTheme="minorHAnsi" w:hAnsi="Garamond" w:cs="Arial"/>
      <w:sz w:val="30"/>
      <w:lang w:eastAsia="en-US"/>
    </w:rPr>
  </w:style>
  <w:style w:type="paragraph" w:customStyle="1" w:styleId="DPBodytxt">
    <w:name w:val="DPBodytxt"/>
    <w:basedOn w:val="Normal"/>
    <w:uiPriority w:val="6"/>
    <w:qFormat/>
    <w:rsid w:val="008609CB"/>
    <w:pPr>
      <w:spacing w:after="120" w:line="264" w:lineRule="auto"/>
      <w:jc w:val="left"/>
    </w:pPr>
    <w:rPr>
      <w:rFonts w:ascii="Arial" w:eastAsiaTheme="minorHAnsi" w:hAnsi="Arial"/>
      <w:lang w:eastAsia="en-US"/>
    </w:rPr>
  </w:style>
  <w:style w:type="paragraph" w:customStyle="1" w:styleId="Bullet">
    <w:name w:val="Bullet"/>
    <w:basedOn w:val="DPBullet"/>
    <w:rsid w:val="008609CB"/>
    <w:pPr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83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7610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099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7992D-D332-4185-9CE5-E63C7B8F2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4</Pages>
  <Words>1224</Words>
  <Characters>6980</Characters>
  <Application>Microsoft Office Word</Application>
  <DocSecurity>0</DocSecurity>
  <PresentationFormat/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 Montfort University</Company>
  <LinksUpToDate>false</LinksUpToDate>
  <CharactersWithSpaces>8188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Omar</dc:creator>
  <cp:lastModifiedBy>Paul Omar</cp:lastModifiedBy>
  <cp:revision>42</cp:revision>
  <cp:lastPrinted>2017-11-20T20:14:00Z</cp:lastPrinted>
  <dcterms:created xsi:type="dcterms:W3CDTF">2019-03-06T11:14:00Z</dcterms:created>
  <dcterms:modified xsi:type="dcterms:W3CDTF">2021-02-18T14:31:00Z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Footer">
    <vt:lpwstr>1039119/0162/J12269628v1</vt:lpwstr>
  </property>
  <property fmtid="{D5CDD505-2E9C-101B-9397-08002B2CF9AE}" pid="3" name="WSFooter">
    <vt:lpwstr>1039119/0162/J12269628v1</vt:lpwstr>
  </property>
</Properties>
</file>