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316C0" w14:textId="3B394698" w:rsidR="00610CFE" w:rsidRPr="00E03651" w:rsidRDefault="00610CFE" w:rsidP="00063B20">
      <w:pPr>
        <w:pStyle w:val="xmsonormal"/>
        <w:spacing w:before="0" w:beforeAutospacing="0" w:after="0" w:afterAutospacing="0"/>
        <w:rPr>
          <w:rFonts w:ascii="Calibri" w:hAnsi="Calibri"/>
          <w:b/>
          <w:iCs/>
          <w:color w:val="201F1E"/>
          <w:sz w:val="28"/>
          <w:szCs w:val="22"/>
          <w:bdr w:val="none" w:sz="0" w:space="0" w:color="auto" w:frame="1"/>
        </w:rPr>
      </w:pPr>
      <w:bookmarkStart w:id="0" w:name="_GoBack"/>
      <w:bookmarkEnd w:id="0"/>
      <w:r w:rsidRPr="00E03651">
        <w:rPr>
          <w:rFonts w:ascii="Calibri" w:hAnsi="Calibri"/>
          <w:b/>
          <w:iCs/>
          <w:color w:val="201F1E"/>
          <w:sz w:val="28"/>
          <w:szCs w:val="22"/>
          <w:bdr w:val="none" w:sz="0" w:space="0" w:color="auto" w:frame="1"/>
        </w:rPr>
        <w:t>Romanian Conference Report</w:t>
      </w:r>
    </w:p>
    <w:p w14:paraId="60BC84A3" w14:textId="77777777" w:rsidR="00610CFE" w:rsidRDefault="00610CFE" w:rsidP="00063B20">
      <w:pPr>
        <w:pStyle w:val="xmsonormal"/>
        <w:spacing w:before="0" w:beforeAutospacing="0" w:after="0" w:afterAutospacing="0"/>
        <w:rPr>
          <w:rFonts w:ascii="Calibri" w:hAnsi="Calibri"/>
          <w:iCs/>
          <w:color w:val="201F1E"/>
          <w:sz w:val="22"/>
          <w:szCs w:val="22"/>
          <w:bdr w:val="none" w:sz="0" w:space="0" w:color="auto" w:frame="1"/>
        </w:rPr>
      </w:pPr>
    </w:p>
    <w:p w14:paraId="5B4DFDAC" w14:textId="77777777" w:rsidR="00063B20" w:rsidRPr="00063B20" w:rsidRDefault="00063B20" w:rsidP="00063B20">
      <w:pPr>
        <w:pStyle w:val="xmsonormal"/>
        <w:spacing w:before="0" w:beforeAutospacing="0" w:after="0" w:afterAutospacing="0"/>
        <w:rPr>
          <w:rFonts w:ascii="Calibri" w:hAnsi="Calibri"/>
          <w:color w:val="201F1E"/>
          <w:sz w:val="22"/>
          <w:szCs w:val="22"/>
        </w:rPr>
      </w:pPr>
      <w:r w:rsidRPr="00063B20">
        <w:rPr>
          <w:rFonts w:ascii="Calibri" w:hAnsi="Calibri"/>
          <w:iCs/>
          <w:color w:val="201F1E"/>
          <w:sz w:val="22"/>
          <w:szCs w:val="22"/>
          <w:bdr w:val="none" w:sz="0" w:space="0" w:color="auto" w:frame="1"/>
        </w:rPr>
        <w:t>After a year in this new normal, working primarily from home, with different degrees of social distancing and various restrictions, one may become fatigued by online meetings and conferences. And there might have even been instances of thinking this meeting should have been an email or a call. We certainly miss the interaction and live networking, or to put it simpler, we miss meeting other human beings. While for online meetings, the professional dislike seems pretty standardised, it’s hard to beat the convenience of an online conference.</w:t>
      </w:r>
      <w:r w:rsidRPr="00063B20">
        <w:rPr>
          <w:rStyle w:val="apple-converted-space"/>
          <w:rFonts w:ascii="Calibri" w:hAnsi="Calibri"/>
          <w:iCs/>
          <w:color w:val="201F1E"/>
          <w:sz w:val="22"/>
          <w:szCs w:val="22"/>
          <w:bdr w:val="none" w:sz="0" w:space="0" w:color="auto" w:frame="1"/>
        </w:rPr>
        <w:t> </w:t>
      </w:r>
    </w:p>
    <w:p w14:paraId="5A098354" w14:textId="77777777" w:rsidR="00063B20" w:rsidRPr="00063B20" w:rsidRDefault="00063B20" w:rsidP="00063B20">
      <w:pPr>
        <w:pStyle w:val="xmsonormal"/>
        <w:spacing w:before="0" w:beforeAutospacing="0" w:after="0" w:afterAutospacing="0"/>
        <w:rPr>
          <w:rFonts w:ascii="Calibri" w:hAnsi="Calibri"/>
          <w:color w:val="201F1E"/>
          <w:sz w:val="22"/>
          <w:szCs w:val="22"/>
        </w:rPr>
      </w:pPr>
      <w:r w:rsidRPr="00063B20">
        <w:rPr>
          <w:rFonts w:ascii="Calibri" w:hAnsi="Calibri"/>
          <w:iCs/>
          <w:color w:val="201F1E"/>
          <w:sz w:val="22"/>
          <w:szCs w:val="22"/>
          <w:bdr w:val="none" w:sz="0" w:space="0" w:color="auto" w:frame="1"/>
        </w:rPr>
        <w:t> </w:t>
      </w:r>
    </w:p>
    <w:p w14:paraId="3A00112C" w14:textId="0D599BEA" w:rsidR="00063B20" w:rsidRPr="00063B20" w:rsidRDefault="00063B20" w:rsidP="00063B20">
      <w:pPr>
        <w:pStyle w:val="xmsonormal"/>
        <w:spacing w:before="0" w:beforeAutospacing="0" w:after="0" w:afterAutospacing="0"/>
        <w:rPr>
          <w:rFonts w:ascii="Calibri" w:hAnsi="Calibri"/>
          <w:color w:val="201F1E"/>
          <w:sz w:val="22"/>
          <w:szCs w:val="22"/>
        </w:rPr>
      </w:pPr>
      <w:r w:rsidRPr="00063B20">
        <w:rPr>
          <w:rFonts w:ascii="Calibri" w:hAnsi="Calibri"/>
          <w:iCs/>
          <w:color w:val="201F1E"/>
          <w:sz w:val="22"/>
          <w:szCs w:val="22"/>
          <w:bdr w:val="none" w:sz="0" w:space="0" w:color="auto" w:frame="1"/>
        </w:rPr>
        <w:t xml:space="preserve">Our last week’s event is living proof that after the new normal, we are heading into a new future. The </w:t>
      </w:r>
      <w:r w:rsidR="0048589F">
        <w:rPr>
          <w:rFonts w:ascii="Calibri" w:hAnsi="Calibri"/>
          <w:iCs/>
          <w:color w:val="201F1E"/>
          <w:sz w:val="22"/>
          <w:szCs w:val="22"/>
          <w:bdr w:val="none" w:sz="0" w:space="0" w:color="auto" w:frame="1"/>
        </w:rPr>
        <w:t>‘</w:t>
      </w:r>
      <w:r w:rsidRPr="0048589F">
        <w:rPr>
          <w:rFonts w:ascii="Calibri" w:hAnsi="Calibri"/>
          <w:b/>
          <w:iCs/>
          <w:color w:val="201F1E"/>
          <w:sz w:val="22"/>
          <w:szCs w:val="22"/>
          <w:bdr w:val="none" w:sz="0" w:space="0" w:color="auto" w:frame="1"/>
        </w:rPr>
        <w:t xml:space="preserve">International Conference on Business Law Experiences, </w:t>
      </w:r>
      <w:r w:rsidR="0048589F" w:rsidRPr="0048589F">
        <w:rPr>
          <w:rFonts w:ascii="Calibri" w:hAnsi="Calibri"/>
          <w:b/>
          <w:iCs/>
          <w:color w:val="201F1E"/>
          <w:sz w:val="22"/>
          <w:szCs w:val="22"/>
          <w:bdr w:val="none" w:sz="0" w:space="0" w:color="auto" w:frame="1"/>
        </w:rPr>
        <w:t>E</w:t>
      </w:r>
      <w:r w:rsidRPr="0048589F">
        <w:rPr>
          <w:rFonts w:ascii="Calibri" w:hAnsi="Calibri"/>
          <w:b/>
          <w:iCs/>
          <w:color w:val="201F1E"/>
          <w:sz w:val="22"/>
          <w:szCs w:val="22"/>
          <w:bdr w:val="none" w:sz="0" w:space="0" w:color="auto" w:frame="1"/>
        </w:rPr>
        <w:t xml:space="preserve">volutions and </w:t>
      </w:r>
      <w:r w:rsidR="0048589F" w:rsidRPr="0048589F">
        <w:rPr>
          <w:rFonts w:ascii="Calibri" w:hAnsi="Calibri"/>
          <w:b/>
          <w:iCs/>
          <w:color w:val="201F1E"/>
          <w:sz w:val="22"/>
          <w:szCs w:val="22"/>
          <w:bdr w:val="none" w:sz="0" w:space="0" w:color="auto" w:frame="1"/>
        </w:rPr>
        <w:t>P</w:t>
      </w:r>
      <w:r w:rsidRPr="0048589F">
        <w:rPr>
          <w:rFonts w:ascii="Calibri" w:hAnsi="Calibri"/>
          <w:b/>
          <w:iCs/>
          <w:color w:val="201F1E"/>
          <w:sz w:val="22"/>
          <w:szCs w:val="22"/>
          <w:bdr w:val="none" w:sz="0" w:space="0" w:color="auto" w:frame="1"/>
        </w:rPr>
        <w:t xml:space="preserve">erspectives in </w:t>
      </w:r>
      <w:r w:rsidR="0048589F" w:rsidRPr="0048589F">
        <w:rPr>
          <w:rFonts w:ascii="Calibri" w:hAnsi="Calibri"/>
          <w:b/>
          <w:iCs/>
          <w:color w:val="201F1E"/>
          <w:sz w:val="22"/>
          <w:szCs w:val="22"/>
          <w:bdr w:val="none" w:sz="0" w:space="0" w:color="auto" w:frame="1"/>
        </w:rPr>
        <w:t>B</w:t>
      </w:r>
      <w:r w:rsidRPr="0048589F">
        <w:rPr>
          <w:rFonts w:ascii="Calibri" w:hAnsi="Calibri"/>
          <w:b/>
          <w:iCs/>
          <w:color w:val="201F1E"/>
          <w:sz w:val="22"/>
          <w:szCs w:val="22"/>
          <w:bdr w:val="none" w:sz="0" w:space="0" w:color="auto" w:frame="1"/>
        </w:rPr>
        <w:t xml:space="preserve">usiness </w:t>
      </w:r>
      <w:r w:rsidR="0048589F" w:rsidRPr="0048589F">
        <w:rPr>
          <w:rFonts w:ascii="Calibri" w:hAnsi="Calibri"/>
          <w:b/>
          <w:iCs/>
          <w:color w:val="201F1E"/>
          <w:sz w:val="22"/>
          <w:szCs w:val="22"/>
          <w:bdr w:val="none" w:sz="0" w:space="0" w:color="auto" w:frame="1"/>
        </w:rPr>
        <w:t>L</w:t>
      </w:r>
      <w:r w:rsidRPr="0048589F">
        <w:rPr>
          <w:rFonts w:ascii="Calibri" w:hAnsi="Calibri"/>
          <w:b/>
          <w:iCs/>
          <w:color w:val="201F1E"/>
          <w:sz w:val="22"/>
          <w:szCs w:val="22"/>
          <w:bdr w:val="none" w:sz="0" w:space="0" w:color="auto" w:frame="1"/>
        </w:rPr>
        <w:t xml:space="preserve">aw in the </w:t>
      </w:r>
      <w:r w:rsidR="0048589F" w:rsidRPr="0048589F">
        <w:rPr>
          <w:rFonts w:ascii="Calibri" w:hAnsi="Calibri"/>
          <w:b/>
          <w:iCs/>
          <w:color w:val="201F1E"/>
          <w:sz w:val="22"/>
          <w:szCs w:val="22"/>
          <w:bdr w:val="none" w:sz="0" w:space="0" w:color="auto" w:frame="1"/>
        </w:rPr>
        <w:t>P</w:t>
      </w:r>
      <w:r w:rsidRPr="0048589F">
        <w:rPr>
          <w:rFonts w:ascii="Calibri" w:hAnsi="Calibri"/>
          <w:b/>
          <w:iCs/>
          <w:color w:val="201F1E"/>
          <w:sz w:val="22"/>
          <w:szCs w:val="22"/>
          <w:bdr w:val="none" w:sz="0" w:space="0" w:color="auto" w:frame="1"/>
        </w:rPr>
        <w:t xml:space="preserve">ost-pandemic </w:t>
      </w:r>
      <w:r w:rsidR="0048589F" w:rsidRPr="0048589F">
        <w:rPr>
          <w:rFonts w:ascii="Calibri" w:hAnsi="Calibri"/>
          <w:b/>
          <w:iCs/>
          <w:color w:val="201F1E"/>
          <w:sz w:val="22"/>
          <w:szCs w:val="22"/>
          <w:bdr w:val="none" w:sz="0" w:space="0" w:color="auto" w:frame="1"/>
        </w:rPr>
        <w:t>E</w:t>
      </w:r>
      <w:r w:rsidRPr="0048589F">
        <w:rPr>
          <w:rFonts w:ascii="Calibri" w:hAnsi="Calibri"/>
          <w:b/>
          <w:iCs/>
          <w:color w:val="201F1E"/>
          <w:sz w:val="22"/>
          <w:szCs w:val="22"/>
          <w:bdr w:val="none" w:sz="0" w:space="0" w:color="auto" w:frame="1"/>
        </w:rPr>
        <w:t>ra</w:t>
      </w:r>
      <w:r w:rsidR="0048589F" w:rsidRPr="0048589F">
        <w:rPr>
          <w:rFonts w:ascii="Calibri" w:hAnsi="Calibri"/>
          <w:b/>
          <w:iCs/>
          <w:color w:val="201F1E"/>
          <w:sz w:val="22"/>
          <w:szCs w:val="22"/>
          <w:bdr w:val="none" w:sz="0" w:space="0" w:color="auto" w:frame="1"/>
        </w:rPr>
        <w:t>’</w:t>
      </w:r>
      <w:r w:rsidRPr="00063B20">
        <w:rPr>
          <w:rFonts w:ascii="Calibri" w:hAnsi="Calibri"/>
          <w:iCs/>
          <w:color w:val="201F1E"/>
          <w:sz w:val="22"/>
          <w:szCs w:val="22"/>
          <w:bdr w:val="none" w:sz="0" w:space="0" w:color="auto" w:frame="1"/>
        </w:rPr>
        <w:t xml:space="preserve"> took place 13-15 May 2021. </w:t>
      </w:r>
      <w:r w:rsidR="0048589F">
        <w:rPr>
          <w:rFonts w:ascii="Calibri" w:hAnsi="Calibri"/>
          <w:iCs/>
          <w:color w:val="201F1E"/>
          <w:sz w:val="22"/>
          <w:szCs w:val="22"/>
          <w:bdr w:val="none" w:sz="0" w:space="0" w:color="auto" w:frame="1"/>
        </w:rPr>
        <w:t>INSOL Europe</w:t>
      </w:r>
      <w:r w:rsidRPr="00063B20">
        <w:rPr>
          <w:rFonts w:ascii="Calibri" w:hAnsi="Calibri"/>
          <w:iCs/>
          <w:color w:val="201F1E"/>
          <w:sz w:val="22"/>
          <w:szCs w:val="22"/>
          <w:bdr w:val="none" w:sz="0" w:space="0" w:color="auto" w:frame="1"/>
        </w:rPr>
        <w:t xml:space="preserve"> organised the event with the Romanian Institute of Commercial Law and the Faculties of Law of Babeș-Bolyai University, Romanian-American University, Nicolae Titulescu University and Titu Maiorescu University. The conference had no less than 9118 participants, and those numbers just </w:t>
      </w:r>
      <w:r w:rsidR="0048589F">
        <w:rPr>
          <w:rFonts w:ascii="Calibri" w:hAnsi="Calibri"/>
          <w:iCs/>
          <w:color w:val="201F1E"/>
          <w:sz w:val="22"/>
          <w:szCs w:val="22"/>
          <w:bdr w:val="none" w:sz="0" w:space="0" w:color="auto" w:frame="1"/>
        </w:rPr>
        <w:t>kept</w:t>
      </w:r>
      <w:r w:rsidRPr="00063B20">
        <w:rPr>
          <w:rFonts w:ascii="Calibri" w:hAnsi="Calibri"/>
          <w:iCs/>
          <w:color w:val="201F1E"/>
          <w:sz w:val="22"/>
          <w:szCs w:val="22"/>
          <w:bdr w:val="none" w:sz="0" w:space="0" w:color="auto" w:frame="1"/>
        </w:rPr>
        <w:t xml:space="preserve"> growing. A live event for 1000 participants would be difficult to pull off and require six months of organising at least; I can’t imagine the effort necessary for 9</w:t>
      </w:r>
      <w:r w:rsidR="0048589F">
        <w:rPr>
          <w:rFonts w:ascii="Calibri" w:hAnsi="Calibri"/>
          <w:iCs/>
          <w:color w:val="201F1E"/>
          <w:sz w:val="22"/>
          <w:szCs w:val="22"/>
          <w:bdr w:val="none" w:sz="0" w:space="0" w:color="auto" w:frame="1"/>
        </w:rPr>
        <w:t>,</w:t>
      </w:r>
      <w:r w:rsidRPr="00063B20">
        <w:rPr>
          <w:rFonts w:ascii="Calibri" w:hAnsi="Calibri"/>
          <w:iCs/>
          <w:color w:val="201F1E"/>
          <w:sz w:val="22"/>
          <w:szCs w:val="22"/>
          <w:bdr w:val="none" w:sz="0" w:space="0" w:color="auto" w:frame="1"/>
        </w:rPr>
        <w:t>000 participants</w:t>
      </w:r>
      <w:r w:rsidR="0048589F">
        <w:rPr>
          <w:rFonts w:ascii="Calibri" w:hAnsi="Calibri"/>
          <w:iCs/>
          <w:color w:val="201F1E"/>
          <w:sz w:val="22"/>
          <w:szCs w:val="22"/>
          <w:bdr w:val="none" w:sz="0" w:space="0" w:color="auto" w:frame="1"/>
        </w:rPr>
        <w:t>!</w:t>
      </w:r>
    </w:p>
    <w:p w14:paraId="2F9F8ECA" w14:textId="77777777" w:rsidR="00063B20" w:rsidRPr="00063B20" w:rsidRDefault="00063B20" w:rsidP="00063B20">
      <w:pPr>
        <w:pStyle w:val="xmsonormal"/>
        <w:spacing w:before="0" w:beforeAutospacing="0" w:after="0" w:afterAutospacing="0"/>
        <w:rPr>
          <w:rFonts w:ascii="Calibri" w:hAnsi="Calibri"/>
          <w:color w:val="201F1E"/>
          <w:sz w:val="22"/>
          <w:szCs w:val="22"/>
        </w:rPr>
      </w:pPr>
      <w:r w:rsidRPr="00063B20">
        <w:rPr>
          <w:rFonts w:ascii="Calibri" w:hAnsi="Calibri"/>
          <w:iCs/>
          <w:color w:val="201F1E"/>
          <w:sz w:val="22"/>
          <w:szCs w:val="22"/>
          <w:bdr w:val="none" w:sz="0" w:space="0" w:color="auto" w:frame="1"/>
        </w:rPr>
        <w:t> </w:t>
      </w:r>
    </w:p>
    <w:p w14:paraId="1735B201" w14:textId="5795E3A9" w:rsidR="00063B20" w:rsidRPr="00063B20" w:rsidRDefault="00063B20" w:rsidP="00063B20">
      <w:pPr>
        <w:pStyle w:val="xmsonormal"/>
        <w:spacing w:before="0" w:beforeAutospacing="0" w:after="0" w:afterAutospacing="0"/>
        <w:rPr>
          <w:rFonts w:ascii="Calibri" w:hAnsi="Calibri"/>
          <w:color w:val="201F1E"/>
          <w:sz w:val="22"/>
          <w:szCs w:val="22"/>
        </w:rPr>
      </w:pPr>
      <w:r w:rsidRPr="00063B20">
        <w:rPr>
          <w:rFonts w:ascii="Calibri" w:hAnsi="Calibri"/>
          <w:iCs/>
          <w:color w:val="201F1E"/>
          <w:sz w:val="22"/>
          <w:szCs w:val="22"/>
          <w:bdr w:val="none" w:sz="0" w:space="0" w:color="auto" w:frame="1"/>
        </w:rPr>
        <w:t xml:space="preserve">From the participant’s side, at a push of a button, you </w:t>
      </w:r>
      <w:r w:rsidR="0048589F">
        <w:rPr>
          <w:rFonts w:ascii="Calibri" w:hAnsi="Calibri"/>
          <w:iCs/>
          <w:color w:val="201F1E"/>
          <w:sz w:val="22"/>
          <w:szCs w:val="22"/>
          <w:bdr w:val="none" w:sz="0" w:space="0" w:color="auto" w:frame="1"/>
        </w:rPr>
        <w:t>were</w:t>
      </w:r>
      <w:r w:rsidRPr="00063B20">
        <w:rPr>
          <w:rFonts w:ascii="Calibri" w:hAnsi="Calibri"/>
          <w:iCs/>
          <w:color w:val="201F1E"/>
          <w:sz w:val="22"/>
          <w:szCs w:val="22"/>
          <w:bdr w:val="none" w:sz="0" w:space="0" w:color="auto" w:frame="1"/>
        </w:rPr>
        <w:t xml:space="preserve"> transported right there, for example, to </w:t>
      </w:r>
      <w:r w:rsidR="0048589F">
        <w:rPr>
          <w:rFonts w:ascii="Calibri" w:hAnsi="Calibri"/>
          <w:iCs/>
          <w:color w:val="201F1E"/>
          <w:sz w:val="22"/>
          <w:szCs w:val="22"/>
          <w:bdr w:val="none" w:sz="0" w:space="0" w:color="auto" w:frame="1"/>
        </w:rPr>
        <w:t xml:space="preserve">INSOL </w:t>
      </w:r>
      <w:r w:rsidR="00315435">
        <w:rPr>
          <w:rFonts w:ascii="Calibri" w:hAnsi="Calibri"/>
          <w:iCs/>
          <w:color w:val="201F1E"/>
          <w:sz w:val="22"/>
          <w:szCs w:val="22"/>
          <w:bdr w:val="none" w:sz="0" w:space="0" w:color="auto" w:frame="1"/>
        </w:rPr>
        <w:t xml:space="preserve">Europe’s </w:t>
      </w:r>
      <w:r w:rsidR="00315435" w:rsidRPr="00063B20">
        <w:rPr>
          <w:rFonts w:ascii="Calibri" w:hAnsi="Calibri"/>
          <w:iCs/>
          <w:color w:val="201F1E"/>
          <w:sz w:val="22"/>
          <w:szCs w:val="22"/>
          <w:bdr w:val="none" w:sz="0" w:space="0" w:color="auto" w:frame="1"/>
        </w:rPr>
        <w:t>panel</w:t>
      </w:r>
      <w:r w:rsidRPr="00063B20">
        <w:rPr>
          <w:rFonts w:ascii="Calibri" w:hAnsi="Calibri"/>
          <w:iCs/>
          <w:color w:val="201F1E"/>
          <w:sz w:val="22"/>
          <w:szCs w:val="22"/>
          <w:bdr w:val="none" w:sz="0" w:space="0" w:color="auto" w:frame="1"/>
        </w:rPr>
        <w:t xml:space="preserve"> on </w:t>
      </w:r>
      <w:r w:rsidR="0048589F">
        <w:rPr>
          <w:rFonts w:ascii="Calibri" w:hAnsi="Calibri"/>
          <w:iCs/>
          <w:color w:val="201F1E"/>
          <w:sz w:val="22"/>
          <w:szCs w:val="22"/>
          <w:bdr w:val="none" w:sz="0" w:space="0" w:color="auto" w:frame="1"/>
        </w:rPr>
        <w:t>‘</w:t>
      </w:r>
      <w:r w:rsidRPr="00063B20">
        <w:rPr>
          <w:rFonts w:ascii="Calibri" w:hAnsi="Calibri"/>
          <w:iCs/>
          <w:color w:val="201F1E"/>
          <w:sz w:val="22"/>
          <w:szCs w:val="22"/>
          <w:bdr w:val="none" w:sz="0" w:space="0" w:color="auto" w:frame="1"/>
        </w:rPr>
        <w:t>Implementing the Directive 2019/1023</w:t>
      </w:r>
      <w:r w:rsidR="0048589F">
        <w:rPr>
          <w:rFonts w:ascii="Calibri" w:hAnsi="Calibri"/>
          <w:iCs/>
          <w:color w:val="201F1E"/>
          <w:sz w:val="22"/>
          <w:szCs w:val="22"/>
          <w:bdr w:val="none" w:sz="0" w:space="0" w:color="auto" w:frame="1"/>
        </w:rPr>
        <w:t>’</w:t>
      </w:r>
      <w:r w:rsidRPr="00063B20">
        <w:rPr>
          <w:rFonts w:ascii="Calibri" w:hAnsi="Calibri"/>
          <w:iCs/>
          <w:color w:val="201F1E"/>
          <w:sz w:val="22"/>
          <w:szCs w:val="22"/>
          <w:bdr w:val="none" w:sz="0" w:space="0" w:color="auto" w:frame="1"/>
        </w:rPr>
        <w:t>, listening to renowned experts from Germany, UK, Czech Republic and Romania. We were very fortunate to have, during the panel, Prof. Christoph G. Paulus, Prof. Paul J. Omar and Prof. Tomáš Richter, together with the moderator, Prof. univ. Dr. Gheorghe Piperea.</w:t>
      </w:r>
      <w:r w:rsidR="0048589F">
        <w:rPr>
          <w:rFonts w:ascii="Calibri" w:hAnsi="Calibri"/>
          <w:iCs/>
          <w:color w:val="201F1E"/>
          <w:sz w:val="22"/>
          <w:szCs w:val="22"/>
          <w:bdr w:val="none" w:sz="0" w:space="0" w:color="auto" w:frame="1"/>
        </w:rPr>
        <w:t xml:space="preserve"> </w:t>
      </w:r>
      <w:r w:rsidRPr="00063B20">
        <w:rPr>
          <w:rFonts w:ascii="Calibri" w:hAnsi="Calibri"/>
          <w:iCs/>
          <w:color w:val="201F1E"/>
          <w:sz w:val="22"/>
          <w:szCs w:val="22"/>
          <w:bdr w:val="none" w:sz="0" w:space="0" w:color="auto" w:frame="1"/>
        </w:rPr>
        <w:t>The esteemed professors had at their disposal a translated version of the amendments; thus, there were able to make direct recommendations o</w:t>
      </w:r>
      <w:r w:rsidR="0048589F">
        <w:rPr>
          <w:rFonts w:ascii="Calibri" w:hAnsi="Calibri"/>
          <w:iCs/>
          <w:color w:val="201F1E"/>
          <w:sz w:val="22"/>
          <w:szCs w:val="22"/>
          <w:bdr w:val="none" w:sz="0" w:space="0" w:color="auto" w:frame="1"/>
        </w:rPr>
        <w:t>n the implementation project. T</w:t>
      </w:r>
      <w:r w:rsidRPr="00063B20">
        <w:rPr>
          <w:rFonts w:ascii="Calibri" w:hAnsi="Calibri"/>
          <w:iCs/>
          <w:color w:val="201F1E"/>
          <w:sz w:val="22"/>
          <w:szCs w:val="22"/>
          <w:bdr w:val="none" w:sz="0" w:space="0" w:color="auto" w:frame="1"/>
        </w:rPr>
        <w:t>he importance of early warning, the clawback provisions and the necessity for further detailing the stay were a few of the amendments discussed.</w:t>
      </w:r>
    </w:p>
    <w:p w14:paraId="01FA82F2" w14:textId="77777777" w:rsidR="00063B20" w:rsidRPr="00063B20" w:rsidRDefault="00063B20" w:rsidP="00063B20">
      <w:pPr>
        <w:pStyle w:val="xmsonormal"/>
        <w:spacing w:before="0" w:beforeAutospacing="0" w:after="0" w:afterAutospacing="0"/>
        <w:rPr>
          <w:rFonts w:ascii="Calibri" w:hAnsi="Calibri"/>
          <w:color w:val="201F1E"/>
          <w:sz w:val="22"/>
          <w:szCs w:val="22"/>
        </w:rPr>
      </w:pPr>
      <w:r w:rsidRPr="00063B20">
        <w:rPr>
          <w:rFonts w:ascii="Calibri" w:hAnsi="Calibri"/>
          <w:iCs/>
          <w:color w:val="201F1E"/>
          <w:sz w:val="22"/>
          <w:szCs w:val="22"/>
          <w:bdr w:val="none" w:sz="0" w:space="0" w:color="auto" w:frame="1"/>
        </w:rPr>
        <w:t> </w:t>
      </w:r>
    </w:p>
    <w:p w14:paraId="35658E49" w14:textId="77777777" w:rsidR="0048589F" w:rsidRDefault="00063B20" w:rsidP="00063B20">
      <w:pPr>
        <w:pStyle w:val="xmsonormal"/>
        <w:spacing w:before="0" w:beforeAutospacing="0" w:after="0" w:afterAutospacing="0"/>
        <w:rPr>
          <w:rFonts w:ascii="Calibri" w:hAnsi="Calibri"/>
          <w:color w:val="201F1E"/>
          <w:sz w:val="22"/>
          <w:szCs w:val="22"/>
        </w:rPr>
      </w:pPr>
      <w:r w:rsidRPr="00063B20">
        <w:rPr>
          <w:rFonts w:ascii="Calibri" w:hAnsi="Calibri"/>
          <w:iCs/>
          <w:color w:val="201F1E"/>
          <w:sz w:val="22"/>
          <w:szCs w:val="22"/>
          <w:bdr w:val="none" w:sz="0" w:space="0" w:color="auto" w:frame="1"/>
        </w:rPr>
        <w:t xml:space="preserve">Until 2008-2010, in Romania, insolvency was considered bankruptcy, with only a small number of judicial reorganisations - in 2008, about 1% of insolvency procedures. Compared to 2008, in 2018, there were five times more reorganisations procedures, i.e. about 6% of total insolvencies. </w:t>
      </w:r>
      <w:r w:rsidR="0048589F">
        <w:rPr>
          <w:rFonts w:ascii="Calibri" w:hAnsi="Calibri"/>
          <w:iCs/>
          <w:color w:val="201F1E"/>
          <w:sz w:val="22"/>
          <w:szCs w:val="22"/>
          <w:bdr w:val="none" w:sz="0" w:space="0" w:color="auto" w:frame="1"/>
        </w:rPr>
        <w:t xml:space="preserve">You should note that </w:t>
      </w:r>
      <w:r w:rsidRPr="00063B20">
        <w:rPr>
          <w:rFonts w:ascii="Calibri" w:hAnsi="Calibri"/>
          <w:iCs/>
          <w:color w:val="201F1E"/>
          <w:sz w:val="22"/>
          <w:szCs w:val="22"/>
          <w:bdr w:val="none" w:sz="0" w:space="0" w:color="auto" w:frame="1"/>
        </w:rPr>
        <w:t>about 80% of companies that go into insolvency are without any assets, which would indicate an accurate percentage</w:t>
      </w:r>
      <w:r w:rsidR="0048589F">
        <w:rPr>
          <w:rFonts w:ascii="Calibri" w:hAnsi="Calibri"/>
          <w:iCs/>
          <w:color w:val="201F1E"/>
          <w:sz w:val="22"/>
          <w:szCs w:val="22"/>
          <w:bdr w:val="none" w:sz="0" w:space="0" w:color="auto" w:frame="1"/>
        </w:rPr>
        <w:t xml:space="preserve"> of about 24% of reorganisation</w:t>
      </w:r>
      <w:r w:rsidRPr="00063B20">
        <w:rPr>
          <w:rFonts w:ascii="Calibri" w:hAnsi="Calibri"/>
          <w:iCs/>
          <w:color w:val="201F1E"/>
          <w:sz w:val="22"/>
          <w:szCs w:val="22"/>
          <w:bdr w:val="none" w:sz="0" w:space="0" w:color="auto" w:frame="1"/>
        </w:rPr>
        <w:t xml:space="preserve"> procedures of the total insolvencies in which the debtor has assets. Concerning pre-insolvency proceedings, although present in legislation for more than ten years, it has been found that they are rarely accessed: the </w:t>
      </w:r>
      <w:r w:rsidRPr="0048589F">
        <w:rPr>
          <w:rFonts w:ascii="Calibri" w:hAnsi="Calibri"/>
          <w:i/>
          <w:iCs/>
          <w:color w:val="201F1E"/>
          <w:sz w:val="22"/>
          <w:szCs w:val="22"/>
          <w:bdr w:val="none" w:sz="0" w:space="0" w:color="auto" w:frame="1"/>
        </w:rPr>
        <w:t>ad hoc mandate</w:t>
      </w:r>
      <w:r w:rsidRPr="00063B20">
        <w:rPr>
          <w:rFonts w:ascii="Calibri" w:hAnsi="Calibri"/>
          <w:iCs/>
          <w:color w:val="201F1E"/>
          <w:sz w:val="22"/>
          <w:szCs w:val="22"/>
          <w:bdr w:val="none" w:sz="0" w:space="0" w:color="auto" w:frame="1"/>
        </w:rPr>
        <w:t xml:space="preserve"> is scarce in practice, the data regarding the preventive composition indicate a relatively higher interest, for </w:t>
      </w:r>
      <w:r w:rsidRPr="0048589F">
        <w:rPr>
          <w:rFonts w:ascii="Calibri" w:hAnsi="Calibri"/>
          <w:i/>
          <w:iCs/>
          <w:color w:val="201F1E"/>
          <w:sz w:val="22"/>
          <w:szCs w:val="22"/>
          <w:bdr w:val="none" w:sz="0" w:space="0" w:color="auto" w:frame="1"/>
        </w:rPr>
        <w:t>concordats</w:t>
      </w:r>
      <w:r w:rsidRPr="00063B20">
        <w:rPr>
          <w:rFonts w:ascii="Calibri" w:hAnsi="Calibri"/>
          <w:iCs/>
          <w:color w:val="201F1E"/>
          <w:sz w:val="22"/>
          <w:szCs w:val="22"/>
          <w:bdr w:val="none" w:sz="0" w:space="0" w:color="auto" w:frame="1"/>
        </w:rPr>
        <w:t xml:space="preserve"> – a little over 80 procedures, with a success rate of 8.75%. This is an indication of structural deficiencies in the regulation of this restructuring instrument and a mindset of entrepreneurs.</w:t>
      </w:r>
    </w:p>
    <w:p w14:paraId="5375B948" w14:textId="77777777" w:rsidR="0048589F" w:rsidRDefault="0048589F" w:rsidP="00063B20">
      <w:pPr>
        <w:pStyle w:val="xmsonormal"/>
        <w:spacing w:before="0" w:beforeAutospacing="0" w:after="0" w:afterAutospacing="0"/>
        <w:rPr>
          <w:rFonts w:ascii="Calibri" w:hAnsi="Calibri"/>
          <w:color w:val="201F1E"/>
          <w:sz w:val="22"/>
          <w:szCs w:val="22"/>
        </w:rPr>
      </w:pPr>
    </w:p>
    <w:p w14:paraId="4B2DA416" w14:textId="14EE07A0" w:rsidR="00063B20" w:rsidRPr="00063B20" w:rsidRDefault="00063B20" w:rsidP="00063B20">
      <w:pPr>
        <w:pStyle w:val="xmsonormal"/>
        <w:spacing w:before="0" w:beforeAutospacing="0" w:after="0" w:afterAutospacing="0"/>
        <w:rPr>
          <w:rFonts w:ascii="Calibri" w:hAnsi="Calibri"/>
          <w:color w:val="201F1E"/>
          <w:sz w:val="22"/>
          <w:szCs w:val="22"/>
        </w:rPr>
      </w:pPr>
      <w:r w:rsidRPr="00063B20">
        <w:rPr>
          <w:rFonts w:ascii="Calibri" w:hAnsi="Calibri"/>
          <w:iCs/>
          <w:color w:val="201F1E"/>
          <w:sz w:val="22"/>
          <w:szCs w:val="22"/>
          <w:bdr w:val="none" w:sz="0" w:space="0" w:color="auto" w:frame="1"/>
        </w:rPr>
        <w:t>Even though the Directive was adopted before the COVID-19 pandemic hit the world, given its efficient solutions for the affected companies, it is a welcoming addition to the Romanian legislation on</w:t>
      </w:r>
      <w:r w:rsidR="0048589F">
        <w:rPr>
          <w:rFonts w:ascii="Calibri" w:hAnsi="Calibri"/>
          <w:iCs/>
          <w:color w:val="201F1E"/>
          <w:sz w:val="22"/>
          <w:szCs w:val="22"/>
          <w:bdr w:val="none" w:sz="0" w:space="0" w:color="auto" w:frame="1"/>
        </w:rPr>
        <w:t xml:space="preserve"> restructuring and insolvency. </w:t>
      </w:r>
      <w:r w:rsidRPr="00063B20">
        <w:rPr>
          <w:rFonts w:ascii="Calibri" w:hAnsi="Calibri"/>
          <w:iCs/>
          <w:color w:val="201F1E"/>
          <w:sz w:val="22"/>
          <w:szCs w:val="22"/>
          <w:bdr w:val="none" w:sz="0" w:space="0" w:color="auto" w:frame="1"/>
        </w:rPr>
        <w:t>Keeping our economy alive in these difficult times will be one of our main goals in years to come, and implementing the Directive into national legislation indeed is a step in the right direction</w:t>
      </w:r>
      <w:r w:rsidR="0048589F">
        <w:rPr>
          <w:rFonts w:ascii="Calibri" w:hAnsi="Calibri"/>
          <w:iCs/>
          <w:color w:val="201F1E"/>
          <w:sz w:val="22"/>
          <w:szCs w:val="22"/>
          <w:bdr w:val="none" w:sz="0" w:space="0" w:color="auto" w:frame="1"/>
        </w:rPr>
        <w:t>.</w:t>
      </w:r>
    </w:p>
    <w:p w14:paraId="6DC4CBC5" w14:textId="504C6E6A" w:rsidR="00063B20" w:rsidRPr="00063B20" w:rsidRDefault="00063B20" w:rsidP="00063B20">
      <w:pPr>
        <w:pStyle w:val="xmsonormal"/>
        <w:spacing w:before="0" w:beforeAutospacing="0" w:after="0" w:afterAutospacing="0"/>
        <w:rPr>
          <w:rFonts w:ascii="Calibri" w:hAnsi="Calibri"/>
          <w:color w:val="201F1E"/>
          <w:sz w:val="22"/>
          <w:szCs w:val="22"/>
        </w:rPr>
      </w:pPr>
      <w:r w:rsidRPr="00063B20">
        <w:rPr>
          <w:rFonts w:ascii="Calibri" w:hAnsi="Calibri"/>
          <w:iCs/>
          <w:color w:val="201F1E"/>
          <w:sz w:val="22"/>
          <w:szCs w:val="22"/>
          <w:bdr w:val="none" w:sz="0" w:space="0" w:color="auto" w:frame="1"/>
        </w:rPr>
        <w:t> </w:t>
      </w:r>
    </w:p>
    <w:p w14:paraId="31CA25C0" w14:textId="77777777" w:rsidR="00063B20" w:rsidRPr="00063B20" w:rsidRDefault="00063B20" w:rsidP="00063B20">
      <w:pPr>
        <w:pStyle w:val="xmsonormal"/>
        <w:spacing w:before="0" w:beforeAutospacing="0" w:after="0" w:afterAutospacing="0"/>
        <w:textAlignment w:val="baseline"/>
        <w:rPr>
          <w:rFonts w:ascii="Calibri" w:hAnsi="Calibri"/>
          <w:color w:val="201F1E"/>
          <w:sz w:val="22"/>
          <w:szCs w:val="22"/>
        </w:rPr>
      </w:pPr>
      <w:r w:rsidRPr="00063B20">
        <w:rPr>
          <w:rFonts w:ascii="Calibri" w:hAnsi="Calibri"/>
          <w:b/>
          <w:bCs/>
          <w:color w:val="000000"/>
          <w:sz w:val="22"/>
          <w:szCs w:val="22"/>
          <w:bdr w:val="none" w:sz="0" w:space="0" w:color="auto" w:frame="1"/>
        </w:rPr>
        <w:t>Niculina Șomlea</w:t>
      </w:r>
    </w:p>
    <w:p w14:paraId="331700DB" w14:textId="77777777" w:rsidR="00063B20" w:rsidRPr="00063B20" w:rsidRDefault="00063B20" w:rsidP="00063B20">
      <w:pPr>
        <w:pStyle w:val="xmsonormal"/>
        <w:spacing w:before="0" w:beforeAutospacing="0" w:after="0" w:afterAutospacing="0"/>
        <w:textAlignment w:val="baseline"/>
        <w:rPr>
          <w:rFonts w:ascii="Calibri" w:hAnsi="Calibri"/>
          <w:color w:val="201F1E"/>
          <w:sz w:val="22"/>
          <w:szCs w:val="22"/>
        </w:rPr>
      </w:pPr>
      <w:r w:rsidRPr="00063B20">
        <w:rPr>
          <w:rFonts w:ascii="Calibri" w:hAnsi="Calibri"/>
          <w:color w:val="000000"/>
          <w:sz w:val="22"/>
          <w:szCs w:val="22"/>
          <w:bdr w:val="none" w:sz="0" w:space="0" w:color="auto" w:frame="1"/>
        </w:rPr>
        <w:t>Co-ordinator to Eastern European Countries' Committee (EECC)</w:t>
      </w:r>
    </w:p>
    <w:p w14:paraId="14889DB0" w14:textId="77777777" w:rsidR="00733038" w:rsidRPr="00063B20" w:rsidRDefault="00315435">
      <w:pPr>
        <w:rPr>
          <w:rFonts w:ascii="Calibri" w:hAnsi="Calibri"/>
          <w:sz w:val="22"/>
          <w:szCs w:val="22"/>
        </w:rPr>
      </w:pPr>
    </w:p>
    <w:sectPr w:rsidR="00733038" w:rsidRPr="00063B20" w:rsidSect="00705E2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20"/>
    <w:rsid w:val="00063B20"/>
    <w:rsid w:val="000A54D8"/>
    <w:rsid w:val="001416FD"/>
    <w:rsid w:val="00256637"/>
    <w:rsid w:val="00263F30"/>
    <w:rsid w:val="00315435"/>
    <w:rsid w:val="0043063D"/>
    <w:rsid w:val="004558AE"/>
    <w:rsid w:val="00456B65"/>
    <w:rsid w:val="0046214C"/>
    <w:rsid w:val="0048589F"/>
    <w:rsid w:val="004F48E8"/>
    <w:rsid w:val="00545764"/>
    <w:rsid w:val="005D1B47"/>
    <w:rsid w:val="00610CFE"/>
    <w:rsid w:val="00642848"/>
    <w:rsid w:val="00705E2B"/>
    <w:rsid w:val="00740E4C"/>
    <w:rsid w:val="007D58FC"/>
    <w:rsid w:val="008639A3"/>
    <w:rsid w:val="008844DC"/>
    <w:rsid w:val="00A92A5F"/>
    <w:rsid w:val="00B4099B"/>
    <w:rsid w:val="00C7045D"/>
    <w:rsid w:val="00C70EAA"/>
    <w:rsid w:val="00D12F7A"/>
    <w:rsid w:val="00D451C1"/>
    <w:rsid w:val="00D75E9F"/>
    <w:rsid w:val="00E03651"/>
    <w:rsid w:val="00E27C1C"/>
    <w:rsid w:val="00E643ED"/>
    <w:rsid w:val="00EA2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F7BA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63B20"/>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063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394337">
      <w:bodyDiv w:val="1"/>
      <w:marLeft w:val="0"/>
      <w:marRight w:val="0"/>
      <w:marTop w:val="0"/>
      <w:marBottom w:val="0"/>
      <w:divBdr>
        <w:top w:val="none" w:sz="0" w:space="0" w:color="auto"/>
        <w:left w:val="none" w:sz="0" w:space="0" w:color="auto"/>
        <w:bottom w:val="none" w:sz="0" w:space="0" w:color="auto"/>
        <w:right w:val="none" w:sz="0" w:space="0" w:color="auto"/>
      </w:divBdr>
      <w:divsChild>
        <w:div w:id="2016640681">
          <w:marLeft w:val="0"/>
          <w:marRight w:val="0"/>
          <w:marTop w:val="0"/>
          <w:marBottom w:val="0"/>
          <w:divBdr>
            <w:top w:val="none" w:sz="0" w:space="0" w:color="auto"/>
            <w:left w:val="none" w:sz="0" w:space="0" w:color="auto"/>
            <w:bottom w:val="none" w:sz="0" w:space="0" w:color="auto"/>
            <w:right w:val="none" w:sz="0" w:space="0" w:color="auto"/>
          </w:divBdr>
          <w:divsChild>
            <w:div w:id="428084998">
              <w:marLeft w:val="0"/>
              <w:marRight w:val="0"/>
              <w:marTop w:val="0"/>
              <w:marBottom w:val="0"/>
              <w:divBdr>
                <w:top w:val="none" w:sz="0" w:space="0" w:color="auto"/>
                <w:left w:val="none" w:sz="0" w:space="0" w:color="auto"/>
                <w:bottom w:val="none" w:sz="0" w:space="0" w:color="auto"/>
                <w:right w:val="none" w:sz="0" w:space="0" w:color="auto"/>
              </w:divBdr>
              <w:divsChild>
                <w:div w:id="15197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532</Words>
  <Characters>3037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Newson</dc:creator>
  <cp:keywords/>
  <dc:description/>
  <cp:lastModifiedBy>Paul Newson</cp:lastModifiedBy>
  <cp:revision>3</cp:revision>
  <dcterms:created xsi:type="dcterms:W3CDTF">2021-05-26T08:55:00Z</dcterms:created>
  <dcterms:modified xsi:type="dcterms:W3CDTF">2021-05-26T10:45:00Z</dcterms:modified>
</cp:coreProperties>
</file>