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67773DA1" w:rsidR="005D783E" w:rsidRPr="00753FB5" w:rsidRDefault="005D783E" w:rsidP="003C338F">
      <w:pPr>
        <w:tabs>
          <w:tab w:val="left" w:pos="474"/>
        </w:tabs>
        <w:spacing w:after="0"/>
        <w:contextualSpacing/>
        <w:rPr>
          <w:rFonts w:ascii="Times New Roman" w:hAnsi="Times New Roman"/>
          <w:sz w:val="24"/>
          <w:szCs w:val="24"/>
        </w:rPr>
      </w:pPr>
      <w:bookmarkStart w:id="0" w:name="_GoBack"/>
      <w:bookmarkEnd w:id="0"/>
    </w:p>
    <w:p w14:paraId="39E9118B" w14:textId="561C5F5A" w:rsidR="00617533" w:rsidRPr="00753FB5" w:rsidRDefault="00492065" w:rsidP="008609CB">
      <w:pPr>
        <w:spacing w:after="0"/>
        <w:contextualSpacing/>
        <w:jc w:val="center"/>
        <w:rPr>
          <w:rFonts w:ascii="Times New Roman" w:hAnsi="Times New Roman"/>
          <w:b/>
          <w:sz w:val="24"/>
          <w:szCs w:val="24"/>
        </w:rPr>
      </w:pPr>
      <w:r w:rsidRPr="00753FB5">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753FB5" w:rsidRDefault="00617533" w:rsidP="008609CB">
      <w:pPr>
        <w:spacing w:after="0"/>
        <w:contextualSpacing/>
        <w:jc w:val="center"/>
        <w:rPr>
          <w:rFonts w:ascii="Times New Roman" w:hAnsi="Times New Roman"/>
          <w:b/>
          <w:sz w:val="24"/>
          <w:szCs w:val="24"/>
        </w:rPr>
      </w:pPr>
    </w:p>
    <w:p w14:paraId="2C7EFD65" w14:textId="0E3CD208" w:rsidR="00617533" w:rsidRPr="00753FB5" w:rsidRDefault="00617533" w:rsidP="008609CB">
      <w:pPr>
        <w:spacing w:after="0"/>
        <w:contextualSpacing/>
        <w:jc w:val="center"/>
        <w:rPr>
          <w:rFonts w:ascii="Times New Roman" w:hAnsi="Times New Roman"/>
          <w:b/>
          <w:sz w:val="36"/>
          <w:szCs w:val="36"/>
        </w:rPr>
      </w:pPr>
      <w:r w:rsidRPr="00753FB5">
        <w:rPr>
          <w:rFonts w:ascii="Times New Roman" w:hAnsi="Times New Roman"/>
          <w:b/>
          <w:sz w:val="36"/>
          <w:szCs w:val="36"/>
        </w:rPr>
        <w:t xml:space="preserve">Inside Story – </w:t>
      </w:r>
      <w:r w:rsidR="00D90E9D" w:rsidRPr="00753FB5">
        <w:rPr>
          <w:rFonts w:ascii="Times New Roman" w:hAnsi="Times New Roman"/>
          <w:b/>
          <w:sz w:val="36"/>
          <w:szCs w:val="36"/>
        </w:rPr>
        <w:t>May</w:t>
      </w:r>
      <w:r w:rsidR="00786CA6" w:rsidRPr="00753FB5">
        <w:rPr>
          <w:rFonts w:ascii="Times New Roman" w:hAnsi="Times New Roman"/>
          <w:b/>
          <w:sz w:val="36"/>
          <w:szCs w:val="36"/>
        </w:rPr>
        <w:t xml:space="preserve"> </w:t>
      </w:r>
      <w:r w:rsidRPr="00753FB5">
        <w:rPr>
          <w:rFonts w:ascii="Times New Roman" w:hAnsi="Times New Roman"/>
          <w:b/>
          <w:sz w:val="36"/>
          <w:szCs w:val="36"/>
        </w:rPr>
        <w:t>20</w:t>
      </w:r>
      <w:r w:rsidR="00782731" w:rsidRPr="00753FB5">
        <w:rPr>
          <w:rFonts w:ascii="Times New Roman" w:hAnsi="Times New Roman"/>
          <w:b/>
          <w:sz w:val="36"/>
          <w:szCs w:val="36"/>
        </w:rPr>
        <w:t>2</w:t>
      </w:r>
      <w:r w:rsidR="00CB7636" w:rsidRPr="00753FB5">
        <w:rPr>
          <w:rFonts w:ascii="Times New Roman" w:hAnsi="Times New Roman"/>
          <w:b/>
          <w:sz w:val="36"/>
          <w:szCs w:val="36"/>
        </w:rPr>
        <w:t>1</w:t>
      </w:r>
    </w:p>
    <w:p w14:paraId="1ECBC4F0" w14:textId="77777777" w:rsidR="00617533" w:rsidRPr="00753FB5" w:rsidRDefault="00617533" w:rsidP="008609CB">
      <w:pPr>
        <w:spacing w:after="0"/>
        <w:contextualSpacing/>
        <w:jc w:val="center"/>
        <w:rPr>
          <w:rFonts w:ascii="Times New Roman" w:hAnsi="Times New Roman"/>
          <w:b/>
          <w:sz w:val="24"/>
          <w:szCs w:val="24"/>
        </w:rPr>
      </w:pPr>
    </w:p>
    <w:p w14:paraId="458F00F8" w14:textId="63E1D5C2" w:rsidR="001E7A6F" w:rsidRPr="00753FB5" w:rsidRDefault="00D90E9D" w:rsidP="00A21078">
      <w:pPr>
        <w:spacing w:after="0"/>
        <w:contextualSpacing/>
        <w:jc w:val="center"/>
        <w:rPr>
          <w:rFonts w:ascii="Times New Roman" w:hAnsi="Times New Roman"/>
          <w:b/>
          <w:bCs/>
          <w:sz w:val="28"/>
          <w:szCs w:val="28"/>
        </w:rPr>
      </w:pPr>
      <w:r w:rsidRPr="00753FB5">
        <w:rPr>
          <w:rFonts w:ascii="Times New Roman" w:hAnsi="Times New Roman"/>
          <w:b/>
          <w:bCs/>
          <w:sz w:val="28"/>
          <w:szCs w:val="28"/>
        </w:rPr>
        <w:t>For Great Ills, Great Remedies! The New Extraordinary Proceedings for the Economic Sustainability of Businesses</w:t>
      </w:r>
    </w:p>
    <w:p w14:paraId="75DFE654" w14:textId="77777777" w:rsidR="00E71E7B" w:rsidRPr="00753FB5" w:rsidRDefault="00E71E7B" w:rsidP="008609CB">
      <w:pPr>
        <w:spacing w:after="0"/>
        <w:contextualSpacing/>
        <w:jc w:val="center"/>
        <w:rPr>
          <w:rFonts w:ascii="Times New Roman" w:hAnsi="Times New Roman"/>
          <w:sz w:val="24"/>
          <w:szCs w:val="24"/>
        </w:rPr>
      </w:pPr>
    </w:p>
    <w:p w14:paraId="716971A7" w14:textId="5B4E8F61" w:rsidR="00104015" w:rsidRPr="00753FB5" w:rsidRDefault="00D90E9D" w:rsidP="00D90E9D">
      <w:pPr>
        <w:pStyle w:val="NoSpacing"/>
        <w:jc w:val="center"/>
        <w:rPr>
          <w:rFonts w:ascii="Times New Roman" w:hAnsi="Times New Roman" w:cs="Times New Roman"/>
          <w:i/>
          <w:iCs/>
          <w:shd w:val="clear" w:color="auto" w:fill="FFFFFF"/>
          <w:lang w:val="en-GB"/>
        </w:rPr>
      </w:pPr>
      <w:r w:rsidRPr="00753FB5">
        <w:rPr>
          <w:rFonts w:ascii="Times New Roman" w:hAnsi="Times New Roman" w:cs="Times New Roman"/>
          <w:i/>
          <w:iCs/>
          <w:lang w:val="en-GB"/>
        </w:rPr>
        <w:t>Catarina Serra, Justice of the Supreme Court,</w:t>
      </w:r>
      <w:r w:rsidR="007E03E6">
        <w:rPr>
          <w:rFonts w:ascii="Times New Roman" w:hAnsi="Times New Roman" w:cs="Times New Roman"/>
          <w:i/>
          <w:iCs/>
          <w:lang w:val="en-GB"/>
        </w:rPr>
        <w:t xml:space="preserve"> Professor, University of Minho (Braga),</w:t>
      </w:r>
      <w:r w:rsidRPr="00753FB5">
        <w:rPr>
          <w:rFonts w:ascii="Times New Roman" w:hAnsi="Times New Roman" w:cs="Times New Roman"/>
          <w:i/>
          <w:iCs/>
          <w:lang w:val="en-GB"/>
        </w:rPr>
        <w:t xml:space="preserve"> Portugal</w:t>
      </w:r>
      <w:r w:rsidR="002331CA" w:rsidRPr="00753FB5">
        <w:rPr>
          <w:rFonts w:ascii="Times New Roman" w:hAnsi="Times New Roman" w:cs="Times New Roman"/>
          <w:i/>
          <w:iCs/>
          <w:lang w:val="en-GB"/>
        </w:rPr>
        <w:t xml:space="preserve">; </w:t>
      </w:r>
      <w:r w:rsidR="002331CA" w:rsidRPr="00753FB5">
        <w:rPr>
          <w:rFonts w:ascii="Times New Roman" w:hAnsi="Times New Roman" w:cs="Times New Roman"/>
          <w:i/>
          <w:iCs/>
          <w:shd w:val="clear" w:color="auto" w:fill="FFFFFF"/>
          <w:lang w:val="en-GB"/>
        </w:rPr>
        <w:t>Email: &lt;</w:t>
      </w:r>
      <w:r w:rsidRPr="00753FB5">
        <w:rPr>
          <w:rFonts w:ascii="Times New Roman" w:hAnsi="Times New Roman" w:cs="Times New Roman"/>
          <w:i/>
          <w:iCs/>
          <w:lang w:val="en-GB"/>
        </w:rPr>
        <w:t>cssserra@gmail.com</w:t>
      </w:r>
      <w:r w:rsidR="002331CA" w:rsidRPr="00753FB5">
        <w:rPr>
          <w:rFonts w:ascii="Times New Roman" w:hAnsi="Times New Roman" w:cs="Times New Roman"/>
          <w:i/>
          <w:iCs/>
          <w:shd w:val="clear" w:color="auto" w:fill="FFFFFF"/>
          <w:lang w:val="en-GB"/>
        </w:rPr>
        <w:t>&gt;</w:t>
      </w:r>
      <w:r w:rsidR="001E7A6F" w:rsidRPr="00753FB5">
        <w:rPr>
          <w:rFonts w:ascii="Times New Roman" w:hAnsi="Times New Roman" w:cs="Times New Roman"/>
          <w:i/>
          <w:iCs/>
          <w:shd w:val="clear" w:color="auto" w:fill="FFFFFF"/>
          <w:lang w:val="en-GB"/>
        </w:rPr>
        <w:t>.</w:t>
      </w:r>
    </w:p>
    <w:p w14:paraId="127C267D" w14:textId="77777777" w:rsidR="00E71E7B" w:rsidRPr="00753FB5" w:rsidRDefault="00E71E7B" w:rsidP="001E7A6F">
      <w:pPr>
        <w:spacing w:after="0"/>
        <w:contextualSpacing/>
        <w:rPr>
          <w:rFonts w:ascii="Times New Roman" w:hAnsi="Times New Roman"/>
          <w:i/>
          <w:sz w:val="24"/>
          <w:szCs w:val="24"/>
        </w:rPr>
      </w:pPr>
    </w:p>
    <w:p w14:paraId="3FDD4E1F" w14:textId="3DA5C6B1" w:rsidR="00E71E7B" w:rsidRPr="00753FB5" w:rsidRDefault="00E71E7B" w:rsidP="00D90E9D">
      <w:pPr>
        <w:spacing w:after="0"/>
        <w:contextualSpacing/>
        <w:rPr>
          <w:rFonts w:ascii="Times New Roman" w:hAnsi="Times New Roman"/>
          <w:sz w:val="24"/>
          <w:szCs w:val="24"/>
        </w:rPr>
      </w:pPr>
      <w:r w:rsidRPr="00753FB5">
        <w:rPr>
          <w:rFonts w:ascii="Times New Roman" w:hAnsi="Times New Roman"/>
          <w:i/>
          <w:iCs/>
          <w:sz w:val="24"/>
          <w:szCs w:val="24"/>
        </w:rPr>
        <w:t>Introduction</w:t>
      </w:r>
    </w:p>
    <w:p w14:paraId="022788C5" w14:textId="77777777" w:rsidR="00E71E7B" w:rsidRPr="00753FB5" w:rsidRDefault="00E71E7B" w:rsidP="00D90E9D">
      <w:pPr>
        <w:spacing w:after="0"/>
        <w:contextualSpacing/>
        <w:rPr>
          <w:rFonts w:ascii="Times New Roman" w:hAnsi="Times New Roman"/>
          <w:sz w:val="24"/>
          <w:szCs w:val="24"/>
        </w:rPr>
      </w:pPr>
    </w:p>
    <w:p w14:paraId="178666F9" w14:textId="7DC64998" w:rsidR="00D90E9D" w:rsidRPr="00753FB5" w:rsidRDefault="00D90E9D" w:rsidP="00D90E9D">
      <w:pPr>
        <w:spacing w:after="0"/>
        <w:rPr>
          <w:rFonts w:ascii="Times New Roman" w:hAnsi="Times New Roman"/>
          <w:sz w:val="24"/>
          <w:szCs w:val="24"/>
        </w:rPr>
      </w:pPr>
      <w:r w:rsidRPr="00753FB5">
        <w:rPr>
          <w:rFonts w:ascii="Times New Roman" w:hAnsi="Times New Roman"/>
          <w:sz w:val="24"/>
          <w:szCs w:val="24"/>
        </w:rPr>
        <w:t>Since the early days of the pandemic, the Portuguese legislator has taken several extraordinary measures to help businesses: the deferral of specific obligations, namely tax obligations and social security contributions, bank loans, performance in lease contracts; a furlough scheme for employees; the opening of lines of credit, just to name a few. As far as insolvency law is concerned, the only measure for a long time has been the suspension of the duty to file for insolvency. The usefulness of such a measure is, however, limited, given the fact that, to begin with, the creditors and the debtor itself retains the right to request the opening of the insolvency proceedings.</w:t>
      </w:r>
      <w:r w:rsidRPr="00753FB5">
        <w:rPr>
          <w:rStyle w:val="FootnoteReference"/>
          <w:rFonts w:ascii="Times New Roman" w:hAnsi="Times New Roman"/>
          <w:sz w:val="24"/>
          <w:szCs w:val="24"/>
        </w:rPr>
        <w:footnoteReference w:id="1"/>
      </w:r>
    </w:p>
    <w:p w14:paraId="036FCF45" w14:textId="7777777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7352626C" w14:textId="10DA778C"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More recently, Law No. 75/2020 of 27 November 2020 introduced additional measures, from which stand out the new extraordinary proceedings designed to allow the swift restructuring of businesses affected by the COVID-19 crisis (Articles 6 to 15).</w:t>
      </w:r>
      <w:r w:rsidRPr="00753FB5">
        <w:rPr>
          <w:rStyle w:val="FootnoteReference"/>
          <w:rFonts w:ascii="Times New Roman" w:hAnsi="Times New Roman"/>
          <w:sz w:val="24"/>
          <w:szCs w:val="24"/>
        </w:rPr>
        <w:footnoteReference w:id="2"/>
      </w:r>
      <w:r w:rsidRPr="00753FB5">
        <w:rPr>
          <w:rFonts w:ascii="Times New Roman" w:hAnsi="Times New Roman"/>
          <w:sz w:val="24"/>
          <w:szCs w:val="24"/>
        </w:rPr>
        <w:t xml:space="preserve"> The national legislator has put into practice the old saying “for great ills, great remedies” and created extraordinary proceedings for an extraordinary crisis.</w:t>
      </w:r>
      <w:r w:rsidRPr="00753FB5">
        <w:rPr>
          <w:rFonts w:ascii="Times New Roman" w:hAnsi="Times New Roman"/>
          <w:sz w:val="24"/>
          <w:szCs w:val="24"/>
          <w:lang w:eastAsia="pt-PT"/>
        </w:rPr>
        <w:t xml:space="preserve"> </w:t>
      </w:r>
      <w:r w:rsidRPr="00753FB5">
        <w:rPr>
          <w:rFonts w:ascii="Times New Roman" w:hAnsi="Times New Roman"/>
          <w:sz w:val="24"/>
          <w:szCs w:val="24"/>
        </w:rPr>
        <w:t>But are these proceedings the (most) appropriate tool to meet the actual needs of the businesses (companies and entrepreneurs)?</w:t>
      </w:r>
    </w:p>
    <w:p w14:paraId="3A96D161" w14:textId="2828F2DA"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pt-PT"/>
        </w:rPr>
      </w:pPr>
    </w:p>
    <w:p w14:paraId="45F9697D" w14:textId="3150AF61"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iCs/>
          <w:sz w:val="24"/>
          <w:szCs w:val="24"/>
          <w:lang w:eastAsia="pt-PT"/>
        </w:rPr>
      </w:pPr>
      <w:r w:rsidRPr="00753FB5">
        <w:rPr>
          <w:rFonts w:ascii="Times New Roman" w:hAnsi="Times New Roman"/>
          <w:i/>
          <w:iCs/>
          <w:sz w:val="24"/>
          <w:szCs w:val="24"/>
          <w:lang w:eastAsia="pt-PT"/>
        </w:rPr>
        <w:t>Extraordinary Proceedings?</w:t>
      </w:r>
    </w:p>
    <w:p w14:paraId="1202C409" w14:textId="7777777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pt-PT"/>
        </w:rPr>
      </w:pPr>
    </w:p>
    <w:p w14:paraId="46EB51BA" w14:textId="1CB2966F"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Despite being extraordinary, the new proceedings – the extraordinary proceedings for the </w:t>
      </w:r>
      <w:r w:rsidRPr="00753FB5">
        <w:rPr>
          <w:rFonts w:ascii="Times New Roman" w:hAnsi="Times New Roman"/>
          <w:bCs/>
          <w:iCs/>
          <w:sz w:val="24"/>
          <w:szCs w:val="24"/>
        </w:rPr>
        <w:t>economic sustainability of businesses, as they are called</w:t>
      </w:r>
      <w:r w:rsidRPr="00753FB5">
        <w:rPr>
          <w:rStyle w:val="FootnoteReference"/>
          <w:rFonts w:ascii="Times New Roman" w:hAnsi="Times New Roman"/>
          <w:sz w:val="24"/>
          <w:szCs w:val="24"/>
        </w:rPr>
        <w:footnoteReference w:id="3"/>
      </w:r>
      <w:r w:rsidRPr="00753FB5">
        <w:rPr>
          <w:rFonts w:ascii="Times New Roman" w:hAnsi="Times New Roman"/>
          <w:bCs/>
          <w:iCs/>
          <w:sz w:val="24"/>
          <w:szCs w:val="24"/>
        </w:rPr>
        <w:t xml:space="preserve"> –</w:t>
      </w:r>
      <w:r w:rsidRPr="00753FB5">
        <w:rPr>
          <w:rFonts w:ascii="Times New Roman" w:hAnsi="Times New Roman"/>
          <w:sz w:val="24"/>
          <w:szCs w:val="24"/>
        </w:rPr>
        <w:t xml:space="preserve"> are very similar to other proceedings available in Portuguese law since 2012 called “Special Revitalisation </w:t>
      </w:r>
      <w:r w:rsidRPr="00753FB5">
        <w:rPr>
          <w:rFonts w:ascii="Times New Roman" w:hAnsi="Times New Roman"/>
          <w:sz w:val="24"/>
          <w:szCs w:val="24"/>
        </w:rPr>
        <w:lastRenderedPageBreak/>
        <w:t>Proceedings”.</w:t>
      </w:r>
      <w:r w:rsidRPr="00753FB5">
        <w:rPr>
          <w:rStyle w:val="FootnoteReference"/>
          <w:rFonts w:ascii="Times New Roman" w:hAnsi="Times New Roman"/>
          <w:sz w:val="24"/>
          <w:szCs w:val="24"/>
        </w:rPr>
        <w:footnoteReference w:id="4"/>
      </w:r>
      <w:r w:rsidRPr="00753FB5">
        <w:rPr>
          <w:rFonts w:ascii="Times New Roman" w:hAnsi="Times New Roman"/>
          <w:sz w:val="24"/>
          <w:szCs w:val="24"/>
        </w:rPr>
        <w:t xml:space="preserve"> </w:t>
      </w:r>
      <w:r w:rsidRPr="00753FB5">
        <w:rPr>
          <w:rStyle w:val="jlqj4b"/>
          <w:rFonts w:ascii="Times New Roman" w:hAnsi="Times New Roman"/>
          <w:sz w:val="24"/>
          <w:szCs w:val="24"/>
        </w:rPr>
        <w:t xml:space="preserve">They both </w:t>
      </w:r>
      <w:r w:rsidRPr="00753FB5">
        <w:rPr>
          <w:rFonts w:ascii="Times New Roman" w:hAnsi="Times New Roman"/>
          <w:sz w:val="24"/>
          <w:szCs w:val="24"/>
        </w:rPr>
        <w:t xml:space="preserve">fall into </w:t>
      </w:r>
      <w:r w:rsidRPr="00753FB5">
        <w:rPr>
          <w:rStyle w:val="jlqj4b"/>
          <w:rFonts w:ascii="Times New Roman" w:hAnsi="Times New Roman"/>
          <w:sz w:val="24"/>
          <w:szCs w:val="24"/>
        </w:rPr>
        <w:t>the</w:t>
      </w:r>
      <w:r w:rsidRPr="00753FB5">
        <w:rPr>
          <w:rFonts w:ascii="Times New Roman" w:hAnsi="Times New Roman"/>
          <w:sz w:val="24"/>
          <w:szCs w:val="24"/>
        </w:rPr>
        <w:t xml:space="preserve"> category</w:t>
      </w:r>
      <w:r w:rsidRPr="00753FB5">
        <w:rPr>
          <w:rStyle w:val="jlqj4b"/>
          <w:rFonts w:ascii="Times New Roman" w:hAnsi="Times New Roman"/>
          <w:sz w:val="24"/>
          <w:szCs w:val="24"/>
        </w:rPr>
        <w:t xml:space="preserve"> of the </w:t>
      </w:r>
      <w:r w:rsidRPr="00753FB5">
        <w:rPr>
          <w:rFonts w:ascii="Times New Roman" w:hAnsi="Times New Roman"/>
          <w:sz w:val="24"/>
          <w:szCs w:val="24"/>
        </w:rPr>
        <w:t>proceedings known</w:t>
      </w:r>
      <w:r w:rsidRPr="00753FB5">
        <w:rPr>
          <w:rStyle w:val="jlqj4b"/>
          <w:rFonts w:ascii="Times New Roman" w:hAnsi="Times New Roman"/>
          <w:sz w:val="24"/>
          <w:szCs w:val="24"/>
        </w:rPr>
        <w:t xml:space="preserve"> as “fast-track</w:t>
      </w:r>
      <w:r w:rsidRPr="00753FB5">
        <w:rPr>
          <w:rFonts w:ascii="Times New Roman" w:hAnsi="Times New Roman"/>
          <w:sz w:val="24"/>
          <w:szCs w:val="24"/>
        </w:rPr>
        <w:t>-</w:t>
      </w:r>
      <w:r w:rsidRPr="00753FB5">
        <w:rPr>
          <w:rStyle w:val="jlqj4b"/>
          <w:rFonts w:ascii="Times New Roman" w:hAnsi="Times New Roman"/>
          <w:sz w:val="24"/>
          <w:szCs w:val="24"/>
        </w:rPr>
        <w:t>court-approval-procedures” (</w:t>
      </w:r>
      <w:r w:rsidRPr="00753FB5">
        <w:rPr>
          <w:rFonts w:ascii="Times New Roman" w:hAnsi="Times New Roman"/>
          <w:sz w:val="24"/>
          <w:szCs w:val="24"/>
        </w:rPr>
        <w:t xml:space="preserve">accelerated procedures aimed at the judicial confirmation </w:t>
      </w:r>
      <w:r w:rsidRPr="00753FB5">
        <w:rPr>
          <w:rStyle w:val="jlqj4b"/>
          <w:rFonts w:ascii="Times New Roman" w:hAnsi="Times New Roman"/>
          <w:sz w:val="24"/>
          <w:szCs w:val="24"/>
        </w:rPr>
        <w:t xml:space="preserve">of a restructuring plan) and </w:t>
      </w:r>
      <w:r w:rsidRPr="00753FB5">
        <w:rPr>
          <w:rFonts w:ascii="Times New Roman" w:hAnsi="Times New Roman"/>
          <w:sz w:val="24"/>
          <w:szCs w:val="24"/>
        </w:rPr>
        <w:t>serve to overcome the limits of contractual relativity, to enable out-of-court agreements to become binding on all creditors, including the dissenting creditors and the creditors who have not even participated in the negotiations.</w:t>
      </w:r>
    </w:p>
    <w:p w14:paraId="0A41E7D0" w14:textId="7777777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4CAB1E18" w14:textId="1622CEAD"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Naturally, there are differences. First of all, the new proceedings are temporary, meaning the tool is in force for a limited period (until 31 December 2021, although with the possibility of </w:t>
      </w:r>
      <w:r w:rsidRPr="00753FB5">
        <w:rPr>
          <w:rStyle w:val="jlqj4b"/>
          <w:rFonts w:ascii="Times New Roman" w:hAnsi="Times New Roman"/>
          <w:sz w:val="24"/>
          <w:szCs w:val="24"/>
        </w:rPr>
        <w:t>extension)</w:t>
      </w:r>
      <w:r w:rsidRPr="00753FB5">
        <w:rPr>
          <w:rFonts w:ascii="Times New Roman" w:hAnsi="Times New Roman"/>
          <w:sz w:val="24"/>
          <w:szCs w:val="24"/>
        </w:rPr>
        <w:t xml:space="preserve"> </w:t>
      </w:r>
      <w:r w:rsidRPr="00753FB5">
        <w:rPr>
          <w:rStyle w:val="jlqj4b"/>
          <w:rFonts w:ascii="Times New Roman" w:hAnsi="Times New Roman"/>
          <w:sz w:val="24"/>
          <w:szCs w:val="24"/>
        </w:rPr>
        <w:t>(Article 18</w:t>
      </w:r>
      <w:r w:rsidRPr="00753FB5">
        <w:rPr>
          <w:rFonts w:ascii="Times New Roman" w:hAnsi="Times New Roman"/>
          <w:sz w:val="24"/>
          <w:szCs w:val="24"/>
        </w:rPr>
        <w:t xml:space="preserve">, </w:t>
      </w:r>
      <w:r w:rsidRPr="00753FB5">
        <w:rPr>
          <w:rStyle w:val="jlqj4b"/>
          <w:rFonts w:ascii="Times New Roman" w:hAnsi="Times New Roman"/>
          <w:sz w:val="24"/>
          <w:szCs w:val="24"/>
        </w:rPr>
        <w:t>1/2).</w:t>
      </w:r>
      <w:r w:rsidRPr="00753FB5">
        <w:rPr>
          <w:rFonts w:ascii="Times New Roman" w:hAnsi="Times New Roman"/>
          <w:sz w:val="24"/>
          <w:szCs w:val="24"/>
        </w:rPr>
        <w:t xml:space="preserve"> Then, they are more urgent than the other proceedings that are also insolvency and pre-insolvency related (Article 6, 6). Lastly, they are free of costs to the debtor (Article 15). Lastly, they are single use, that is, they are usable only once (Article 9, 15).</w:t>
      </w:r>
    </w:p>
    <w:p w14:paraId="7853EAF1" w14:textId="7777777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6A6736C0" w14:textId="360FF7CF"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It is, however, on the substantive level that the real differences (and, consequently, the peculiarities of the new proceedings) unveil. While the other are typical pre-insolvency proceedings, the new proceedings are applicable both when there is a likelihood of insolvency</w:t>
      </w:r>
      <w:r w:rsidRPr="00753FB5">
        <w:rPr>
          <w:rStyle w:val="FootnoteReference"/>
          <w:rFonts w:ascii="Times New Roman" w:hAnsi="Times New Roman"/>
          <w:sz w:val="24"/>
          <w:szCs w:val="24"/>
        </w:rPr>
        <w:footnoteReference w:id="5"/>
      </w:r>
      <w:r w:rsidRPr="00753FB5">
        <w:rPr>
          <w:rFonts w:ascii="Times New Roman" w:hAnsi="Times New Roman"/>
          <w:sz w:val="24"/>
          <w:szCs w:val="24"/>
        </w:rPr>
        <w:t xml:space="preserve"> and where there is actual insolvency. In either case, this is provided the situation is caused by the COVID-19 crisis (Article 6, 1). In accordance with Article 6, 3, it is necessary to demonstrate that, by 31 December 2019, the business had a positive balance sheet, i.e., the value of the </w:t>
      </w:r>
      <w:r w:rsidRPr="00753FB5">
        <w:rPr>
          <w:rStyle w:val="hgkelc"/>
          <w:rFonts w:ascii="Times New Roman" w:hAnsi="Times New Roman"/>
          <w:sz w:val="24"/>
          <w:szCs w:val="24"/>
        </w:rPr>
        <w:t>assets exceeded the liabilities</w:t>
      </w:r>
      <w:r w:rsidRPr="00753FB5">
        <w:rPr>
          <w:rFonts w:ascii="Times New Roman" w:hAnsi="Times New Roman"/>
          <w:sz w:val="24"/>
          <w:szCs w:val="24"/>
        </w:rPr>
        <w:t>.</w:t>
      </w:r>
    </w:p>
    <w:p w14:paraId="316FBCC0" w14:textId="7777777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48605074" w14:textId="71F3D9A8"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Supposedly, a positive balance sheet at that point demonstrates the causal link between the current situation of the business and the COVID-19 crisis. As a matter of fact, this is not completely true: </w:t>
      </w:r>
      <w:r w:rsidRPr="00753FB5">
        <w:rPr>
          <w:rStyle w:val="jlqj4b"/>
          <w:rFonts w:ascii="Times New Roman" w:hAnsi="Times New Roman"/>
          <w:sz w:val="24"/>
          <w:szCs w:val="24"/>
        </w:rPr>
        <w:t xml:space="preserve">according to Portuguese </w:t>
      </w:r>
      <w:r w:rsidR="00753FB5" w:rsidRPr="00753FB5">
        <w:rPr>
          <w:rStyle w:val="jlqj4b"/>
          <w:rFonts w:ascii="Times New Roman" w:hAnsi="Times New Roman"/>
          <w:sz w:val="24"/>
          <w:szCs w:val="24"/>
        </w:rPr>
        <w:t>l</w:t>
      </w:r>
      <w:r w:rsidRPr="00753FB5">
        <w:rPr>
          <w:rStyle w:val="jlqj4b"/>
          <w:rFonts w:ascii="Times New Roman" w:hAnsi="Times New Roman"/>
          <w:sz w:val="24"/>
          <w:szCs w:val="24"/>
        </w:rPr>
        <w:t>aw,</w:t>
      </w:r>
      <w:r w:rsidRPr="00753FB5">
        <w:rPr>
          <w:rFonts w:ascii="Times New Roman" w:hAnsi="Times New Roman"/>
          <w:sz w:val="24"/>
          <w:szCs w:val="24"/>
        </w:rPr>
        <w:t xml:space="preserve"> actual insolvency is the inability to pay debts as they fall due (Article 3, 1, of the Insolvency Act), therefore it is possible that the business is insolvent</w:t>
      </w:r>
      <w:r w:rsidR="00753FB5" w:rsidRPr="00753FB5">
        <w:rPr>
          <w:rFonts w:ascii="Times New Roman" w:hAnsi="Times New Roman"/>
          <w:sz w:val="24"/>
          <w:szCs w:val="24"/>
        </w:rPr>
        <w:t>,</w:t>
      </w:r>
      <w:r w:rsidRPr="00753FB5">
        <w:rPr>
          <w:rFonts w:ascii="Times New Roman" w:hAnsi="Times New Roman"/>
          <w:sz w:val="24"/>
          <w:szCs w:val="24"/>
        </w:rPr>
        <w:t xml:space="preserve"> even though the assets exceed the liabilities and vice-versa. The bottom line is: the new proceedings are accessible to businesses whose insolvency is not COVID-19-related and may be prohibited to other</w:t>
      </w:r>
      <w:r w:rsidR="00753FB5" w:rsidRPr="00753FB5">
        <w:rPr>
          <w:rFonts w:ascii="Times New Roman" w:hAnsi="Times New Roman"/>
          <w:sz w:val="24"/>
          <w:szCs w:val="24"/>
        </w:rPr>
        <w:t>s</w:t>
      </w:r>
      <w:r w:rsidRPr="00753FB5">
        <w:rPr>
          <w:rFonts w:ascii="Times New Roman" w:hAnsi="Times New Roman"/>
          <w:sz w:val="24"/>
          <w:szCs w:val="24"/>
        </w:rPr>
        <w:t xml:space="preserve"> which are not and have never been insolvent.</w:t>
      </w:r>
    </w:p>
    <w:p w14:paraId="32F20921"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2AAB713A" w14:textId="77777777" w:rsidR="00753FB5"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Another – a second – relevant difference between the </w:t>
      </w:r>
      <w:r w:rsidRPr="00753FB5">
        <w:rPr>
          <w:rStyle w:val="jlqj4b"/>
          <w:rFonts w:ascii="Times New Roman" w:hAnsi="Times New Roman"/>
          <w:sz w:val="24"/>
          <w:szCs w:val="24"/>
        </w:rPr>
        <w:t>new proceedings and the other</w:t>
      </w:r>
      <w:r w:rsidR="00753FB5" w:rsidRPr="00753FB5">
        <w:rPr>
          <w:rStyle w:val="jlqj4b"/>
          <w:rFonts w:ascii="Times New Roman" w:hAnsi="Times New Roman"/>
          <w:sz w:val="24"/>
          <w:szCs w:val="24"/>
        </w:rPr>
        <w:t>s</w:t>
      </w:r>
      <w:r w:rsidRPr="00753FB5">
        <w:rPr>
          <w:rStyle w:val="jlqj4b"/>
          <w:rFonts w:ascii="Times New Roman" w:hAnsi="Times New Roman"/>
          <w:sz w:val="24"/>
          <w:szCs w:val="24"/>
        </w:rPr>
        <w:t xml:space="preserve"> </w:t>
      </w:r>
      <w:r w:rsidRPr="00753FB5">
        <w:rPr>
          <w:rFonts w:ascii="Times New Roman" w:hAnsi="Times New Roman"/>
          <w:sz w:val="24"/>
          <w:szCs w:val="24"/>
        </w:rPr>
        <w:t xml:space="preserve">is the total absence, in the former, of a procedural stage for the lodging of claims. The new proceedings are, naturally, opened at the request of the debtor. This request is instructed with multiple documents, namely the restructuring plan, which must have been adopted by the legally required majority </w:t>
      </w:r>
      <w:r w:rsidR="00753FB5" w:rsidRPr="00753FB5">
        <w:rPr>
          <w:rFonts w:ascii="Times New Roman" w:hAnsi="Times New Roman"/>
          <w:sz w:val="24"/>
          <w:szCs w:val="24"/>
        </w:rPr>
        <w:t>(</w:t>
      </w:r>
      <w:r w:rsidRPr="00753FB5">
        <w:rPr>
          <w:rFonts w:ascii="Times New Roman" w:hAnsi="Times New Roman"/>
          <w:sz w:val="24"/>
          <w:szCs w:val="24"/>
        </w:rPr>
        <w:t xml:space="preserve">Article 7, 1, </w:t>
      </w:r>
      <w:r w:rsidRPr="00753FB5">
        <w:rPr>
          <w:rFonts w:ascii="Times New Roman" w:hAnsi="Times New Roman"/>
          <w:i/>
          <w:sz w:val="24"/>
          <w:szCs w:val="24"/>
        </w:rPr>
        <w:t>d</w:t>
      </w:r>
      <w:r w:rsidRPr="00753FB5">
        <w:rPr>
          <w:rFonts w:ascii="Times New Roman" w:hAnsi="Times New Roman"/>
          <w:iCs/>
          <w:sz w:val="24"/>
          <w:szCs w:val="24"/>
        </w:rPr>
        <w:t>)</w:t>
      </w:r>
      <w:r w:rsidRPr="00753FB5">
        <w:rPr>
          <w:rFonts w:ascii="Times New Roman" w:hAnsi="Times New Roman"/>
          <w:sz w:val="24"/>
          <w:szCs w:val="24"/>
        </w:rPr>
        <w:t xml:space="preserve">, and the alphabetical list of creditors, drawn up by the debtor </w:t>
      </w:r>
      <w:r w:rsidR="00753FB5" w:rsidRPr="00753FB5">
        <w:rPr>
          <w:rFonts w:ascii="Times New Roman" w:hAnsi="Times New Roman"/>
          <w:sz w:val="24"/>
          <w:szCs w:val="24"/>
        </w:rPr>
        <w:t>(</w:t>
      </w:r>
      <w:r w:rsidRPr="00753FB5">
        <w:rPr>
          <w:rFonts w:ascii="Times New Roman" w:hAnsi="Times New Roman"/>
          <w:sz w:val="24"/>
          <w:szCs w:val="24"/>
        </w:rPr>
        <w:t xml:space="preserve">Article 7, 1, </w:t>
      </w:r>
      <w:r w:rsidRPr="00753FB5">
        <w:rPr>
          <w:rFonts w:ascii="Times New Roman" w:hAnsi="Times New Roman"/>
          <w:i/>
          <w:sz w:val="24"/>
          <w:szCs w:val="24"/>
        </w:rPr>
        <w:t>c</w:t>
      </w:r>
      <w:r w:rsidRPr="00753FB5">
        <w:rPr>
          <w:rFonts w:ascii="Times New Roman" w:hAnsi="Times New Roman"/>
          <w:iCs/>
          <w:sz w:val="24"/>
          <w:szCs w:val="24"/>
        </w:rPr>
        <w:t>)</w:t>
      </w:r>
      <w:r w:rsidRPr="00753FB5">
        <w:rPr>
          <w:rFonts w:ascii="Times New Roman" w:hAnsi="Times New Roman"/>
          <w:sz w:val="24"/>
          <w:szCs w:val="24"/>
        </w:rPr>
        <w:t>. It is this list which, at first, serves as the basis for the court to verify the adoption of the plan for the purpose of opening the proceedings.</w:t>
      </w:r>
    </w:p>
    <w:p w14:paraId="06AA15C5"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16AC2B5A" w14:textId="77777777" w:rsidR="00753FB5"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At a later stage, this list is challenged by the creditors and becomes final. It will then serve as the basis for the court to confirm, for the second time, the adoption of the plan for the purpose of its judicial confirmation. This is to say: it all revolves around the list of creditors submitted by the debtor, contrary to what usually happens (the list is submitted to the court by the insolvency practitioner after the spontaneous lodging of the claims by the creditors). This </w:t>
      </w:r>
      <w:r w:rsidRPr="00753FB5">
        <w:rPr>
          <w:rFonts w:ascii="Times New Roman" w:hAnsi="Times New Roman"/>
          <w:sz w:val="24"/>
          <w:szCs w:val="24"/>
        </w:rPr>
        <w:lastRenderedPageBreak/>
        <w:t>certainly undermines or, in the least, reduces the possibility to determine with precision the definitive universe of creditors, but it is what allows the proceedings to be (more) accelerated.</w:t>
      </w:r>
    </w:p>
    <w:p w14:paraId="55C02FDA"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0E658777" w14:textId="6CCC96E9"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An ultimate difference lies on the fact that, in the new proceedings, the court has the power/the duty to </w:t>
      </w:r>
      <w:r w:rsidR="00753FB5" w:rsidRPr="00753FB5">
        <w:rPr>
          <w:rFonts w:ascii="Times New Roman" w:hAnsi="Times New Roman"/>
          <w:sz w:val="24"/>
          <w:szCs w:val="24"/>
        </w:rPr>
        <w:t>analyse</w:t>
      </w:r>
      <w:r w:rsidRPr="00753FB5">
        <w:rPr>
          <w:rFonts w:ascii="Times New Roman" w:hAnsi="Times New Roman"/>
          <w:sz w:val="24"/>
          <w:szCs w:val="24"/>
        </w:rPr>
        <w:t xml:space="preserve"> the plan with a view to verify that it presents a reasonable </w:t>
      </w:r>
      <w:r w:rsidRPr="00753FB5">
        <w:rPr>
          <w:rStyle w:val="jlqj4b"/>
          <w:rFonts w:ascii="Times New Roman" w:hAnsi="Times New Roman"/>
          <w:sz w:val="24"/>
          <w:szCs w:val="24"/>
        </w:rPr>
        <w:t>prospect of ensuring the restructuring</w:t>
      </w:r>
      <w:r w:rsidRPr="00753FB5">
        <w:rPr>
          <w:rFonts w:ascii="Times New Roman" w:hAnsi="Times New Roman"/>
          <w:sz w:val="24"/>
          <w:szCs w:val="24"/>
        </w:rPr>
        <w:t xml:space="preserve"> of the business </w:t>
      </w:r>
      <w:r w:rsidR="00753FB5" w:rsidRPr="00753FB5">
        <w:rPr>
          <w:rFonts w:ascii="Times New Roman" w:hAnsi="Times New Roman"/>
          <w:sz w:val="24"/>
          <w:szCs w:val="24"/>
        </w:rPr>
        <w:t>(</w:t>
      </w:r>
      <w:r w:rsidRPr="00753FB5">
        <w:rPr>
          <w:rFonts w:ascii="Times New Roman" w:hAnsi="Times New Roman"/>
          <w:sz w:val="24"/>
          <w:szCs w:val="24"/>
        </w:rPr>
        <w:t xml:space="preserve">Article 9, 4, (b) </w:t>
      </w:r>
      <w:r w:rsidRPr="00753FB5">
        <w:rPr>
          <w:rFonts w:ascii="Times New Roman" w:hAnsi="Times New Roman"/>
          <w:i/>
          <w:sz w:val="24"/>
          <w:szCs w:val="24"/>
        </w:rPr>
        <w:t>(ii)</w:t>
      </w:r>
      <w:r w:rsidR="00753FB5" w:rsidRPr="00753FB5">
        <w:rPr>
          <w:rFonts w:ascii="Times New Roman" w:hAnsi="Times New Roman"/>
          <w:sz w:val="24"/>
          <w:szCs w:val="24"/>
        </w:rPr>
        <w:t>)</w:t>
      </w:r>
      <w:r w:rsidRPr="00753FB5">
        <w:rPr>
          <w:rFonts w:ascii="Times New Roman" w:hAnsi="Times New Roman"/>
          <w:sz w:val="24"/>
          <w:szCs w:val="24"/>
        </w:rPr>
        <w:t>. This means that the court has the power/the duty to refuse the confirmation of the restructuring plan if it lacks a reasonable prospect of ensuring the (economic) viability of the business</w:t>
      </w:r>
      <w:r w:rsidR="00753FB5" w:rsidRPr="00753FB5">
        <w:rPr>
          <w:rFonts w:ascii="Times New Roman" w:hAnsi="Times New Roman"/>
          <w:sz w:val="24"/>
          <w:szCs w:val="24"/>
        </w:rPr>
        <w:t>.</w:t>
      </w:r>
      <w:r w:rsidRPr="00753FB5">
        <w:rPr>
          <w:rStyle w:val="FootnoteReference"/>
          <w:rFonts w:ascii="Times New Roman" w:hAnsi="Times New Roman"/>
          <w:sz w:val="24"/>
          <w:szCs w:val="24"/>
        </w:rPr>
        <w:footnoteReference w:id="6"/>
      </w:r>
      <w:r w:rsidRPr="00753FB5">
        <w:rPr>
          <w:rFonts w:ascii="Times New Roman" w:hAnsi="Times New Roman"/>
          <w:sz w:val="24"/>
          <w:szCs w:val="24"/>
        </w:rPr>
        <w:t xml:space="preserve"> Let us have a closer look at this feature and the difficulties </w:t>
      </w:r>
      <w:r w:rsidR="00753FB5" w:rsidRPr="00753FB5">
        <w:rPr>
          <w:rFonts w:ascii="Times New Roman" w:hAnsi="Times New Roman"/>
          <w:sz w:val="24"/>
          <w:szCs w:val="24"/>
        </w:rPr>
        <w:t xml:space="preserve">that </w:t>
      </w:r>
      <w:r w:rsidRPr="00753FB5">
        <w:rPr>
          <w:rFonts w:ascii="Times New Roman" w:hAnsi="Times New Roman"/>
          <w:sz w:val="24"/>
          <w:szCs w:val="24"/>
        </w:rPr>
        <w:t xml:space="preserve">may </w:t>
      </w:r>
      <w:r w:rsidR="00753FB5" w:rsidRPr="00753FB5">
        <w:rPr>
          <w:rFonts w:ascii="Times New Roman" w:hAnsi="Times New Roman"/>
          <w:sz w:val="24"/>
          <w:szCs w:val="24"/>
        </w:rPr>
        <w:t>arise</w:t>
      </w:r>
      <w:r w:rsidRPr="00753FB5">
        <w:rPr>
          <w:rFonts w:ascii="Times New Roman" w:hAnsi="Times New Roman"/>
          <w:sz w:val="24"/>
          <w:szCs w:val="24"/>
        </w:rPr>
        <w:t>.</w:t>
      </w:r>
    </w:p>
    <w:p w14:paraId="680A9D98" w14:textId="0A8F4302" w:rsidR="00D90E9D" w:rsidRPr="00753FB5" w:rsidRDefault="00D90E9D" w:rsidP="00D90E9D">
      <w:pPr>
        <w:spacing w:after="0"/>
        <w:rPr>
          <w:rFonts w:ascii="Times New Roman" w:hAnsi="Times New Roman"/>
          <w:sz w:val="24"/>
          <w:szCs w:val="24"/>
        </w:rPr>
      </w:pPr>
    </w:p>
    <w:p w14:paraId="350A5D59" w14:textId="7539120C" w:rsidR="00753FB5" w:rsidRPr="00753FB5" w:rsidRDefault="00753FB5" w:rsidP="00D90E9D">
      <w:pPr>
        <w:spacing w:after="0"/>
        <w:rPr>
          <w:rFonts w:ascii="Times New Roman" w:hAnsi="Times New Roman"/>
          <w:i/>
          <w:iCs/>
          <w:sz w:val="24"/>
          <w:szCs w:val="24"/>
        </w:rPr>
      </w:pPr>
      <w:r w:rsidRPr="00753FB5">
        <w:rPr>
          <w:rFonts w:ascii="Times New Roman" w:hAnsi="Times New Roman"/>
          <w:i/>
          <w:iCs/>
          <w:sz w:val="24"/>
          <w:szCs w:val="24"/>
        </w:rPr>
        <w:t>Verifying Viability and Plan Feasibility</w:t>
      </w:r>
    </w:p>
    <w:p w14:paraId="03AE53BE" w14:textId="77777777" w:rsidR="00753FB5" w:rsidRPr="00753FB5" w:rsidRDefault="00753FB5" w:rsidP="00D90E9D">
      <w:pPr>
        <w:spacing w:after="0"/>
        <w:rPr>
          <w:rFonts w:ascii="Times New Roman" w:hAnsi="Times New Roman"/>
          <w:sz w:val="24"/>
          <w:szCs w:val="24"/>
        </w:rPr>
      </w:pPr>
    </w:p>
    <w:p w14:paraId="6E88C08D" w14:textId="1D2BE96A" w:rsidR="00D90E9D" w:rsidRPr="00753FB5" w:rsidRDefault="00D90E9D" w:rsidP="00D90E9D">
      <w:pPr>
        <w:spacing w:after="0"/>
        <w:rPr>
          <w:rFonts w:ascii="Times New Roman" w:hAnsi="Times New Roman"/>
          <w:sz w:val="24"/>
          <w:szCs w:val="24"/>
        </w:rPr>
      </w:pPr>
      <w:r w:rsidRPr="00753FB5">
        <w:rPr>
          <w:rFonts w:ascii="Times New Roman" w:hAnsi="Times New Roman"/>
          <w:sz w:val="24"/>
          <w:szCs w:val="24"/>
        </w:rPr>
        <w:t>In this regard</w:t>
      </w:r>
      <w:r w:rsidR="00753FB5" w:rsidRPr="00753FB5">
        <w:rPr>
          <w:rFonts w:ascii="Times New Roman" w:hAnsi="Times New Roman"/>
          <w:sz w:val="24"/>
          <w:szCs w:val="24"/>
        </w:rPr>
        <w:t>,</w:t>
      </w:r>
      <w:r w:rsidRPr="00753FB5">
        <w:rPr>
          <w:rFonts w:ascii="Times New Roman" w:hAnsi="Times New Roman"/>
          <w:sz w:val="24"/>
          <w:szCs w:val="24"/>
        </w:rPr>
        <w:t xml:space="preserve"> it should be said that it is the first time that the Portuguese </w:t>
      </w:r>
      <w:r w:rsidR="00753FB5" w:rsidRPr="00753FB5">
        <w:rPr>
          <w:rFonts w:ascii="Times New Roman" w:hAnsi="Times New Roman"/>
          <w:sz w:val="24"/>
          <w:szCs w:val="24"/>
        </w:rPr>
        <w:t>l</w:t>
      </w:r>
      <w:r w:rsidRPr="00753FB5">
        <w:rPr>
          <w:rFonts w:ascii="Times New Roman" w:hAnsi="Times New Roman"/>
          <w:sz w:val="24"/>
          <w:szCs w:val="24"/>
        </w:rPr>
        <w:t xml:space="preserve">aw gives the court powers/duties to </w:t>
      </w:r>
      <w:r w:rsidRPr="00753FB5">
        <w:rPr>
          <w:rStyle w:val="jlqj4b"/>
          <w:rFonts w:ascii="Times New Roman" w:hAnsi="Times New Roman"/>
          <w:sz w:val="24"/>
          <w:szCs w:val="24"/>
        </w:rPr>
        <w:t>verify the feasibility of</w:t>
      </w:r>
      <w:r w:rsidRPr="00753FB5">
        <w:rPr>
          <w:rFonts w:ascii="Times New Roman" w:hAnsi="Times New Roman"/>
          <w:sz w:val="24"/>
          <w:szCs w:val="24"/>
        </w:rPr>
        <w:t xml:space="preserve"> the</w:t>
      </w:r>
      <w:r w:rsidRPr="00753FB5">
        <w:rPr>
          <w:rStyle w:val="jlqj4b"/>
          <w:rFonts w:ascii="Times New Roman" w:hAnsi="Times New Roman"/>
          <w:sz w:val="24"/>
          <w:szCs w:val="24"/>
        </w:rPr>
        <w:t xml:space="preserve"> plan</w:t>
      </w:r>
      <w:r w:rsidR="00753FB5" w:rsidRPr="00753FB5">
        <w:rPr>
          <w:rStyle w:val="jlqj4b"/>
          <w:rFonts w:ascii="Times New Roman" w:hAnsi="Times New Roman"/>
          <w:sz w:val="24"/>
          <w:szCs w:val="24"/>
        </w:rPr>
        <w:t>.</w:t>
      </w:r>
      <w:r w:rsidRPr="00753FB5">
        <w:rPr>
          <w:rStyle w:val="FootnoteReference"/>
          <w:rFonts w:ascii="Times New Roman" w:hAnsi="Times New Roman"/>
          <w:sz w:val="24"/>
          <w:szCs w:val="24"/>
        </w:rPr>
        <w:footnoteReference w:id="7"/>
      </w:r>
      <w:r w:rsidR="00753FB5" w:rsidRPr="00753FB5">
        <w:rPr>
          <w:rFonts w:ascii="Times New Roman" w:hAnsi="Times New Roman"/>
          <w:sz w:val="24"/>
          <w:szCs w:val="24"/>
        </w:rPr>
        <w:t xml:space="preserve"> </w:t>
      </w:r>
      <w:r w:rsidRPr="00753FB5">
        <w:rPr>
          <w:rFonts w:ascii="Times New Roman" w:hAnsi="Times New Roman"/>
          <w:sz w:val="24"/>
          <w:szCs w:val="24"/>
        </w:rPr>
        <w:t>The le</w:t>
      </w:r>
      <w:r w:rsidR="00753FB5" w:rsidRPr="00753FB5">
        <w:rPr>
          <w:rFonts w:ascii="Times New Roman" w:hAnsi="Times New Roman"/>
          <w:sz w:val="24"/>
          <w:szCs w:val="24"/>
        </w:rPr>
        <w:t>g</w:t>
      </w:r>
      <w:r w:rsidRPr="00753FB5">
        <w:rPr>
          <w:rFonts w:ascii="Times New Roman" w:hAnsi="Times New Roman"/>
          <w:sz w:val="24"/>
          <w:szCs w:val="24"/>
        </w:rPr>
        <w:t xml:space="preserve">islator was certainly trying to introduce something new in the proceedings or, more than that, something that evokes the </w:t>
      </w:r>
      <w:r w:rsidR="00753FB5" w:rsidRPr="00753FB5">
        <w:rPr>
          <w:rFonts w:ascii="Times New Roman" w:hAnsi="Times New Roman"/>
          <w:sz w:val="24"/>
          <w:szCs w:val="24"/>
        </w:rPr>
        <w:t xml:space="preserve">Preventive Restructuring </w:t>
      </w:r>
      <w:r w:rsidRPr="00753FB5">
        <w:rPr>
          <w:rFonts w:ascii="Times New Roman" w:hAnsi="Times New Roman"/>
          <w:sz w:val="24"/>
          <w:szCs w:val="24"/>
        </w:rPr>
        <w:t>Directive</w:t>
      </w:r>
      <w:r w:rsidR="00753FB5" w:rsidRPr="00753FB5">
        <w:rPr>
          <w:rFonts w:ascii="Times New Roman" w:hAnsi="Times New Roman"/>
          <w:sz w:val="24"/>
          <w:szCs w:val="24"/>
        </w:rPr>
        <w:t xml:space="preserve"> (PRD).</w:t>
      </w:r>
      <w:r w:rsidRPr="00753FB5">
        <w:rPr>
          <w:rStyle w:val="FootnoteReference"/>
          <w:rFonts w:ascii="Times New Roman" w:hAnsi="Times New Roman"/>
          <w:sz w:val="24"/>
          <w:szCs w:val="24"/>
        </w:rPr>
        <w:footnoteReference w:id="8"/>
      </w:r>
      <w:r w:rsidRPr="00753FB5">
        <w:rPr>
          <w:rFonts w:ascii="Times New Roman" w:hAnsi="Times New Roman"/>
          <w:sz w:val="24"/>
          <w:szCs w:val="24"/>
        </w:rPr>
        <w:t xml:space="preserve"> As a matter of fact, Article 10</w:t>
      </w:r>
      <w:r w:rsidR="00753FB5" w:rsidRPr="00753FB5">
        <w:rPr>
          <w:rFonts w:ascii="Times New Roman" w:hAnsi="Times New Roman"/>
          <w:sz w:val="24"/>
          <w:szCs w:val="24"/>
        </w:rPr>
        <w:t>(</w:t>
      </w:r>
      <w:r w:rsidRPr="00753FB5">
        <w:rPr>
          <w:rFonts w:ascii="Times New Roman" w:hAnsi="Times New Roman"/>
          <w:sz w:val="24"/>
          <w:szCs w:val="24"/>
        </w:rPr>
        <w:t>3</w:t>
      </w:r>
      <w:r w:rsidR="00753FB5" w:rsidRPr="00753FB5">
        <w:rPr>
          <w:rFonts w:ascii="Times New Roman" w:hAnsi="Times New Roman"/>
          <w:sz w:val="24"/>
          <w:szCs w:val="24"/>
        </w:rPr>
        <w:t>)</w:t>
      </w:r>
      <w:r w:rsidRPr="00753FB5">
        <w:rPr>
          <w:rFonts w:ascii="Times New Roman" w:hAnsi="Times New Roman"/>
          <w:sz w:val="24"/>
          <w:szCs w:val="24"/>
        </w:rPr>
        <w:t xml:space="preserve"> of the </w:t>
      </w:r>
      <w:r w:rsidR="00753FB5" w:rsidRPr="00753FB5">
        <w:rPr>
          <w:rFonts w:ascii="Times New Roman" w:hAnsi="Times New Roman"/>
          <w:sz w:val="24"/>
          <w:szCs w:val="24"/>
        </w:rPr>
        <w:t xml:space="preserve">PRD </w:t>
      </w:r>
      <w:r w:rsidRPr="00753FB5">
        <w:rPr>
          <w:rFonts w:ascii="Times New Roman" w:hAnsi="Times New Roman"/>
          <w:sz w:val="24"/>
          <w:szCs w:val="24"/>
        </w:rPr>
        <w:t>provides that “Member States shall ensure that judicial or administrative authorities are able to refuse to confirm a restructuring plan where that plan would not have a reasonable prospect of preventing the insolvency of the debtor or ensuring the viability of the business</w:t>
      </w:r>
      <w:r w:rsidR="00753FB5" w:rsidRPr="00753FB5">
        <w:rPr>
          <w:rFonts w:ascii="Times New Roman" w:hAnsi="Times New Roman"/>
          <w:sz w:val="24"/>
          <w:szCs w:val="24"/>
        </w:rPr>
        <w:t>.</w:t>
      </w:r>
      <w:r w:rsidRPr="00753FB5">
        <w:rPr>
          <w:rFonts w:ascii="Times New Roman" w:hAnsi="Times New Roman"/>
          <w:sz w:val="24"/>
          <w:szCs w:val="24"/>
        </w:rPr>
        <w:t>”</w:t>
      </w:r>
    </w:p>
    <w:p w14:paraId="61282E0E"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p>
    <w:p w14:paraId="0F4FE0FB" w14:textId="037C9FD2"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r w:rsidRPr="00753FB5">
        <w:rPr>
          <w:rStyle w:val="jlqj4b"/>
          <w:rFonts w:ascii="Times New Roman" w:hAnsi="Times New Roman"/>
          <w:sz w:val="24"/>
          <w:szCs w:val="24"/>
        </w:rPr>
        <w:t xml:space="preserve">The desire to anticipate the accommodation of some of the measures laid down in the </w:t>
      </w:r>
      <w:r w:rsidR="00753FB5" w:rsidRPr="00753FB5">
        <w:rPr>
          <w:rStyle w:val="jlqj4b"/>
          <w:rFonts w:ascii="Times New Roman" w:hAnsi="Times New Roman"/>
          <w:sz w:val="24"/>
          <w:szCs w:val="24"/>
        </w:rPr>
        <w:t xml:space="preserve">PRD </w:t>
      </w:r>
      <w:r w:rsidRPr="00753FB5">
        <w:rPr>
          <w:rStyle w:val="jlqj4b"/>
          <w:rFonts w:ascii="Times New Roman" w:hAnsi="Times New Roman"/>
          <w:sz w:val="24"/>
          <w:szCs w:val="24"/>
        </w:rPr>
        <w:t>is quite understandable, considering that</w:t>
      </w:r>
      <w:r w:rsidRPr="00753FB5">
        <w:rPr>
          <w:rFonts w:ascii="Times New Roman" w:hAnsi="Times New Roman"/>
          <w:sz w:val="24"/>
          <w:szCs w:val="24"/>
        </w:rPr>
        <w:t xml:space="preserve"> </w:t>
      </w:r>
      <w:r w:rsidRPr="00753FB5">
        <w:rPr>
          <w:rStyle w:val="jlqj4b"/>
          <w:rFonts w:ascii="Times New Roman" w:hAnsi="Times New Roman"/>
          <w:sz w:val="24"/>
          <w:szCs w:val="24"/>
        </w:rPr>
        <w:t xml:space="preserve">Portugal will not, contrary to what was expected, have implemented it </w:t>
      </w:r>
      <w:r w:rsidRPr="00753FB5">
        <w:rPr>
          <w:rFonts w:ascii="Times New Roman" w:hAnsi="Times New Roman"/>
          <w:sz w:val="24"/>
          <w:szCs w:val="24"/>
        </w:rPr>
        <w:t>by the</w:t>
      </w:r>
      <w:r w:rsidRPr="00753FB5">
        <w:rPr>
          <w:rStyle w:val="jlqj4b"/>
          <w:rFonts w:ascii="Times New Roman" w:hAnsi="Times New Roman"/>
          <w:sz w:val="24"/>
          <w:szCs w:val="24"/>
        </w:rPr>
        <w:t xml:space="preserve"> end</w:t>
      </w:r>
      <w:r w:rsidRPr="00753FB5">
        <w:rPr>
          <w:rFonts w:ascii="Times New Roman" w:hAnsi="Times New Roman"/>
          <w:sz w:val="24"/>
          <w:szCs w:val="24"/>
        </w:rPr>
        <w:t xml:space="preserve"> of the</w:t>
      </w:r>
      <w:r w:rsidRPr="00753FB5">
        <w:rPr>
          <w:rStyle w:val="jlqj4b"/>
          <w:rFonts w:ascii="Times New Roman" w:hAnsi="Times New Roman"/>
          <w:sz w:val="24"/>
          <w:szCs w:val="24"/>
        </w:rPr>
        <w:t xml:space="preserve"> deadline (17 July 2021)</w:t>
      </w:r>
      <w:r w:rsidR="00753FB5" w:rsidRPr="00753FB5">
        <w:rPr>
          <w:rStyle w:val="jlqj4b"/>
          <w:rFonts w:ascii="Times New Roman" w:hAnsi="Times New Roman"/>
          <w:sz w:val="24"/>
          <w:szCs w:val="24"/>
        </w:rPr>
        <w:t>.</w:t>
      </w:r>
      <w:r w:rsidRPr="00753FB5">
        <w:rPr>
          <w:rStyle w:val="FootnoteReference"/>
          <w:rFonts w:ascii="Times New Roman" w:hAnsi="Times New Roman"/>
          <w:sz w:val="24"/>
          <w:szCs w:val="24"/>
        </w:rPr>
        <w:footnoteReference w:id="9"/>
      </w:r>
      <w:r w:rsidRPr="00753FB5">
        <w:rPr>
          <w:rStyle w:val="jlqj4b"/>
          <w:rFonts w:ascii="Times New Roman" w:hAnsi="Times New Roman"/>
          <w:sz w:val="24"/>
          <w:szCs w:val="24"/>
        </w:rPr>
        <w:t xml:space="preserve"> Still, it may not</w:t>
      </w:r>
      <w:r w:rsidRPr="00753FB5">
        <w:rPr>
          <w:rFonts w:ascii="Times New Roman" w:hAnsi="Times New Roman"/>
          <w:sz w:val="24"/>
          <w:szCs w:val="24"/>
        </w:rPr>
        <w:t xml:space="preserve"> have been the smartest </w:t>
      </w:r>
      <w:r w:rsidRPr="00753FB5">
        <w:rPr>
          <w:rStyle w:val="jlqj4b"/>
          <w:rFonts w:ascii="Times New Roman" w:hAnsi="Times New Roman"/>
          <w:sz w:val="24"/>
          <w:szCs w:val="24"/>
        </w:rPr>
        <w:t>move since the application of this particular measure faces several difficulties</w:t>
      </w:r>
      <w:r w:rsidR="00753FB5" w:rsidRPr="00753FB5">
        <w:rPr>
          <w:rStyle w:val="jlqj4b"/>
          <w:rFonts w:ascii="Times New Roman" w:hAnsi="Times New Roman"/>
          <w:sz w:val="24"/>
          <w:szCs w:val="24"/>
        </w:rPr>
        <w:t>.</w:t>
      </w:r>
      <w:r w:rsidRPr="00753FB5">
        <w:rPr>
          <w:rStyle w:val="FootnoteReference"/>
          <w:rFonts w:ascii="Times New Roman" w:hAnsi="Times New Roman"/>
          <w:sz w:val="24"/>
          <w:szCs w:val="24"/>
        </w:rPr>
        <w:footnoteReference w:id="10"/>
      </w:r>
    </w:p>
    <w:p w14:paraId="68A29D90"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p>
    <w:p w14:paraId="0676A520" w14:textId="7FA98473"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Style w:val="jlqj4b"/>
          <w:rFonts w:ascii="Times New Roman" w:hAnsi="Times New Roman"/>
          <w:sz w:val="24"/>
          <w:szCs w:val="24"/>
        </w:rPr>
        <w:t xml:space="preserve">To cut a long story short, </w:t>
      </w:r>
      <w:r w:rsidRPr="00753FB5">
        <w:rPr>
          <w:rFonts w:ascii="Times New Roman" w:hAnsi="Times New Roman"/>
          <w:sz w:val="24"/>
          <w:szCs w:val="24"/>
        </w:rPr>
        <w:t>the control of the feasibility of</w:t>
      </w:r>
      <w:r w:rsidRPr="00753FB5">
        <w:rPr>
          <w:rStyle w:val="jlqj4b"/>
          <w:rFonts w:ascii="Times New Roman" w:hAnsi="Times New Roman"/>
          <w:sz w:val="24"/>
          <w:szCs w:val="24"/>
        </w:rPr>
        <w:t xml:space="preserve"> the restructuring</w:t>
      </w:r>
      <w:r w:rsidRPr="00753FB5">
        <w:rPr>
          <w:rFonts w:ascii="Times New Roman" w:hAnsi="Times New Roman"/>
          <w:sz w:val="24"/>
          <w:szCs w:val="24"/>
        </w:rPr>
        <w:t xml:space="preserve"> </w:t>
      </w:r>
      <w:r w:rsidRPr="00753FB5">
        <w:rPr>
          <w:rStyle w:val="jlqj4b"/>
          <w:rFonts w:ascii="Times New Roman" w:hAnsi="Times New Roman"/>
          <w:sz w:val="24"/>
          <w:szCs w:val="24"/>
        </w:rPr>
        <w:t xml:space="preserve">plan is confronted with three fundamental obstacles. The first is the alleged lack of </w:t>
      </w:r>
      <w:r w:rsidRPr="00753FB5">
        <w:rPr>
          <w:rFonts w:ascii="Times New Roman" w:hAnsi="Times New Roman"/>
          <w:sz w:val="24"/>
          <w:szCs w:val="24"/>
        </w:rPr>
        <w:t>legitimacy of the judicial authority to replace the creditors or, more precisely, to substitute their will with his</w:t>
      </w:r>
      <w:r w:rsidR="00753FB5" w:rsidRPr="00753FB5">
        <w:rPr>
          <w:rFonts w:ascii="Times New Roman" w:hAnsi="Times New Roman"/>
          <w:sz w:val="24"/>
          <w:szCs w:val="24"/>
        </w:rPr>
        <w:t>/her</w:t>
      </w:r>
      <w:r w:rsidRPr="00753FB5">
        <w:rPr>
          <w:rFonts w:ascii="Times New Roman" w:hAnsi="Times New Roman"/>
          <w:sz w:val="24"/>
          <w:szCs w:val="24"/>
        </w:rPr>
        <w:t xml:space="preserve"> own</w:t>
      </w:r>
      <w:r w:rsidR="00753FB5" w:rsidRPr="00753FB5">
        <w:rPr>
          <w:rFonts w:ascii="Times New Roman" w:hAnsi="Times New Roman"/>
          <w:sz w:val="24"/>
          <w:szCs w:val="24"/>
        </w:rPr>
        <w:t>.</w:t>
      </w:r>
      <w:r w:rsidRPr="00753FB5">
        <w:rPr>
          <w:rStyle w:val="FootnoteReference"/>
          <w:rFonts w:ascii="Times New Roman" w:hAnsi="Times New Roman"/>
          <w:sz w:val="24"/>
          <w:szCs w:val="24"/>
        </w:rPr>
        <w:footnoteReference w:id="11"/>
      </w:r>
      <w:r w:rsidRPr="00753FB5">
        <w:rPr>
          <w:rFonts w:ascii="Times New Roman" w:hAnsi="Times New Roman"/>
          <w:sz w:val="24"/>
          <w:szCs w:val="24"/>
        </w:rPr>
        <w:t xml:space="preserve">. Put in other words: every plan implies </w:t>
      </w:r>
      <w:r w:rsidRPr="00753FB5">
        <w:rPr>
          <w:rStyle w:val="jlqj4b"/>
          <w:rFonts w:ascii="Times New Roman" w:hAnsi="Times New Roman"/>
          <w:sz w:val="24"/>
          <w:szCs w:val="24"/>
        </w:rPr>
        <w:t xml:space="preserve">a certain degree of risk which the creditors </w:t>
      </w:r>
      <w:r w:rsidRPr="00753FB5">
        <w:rPr>
          <w:rStyle w:val="jlqj4b"/>
          <w:rFonts w:ascii="Times New Roman" w:hAnsi="Times New Roman"/>
          <w:sz w:val="24"/>
          <w:szCs w:val="24"/>
        </w:rPr>
        <w:lastRenderedPageBreak/>
        <w:t>assume whenever the plan is adopted by the required majority; on what grounds might the judge ultimately contradict the will of the majority of the creditors?</w:t>
      </w:r>
    </w:p>
    <w:p w14:paraId="4FD8A960"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10A968FC" w14:textId="1BD36F8C"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r w:rsidRPr="00753FB5">
        <w:rPr>
          <w:rFonts w:ascii="Times New Roman" w:hAnsi="Times New Roman"/>
          <w:sz w:val="24"/>
          <w:szCs w:val="24"/>
        </w:rPr>
        <w:t xml:space="preserve">The two other objections are of a practical nature and concern the costs (time and money) that such a control of the plan entails. </w:t>
      </w:r>
      <w:r w:rsidRPr="00753FB5">
        <w:rPr>
          <w:rStyle w:val="jlqj4b"/>
          <w:rFonts w:ascii="Times New Roman" w:hAnsi="Times New Roman"/>
          <w:sz w:val="24"/>
          <w:szCs w:val="24"/>
        </w:rPr>
        <w:t xml:space="preserve">To be sure, </w:t>
      </w:r>
      <w:r w:rsidR="00753FB5" w:rsidRPr="00753FB5">
        <w:rPr>
          <w:rStyle w:val="jlqj4b"/>
          <w:rFonts w:ascii="Times New Roman" w:hAnsi="Times New Roman"/>
          <w:sz w:val="24"/>
          <w:szCs w:val="24"/>
        </w:rPr>
        <w:t xml:space="preserve">neither </w:t>
      </w:r>
      <w:r w:rsidRPr="00753FB5">
        <w:rPr>
          <w:rStyle w:val="jlqj4b"/>
          <w:rFonts w:ascii="Times New Roman" w:hAnsi="Times New Roman"/>
          <w:sz w:val="24"/>
          <w:szCs w:val="24"/>
        </w:rPr>
        <w:t xml:space="preserve">the judge nor the insolvency practitioner </w:t>
      </w:r>
      <w:r w:rsidR="00753FB5" w:rsidRPr="00753FB5">
        <w:rPr>
          <w:rStyle w:val="jlqj4b"/>
          <w:rFonts w:ascii="Times New Roman" w:hAnsi="Times New Roman"/>
          <w:sz w:val="24"/>
          <w:szCs w:val="24"/>
        </w:rPr>
        <w:t xml:space="preserve">is </w:t>
      </w:r>
      <w:r w:rsidRPr="00753FB5">
        <w:rPr>
          <w:rStyle w:val="jlqj4b"/>
          <w:rFonts w:ascii="Times New Roman" w:hAnsi="Times New Roman"/>
          <w:sz w:val="24"/>
          <w:szCs w:val="24"/>
        </w:rPr>
        <w:t>adequately equipped to make a prognosis about the</w:t>
      </w:r>
      <w:r w:rsidRPr="00753FB5">
        <w:rPr>
          <w:rFonts w:ascii="Times New Roman" w:hAnsi="Times New Roman"/>
          <w:sz w:val="24"/>
          <w:szCs w:val="24"/>
        </w:rPr>
        <w:t xml:space="preserve"> future viability of the business. In order to have a rigorous assessment, the task must be assigned to external experts/independent professionals</w:t>
      </w:r>
      <w:r w:rsidR="00753FB5" w:rsidRPr="00753FB5">
        <w:rPr>
          <w:rFonts w:ascii="Times New Roman" w:hAnsi="Times New Roman"/>
          <w:sz w:val="24"/>
          <w:szCs w:val="24"/>
        </w:rPr>
        <w:t>.</w:t>
      </w:r>
      <w:r w:rsidRPr="00753FB5">
        <w:rPr>
          <w:rStyle w:val="FootnoteReference"/>
          <w:rFonts w:ascii="Times New Roman" w:hAnsi="Times New Roman"/>
          <w:iCs/>
          <w:sz w:val="24"/>
          <w:szCs w:val="24"/>
        </w:rPr>
        <w:footnoteReference w:id="12"/>
      </w:r>
      <w:r w:rsidRPr="00753FB5">
        <w:rPr>
          <w:rFonts w:ascii="Times New Roman" w:hAnsi="Times New Roman"/>
          <w:sz w:val="24"/>
          <w:szCs w:val="24"/>
        </w:rPr>
        <w:t xml:space="preserve"> When this is not the case (when it is not possible to spend enough time and money), it is inevitable that the results are very </w:t>
      </w:r>
      <w:r w:rsidRPr="00753FB5">
        <w:rPr>
          <w:rStyle w:val="jlqj4b"/>
          <w:rFonts w:ascii="Times New Roman" w:hAnsi="Times New Roman"/>
          <w:sz w:val="24"/>
          <w:szCs w:val="24"/>
        </w:rPr>
        <w:t>modest, hence deprived of utility</w:t>
      </w:r>
      <w:r w:rsidR="00753FB5" w:rsidRPr="00753FB5">
        <w:rPr>
          <w:rStyle w:val="jlqj4b"/>
          <w:rFonts w:ascii="Times New Roman" w:hAnsi="Times New Roman"/>
          <w:sz w:val="24"/>
          <w:szCs w:val="24"/>
        </w:rPr>
        <w:t>.</w:t>
      </w:r>
      <w:r w:rsidRPr="00753FB5">
        <w:rPr>
          <w:rStyle w:val="FootnoteReference"/>
          <w:rFonts w:ascii="Times New Roman" w:hAnsi="Times New Roman"/>
          <w:sz w:val="24"/>
          <w:szCs w:val="24"/>
        </w:rPr>
        <w:footnoteReference w:id="13"/>
      </w:r>
    </w:p>
    <w:p w14:paraId="3BDC725C"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p>
    <w:p w14:paraId="4E2D5367" w14:textId="31BEA336"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r w:rsidRPr="00753FB5">
        <w:rPr>
          <w:rStyle w:val="jlqj4b"/>
          <w:rFonts w:ascii="Times New Roman" w:hAnsi="Times New Roman"/>
          <w:sz w:val="24"/>
          <w:szCs w:val="24"/>
        </w:rPr>
        <w:t xml:space="preserve">Coming back to the Portuguese </w:t>
      </w:r>
      <w:r w:rsidR="00753FB5" w:rsidRPr="00753FB5">
        <w:rPr>
          <w:rStyle w:val="jlqj4b"/>
          <w:rFonts w:ascii="Times New Roman" w:hAnsi="Times New Roman"/>
          <w:sz w:val="24"/>
          <w:szCs w:val="24"/>
        </w:rPr>
        <w:t>l</w:t>
      </w:r>
      <w:r w:rsidRPr="00753FB5">
        <w:rPr>
          <w:rStyle w:val="jlqj4b"/>
          <w:rFonts w:ascii="Times New Roman" w:hAnsi="Times New Roman"/>
          <w:sz w:val="24"/>
          <w:szCs w:val="24"/>
        </w:rPr>
        <w:t xml:space="preserve">aw, despite the </w:t>
      </w:r>
      <w:r w:rsidR="00753FB5" w:rsidRPr="00753FB5">
        <w:rPr>
          <w:rStyle w:val="jlqj4b"/>
          <w:rFonts w:ascii="Times New Roman" w:hAnsi="Times New Roman"/>
          <w:sz w:val="24"/>
          <w:szCs w:val="24"/>
        </w:rPr>
        <w:t xml:space="preserve">above-mentioned </w:t>
      </w:r>
      <w:r w:rsidRPr="00753FB5">
        <w:rPr>
          <w:rStyle w:val="jlqj4b"/>
          <w:rFonts w:ascii="Times New Roman" w:hAnsi="Times New Roman"/>
          <w:sz w:val="24"/>
          <w:szCs w:val="24"/>
        </w:rPr>
        <w:t xml:space="preserve">difficulties, </w:t>
      </w:r>
      <w:r w:rsidRPr="00753FB5">
        <w:rPr>
          <w:rFonts w:ascii="Times New Roman" w:hAnsi="Times New Roman"/>
          <w:sz w:val="24"/>
          <w:szCs w:val="24"/>
        </w:rPr>
        <w:t xml:space="preserve">the court is required to verify that the restructuring plan presents a reasonable prospect for ensuring the viability of the business for the purpose of confirming or refusing the confirmation of the plan </w:t>
      </w:r>
      <w:r w:rsidR="00753FB5" w:rsidRPr="00753FB5">
        <w:rPr>
          <w:rFonts w:ascii="Times New Roman" w:hAnsi="Times New Roman"/>
          <w:sz w:val="24"/>
          <w:szCs w:val="24"/>
        </w:rPr>
        <w:t>(</w:t>
      </w:r>
      <w:r w:rsidRPr="00753FB5">
        <w:rPr>
          <w:rFonts w:ascii="Times New Roman" w:hAnsi="Times New Roman"/>
          <w:sz w:val="24"/>
          <w:szCs w:val="24"/>
        </w:rPr>
        <w:t xml:space="preserve">Article 9, 4, (b) </w:t>
      </w:r>
      <w:r w:rsidRPr="00753FB5">
        <w:rPr>
          <w:rFonts w:ascii="Times New Roman" w:hAnsi="Times New Roman"/>
          <w:i/>
          <w:sz w:val="24"/>
          <w:szCs w:val="24"/>
        </w:rPr>
        <w:t>(ii)</w:t>
      </w:r>
      <w:r w:rsidR="00753FB5" w:rsidRPr="00753FB5">
        <w:rPr>
          <w:rFonts w:ascii="Times New Roman" w:hAnsi="Times New Roman"/>
          <w:sz w:val="24"/>
          <w:szCs w:val="24"/>
        </w:rPr>
        <w:t>).</w:t>
      </w:r>
      <w:r w:rsidRPr="00753FB5">
        <w:rPr>
          <w:rStyle w:val="FootnoteReference"/>
          <w:rFonts w:ascii="Times New Roman" w:hAnsi="Times New Roman"/>
          <w:sz w:val="24"/>
          <w:szCs w:val="24"/>
        </w:rPr>
        <w:footnoteReference w:id="14"/>
      </w:r>
      <w:r w:rsidRPr="00753FB5">
        <w:rPr>
          <w:rFonts w:ascii="Times New Roman" w:hAnsi="Times New Roman"/>
          <w:sz w:val="24"/>
          <w:szCs w:val="24"/>
        </w:rPr>
        <w:t xml:space="preserve"> Bearing in mind that the new proceedings are (superlatively) urgent as well as free of costs for the debtor, it is understandable that such an assessment must be performed in the same time frame as the assessment of the other prerequisites for the confirmation of the plan (</w:t>
      </w:r>
      <w:r w:rsidR="00753FB5" w:rsidRPr="00753FB5">
        <w:rPr>
          <w:rFonts w:ascii="Times New Roman" w:hAnsi="Times New Roman"/>
          <w:sz w:val="24"/>
          <w:szCs w:val="24"/>
        </w:rPr>
        <w:t xml:space="preserve">i.e., </w:t>
      </w:r>
      <w:r w:rsidRPr="00753FB5">
        <w:rPr>
          <w:rFonts w:ascii="Times New Roman" w:hAnsi="Times New Roman"/>
          <w:sz w:val="24"/>
          <w:szCs w:val="24"/>
        </w:rPr>
        <w:t>ten days) and on the sole basis of the opinion of the insolvency practitioner (Article 9, 3). Still, it is possible to wonder if such an assessment (i.e.</w:t>
      </w:r>
      <w:r w:rsidR="00753FB5" w:rsidRPr="00753FB5">
        <w:rPr>
          <w:rFonts w:ascii="Times New Roman" w:hAnsi="Times New Roman"/>
          <w:sz w:val="24"/>
          <w:szCs w:val="24"/>
        </w:rPr>
        <w:t>,</w:t>
      </w:r>
      <w:r w:rsidRPr="00753FB5">
        <w:rPr>
          <w:rFonts w:ascii="Times New Roman" w:hAnsi="Times New Roman"/>
          <w:sz w:val="24"/>
          <w:szCs w:val="24"/>
        </w:rPr>
        <w:t xml:space="preserve"> obtained in such a way) is </w:t>
      </w:r>
      <w:r w:rsidR="00753FB5" w:rsidRPr="00753FB5">
        <w:rPr>
          <w:rFonts w:ascii="Times New Roman" w:hAnsi="Times New Roman"/>
          <w:sz w:val="24"/>
          <w:szCs w:val="24"/>
        </w:rPr>
        <w:t xml:space="preserve">of </w:t>
      </w:r>
      <w:r w:rsidRPr="00753FB5">
        <w:rPr>
          <w:rFonts w:ascii="Times New Roman" w:hAnsi="Times New Roman"/>
          <w:sz w:val="24"/>
          <w:szCs w:val="24"/>
        </w:rPr>
        <w:t>any worth.</w:t>
      </w:r>
    </w:p>
    <w:p w14:paraId="3BE577AD" w14:textId="79880DA1"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737FD079" w14:textId="628F7172"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iCs/>
          <w:sz w:val="24"/>
          <w:szCs w:val="24"/>
        </w:rPr>
      </w:pPr>
      <w:r w:rsidRPr="00753FB5">
        <w:rPr>
          <w:rFonts w:ascii="Times New Roman" w:hAnsi="Times New Roman"/>
          <w:i/>
          <w:iCs/>
          <w:sz w:val="24"/>
          <w:szCs w:val="24"/>
        </w:rPr>
        <w:t>Potential Structural Weaknesses</w:t>
      </w:r>
    </w:p>
    <w:p w14:paraId="4D28455F"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71535DDE" w14:textId="68094840"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In addition to the points already mentioned, it may be argued that the new proceedings suffer from two congenital and structural weaknesses.</w:t>
      </w:r>
      <w:r w:rsidR="00753FB5" w:rsidRPr="00753FB5">
        <w:rPr>
          <w:rFonts w:ascii="Times New Roman" w:hAnsi="Times New Roman"/>
          <w:sz w:val="24"/>
          <w:szCs w:val="24"/>
        </w:rPr>
        <w:t xml:space="preserve"> </w:t>
      </w:r>
      <w:r w:rsidRPr="00753FB5">
        <w:rPr>
          <w:rFonts w:ascii="Times New Roman" w:hAnsi="Times New Roman"/>
          <w:sz w:val="24"/>
          <w:szCs w:val="24"/>
        </w:rPr>
        <w:t>In the first place, being a procedural tool as they are, they do not contribute to alleviat</w:t>
      </w:r>
      <w:r w:rsidR="00753FB5" w:rsidRPr="00753FB5">
        <w:rPr>
          <w:rFonts w:ascii="Times New Roman" w:hAnsi="Times New Roman"/>
          <w:sz w:val="24"/>
          <w:szCs w:val="24"/>
        </w:rPr>
        <w:t>ing</w:t>
      </w:r>
      <w:r w:rsidRPr="00753FB5">
        <w:rPr>
          <w:rFonts w:ascii="Times New Roman" w:hAnsi="Times New Roman"/>
          <w:sz w:val="24"/>
          <w:szCs w:val="24"/>
        </w:rPr>
        <w:t xml:space="preserve"> the burden on the courts (the number of lawsuits pending). Furthermore: given that the new proceedings are more urgent than the other pre-insolvency and insolvency proceedings, they inevitably imply the delay of the latter.</w:t>
      </w:r>
    </w:p>
    <w:p w14:paraId="4725A60D"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264500F7" w14:textId="11848D47"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Fonts w:ascii="Times New Roman" w:hAnsi="Times New Roman"/>
          <w:sz w:val="24"/>
          <w:szCs w:val="24"/>
        </w:rPr>
        <w:t xml:space="preserve">In the second place, and more importantly, the new proceedings are not aimed at promoting negotiations between the debtor and his creditors. In the aftermath of </w:t>
      </w:r>
      <w:r w:rsidR="00A36F76">
        <w:rPr>
          <w:rFonts w:ascii="Times New Roman" w:hAnsi="Times New Roman"/>
          <w:sz w:val="24"/>
          <w:szCs w:val="24"/>
        </w:rPr>
        <w:t xml:space="preserve">the </w:t>
      </w:r>
      <w:r w:rsidRPr="00753FB5">
        <w:rPr>
          <w:rFonts w:ascii="Times New Roman" w:hAnsi="Times New Roman"/>
          <w:sz w:val="24"/>
          <w:szCs w:val="24"/>
        </w:rPr>
        <w:t>COVID-19 crisis, it is possible to argue that the most pressing need of the debtor is to be granted a breathing space so that he can negotiate more easily with his creditors and persuade the majority to accept the debt restructuring. Yet, this is precisely what the new proceedings do not ensure since the adoption of the restructuring plan by the required majority is a prerequisite/a premise for the opening of the proceedings.</w:t>
      </w:r>
    </w:p>
    <w:p w14:paraId="251E4A05"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7E25EB26" w14:textId="2902AF7F" w:rsidR="00753FB5"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r w:rsidRPr="00753FB5">
        <w:rPr>
          <w:rFonts w:ascii="Times New Roman" w:hAnsi="Times New Roman"/>
          <w:sz w:val="24"/>
          <w:szCs w:val="24"/>
        </w:rPr>
        <w:t>If the mentioned shortcomings actually hinder or prevent the success of the new proceedings or not, one thing is for certain: the number of proceedings opened so far is completely insignificant.</w:t>
      </w:r>
      <w:r w:rsidR="00753FB5" w:rsidRPr="00753FB5">
        <w:rPr>
          <w:rFonts w:ascii="Times New Roman" w:hAnsi="Times New Roman"/>
          <w:sz w:val="24"/>
          <w:szCs w:val="24"/>
        </w:rPr>
        <w:t xml:space="preserve"> </w:t>
      </w:r>
      <w:r w:rsidRPr="00753FB5">
        <w:rPr>
          <w:rStyle w:val="jlqj4b"/>
          <w:rFonts w:ascii="Times New Roman" w:hAnsi="Times New Roman"/>
          <w:sz w:val="24"/>
          <w:szCs w:val="24"/>
        </w:rPr>
        <w:t>All things considered, it may just be the case that the new proceedings are not appealing, as designed, to companies and entrepreneurs, and therefore will not be used.</w:t>
      </w:r>
    </w:p>
    <w:p w14:paraId="166E6CB7"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p>
    <w:p w14:paraId="25A22299" w14:textId="4F9BA28D"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i/>
          <w:iCs/>
          <w:sz w:val="24"/>
          <w:szCs w:val="24"/>
        </w:rPr>
      </w:pPr>
      <w:r w:rsidRPr="00753FB5">
        <w:rPr>
          <w:rStyle w:val="jlqj4b"/>
          <w:rFonts w:ascii="Times New Roman" w:hAnsi="Times New Roman"/>
          <w:i/>
          <w:iCs/>
          <w:sz w:val="24"/>
          <w:szCs w:val="24"/>
        </w:rPr>
        <w:t>Summary</w:t>
      </w:r>
    </w:p>
    <w:p w14:paraId="49D13D53" w14:textId="77777777" w:rsidR="00753FB5" w:rsidRPr="00753FB5" w:rsidRDefault="00753FB5"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jlqj4b"/>
          <w:rFonts w:ascii="Times New Roman" w:hAnsi="Times New Roman"/>
          <w:sz w:val="24"/>
          <w:szCs w:val="24"/>
        </w:rPr>
      </w:pPr>
    </w:p>
    <w:p w14:paraId="4EC2F069" w14:textId="7B2A8379" w:rsidR="00D90E9D" w:rsidRPr="00753FB5" w:rsidRDefault="00D90E9D" w:rsidP="00D90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753FB5">
        <w:rPr>
          <w:rStyle w:val="jlqj4b"/>
          <w:rFonts w:ascii="Times New Roman" w:hAnsi="Times New Roman"/>
          <w:sz w:val="24"/>
          <w:szCs w:val="24"/>
        </w:rPr>
        <w:t>A legislative review aimed at introducing amendments where needed appears as a reasonable solution and, for certain, is a better attitude than just to sit and wait for the proceedings to fall out of use. For sure, the work is not stimulating since the proceedings are supposed to be in force only until the end of the year. Then again, for great ills, great remedies…</w:t>
      </w:r>
    </w:p>
    <w:p w14:paraId="5761A948" w14:textId="77777777" w:rsidR="0047439B" w:rsidRPr="00753FB5" w:rsidRDefault="0047439B" w:rsidP="00D90E9D">
      <w:pPr>
        <w:pStyle w:val="NoSpacing"/>
        <w:jc w:val="both"/>
        <w:rPr>
          <w:rFonts w:ascii="Times New Roman" w:hAnsi="Times New Roman"/>
          <w:sz w:val="24"/>
          <w:szCs w:val="24"/>
          <w:lang w:val="en-GB"/>
        </w:rPr>
      </w:pPr>
    </w:p>
    <w:sectPr w:rsidR="0047439B" w:rsidRPr="00753FB5" w:rsidSect="00086E49">
      <w:headerReference w:type="even" r:id="rId9"/>
      <w:headerReference w:type="default" r:id="rId10"/>
      <w:footerReference w:type="even" r:id="rId11"/>
      <w:footerReference w:type="default" r:id="rId12"/>
      <w:headerReference w:type="first" r:id="rId13"/>
      <w:footerReference w:type="first" r:id="rId14"/>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C4532" w14:textId="77777777" w:rsidR="0002269E" w:rsidRDefault="0002269E">
      <w:r>
        <w:separator/>
      </w:r>
    </w:p>
  </w:endnote>
  <w:endnote w:type="continuationSeparator" w:id="0">
    <w:p w14:paraId="6866C92E" w14:textId="77777777" w:rsidR="0002269E" w:rsidRDefault="0002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F125" w14:textId="77777777" w:rsidR="00881EFF" w:rsidRDefault="00881E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DA6D2" w14:textId="77777777" w:rsidR="00881EFF" w:rsidRDefault="00881E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E678" w14:textId="77777777" w:rsidR="0002269E" w:rsidRDefault="0002269E">
      <w:r>
        <w:separator/>
      </w:r>
    </w:p>
  </w:footnote>
  <w:footnote w:type="continuationSeparator" w:id="0">
    <w:p w14:paraId="44F84085" w14:textId="77777777" w:rsidR="0002269E" w:rsidRDefault="0002269E">
      <w:r>
        <w:continuationSeparator/>
      </w:r>
    </w:p>
  </w:footnote>
  <w:footnote w:id="1">
    <w:p w14:paraId="278DC34A" w14:textId="7D835EE8" w:rsidR="00D90E9D" w:rsidRPr="0081328A" w:rsidRDefault="00D90E9D" w:rsidP="00D90E9D">
      <w:pPr>
        <w:spacing w:after="0"/>
        <w:rPr>
          <w:rFonts w:ascii="Times New Roman" w:hAnsi="Times New Roman"/>
          <w:sz w:val="20"/>
          <w:lang w:val="en-US"/>
        </w:rPr>
      </w:pPr>
      <w:r w:rsidRPr="0081328A">
        <w:rPr>
          <w:rStyle w:val="FootnoteReference"/>
          <w:rFonts w:ascii="Times New Roman" w:hAnsi="Times New Roman"/>
          <w:sz w:val="20"/>
        </w:rPr>
        <w:footnoteRef/>
      </w:r>
      <w:r w:rsidRPr="0081328A">
        <w:rPr>
          <w:rFonts w:ascii="Times New Roman" w:hAnsi="Times New Roman"/>
          <w:sz w:val="20"/>
        </w:rPr>
        <w:t xml:space="preserve"> See </w:t>
      </w:r>
      <w:r>
        <w:rPr>
          <w:rFonts w:ascii="Times New Roman" w:hAnsi="Times New Roman"/>
          <w:sz w:val="20"/>
        </w:rPr>
        <w:t>on the topic</w:t>
      </w:r>
      <w:r w:rsidRPr="0081328A">
        <w:rPr>
          <w:rFonts w:ascii="Times New Roman" w:hAnsi="Times New Roman"/>
          <w:sz w:val="20"/>
        </w:rPr>
        <w:t xml:space="preserve"> </w:t>
      </w:r>
      <w:r w:rsidRPr="0081328A">
        <w:rPr>
          <w:rFonts w:ascii="Times New Roman" w:hAnsi="Times New Roman"/>
          <w:smallCaps/>
          <w:sz w:val="20"/>
          <w:lang w:val="en-US"/>
        </w:rPr>
        <w:t>Catarina Serra</w:t>
      </w:r>
      <w:r w:rsidRPr="0081328A">
        <w:rPr>
          <w:rFonts w:ascii="Times New Roman" w:hAnsi="Times New Roman"/>
          <w:sz w:val="20"/>
          <w:lang w:val="en-US"/>
        </w:rPr>
        <w:t xml:space="preserve">, </w:t>
      </w:r>
      <w:r w:rsidRPr="0081328A">
        <w:rPr>
          <w:rFonts w:ascii="Times New Roman" w:hAnsi="Times New Roman"/>
          <w:sz w:val="20"/>
        </w:rPr>
        <w:t xml:space="preserve">“Directors’ duties under COVID-19 legislation – A comparative perspective”, in: </w:t>
      </w:r>
      <w:r w:rsidRPr="0081328A">
        <w:rPr>
          <w:rFonts w:ascii="Times New Roman" w:hAnsi="Times New Roman"/>
          <w:i/>
          <w:iCs/>
          <w:sz w:val="20"/>
        </w:rPr>
        <w:t>Euro</w:t>
      </w:r>
      <w:r w:rsidR="00424A47">
        <w:rPr>
          <w:rFonts w:ascii="Times New Roman" w:hAnsi="Times New Roman"/>
          <w:i/>
          <w:iCs/>
          <w:sz w:val="20"/>
        </w:rPr>
        <w:t>f</w:t>
      </w:r>
      <w:r w:rsidRPr="0081328A">
        <w:rPr>
          <w:rFonts w:ascii="Times New Roman" w:hAnsi="Times New Roman"/>
          <w:i/>
          <w:iCs/>
          <w:sz w:val="20"/>
        </w:rPr>
        <w:t>enix – The Journal of INSOL Europe</w:t>
      </w:r>
      <w:r w:rsidRPr="0081328A">
        <w:rPr>
          <w:rFonts w:ascii="Times New Roman" w:hAnsi="Times New Roman"/>
          <w:sz w:val="20"/>
        </w:rPr>
        <w:t xml:space="preserve">, 2020, 80, 20 </w:t>
      </w:r>
      <w:r>
        <w:rPr>
          <w:rFonts w:ascii="Times New Roman" w:hAnsi="Times New Roman"/>
          <w:sz w:val="20"/>
        </w:rPr>
        <w:t>ff.</w:t>
      </w:r>
    </w:p>
  </w:footnote>
  <w:footnote w:id="2">
    <w:p w14:paraId="0489AAE1" w14:textId="489583ED" w:rsidR="00D90E9D" w:rsidRPr="00654799"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654799">
        <w:rPr>
          <w:rFonts w:ascii="Times New Roman" w:hAnsi="Times New Roman"/>
          <w:lang w:val="en"/>
        </w:rPr>
        <w:t xml:space="preserve"> </w:t>
      </w:r>
      <w:r w:rsidR="00424A47">
        <w:rPr>
          <w:rFonts w:ascii="Times New Roman" w:hAnsi="Times New Roman"/>
          <w:lang w:val="en"/>
        </w:rPr>
        <w:t xml:space="preserve">Unless otherwise stated, references to </w:t>
      </w:r>
      <w:r w:rsidRPr="00654799">
        <w:rPr>
          <w:rFonts w:ascii="Times New Roman" w:hAnsi="Times New Roman"/>
          <w:lang w:val="en"/>
        </w:rPr>
        <w:t xml:space="preserve">articles </w:t>
      </w:r>
      <w:r w:rsidR="00424A47">
        <w:rPr>
          <w:rFonts w:ascii="Times New Roman" w:hAnsi="Times New Roman"/>
          <w:lang w:val="en"/>
        </w:rPr>
        <w:t xml:space="preserve">are to those of </w:t>
      </w:r>
      <w:r w:rsidRPr="00654799">
        <w:rPr>
          <w:rFonts w:ascii="Times New Roman" w:hAnsi="Times New Roman"/>
          <w:lang w:val="en"/>
        </w:rPr>
        <w:t>Law n</w:t>
      </w:r>
      <w:r w:rsidR="00424A47">
        <w:rPr>
          <w:rFonts w:ascii="Times New Roman" w:hAnsi="Times New Roman"/>
          <w:lang w:val="en"/>
        </w:rPr>
        <w:t>o</w:t>
      </w:r>
      <w:r w:rsidRPr="00654799">
        <w:rPr>
          <w:rFonts w:ascii="Times New Roman" w:hAnsi="Times New Roman"/>
          <w:lang w:val="en"/>
        </w:rPr>
        <w:t xml:space="preserve">. </w:t>
      </w:r>
      <w:r w:rsidR="00753FB5" w:rsidRPr="00654799">
        <w:rPr>
          <w:rFonts w:ascii="Times New Roman" w:hAnsi="Times New Roman"/>
          <w:lang w:val="en"/>
        </w:rPr>
        <w:t>75/2020</w:t>
      </w:r>
      <w:r w:rsidRPr="00654799">
        <w:rPr>
          <w:rFonts w:ascii="Times New Roman" w:hAnsi="Times New Roman"/>
          <w:lang w:val="en"/>
        </w:rPr>
        <w:t xml:space="preserve"> of 27 November</w:t>
      </w:r>
      <w:r w:rsidR="00424A47">
        <w:rPr>
          <w:rFonts w:ascii="Times New Roman" w:hAnsi="Times New Roman"/>
          <w:lang w:val="en"/>
        </w:rPr>
        <w:t xml:space="preserve"> 2020</w:t>
      </w:r>
      <w:r w:rsidRPr="00654799">
        <w:rPr>
          <w:rFonts w:ascii="Times New Roman" w:hAnsi="Times New Roman"/>
          <w:lang w:val="en"/>
        </w:rPr>
        <w:t>.</w:t>
      </w:r>
    </w:p>
  </w:footnote>
  <w:footnote w:id="3">
    <w:p w14:paraId="306D27AC" w14:textId="250B0F9A" w:rsidR="00D90E9D" w:rsidRPr="00943D3F"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8C32A7">
        <w:rPr>
          <w:rFonts w:ascii="Times New Roman" w:hAnsi="Times New Roman"/>
          <w:lang w:val="pt-PT"/>
        </w:rPr>
        <w:t xml:space="preserve"> The </w:t>
      </w:r>
      <w:proofErr w:type="spellStart"/>
      <w:r w:rsidRPr="008C32A7">
        <w:rPr>
          <w:rFonts w:ascii="Times New Roman" w:hAnsi="Times New Roman"/>
          <w:lang w:val="pt-PT"/>
        </w:rPr>
        <w:t>proceedings</w:t>
      </w:r>
      <w:proofErr w:type="spellEnd"/>
      <w:r w:rsidRPr="008C32A7">
        <w:rPr>
          <w:rFonts w:ascii="Times New Roman" w:hAnsi="Times New Roman"/>
          <w:lang w:val="pt-PT"/>
        </w:rPr>
        <w:t xml:space="preserve"> are </w:t>
      </w:r>
      <w:proofErr w:type="spellStart"/>
      <w:r w:rsidRPr="008C32A7">
        <w:rPr>
          <w:rFonts w:ascii="Times New Roman" w:hAnsi="Times New Roman"/>
          <w:lang w:val="pt-PT"/>
        </w:rPr>
        <w:t>called</w:t>
      </w:r>
      <w:proofErr w:type="spellEnd"/>
      <w:r w:rsidRPr="008C32A7">
        <w:rPr>
          <w:rFonts w:ascii="Times New Roman" w:hAnsi="Times New Roman"/>
          <w:lang w:val="pt-PT"/>
        </w:rPr>
        <w:t xml:space="preserve">, </w:t>
      </w:r>
      <w:proofErr w:type="gramStart"/>
      <w:r w:rsidRPr="008C32A7">
        <w:rPr>
          <w:rFonts w:ascii="Times New Roman" w:hAnsi="Times New Roman"/>
          <w:lang w:val="pt-PT"/>
        </w:rPr>
        <w:t>in Portuguese</w:t>
      </w:r>
      <w:proofErr w:type="gramEnd"/>
      <w:r w:rsidRPr="008C32A7">
        <w:rPr>
          <w:rFonts w:ascii="Times New Roman" w:hAnsi="Times New Roman"/>
          <w:lang w:val="pt-PT"/>
        </w:rPr>
        <w:t>, “Processo Extraordinário de Viabilização de Empresas” (</w:t>
      </w:r>
      <w:proofErr w:type="spellStart"/>
      <w:r w:rsidRPr="008C32A7">
        <w:rPr>
          <w:rFonts w:ascii="Times New Roman" w:hAnsi="Times New Roman"/>
          <w:lang w:val="pt-PT"/>
        </w:rPr>
        <w:t>acronym</w:t>
      </w:r>
      <w:proofErr w:type="spellEnd"/>
      <w:r w:rsidR="00424A47" w:rsidRPr="008C32A7">
        <w:rPr>
          <w:rFonts w:ascii="Times New Roman" w:hAnsi="Times New Roman"/>
          <w:lang w:val="pt-PT"/>
        </w:rPr>
        <w:t>:</w:t>
      </w:r>
      <w:r w:rsidRPr="008C32A7">
        <w:rPr>
          <w:rFonts w:ascii="Times New Roman" w:hAnsi="Times New Roman"/>
          <w:lang w:val="pt-PT"/>
        </w:rPr>
        <w:t xml:space="preserve"> “PEVE”. </w:t>
      </w:r>
      <w:r w:rsidRPr="0086518C">
        <w:rPr>
          <w:rFonts w:ascii="Times New Roman" w:hAnsi="Times New Roman"/>
        </w:rPr>
        <w:t>For a first look</w:t>
      </w:r>
      <w:r>
        <w:rPr>
          <w:rFonts w:ascii="Times New Roman" w:hAnsi="Times New Roman"/>
        </w:rPr>
        <w:t xml:space="preserve"> at them</w:t>
      </w:r>
      <w:r w:rsidR="00424A47">
        <w:rPr>
          <w:rFonts w:ascii="Times New Roman" w:hAnsi="Times New Roman"/>
        </w:rPr>
        <w:t>,</w:t>
      </w:r>
      <w:r>
        <w:rPr>
          <w:rFonts w:ascii="Times New Roman" w:hAnsi="Times New Roman"/>
        </w:rPr>
        <w:t xml:space="preserve"> see </w:t>
      </w:r>
      <w:r w:rsidRPr="00943D3F">
        <w:rPr>
          <w:rFonts w:ascii="Times New Roman" w:hAnsi="Times New Roman"/>
          <w:smallCaps/>
        </w:rPr>
        <w:t>Catarina Guedes de Carvalho</w:t>
      </w:r>
      <w:r w:rsidRPr="00943D3F">
        <w:rPr>
          <w:rFonts w:ascii="Times New Roman" w:hAnsi="Times New Roman"/>
        </w:rPr>
        <w:t>, “</w:t>
      </w:r>
      <w:r w:rsidRPr="00943D3F">
        <w:rPr>
          <w:rFonts w:ascii="Times New Roman" w:hAnsi="Times New Roman"/>
          <w:szCs w:val="24"/>
        </w:rPr>
        <w:t xml:space="preserve">Portugal’s Extraordinary Business Viability Process”, in: </w:t>
      </w:r>
      <w:r w:rsidRPr="00943D3F">
        <w:rPr>
          <w:rFonts w:ascii="Times New Roman" w:hAnsi="Times New Roman"/>
          <w:i/>
          <w:iCs/>
          <w:szCs w:val="24"/>
        </w:rPr>
        <w:t xml:space="preserve">Eurofenix </w:t>
      </w:r>
      <w:r w:rsidRPr="00943D3F">
        <w:rPr>
          <w:rFonts w:ascii="Times New Roman" w:hAnsi="Times New Roman"/>
          <w:i/>
          <w:szCs w:val="24"/>
        </w:rPr>
        <w:t>– The Journal of INSOL Europe</w:t>
      </w:r>
      <w:r w:rsidRPr="00943D3F">
        <w:rPr>
          <w:rFonts w:ascii="Times New Roman" w:hAnsi="Times New Roman"/>
          <w:szCs w:val="24"/>
        </w:rPr>
        <w:t xml:space="preserve">, 2020-2021, 82, 36 </w:t>
      </w:r>
      <w:r>
        <w:rPr>
          <w:rFonts w:ascii="Times New Roman" w:hAnsi="Times New Roman"/>
          <w:szCs w:val="24"/>
        </w:rPr>
        <w:t>ff.</w:t>
      </w:r>
    </w:p>
  </w:footnote>
  <w:footnote w:id="4">
    <w:p w14:paraId="6697B238" w14:textId="47FF4E09" w:rsidR="00D90E9D" w:rsidRPr="00654799" w:rsidRDefault="00D90E9D" w:rsidP="00D90E9D">
      <w:pPr>
        <w:pStyle w:val="FootnoteText"/>
        <w:rPr>
          <w:rFonts w:ascii="Times New Roman" w:hAnsi="Times New Roman"/>
        </w:rPr>
      </w:pPr>
      <w:r w:rsidRPr="0086518C">
        <w:rPr>
          <w:rStyle w:val="FootnoteReference"/>
          <w:rFonts w:ascii="Times New Roman" w:hAnsi="Times New Roman"/>
        </w:rPr>
        <w:footnoteRef/>
      </w:r>
      <w:r w:rsidRPr="0086518C">
        <w:rPr>
          <w:rFonts w:ascii="Times New Roman" w:hAnsi="Times New Roman"/>
        </w:rPr>
        <w:t xml:space="preserve"> They are called, in Portuguese, “</w:t>
      </w:r>
      <w:proofErr w:type="spellStart"/>
      <w:r w:rsidRPr="0086518C">
        <w:rPr>
          <w:rFonts w:ascii="Times New Roman" w:hAnsi="Times New Roman"/>
        </w:rPr>
        <w:t>Processo</w:t>
      </w:r>
      <w:proofErr w:type="spellEnd"/>
      <w:r w:rsidRPr="0086518C">
        <w:rPr>
          <w:rFonts w:ascii="Times New Roman" w:hAnsi="Times New Roman"/>
        </w:rPr>
        <w:t xml:space="preserve"> Especial de </w:t>
      </w:r>
      <w:proofErr w:type="spellStart"/>
      <w:r w:rsidRPr="0086518C">
        <w:rPr>
          <w:rFonts w:ascii="Times New Roman" w:hAnsi="Times New Roman"/>
        </w:rPr>
        <w:t>Revitali</w:t>
      </w:r>
      <w:r>
        <w:rPr>
          <w:rFonts w:ascii="Times New Roman" w:hAnsi="Times New Roman"/>
        </w:rPr>
        <w:t>z</w:t>
      </w:r>
      <w:r w:rsidRPr="0086518C">
        <w:rPr>
          <w:rFonts w:ascii="Times New Roman" w:hAnsi="Times New Roman"/>
        </w:rPr>
        <w:t>ação</w:t>
      </w:r>
      <w:proofErr w:type="spellEnd"/>
      <w:r w:rsidRPr="0086518C">
        <w:rPr>
          <w:rFonts w:ascii="Times New Roman" w:hAnsi="Times New Roman"/>
        </w:rPr>
        <w:t xml:space="preserve">” (acronym: “PER”). </w:t>
      </w:r>
      <w:r w:rsidRPr="00654799">
        <w:rPr>
          <w:rFonts w:ascii="Times New Roman" w:hAnsi="Times New Roman"/>
        </w:rPr>
        <w:t xml:space="preserve">For a quick look at </w:t>
      </w:r>
      <w:r>
        <w:rPr>
          <w:rFonts w:ascii="Times New Roman" w:hAnsi="Times New Roman"/>
        </w:rPr>
        <w:t>them</w:t>
      </w:r>
      <w:r w:rsidR="00424A47">
        <w:rPr>
          <w:rFonts w:ascii="Times New Roman" w:hAnsi="Times New Roman"/>
        </w:rPr>
        <w:t>,</w:t>
      </w:r>
      <w:r w:rsidRPr="00654799">
        <w:rPr>
          <w:rFonts w:ascii="Times New Roman" w:hAnsi="Times New Roman"/>
        </w:rPr>
        <w:t xml:space="preserve"> see </w:t>
      </w:r>
      <w:r w:rsidRPr="00654799">
        <w:rPr>
          <w:rFonts w:ascii="Times New Roman" w:hAnsi="Times New Roman"/>
          <w:smallCaps/>
        </w:rPr>
        <w:t xml:space="preserve">Catarina Serra, </w:t>
      </w:r>
      <w:r w:rsidRPr="00654799">
        <w:rPr>
          <w:rFonts w:ascii="Times New Roman" w:hAnsi="Times New Roman"/>
        </w:rPr>
        <w:t xml:space="preserve">“Reforms in Adverse Economic Climates: </w:t>
      </w:r>
      <w:r w:rsidRPr="00654799">
        <w:rPr>
          <w:rStyle w:val="Nmerodepgina1"/>
          <w:rFonts w:ascii="Times New Roman" w:hAnsi="Times New Roman"/>
        </w:rPr>
        <w:t>How Reforms Take Place in the Eurozone – Part I: Portugal</w:t>
      </w:r>
      <w:r w:rsidRPr="00654799">
        <w:rPr>
          <w:rFonts w:ascii="Times New Roman" w:hAnsi="Times New Roman"/>
        </w:rPr>
        <w:t xml:space="preserve">”, in: </w:t>
      </w:r>
      <w:r w:rsidRPr="00654799">
        <w:rPr>
          <w:rFonts w:ascii="Times New Roman" w:hAnsi="Times New Roman"/>
          <w:smallCaps/>
        </w:rPr>
        <w:t>Paul Omar/Jennifer Gant</w:t>
      </w:r>
      <w:r w:rsidRPr="00654799">
        <w:rPr>
          <w:rFonts w:ascii="Times New Roman" w:hAnsi="Times New Roman"/>
        </w:rPr>
        <w:t xml:space="preserve"> (editors), </w:t>
      </w:r>
      <w:r w:rsidRPr="00654799">
        <w:rPr>
          <w:rFonts w:ascii="Times New Roman" w:hAnsi="Times New Roman"/>
          <w:i/>
          <w:iCs/>
        </w:rPr>
        <w:t>Research Handbook on Corporate Restructuring</w:t>
      </w:r>
      <w:r w:rsidRPr="00654799">
        <w:rPr>
          <w:rFonts w:ascii="Times New Roman" w:hAnsi="Times New Roman"/>
        </w:rPr>
        <w:t>, Cheltenham, Edward Elgar Publishing, 2021 (forthcoming).</w:t>
      </w:r>
    </w:p>
  </w:footnote>
  <w:footnote w:id="5">
    <w:p w14:paraId="649D0C25" w14:textId="77777777" w:rsidR="00D90E9D" w:rsidRPr="00654799"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654799">
        <w:rPr>
          <w:rFonts w:ascii="Times New Roman" w:hAnsi="Times New Roman"/>
          <w:lang w:val="en"/>
        </w:rPr>
        <w:t xml:space="preserve"> </w:t>
      </w:r>
      <w:r>
        <w:rPr>
          <w:rFonts w:ascii="Times New Roman" w:hAnsi="Times New Roman"/>
          <w:lang w:val="en"/>
        </w:rPr>
        <w:t>The Portuguese</w:t>
      </w:r>
      <w:r w:rsidRPr="00654799">
        <w:rPr>
          <w:rFonts w:ascii="Times New Roman" w:hAnsi="Times New Roman"/>
          <w:lang w:val="en"/>
        </w:rPr>
        <w:t xml:space="preserve"> doctrine speaks rather of pre-insolvency, while the</w:t>
      </w:r>
      <w:r>
        <w:rPr>
          <w:rFonts w:ascii="Times New Roman" w:hAnsi="Times New Roman"/>
          <w:lang w:val="en"/>
        </w:rPr>
        <w:t xml:space="preserve"> Insolvency</w:t>
      </w:r>
      <w:r w:rsidRPr="00654799">
        <w:rPr>
          <w:rFonts w:ascii="Times New Roman" w:hAnsi="Times New Roman"/>
          <w:lang w:val="en"/>
        </w:rPr>
        <w:t xml:space="preserve"> </w:t>
      </w:r>
      <w:r>
        <w:rPr>
          <w:rFonts w:ascii="Times New Roman" w:hAnsi="Times New Roman"/>
          <w:lang w:val="en"/>
        </w:rPr>
        <w:t>Act</w:t>
      </w:r>
      <w:r w:rsidRPr="00654799">
        <w:rPr>
          <w:rFonts w:ascii="Times New Roman" w:hAnsi="Times New Roman"/>
          <w:lang w:val="en"/>
        </w:rPr>
        <w:t xml:space="preserve"> refers to two </w:t>
      </w:r>
      <w:r>
        <w:rPr>
          <w:rFonts w:ascii="Times New Roman" w:hAnsi="Times New Roman"/>
          <w:lang w:val="en"/>
        </w:rPr>
        <w:t xml:space="preserve">different, despite close, </w:t>
      </w:r>
      <w:r w:rsidRPr="00654799">
        <w:rPr>
          <w:rFonts w:ascii="Times New Roman" w:hAnsi="Times New Roman"/>
          <w:lang w:val="en"/>
        </w:rPr>
        <w:t>situations: the situation of economic difficulties and the imminent insolvency.</w:t>
      </w:r>
    </w:p>
  </w:footnote>
  <w:footnote w:id="6">
    <w:p w14:paraId="77E7E6AB" w14:textId="437A7B74" w:rsidR="00D90E9D" w:rsidRPr="00654799"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654799">
        <w:rPr>
          <w:rFonts w:ascii="Times New Roman" w:hAnsi="Times New Roman"/>
          <w:lang w:val="en"/>
        </w:rPr>
        <w:t xml:space="preserve"> </w:t>
      </w:r>
      <w:r w:rsidRPr="00654799">
        <w:rPr>
          <w:rFonts w:ascii="Times New Roman" w:hAnsi="Times New Roman"/>
          <w:lang w:val="en"/>
        </w:rPr>
        <w:t xml:space="preserve">“In economic terms, viability implies the ability of the business </w:t>
      </w:r>
      <w:r w:rsidRPr="00654799">
        <w:rPr>
          <w:rStyle w:val="jlqj4b"/>
          <w:rFonts w:ascii="Times New Roman" w:hAnsi="Times New Roman"/>
          <w:lang w:val="en"/>
        </w:rPr>
        <w:t xml:space="preserve">to provide an appropriate projected return on capital after having covered the operation costs”. See </w:t>
      </w:r>
      <w:r w:rsidRPr="00654799">
        <w:rPr>
          <w:rFonts w:ascii="Times New Roman" w:hAnsi="Times New Roman"/>
          <w:smallCaps/>
          <w:lang w:val="en"/>
        </w:rPr>
        <w:t xml:space="preserve">Francisco </w:t>
      </w:r>
      <w:r w:rsidRPr="00654799">
        <w:rPr>
          <w:rStyle w:val="jlqj4b"/>
          <w:rFonts w:ascii="Times New Roman" w:hAnsi="Times New Roman"/>
          <w:smallCaps/>
          <w:lang w:val="en"/>
        </w:rPr>
        <w:t>Garcimartin</w:t>
      </w:r>
      <w:r w:rsidRPr="00654799">
        <w:rPr>
          <w:rFonts w:ascii="Times New Roman" w:hAnsi="Times New Roman"/>
          <w:lang w:val="en"/>
        </w:rPr>
        <w:t xml:space="preserve">, in: </w:t>
      </w:r>
      <w:r w:rsidRPr="00654799">
        <w:rPr>
          <w:rFonts w:ascii="Times New Roman" w:hAnsi="Times New Roman"/>
          <w:smallCaps/>
          <w:lang w:val="en"/>
        </w:rPr>
        <w:t>Paulus/Dammann</w:t>
      </w:r>
      <w:r w:rsidRPr="00654799">
        <w:rPr>
          <w:rFonts w:ascii="Times New Roman" w:hAnsi="Times New Roman"/>
          <w:lang w:val="en"/>
        </w:rPr>
        <w:t xml:space="preserve"> (editors), </w:t>
      </w:r>
      <w:r w:rsidRPr="00654799">
        <w:rPr>
          <w:rFonts w:ascii="Times New Roman" w:hAnsi="Times New Roman"/>
          <w:i/>
          <w:lang w:val="en"/>
        </w:rPr>
        <w:t>European Preventive Restructuring – Article-by-Article Commentary</w:t>
      </w:r>
      <w:r w:rsidRPr="00654799">
        <w:rPr>
          <w:rFonts w:ascii="Times New Roman" w:hAnsi="Times New Roman"/>
          <w:lang w:val="en"/>
        </w:rPr>
        <w:t xml:space="preserve">, Munich/Oxford/Baden-Baden, </w:t>
      </w:r>
      <w:r w:rsidR="00424A47">
        <w:rPr>
          <w:rFonts w:ascii="Times New Roman" w:hAnsi="Times New Roman"/>
          <w:lang w:val="en"/>
        </w:rPr>
        <w:t xml:space="preserve"> </w:t>
      </w:r>
      <w:r w:rsidRPr="00654799">
        <w:rPr>
          <w:rFonts w:ascii="Times New Roman" w:hAnsi="Times New Roman"/>
          <w:lang w:val="en"/>
        </w:rPr>
        <w:t>Beck/Har</w:t>
      </w:r>
      <w:r w:rsidR="00424A47">
        <w:rPr>
          <w:rFonts w:ascii="Times New Roman" w:hAnsi="Times New Roman"/>
          <w:lang w:val="en"/>
        </w:rPr>
        <w:t>t</w:t>
      </w:r>
      <w:r w:rsidRPr="00654799">
        <w:rPr>
          <w:rFonts w:ascii="Times New Roman" w:hAnsi="Times New Roman"/>
          <w:lang w:val="en"/>
        </w:rPr>
        <w:t>/Nomos, 2021, 92.</w:t>
      </w:r>
    </w:p>
  </w:footnote>
  <w:footnote w:id="7">
    <w:p w14:paraId="1689184C" w14:textId="4CDEFBEA" w:rsidR="00D90E9D" w:rsidRPr="00654799"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654799">
        <w:rPr>
          <w:rFonts w:ascii="Times New Roman" w:hAnsi="Times New Roman"/>
          <w:lang w:val="en"/>
        </w:rPr>
        <w:t xml:space="preserve"> </w:t>
      </w:r>
      <w:r w:rsidRPr="00654799">
        <w:rPr>
          <w:rFonts w:ascii="Times New Roman" w:hAnsi="Times New Roman"/>
          <w:lang w:val="en"/>
        </w:rPr>
        <w:t xml:space="preserve">It is interesting to </w:t>
      </w:r>
      <w:r>
        <w:rPr>
          <w:rFonts w:ascii="Times New Roman" w:hAnsi="Times New Roman"/>
          <w:lang w:val="en"/>
        </w:rPr>
        <w:t>know that, according to</w:t>
      </w:r>
      <w:r w:rsidRPr="00654799">
        <w:rPr>
          <w:rFonts w:ascii="Times New Roman" w:hAnsi="Times New Roman"/>
          <w:lang w:val="en"/>
        </w:rPr>
        <w:t xml:space="preserve"> </w:t>
      </w:r>
      <w:r>
        <w:rPr>
          <w:rFonts w:ascii="Times New Roman" w:hAnsi="Times New Roman"/>
          <w:lang w:val="en"/>
        </w:rPr>
        <w:t>t</w:t>
      </w:r>
      <w:r w:rsidRPr="00654799">
        <w:rPr>
          <w:rFonts w:ascii="Times New Roman" w:hAnsi="Times New Roman"/>
          <w:lang w:val="en"/>
        </w:rPr>
        <w:t xml:space="preserve">he tenth </w:t>
      </w:r>
      <w:r>
        <w:rPr>
          <w:rFonts w:ascii="Times New Roman" w:hAnsi="Times New Roman"/>
          <w:lang w:val="en"/>
        </w:rPr>
        <w:t xml:space="preserve">guiding </w:t>
      </w:r>
      <w:r w:rsidRPr="00654799">
        <w:rPr>
          <w:rFonts w:ascii="Times New Roman" w:hAnsi="Times New Roman"/>
          <w:lang w:val="en"/>
        </w:rPr>
        <w:t>principle</w:t>
      </w:r>
      <w:r w:rsidRPr="00331F41">
        <w:rPr>
          <w:rFonts w:ascii="Times New Roman" w:hAnsi="Times New Roman"/>
          <w:lang w:val="en"/>
        </w:rPr>
        <w:t xml:space="preserve"> </w:t>
      </w:r>
      <w:r w:rsidRPr="00654799">
        <w:rPr>
          <w:rFonts w:ascii="Times New Roman" w:hAnsi="Times New Roman"/>
          <w:lang w:val="en"/>
        </w:rPr>
        <w:t xml:space="preserve">of </w:t>
      </w:r>
      <w:r w:rsidRPr="00654799">
        <w:rPr>
          <w:rStyle w:val="hps"/>
          <w:rFonts w:ascii="Times New Roman" w:hAnsi="Times New Roman"/>
          <w:lang w:val="en"/>
        </w:rPr>
        <w:t>out-of-court</w:t>
      </w:r>
      <w:r w:rsidRPr="00654799">
        <w:rPr>
          <w:rFonts w:ascii="Times New Roman" w:hAnsi="Times New Roman"/>
          <w:lang w:val="en"/>
        </w:rPr>
        <w:t xml:space="preserve"> restructuring (“</w:t>
      </w:r>
      <w:proofErr w:type="spellStart"/>
      <w:r w:rsidRPr="00654799">
        <w:rPr>
          <w:rFonts w:ascii="Times New Roman" w:hAnsi="Times New Roman"/>
        </w:rPr>
        <w:t>princípios</w:t>
      </w:r>
      <w:proofErr w:type="spellEnd"/>
      <w:r w:rsidRPr="00654799">
        <w:rPr>
          <w:rFonts w:ascii="Times New Roman" w:hAnsi="Times New Roman"/>
        </w:rPr>
        <w:t xml:space="preserve"> </w:t>
      </w:r>
      <w:proofErr w:type="spellStart"/>
      <w:r w:rsidRPr="00654799">
        <w:rPr>
          <w:rFonts w:ascii="Times New Roman" w:hAnsi="Times New Roman"/>
        </w:rPr>
        <w:t>orientadores</w:t>
      </w:r>
      <w:proofErr w:type="spellEnd"/>
      <w:r w:rsidRPr="00654799">
        <w:rPr>
          <w:rFonts w:ascii="Times New Roman" w:hAnsi="Times New Roman"/>
        </w:rPr>
        <w:t xml:space="preserve"> da </w:t>
      </w:r>
      <w:proofErr w:type="spellStart"/>
      <w:r w:rsidRPr="00654799">
        <w:rPr>
          <w:rFonts w:ascii="Times New Roman" w:hAnsi="Times New Roman"/>
        </w:rPr>
        <w:t>recuperação</w:t>
      </w:r>
      <w:proofErr w:type="spellEnd"/>
      <w:r w:rsidRPr="00654799">
        <w:rPr>
          <w:rFonts w:ascii="Times New Roman" w:hAnsi="Times New Roman"/>
        </w:rPr>
        <w:t xml:space="preserve"> extrajudicial de </w:t>
      </w:r>
      <w:proofErr w:type="spellStart"/>
      <w:r w:rsidRPr="00654799">
        <w:rPr>
          <w:rFonts w:ascii="Times New Roman" w:hAnsi="Times New Roman"/>
        </w:rPr>
        <w:t>devedores</w:t>
      </w:r>
      <w:proofErr w:type="spellEnd"/>
      <w:r w:rsidRPr="00654799">
        <w:rPr>
          <w:rFonts w:ascii="Times New Roman" w:hAnsi="Times New Roman"/>
        </w:rPr>
        <w:t>”</w:t>
      </w:r>
      <w:r w:rsidRPr="00654799">
        <w:rPr>
          <w:rFonts w:ascii="Times New Roman" w:hAnsi="Times New Roman"/>
          <w:lang w:val="en"/>
        </w:rPr>
        <w:t>, approved by the Resolution of the Council of Ministers No. 43 of 25 October 2011)</w:t>
      </w:r>
      <w:r>
        <w:rPr>
          <w:rFonts w:ascii="Times New Roman" w:hAnsi="Times New Roman"/>
          <w:lang w:val="en"/>
        </w:rPr>
        <w:t xml:space="preserve">, </w:t>
      </w:r>
      <w:r w:rsidRPr="00654799">
        <w:rPr>
          <w:rFonts w:ascii="Times New Roman" w:hAnsi="Times New Roman"/>
          <w:lang w:val="en"/>
        </w:rPr>
        <w:t>the proposals</w:t>
      </w:r>
      <w:r>
        <w:rPr>
          <w:rFonts w:ascii="Times New Roman" w:hAnsi="Times New Roman"/>
          <w:lang w:val="en"/>
        </w:rPr>
        <w:t xml:space="preserve"> for debt restructuring</w:t>
      </w:r>
      <w:r w:rsidRPr="00654799">
        <w:rPr>
          <w:rFonts w:ascii="Times New Roman" w:hAnsi="Times New Roman"/>
          <w:lang w:val="en"/>
        </w:rPr>
        <w:t xml:space="preserve"> </w:t>
      </w:r>
      <w:r>
        <w:rPr>
          <w:rFonts w:ascii="Times New Roman" w:hAnsi="Times New Roman"/>
          <w:lang w:val="en"/>
        </w:rPr>
        <w:t>shall be</w:t>
      </w:r>
      <w:r w:rsidRPr="00654799">
        <w:rPr>
          <w:rFonts w:ascii="Times New Roman" w:hAnsi="Times New Roman"/>
          <w:lang w:val="en"/>
        </w:rPr>
        <w:t xml:space="preserve"> based on a feasible and credible</w:t>
      </w:r>
      <w:r w:rsidRPr="00654799">
        <w:rPr>
          <w:rFonts w:ascii="Times New Roman" w:hAnsi="Times New Roman"/>
          <w:i/>
          <w:lang w:val="en"/>
        </w:rPr>
        <w:t xml:space="preserve"> </w:t>
      </w:r>
      <w:r w:rsidRPr="00654799">
        <w:rPr>
          <w:rFonts w:ascii="Times New Roman" w:hAnsi="Times New Roman"/>
          <w:iCs/>
          <w:lang w:val="en"/>
        </w:rPr>
        <w:t>business plan</w:t>
      </w:r>
      <w:r w:rsidRPr="00654799">
        <w:rPr>
          <w:rFonts w:ascii="Times New Roman" w:hAnsi="Times New Roman"/>
          <w:lang w:val="en"/>
        </w:rPr>
        <w:t>. Feasibility and credibility imply that the plan contain, firstly, information on all the steps that the business must take in order to overcome its financial problems, secondly, the demonstration of the debtor's ability to generate the financial flows necessary for debt restructuring and, thirdly, proof that the plan is not simply a means of delaying the opening of insolvency proceedings (i.e., delaying tactics).</w:t>
      </w:r>
    </w:p>
  </w:footnote>
  <w:footnote w:id="8">
    <w:p w14:paraId="2475DDEC" w14:textId="585BB854" w:rsidR="00D90E9D" w:rsidRPr="00654799" w:rsidRDefault="00D90E9D" w:rsidP="00D90E9D">
      <w:pPr>
        <w:pStyle w:val="FootnoteText"/>
        <w:rPr>
          <w:rFonts w:ascii="Times New Roman" w:hAnsi="Times New Roman"/>
        </w:rPr>
      </w:pPr>
      <w:r w:rsidRPr="00654799">
        <w:rPr>
          <w:rStyle w:val="FootnoteReference"/>
          <w:rFonts w:ascii="Times New Roman" w:hAnsi="Times New Roman"/>
        </w:rPr>
        <w:footnoteRef/>
      </w:r>
      <w:r w:rsidRPr="00654799">
        <w:rPr>
          <w:rFonts w:ascii="Times New Roman" w:hAnsi="Times New Roman"/>
        </w:rPr>
        <w:t xml:space="preserve"> </w:t>
      </w:r>
      <w:bookmarkStart w:id="1" w:name="_Hlk59891793"/>
      <w:r w:rsidRPr="00654799">
        <w:rPr>
          <w:rFonts w:ascii="Times New Roman" w:hAnsi="Times New Roman"/>
        </w:rPr>
        <w:t>On the foreseeable effects of the Directive on the Portuguese restructuring framework</w:t>
      </w:r>
      <w:r w:rsidR="00424A47">
        <w:rPr>
          <w:rFonts w:ascii="Times New Roman" w:hAnsi="Times New Roman"/>
        </w:rPr>
        <w:t>,</w:t>
      </w:r>
      <w:r w:rsidRPr="00654799">
        <w:rPr>
          <w:rFonts w:ascii="Times New Roman" w:hAnsi="Times New Roman"/>
        </w:rPr>
        <w:t xml:space="preserve"> see </w:t>
      </w:r>
      <w:r w:rsidRPr="00654799">
        <w:rPr>
          <w:rFonts w:ascii="Times New Roman" w:hAnsi="Times New Roman"/>
          <w:smallCaps/>
        </w:rPr>
        <w:t xml:space="preserve">Catarina Serra, </w:t>
      </w:r>
      <w:r w:rsidRPr="00654799">
        <w:rPr>
          <w:rFonts w:ascii="Times New Roman" w:hAnsi="Times New Roman"/>
        </w:rPr>
        <w:t xml:space="preserve">“The Directive on restructuring and insolvency from a Portuguese Perspective – A brief approach to preventive restructuring frameworks”, in: </w:t>
      </w:r>
      <w:proofErr w:type="spellStart"/>
      <w:r w:rsidRPr="00654799">
        <w:rPr>
          <w:rFonts w:ascii="Times New Roman" w:hAnsi="Times New Roman"/>
          <w:smallCaps/>
        </w:rPr>
        <w:t>María</w:t>
      </w:r>
      <w:proofErr w:type="spellEnd"/>
      <w:r w:rsidRPr="00654799">
        <w:rPr>
          <w:rFonts w:ascii="Times New Roman" w:hAnsi="Times New Roman"/>
          <w:smallCaps/>
        </w:rPr>
        <w:t xml:space="preserve"> Isabel </w:t>
      </w:r>
      <w:proofErr w:type="spellStart"/>
      <w:r w:rsidRPr="00654799">
        <w:rPr>
          <w:rFonts w:ascii="Times New Roman" w:hAnsi="Times New Roman"/>
          <w:smallCaps/>
        </w:rPr>
        <w:t>Candelario</w:t>
      </w:r>
      <w:proofErr w:type="spellEnd"/>
      <w:r w:rsidRPr="00654799">
        <w:rPr>
          <w:rFonts w:ascii="Times New Roman" w:hAnsi="Times New Roman"/>
          <w:smallCaps/>
        </w:rPr>
        <w:t xml:space="preserve"> Macias/Stefania </w:t>
      </w:r>
      <w:proofErr w:type="spellStart"/>
      <w:r w:rsidRPr="00654799">
        <w:rPr>
          <w:rFonts w:ascii="Times New Roman" w:hAnsi="Times New Roman"/>
          <w:smallCaps/>
        </w:rPr>
        <w:t>Pacchi</w:t>
      </w:r>
      <w:proofErr w:type="spellEnd"/>
      <w:r w:rsidRPr="00654799">
        <w:rPr>
          <w:rFonts w:ascii="Times New Roman" w:hAnsi="Times New Roman"/>
          <w:smallCaps/>
        </w:rPr>
        <w:t xml:space="preserve"> </w:t>
      </w:r>
      <w:r w:rsidRPr="00654799">
        <w:rPr>
          <w:rFonts w:ascii="Times New Roman" w:hAnsi="Times New Roman"/>
        </w:rPr>
        <w:t>(Dir.),</w:t>
      </w:r>
      <w:r w:rsidRPr="00654799">
        <w:rPr>
          <w:rFonts w:ascii="Times New Roman" w:hAnsi="Times New Roman"/>
          <w:smallCaps/>
        </w:rPr>
        <w:t xml:space="preserve"> </w:t>
      </w:r>
      <w:r w:rsidRPr="00654799">
        <w:rPr>
          <w:rFonts w:ascii="Times New Roman" w:hAnsi="Times New Roman"/>
          <w:i/>
          <w:iCs/>
        </w:rPr>
        <w:t xml:space="preserve">La </w:t>
      </w:r>
      <w:proofErr w:type="spellStart"/>
      <w:r w:rsidRPr="00654799">
        <w:rPr>
          <w:rFonts w:ascii="Times New Roman" w:hAnsi="Times New Roman"/>
          <w:i/>
          <w:iCs/>
        </w:rPr>
        <w:t>Directiva</w:t>
      </w:r>
      <w:proofErr w:type="spellEnd"/>
      <w:r w:rsidRPr="00654799">
        <w:rPr>
          <w:rFonts w:ascii="Times New Roman" w:hAnsi="Times New Roman"/>
          <w:i/>
          <w:iCs/>
        </w:rPr>
        <w:t xml:space="preserve"> de la UE 1023/2019 </w:t>
      </w:r>
      <w:proofErr w:type="spellStart"/>
      <w:r w:rsidRPr="00654799">
        <w:rPr>
          <w:rFonts w:ascii="Times New Roman" w:hAnsi="Times New Roman"/>
          <w:i/>
          <w:iCs/>
        </w:rPr>
        <w:t>sobre</w:t>
      </w:r>
      <w:proofErr w:type="spellEnd"/>
      <w:r w:rsidRPr="00654799">
        <w:rPr>
          <w:rFonts w:ascii="Times New Roman" w:hAnsi="Times New Roman"/>
          <w:i/>
          <w:iCs/>
        </w:rPr>
        <w:t xml:space="preserve"> </w:t>
      </w:r>
      <w:proofErr w:type="spellStart"/>
      <w:r w:rsidRPr="00654799">
        <w:rPr>
          <w:rFonts w:ascii="Times New Roman" w:hAnsi="Times New Roman"/>
          <w:i/>
          <w:iCs/>
        </w:rPr>
        <w:t>insolvencia</w:t>
      </w:r>
      <w:proofErr w:type="spellEnd"/>
      <w:r w:rsidRPr="00654799">
        <w:rPr>
          <w:rFonts w:ascii="Times New Roman" w:hAnsi="Times New Roman"/>
          <w:i/>
          <w:iCs/>
        </w:rPr>
        <w:t xml:space="preserve"> (</w:t>
      </w:r>
      <w:proofErr w:type="spellStart"/>
      <w:r w:rsidRPr="00654799">
        <w:rPr>
          <w:rFonts w:ascii="Times New Roman" w:hAnsi="Times New Roman"/>
          <w:i/>
          <w:iCs/>
        </w:rPr>
        <w:t>Estudios</w:t>
      </w:r>
      <w:proofErr w:type="spellEnd"/>
      <w:r w:rsidRPr="00654799">
        <w:rPr>
          <w:rFonts w:ascii="Times New Roman" w:hAnsi="Times New Roman"/>
          <w:i/>
          <w:iCs/>
        </w:rPr>
        <w:t xml:space="preserve"> </w:t>
      </w:r>
      <w:proofErr w:type="spellStart"/>
      <w:r w:rsidRPr="00654799">
        <w:rPr>
          <w:rFonts w:ascii="Times New Roman" w:hAnsi="Times New Roman"/>
          <w:i/>
          <w:iCs/>
        </w:rPr>
        <w:t>desde</w:t>
      </w:r>
      <w:proofErr w:type="spellEnd"/>
      <w:r w:rsidRPr="00654799">
        <w:rPr>
          <w:rFonts w:ascii="Times New Roman" w:hAnsi="Times New Roman"/>
          <w:i/>
          <w:iCs/>
        </w:rPr>
        <w:t xml:space="preserve"> </w:t>
      </w:r>
      <w:proofErr w:type="spellStart"/>
      <w:r w:rsidRPr="00654799">
        <w:rPr>
          <w:rFonts w:ascii="Times New Roman" w:hAnsi="Times New Roman"/>
          <w:i/>
          <w:iCs/>
        </w:rPr>
        <w:t>diferentes</w:t>
      </w:r>
      <w:proofErr w:type="spellEnd"/>
      <w:r w:rsidRPr="00654799">
        <w:rPr>
          <w:rFonts w:ascii="Times New Roman" w:hAnsi="Times New Roman"/>
          <w:i/>
          <w:iCs/>
        </w:rPr>
        <w:t xml:space="preserve"> </w:t>
      </w:r>
      <w:proofErr w:type="spellStart"/>
      <w:r w:rsidRPr="00654799">
        <w:rPr>
          <w:rFonts w:ascii="Times New Roman" w:hAnsi="Times New Roman"/>
          <w:i/>
          <w:iCs/>
        </w:rPr>
        <w:t>ordenamientos</w:t>
      </w:r>
      <w:proofErr w:type="spellEnd"/>
      <w:r w:rsidRPr="00654799">
        <w:rPr>
          <w:rFonts w:ascii="Times New Roman" w:hAnsi="Times New Roman"/>
          <w:i/>
          <w:iCs/>
        </w:rPr>
        <w:t>)</w:t>
      </w:r>
      <w:r w:rsidRPr="00654799">
        <w:rPr>
          <w:rFonts w:ascii="Times New Roman" w:hAnsi="Times New Roman"/>
        </w:rPr>
        <w:t xml:space="preserve">, Valencia, </w:t>
      </w:r>
      <w:proofErr w:type="spellStart"/>
      <w:r w:rsidRPr="00654799">
        <w:rPr>
          <w:rFonts w:ascii="Times New Roman" w:hAnsi="Times New Roman"/>
        </w:rPr>
        <w:t>Tirant</w:t>
      </w:r>
      <w:proofErr w:type="spellEnd"/>
      <w:r w:rsidRPr="00654799">
        <w:rPr>
          <w:rFonts w:ascii="Times New Roman" w:hAnsi="Times New Roman"/>
        </w:rPr>
        <w:t xml:space="preserve"> Lo Blanch, 2021 (forthcoming)</w:t>
      </w:r>
      <w:bookmarkEnd w:id="1"/>
      <w:r w:rsidRPr="00654799">
        <w:rPr>
          <w:rFonts w:ascii="Times New Roman" w:hAnsi="Times New Roman"/>
        </w:rPr>
        <w:t>.</w:t>
      </w:r>
    </w:p>
  </w:footnote>
  <w:footnote w:id="9">
    <w:p w14:paraId="58CF770E" w14:textId="5349D489" w:rsidR="00D90E9D" w:rsidRPr="00654799" w:rsidRDefault="00D90E9D" w:rsidP="00D90E9D">
      <w:pPr>
        <w:pStyle w:val="FootnoteText"/>
        <w:contextualSpacing/>
        <w:rPr>
          <w:rFonts w:ascii="Times New Roman" w:hAnsi="Times New Roman"/>
        </w:rPr>
      </w:pPr>
      <w:r w:rsidRPr="00654799">
        <w:rPr>
          <w:rStyle w:val="FootnoteReference"/>
          <w:rFonts w:ascii="Times New Roman" w:hAnsi="Times New Roman"/>
          <w:lang w:val="en"/>
        </w:rPr>
        <w:footnoteRef/>
      </w:r>
      <w:r w:rsidRPr="00654799">
        <w:rPr>
          <w:rFonts w:ascii="Times New Roman" w:hAnsi="Times New Roman"/>
          <w:lang w:val="en"/>
        </w:rPr>
        <w:t xml:space="preserve"> </w:t>
      </w:r>
      <w:r>
        <w:rPr>
          <w:rFonts w:ascii="Times New Roman" w:hAnsi="Times New Roman"/>
          <w:lang w:val="en"/>
        </w:rPr>
        <w:t xml:space="preserve">As provided </w:t>
      </w:r>
      <w:r w:rsidRPr="00654799">
        <w:rPr>
          <w:rFonts w:ascii="Times New Roman" w:hAnsi="Times New Roman"/>
          <w:lang w:val="en"/>
        </w:rPr>
        <w:t>in Article 34</w:t>
      </w:r>
      <w:r w:rsidR="00424A47">
        <w:rPr>
          <w:rFonts w:ascii="Times New Roman" w:hAnsi="Times New Roman"/>
          <w:lang w:val="en"/>
        </w:rPr>
        <w:t>(</w:t>
      </w:r>
      <w:r w:rsidRPr="00654799">
        <w:rPr>
          <w:rFonts w:ascii="Times New Roman" w:hAnsi="Times New Roman"/>
          <w:lang w:val="en"/>
        </w:rPr>
        <w:t>2</w:t>
      </w:r>
      <w:r w:rsidR="00424A47">
        <w:rPr>
          <w:rFonts w:ascii="Times New Roman" w:hAnsi="Times New Roman"/>
          <w:lang w:val="en"/>
        </w:rPr>
        <w:t>) of the PRD</w:t>
      </w:r>
      <w:r>
        <w:rPr>
          <w:rFonts w:ascii="Times New Roman" w:hAnsi="Times New Roman"/>
          <w:lang w:val="en"/>
        </w:rPr>
        <w:t xml:space="preserve">, </w:t>
      </w:r>
      <w:r w:rsidRPr="00654799">
        <w:rPr>
          <w:rFonts w:ascii="Times New Roman" w:hAnsi="Times New Roman"/>
          <w:lang w:val="en"/>
        </w:rPr>
        <w:t xml:space="preserve">Portugal has notified to the Commission </w:t>
      </w:r>
      <w:r w:rsidRPr="00654799">
        <w:rPr>
          <w:rFonts w:ascii="Times New Roman" w:hAnsi="Times New Roman"/>
        </w:rPr>
        <w:t>the need to make use of the option to extend the implementation period</w:t>
      </w:r>
      <w:r w:rsidRPr="00654799">
        <w:rPr>
          <w:rFonts w:ascii="Times New Roman" w:hAnsi="Times New Roman"/>
          <w:lang w:val="en"/>
        </w:rPr>
        <w:t>.</w:t>
      </w:r>
    </w:p>
  </w:footnote>
  <w:footnote w:id="10">
    <w:p w14:paraId="2A174980" w14:textId="77777777" w:rsidR="00D90E9D" w:rsidRPr="0090745A" w:rsidRDefault="00D90E9D" w:rsidP="00D90E9D">
      <w:pPr>
        <w:pStyle w:val="FootnoteText"/>
        <w:rPr>
          <w:rFonts w:ascii="Times New Roman" w:hAnsi="Times New Roman"/>
        </w:rPr>
      </w:pPr>
      <w:r w:rsidRPr="0090745A">
        <w:rPr>
          <w:rStyle w:val="FootnoteReference"/>
          <w:rFonts w:ascii="Times New Roman" w:hAnsi="Times New Roman"/>
        </w:rPr>
        <w:footnoteRef/>
      </w:r>
      <w:r w:rsidRPr="0090745A">
        <w:rPr>
          <w:rFonts w:ascii="Times New Roman" w:hAnsi="Times New Roman"/>
        </w:rPr>
        <w:t xml:space="preserve"> See on the topic </w:t>
      </w:r>
      <w:r w:rsidRPr="0090745A">
        <w:rPr>
          <w:rFonts w:ascii="Times New Roman" w:hAnsi="Times New Roman"/>
          <w:smallCaps/>
        </w:rPr>
        <w:t>Catarina Serra, “</w:t>
      </w:r>
      <w:bookmarkStart w:id="2" w:name="_Hlk65396895"/>
      <w:r w:rsidRPr="0090745A">
        <w:rPr>
          <w:rFonts w:ascii="Times New Roman" w:hAnsi="Times New Roman"/>
          <w:iCs/>
          <w:lang w:val="en"/>
        </w:rPr>
        <w:t>The new extraordinary proceedings for the economic sustainability of businesses: the viability or feasibility test”</w:t>
      </w:r>
      <w:r w:rsidRPr="0090745A">
        <w:rPr>
          <w:rFonts w:ascii="Times New Roman" w:hAnsi="Times New Roman"/>
        </w:rPr>
        <w:t xml:space="preserve">, in: </w:t>
      </w:r>
      <w:proofErr w:type="spellStart"/>
      <w:r w:rsidRPr="0090745A">
        <w:rPr>
          <w:rFonts w:ascii="Times New Roman" w:hAnsi="Times New Roman"/>
          <w:i/>
          <w:iCs/>
        </w:rPr>
        <w:t>PoLaR</w:t>
      </w:r>
      <w:proofErr w:type="spellEnd"/>
      <w:r w:rsidRPr="0090745A">
        <w:rPr>
          <w:rFonts w:ascii="Times New Roman" w:hAnsi="Times New Roman"/>
          <w:i/>
          <w:iCs/>
        </w:rPr>
        <w:t xml:space="preserve"> – Portuguese Law Review</w:t>
      </w:r>
      <w:r w:rsidRPr="0090745A">
        <w:rPr>
          <w:rFonts w:ascii="Times New Roman" w:hAnsi="Times New Roman"/>
        </w:rPr>
        <w:t>, 2021, vol. 5, 1, 1 ff.</w:t>
      </w:r>
      <w:bookmarkEnd w:id="2"/>
    </w:p>
  </w:footnote>
  <w:footnote w:id="11">
    <w:p w14:paraId="5A6B7F2D" w14:textId="74A58A35" w:rsidR="00D90E9D" w:rsidRPr="0090745A" w:rsidRDefault="00D90E9D" w:rsidP="00D90E9D">
      <w:pPr>
        <w:pStyle w:val="FootnoteText"/>
        <w:contextualSpacing/>
        <w:rPr>
          <w:rFonts w:ascii="Times New Roman" w:hAnsi="Times New Roman"/>
        </w:rPr>
      </w:pPr>
      <w:r w:rsidRPr="0090745A">
        <w:rPr>
          <w:rStyle w:val="FootnoteReference"/>
          <w:rFonts w:ascii="Times New Roman" w:hAnsi="Times New Roman"/>
          <w:lang w:val="en"/>
        </w:rPr>
        <w:footnoteRef/>
      </w:r>
      <w:r w:rsidRPr="0090745A">
        <w:rPr>
          <w:rFonts w:ascii="Times New Roman" w:hAnsi="Times New Roman"/>
          <w:lang w:val="en"/>
        </w:rPr>
        <w:t xml:space="preserve"> </w:t>
      </w:r>
      <w:r w:rsidRPr="0090745A">
        <w:rPr>
          <w:rFonts w:ascii="Times New Roman" w:hAnsi="Times New Roman"/>
          <w:lang w:val="en"/>
        </w:rPr>
        <w:t xml:space="preserve">See </w:t>
      </w:r>
      <w:r w:rsidRPr="0090745A">
        <w:rPr>
          <w:rFonts w:ascii="Times New Roman" w:hAnsi="Times New Roman"/>
          <w:smallCaps/>
          <w:lang w:val="en"/>
        </w:rPr>
        <w:t>Lorenzo</w:t>
      </w:r>
      <w:r w:rsidRPr="0090745A">
        <w:rPr>
          <w:rFonts w:ascii="Times New Roman" w:hAnsi="Times New Roman"/>
          <w:lang w:val="en"/>
        </w:rPr>
        <w:t xml:space="preserve"> </w:t>
      </w:r>
      <w:r w:rsidRPr="0090745A">
        <w:rPr>
          <w:rStyle w:val="jlqj4b"/>
          <w:rFonts w:ascii="Times New Roman" w:hAnsi="Times New Roman"/>
          <w:smallCaps/>
          <w:lang w:val="en"/>
        </w:rPr>
        <w:t>Stanghellini/Riz Mokal/Christoph Paulus/Ignacio Tirado</w:t>
      </w:r>
      <w:r w:rsidRPr="0090745A">
        <w:rPr>
          <w:rStyle w:val="jlqj4b"/>
          <w:rFonts w:ascii="Times New Roman" w:hAnsi="Times New Roman"/>
          <w:lang w:val="en"/>
        </w:rPr>
        <w:t xml:space="preserve"> (editors),</w:t>
      </w:r>
      <w:r w:rsidRPr="0090745A">
        <w:rPr>
          <w:rStyle w:val="jlqj4b"/>
          <w:rFonts w:ascii="Times New Roman" w:hAnsi="Times New Roman"/>
          <w:smallCaps/>
          <w:lang w:val="en"/>
        </w:rPr>
        <w:t xml:space="preserve"> </w:t>
      </w:r>
      <w:r w:rsidRPr="0090745A">
        <w:rPr>
          <w:rStyle w:val="jlqj4b"/>
          <w:rFonts w:ascii="Times New Roman" w:hAnsi="Times New Roman"/>
          <w:i/>
          <w:lang w:val="en"/>
        </w:rPr>
        <w:t>Best Practices in European Restructuring – Contractualised Distress Resolution in the Shadow of the Law</w:t>
      </w:r>
      <w:r w:rsidRPr="0090745A">
        <w:rPr>
          <w:rStyle w:val="jlqj4b"/>
          <w:rFonts w:ascii="Times New Roman" w:hAnsi="Times New Roman"/>
          <w:lang w:val="en"/>
        </w:rPr>
        <w:t>, Milano, Wolters Kluwer / CEDAM, 2018, 202.</w:t>
      </w:r>
    </w:p>
  </w:footnote>
  <w:footnote w:id="12">
    <w:p w14:paraId="68FACCB8" w14:textId="4E2D9A57" w:rsidR="00D90E9D" w:rsidRPr="0090745A" w:rsidRDefault="00D90E9D" w:rsidP="00D90E9D">
      <w:pPr>
        <w:pStyle w:val="FootnoteText"/>
        <w:contextualSpacing/>
        <w:rPr>
          <w:rFonts w:ascii="Times New Roman" w:hAnsi="Times New Roman"/>
        </w:rPr>
      </w:pPr>
      <w:r w:rsidRPr="0090745A">
        <w:rPr>
          <w:rStyle w:val="FootnoteReference"/>
          <w:rFonts w:ascii="Times New Roman" w:hAnsi="Times New Roman"/>
          <w:lang w:val="en"/>
        </w:rPr>
        <w:footnoteRef/>
      </w:r>
      <w:r w:rsidRPr="0090745A">
        <w:rPr>
          <w:rFonts w:ascii="Times New Roman" w:hAnsi="Times New Roman"/>
          <w:lang w:val="en"/>
        </w:rPr>
        <w:t xml:space="preserve"> </w:t>
      </w:r>
      <w:r w:rsidRPr="0090745A">
        <w:rPr>
          <w:rFonts w:ascii="Times New Roman" w:hAnsi="Times New Roman"/>
          <w:lang w:val="en"/>
        </w:rPr>
        <w:t xml:space="preserve">See </w:t>
      </w:r>
      <w:r w:rsidRPr="0090745A">
        <w:rPr>
          <w:rFonts w:ascii="Times New Roman" w:hAnsi="Times New Roman"/>
          <w:smallCaps/>
          <w:lang w:val="en"/>
        </w:rPr>
        <w:t xml:space="preserve">Francisco </w:t>
      </w:r>
      <w:r w:rsidRPr="0090745A">
        <w:rPr>
          <w:rStyle w:val="jlqj4b"/>
          <w:rFonts w:ascii="Times New Roman" w:hAnsi="Times New Roman"/>
          <w:smallCaps/>
          <w:lang w:val="en"/>
        </w:rPr>
        <w:t>Garcimartin</w:t>
      </w:r>
      <w:r w:rsidRPr="0090745A">
        <w:rPr>
          <w:rFonts w:ascii="Times New Roman" w:hAnsi="Times New Roman"/>
          <w:lang w:val="en"/>
        </w:rPr>
        <w:t xml:space="preserve">, in: </w:t>
      </w:r>
      <w:r w:rsidRPr="0090745A">
        <w:rPr>
          <w:rFonts w:ascii="Times New Roman" w:hAnsi="Times New Roman"/>
          <w:smallCaps/>
          <w:lang w:val="en"/>
        </w:rPr>
        <w:t>Paulus/Dammann</w:t>
      </w:r>
      <w:r w:rsidRPr="0090745A">
        <w:rPr>
          <w:rFonts w:ascii="Times New Roman" w:hAnsi="Times New Roman"/>
          <w:lang w:val="en"/>
        </w:rPr>
        <w:t xml:space="preserve"> (editors), </w:t>
      </w:r>
      <w:r w:rsidRPr="0090745A">
        <w:rPr>
          <w:rFonts w:ascii="Times New Roman" w:hAnsi="Times New Roman"/>
          <w:i/>
          <w:lang w:val="en"/>
        </w:rPr>
        <w:t>European Preventive Restructuring – Article-by-Article Commentary</w:t>
      </w:r>
      <w:r w:rsidRPr="0090745A">
        <w:rPr>
          <w:rFonts w:ascii="Times New Roman" w:hAnsi="Times New Roman"/>
          <w:lang w:val="en"/>
        </w:rPr>
        <w:t>, cit., 175.</w:t>
      </w:r>
    </w:p>
  </w:footnote>
  <w:footnote w:id="13">
    <w:p w14:paraId="788C93D8" w14:textId="77777777" w:rsidR="00D90E9D" w:rsidRPr="0090745A" w:rsidRDefault="00D90E9D" w:rsidP="00D90E9D">
      <w:pPr>
        <w:pStyle w:val="FootnoteText"/>
        <w:contextualSpacing/>
        <w:rPr>
          <w:rFonts w:ascii="Times New Roman" w:hAnsi="Times New Roman"/>
        </w:rPr>
      </w:pPr>
      <w:r w:rsidRPr="0090745A">
        <w:rPr>
          <w:rStyle w:val="FootnoteReference"/>
          <w:rFonts w:ascii="Times New Roman" w:hAnsi="Times New Roman"/>
          <w:lang w:val="en"/>
        </w:rPr>
        <w:footnoteRef/>
      </w:r>
      <w:r w:rsidRPr="0090745A">
        <w:rPr>
          <w:rFonts w:ascii="Times New Roman" w:hAnsi="Times New Roman"/>
          <w:lang w:val="en"/>
        </w:rPr>
        <w:t xml:space="preserve"> </w:t>
      </w:r>
      <w:r w:rsidRPr="0090745A">
        <w:rPr>
          <w:rFonts w:ascii="Times New Roman" w:hAnsi="Times New Roman"/>
          <w:lang w:val="en"/>
        </w:rPr>
        <w:t xml:space="preserve">See </w:t>
      </w:r>
      <w:r w:rsidRPr="0090745A">
        <w:rPr>
          <w:rFonts w:ascii="Times New Roman" w:hAnsi="Times New Roman"/>
          <w:smallCaps/>
          <w:lang w:val="en"/>
        </w:rPr>
        <w:t xml:space="preserve">Nicolaes </w:t>
      </w:r>
      <w:r w:rsidRPr="0090745A">
        <w:rPr>
          <w:rStyle w:val="jlqj4b"/>
          <w:rFonts w:ascii="Times New Roman" w:hAnsi="Times New Roman"/>
          <w:smallCaps/>
          <w:lang w:val="en"/>
        </w:rPr>
        <w:t xml:space="preserve">Tollenaar, </w:t>
      </w:r>
      <w:r w:rsidRPr="0090745A">
        <w:rPr>
          <w:rStyle w:val="jlqj4b"/>
          <w:rFonts w:ascii="Times New Roman" w:hAnsi="Times New Roman"/>
          <w:i/>
          <w:lang w:val="en"/>
        </w:rPr>
        <w:t>Pre-insolvency Proceedings – A Normative Foundation and Framework</w:t>
      </w:r>
      <w:r w:rsidRPr="0090745A">
        <w:rPr>
          <w:rStyle w:val="jlqj4b"/>
          <w:rFonts w:ascii="Times New Roman" w:hAnsi="Times New Roman"/>
          <w:lang w:val="en"/>
        </w:rPr>
        <w:t>, Oxford, Oxford University Press, 2019, 229-230.</w:t>
      </w:r>
    </w:p>
  </w:footnote>
  <w:footnote w:id="14">
    <w:p w14:paraId="4410BFFA" w14:textId="3DC5A771" w:rsidR="00D90E9D" w:rsidRPr="0090745A" w:rsidRDefault="00D90E9D" w:rsidP="00D90E9D">
      <w:pPr>
        <w:pStyle w:val="FootnoteText"/>
      </w:pPr>
      <w:r w:rsidRPr="0090745A">
        <w:rPr>
          <w:rStyle w:val="FootnoteReference"/>
          <w:rFonts w:ascii="Times New Roman" w:hAnsi="Times New Roman"/>
        </w:rPr>
        <w:footnoteRef/>
      </w:r>
      <w:r w:rsidRPr="0090745A">
        <w:rPr>
          <w:rFonts w:ascii="Times New Roman" w:hAnsi="Times New Roman"/>
        </w:rPr>
        <w:t xml:space="preserve"> </w:t>
      </w:r>
      <w:r>
        <w:rPr>
          <w:rFonts w:ascii="Times New Roman" w:hAnsi="Times New Roman"/>
          <w:lang w:val="en"/>
        </w:rPr>
        <w:t>There are other examples among European jurisdictions</w:t>
      </w:r>
      <w:r w:rsidR="00424A47">
        <w:rPr>
          <w:rFonts w:ascii="Times New Roman" w:hAnsi="Times New Roman"/>
          <w:lang w:val="en"/>
        </w:rPr>
        <w:t>,</w:t>
      </w:r>
      <w:r>
        <w:rPr>
          <w:rFonts w:ascii="Times New Roman" w:hAnsi="Times New Roman"/>
          <w:lang w:val="en"/>
        </w:rPr>
        <w:t xml:space="preserve"> such as</w:t>
      </w:r>
      <w:r w:rsidRPr="0090745A">
        <w:rPr>
          <w:rFonts w:ascii="Times New Roman" w:hAnsi="Times New Roman"/>
          <w:lang w:val="en"/>
        </w:rPr>
        <w:t xml:space="preserve"> the Italian</w:t>
      </w:r>
      <w:r>
        <w:rPr>
          <w:rFonts w:ascii="Times New Roman" w:hAnsi="Times New Roman"/>
          <w:lang w:val="en"/>
        </w:rPr>
        <w:t>, in which</w:t>
      </w:r>
      <w:r w:rsidRPr="0090745A">
        <w:rPr>
          <w:rFonts w:ascii="Times New Roman" w:hAnsi="Times New Roman"/>
          <w:lang w:val="en"/>
        </w:rPr>
        <w:t xml:space="preserve">, for the purpose of confirming a </w:t>
      </w:r>
      <w:r w:rsidRPr="0090745A">
        <w:rPr>
          <w:rFonts w:ascii="Times New Roman" w:hAnsi="Times New Roman"/>
          <w:i/>
          <w:iCs/>
        </w:rPr>
        <w:t>concordato preventivo</w:t>
      </w:r>
      <w:r w:rsidRPr="0090745A">
        <w:rPr>
          <w:rFonts w:ascii="Times New Roman" w:hAnsi="Times New Roman"/>
        </w:rPr>
        <w:t xml:space="preserve"> or an </w:t>
      </w:r>
      <w:proofErr w:type="spellStart"/>
      <w:r w:rsidRPr="0090745A">
        <w:rPr>
          <w:rFonts w:ascii="Times New Roman" w:hAnsi="Times New Roman"/>
          <w:i/>
          <w:iCs/>
        </w:rPr>
        <w:t>accordo</w:t>
      </w:r>
      <w:proofErr w:type="spellEnd"/>
      <w:r w:rsidRPr="0090745A">
        <w:rPr>
          <w:rFonts w:ascii="Times New Roman" w:hAnsi="Times New Roman"/>
          <w:i/>
          <w:iCs/>
        </w:rPr>
        <w:t xml:space="preserve"> di ristrutturazione dei </w:t>
      </w:r>
      <w:proofErr w:type="spellStart"/>
      <w:r w:rsidRPr="0090745A">
        <w:rPr>
          <w:rFonts w:ascii="Times New Roman" w:hAnsi="Times New Roman"/>
          <w:i/>
          <w:iCs/>
        </w:rPr>
        <w:t>debiti</w:t>
      </w:r>
      <w:proofErr w:type="spellEnd"/>
      <w:r w:rsidRPr="0090745A">
        <w:rPr>
          <w:rFonts w:ascii="Times New Roman" w:hAnsi="Times New Roman"/>
          <w:lang w:val="en"/>
        </w:rPr>
        <w:t xml:space="preserve">, the court shall verify </w:t>
      </w:r>
      <w:r w:rsidRPr="0090745A">
        <w:rPr>
          <w:rFonts w:ascii="Times New Roman" w:hAnsi="Times New Roman"/>
          <w:iCs/>
          <w:lang w:val="en"/>
        </w:rPr>
        <w:t>the economic feasibility of the plan (</w:t>
      </w:r>
      <w:r w:rsidRPr="0090745A">
        <w:rPr>
          <w:rFonts w:ascii="Times New Roman" w:hAnsi="Times New Roman"/>
          <w:lang w:val="en"/>
        </w:rPr>
        <w:t xml:space="preserve">Article 48, 3, </w:t>
      </w:r>
      <w:r w:rsidRPr="0090745A">
        <w:rPr>
          <w:rFonts w:ascii="Times New Roman" w:hAnsi="Times New Roman"/>
          <w:i/>
          <w:iCs/>
          <w:lang w:val="en"/>
        </w:rPr>
        <w:t xml:space="preserve">Codice della Crisi </w:t>
      </w:r>
      <w:proofErr w:type="spellStart"/>
      <w:r w:rsidRPr="0090745A">
        <w:rPr>
          <w:rFonts w:ascii="Times New Roman" w:hAnsi="Times New Roman"/>
          <w:i/>
          <w:iCs/>
          <w:lang w:val="en"/>
        </w:rPr>
        <w:t>d’Impresa</w:t>
      </w:r>
      <w:proofErr w:type="spellEnd"/>
      <w:r w:rsidRPr="0090745A">
        <w:rPr>
          <w:rFonts w:ascii="Times New Roman" w:hAnsi="Times New Roman"/>
          <w:i/>
          <w:iCs/>
          <w:lang w:val="en"/>
        </w:rPr>
        <w:t xml:space="preserve"> e </w:t>
      </w:r>
      <w:proofErr w:type="spellStart"/>
      <w:r w:rsidRPr="0090745A">
        <w:rPr>
          <w:rFonts w:ascii="Times New Roman" w:hAnsi="Times New Roman"/>
          <w:i/>
          <w:iCs/>
          <w:lang w:val="en"/>
        </w:rPr>
        <w:t>dell’Insolvenza</w:t>
      </w:r>
      <w:proofErr w:type="spellEnd"/>
      <w:r w:rsidRPr="0090745A">
        <w:rPr>
          <w:rFonts w:ascii="Times New Roman" w:hAnsi="Times New Roman"/>
          <w:lang w:val="e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8C139" w14:textId="77777777" w:rsidR="00881EFF" w:rsidRDefault="00881E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C893" w14:textId="77777777"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D90E9D">
      <w:rPr>
        <w:rFonts w:ascii="Arial" w:hAnsi="Arial" w:cs="Arial"/>
        <w:b/>
        <w:sz w:val="20"/>
      </w:rPr>
      <w:t>May</w:t>
    </w:r>
    <w:r w:rsidR="002A5779" w:rsidRPr="002331CA">
      <w:rPr>
        <w:rFonts w:ascii="Arial" w:hAnsi="Arial" w:cs="Arial"/>
        <w:b/>
        <w:sz w:val="20"/>
      </w:rPr>
      <w:t xml:space="preserve"> 20</w:t>
    </w:r>
    <w:r w:rsidR="00087612" w:rsidRPr="002331CA">
      <w:rPr>
        <w:rFonts w:ascii="Arial" w:hAnsi="Arial" w:cs="Arial"/>
        <w:b/>
        <w:sz w:val="20"/>
      </w:rPr>
      <w:t>2</w:t>
    </w:r>
    <w:r w:rsidR="00CB7636" w:rsidRPr="002331CA">
      <w:rPr>
        <w:rFonts w:ascii="Arial" w:hAnsi="Arial" w:cs="Arial"/>
        <w:b/>
        <w:sz w:val="20"/>
      </w:rPr>
      <w:t>1</w:t>
    </w:r>
    <w:r w:rsidR="00D90E9D">
      <w:rPr>
        <w:rFonts w:ascii="Arial" w:hAnsi="Arial" w:cs="Arial"/>
        <w:b/>
        <w:sz w:val="20"/>
      </w:rPr>
      <w:t>)</w:t>
    </w:r>
  </w:p>
  <w:p w14:paraId="0F2C5C5A" w14:textId="6FDF73AC" w:rsidR="00BF3D3E" w:rsidRPr="002331CA" w:rsidRDefault="00D90E9D" w:rsidP="00D90E9D">
    <w:pPr>
      <w:pStyle w:val="Header"/>
      <w:spacing w:after="0"/>
      <w:rPr>
        <w:rFonts w:ascii="Arial" w:hAnsi="Arial" w:cs="Arial"/>
        <w:b/>
        <w:sz w:val="20"/>
      </w:rPr>
    </w:pPr>
    <w:r>
      <w:rPr>
        <w:rFonts w:ascii="Arial" w:hAnsi="Arial" w:cs="Arial"/>
        <w:b/>
        <w:sz w:val="20"/>
      </w:rPr>
      <w:t xml:space="preserve">Catarina Serra </w:t>
    </w:r>
    <w:r w:rsidR="00BF3D3E" w:rsidRPr="002331CA">
      <w:rPr>
        <w:rFonts w:ascii="Arial" w:hAnsi="Arial" w:cs="Arial"/>
        <w:b/>
        <w:sz w:val="20"/>
      </w:rPr>
      <w:t>(</w:t>
    </w:r>
    <w:r w:rsidR="002331CA" w:rsidRPr="002331CA">
      <w:rPr>
        <w:rFonts w:ascii="Arial" w:hAnsi="Arial" w:cs="Arial"/>
        <w:b/>
        <w:sz w:val="20"/>
      </w:rPr>
      <w:t>P</w:t>
    </w:r>
    <w:r>
      <w:rPr>
        <w:rFonts w:ascii="Arial" w:hAnsi="Arial" w:cs="Arial"/>
        <w:b/>
        <w:sz w:val="20"/>
      </w:rPr>
      <w:t>T</w:t>
    </w:r>
    <w:r w:rsidR="00BF3D3E" w:rsidRPr="002331CA">
      <w:rPr>
        <w:rFonts w:ascii="Arial" w:hAnsi="Arial" w:cs="Arial"/>
        <w:b/>
        <w:sz w:val="20"/>
      </w:rP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BBBE" w14:textId="77777777" w:rsidR="00881EFF" w:rsidRDefault="00881E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2269E"/>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6632"/>
    <w:rsid w:val="00280030"/>
    <w:rsid w:val="00284601"/>
    <w:rsid w:val="002A4C95"/>
    <w:rsid w:val="002A5779"/>
    <w:rsid w:val="002A5C92"/>
    <w:rsid w:val="002E09E9"/>
    <w:rsid w:val="003021B6"/>
    <w:rsid w:val="003217E3"/>
    <w:rsid w:val="0032563F"/>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41B0"/>
    <w:rsid w:val="00674D11"/>
    <w:rsid w:val="00694350"/>
    <w:rsid w:val="006945CB"/>
    <w:rsid w:val="006D0A86"/>
    <w:rsid w:val="006E1323"/>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39E7"/>
    <w:rsid w:val="007E03E6"/>
    <w:rsid w:val="007E1590"/>
    <w:rsid w:val="00807744"/>
    <w:rsid w:val="008432D1"/>
    <w:rsid w:val="00847988"/>
    <w:rsid w:val="008506FC"/>
    <w:rsid w:val="008609CB"/>
    <w:rsid w:val="00867725"/>
    <w:rsid w:val="00872A8B"/>
    <w:rsid w:val="00876BCD"/>
    <w:rsid w:val="00877CBB"/>
    <w:rsid w:val="00881EFF"/>
    <w:rsid w:val="00886023"/>
    <w:rsid w:val="008979BB"/>
    <w:rsid w:val="008B0583"/>
    <w:rsid w:val="008C32A7"/>
    <w:rsid w:val="009069C9"/>
    <w:rsid w:val="00933B42"/>
    <w:rsid w:val="0093601D"/>
    <w:rsid w:val="009656AB"/>
    <w:rsid w:val="00976F27"/>
    <w:rsid w:val="00977889"/>
    <w:rsid w:val="0098305D"/>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40F88"/>
    <w:rsid w:val="00B46BCC"/>
    <w:rsid w:val="00B53B8D"/>
    <w:rsid w:val="00B64744"/>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84D98"/>
    <w:rsid w:val="00D90E9D"/>
    <w:rsid w:val="00DE5F99"/>
    <w:rsid w:val="00E007BF"/>
    <w:rsid w:val="00E0090D"/>
    <w:rsid w:val="00E22801"/>
    <w:rsid w:val="00E2501C"/>
    <w:rsid w:val="00E37A5D"/>
    <w:rsid w:val="00E53ABF"/>
    <w:rsid w:val="00E71E7B"/>
    <w:rsid w:val="00EA5386"/>
    <w:rsid w:val="00EA585B"/>
    <w:rsid w:val="00EB6116"/>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21E4-511B-3B4F-B734-11FEF051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1575</Words>
  <Characters>8984</Characters>
  <Application>Microsoft Macintosh Word</Application>
  <DocSecurity>0</DocSecurity>
  <PresentationFormat/>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47</cp:revision>
  <cp:lastPrinted>2017-11-20T20:14:00Z</cp:lastPrinted>
  <dcterms:created xsi:type="dcterms:W3CDTF">2019-03-06T11:14:00Z</dcterms:created>
  <dcterms:modified xsi:type="dcterms:W3CDTF">2021-05-26T11:26:00Z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