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500"/>
        <w:gridCol w:w="4806"/>
      </w:tblGrid>
      <w:tr w:rsidR="000B2E96" w:rsidRPr="00C76B0F" w14:paraId="1256E2D3" w14:textId="77777777" w:rsidTr="00CD295E">
        <w:tc>
          <w:tcPr>
            <w:tcW w:w="4261" w:type="dxa"/>
          </w:tcPr>
          <w:p w14:paraId="1FF7C42C" w14:textId="62A3B789" w:rsidR="000B2E96" w:rsidRPr="001B1FC4" w:rsidRDefault="008A2E6D" w:rsidP="00CD295E">
            <w:pPr>
              <w:pStyle w:val="Header"/>
              <w:jc w:val="center"/>
              <w:rPr>
                <w:rFonts w:ascii="Baskerville Old Face" w:hAnsi="Baskerville Old Face" w:cs="Aharoni"/>
                <w:b/>
                <w:bCs/>
                <w:i/>
                <w:iCs/>
              </w:rPr>
            </w:pPr>
            <w:r>
              <w:rPr>
                <w:i/>
                <w:iCs/>
                <w:noProof/>
                <w:sz w:val="22"/>
                <w:szCs w:val="22"/>
              </w:rPr>
              <w:drawing>
                <wp:inline distT="0" distB="0" distL="0" distR="0" wp14:anchorId="3DC4E959" wp14:editId="4638C85C">
                  <wp:extent cx="1092074" cy="1315452"/>
                  <wp:effectExtent l="0" t="0" r="635" b="571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14307" cy="1342233"/>
                          </a:xfrm>
                          <a:prstGeom prst="rect">
                            <a:avLst/>
                          </a:prstGeom>
                        </pic:spPr>
                      </pic:pic>
                    </a:graphicData>
                  </a:graphic>
                </wp:inline>
              </w:drawing>
            </w:r>
          </w:p>
        </w:tc>
        <w:tc>
          <w:tcPr>
            <w:tcW w:w="4261" w:type="dxa"/>
          </w:tcPr>
          <w:p w14:paraId="7F2D926A" w14:textId="1175B275" w:rsidR="000B2E96" w:rsidRPr="001B1FC4" w:rsidRDefault="00D0036E" w:rsidP="00CD295E">
            <w:pPr>
              <w:pStyle w:val="Header"/>
              <w:jc w:val="center"/>
              <w:rPr>
                <w:rFonts w:ascii="Baskerville Old Face" w:hAnsi="Baskerville Old Face" w:cs="Aharoni"/>
              </w:rPr>
            </w:pPr>
            <w:r w:rsidRPr="00A478F0">
              <w:rPr>
                <w:noProof/>
                <w:sz w:val="22"/>
                <w:szCs w:val="22"/>
                <w:lang w:val="da-DK" w:eastAsia="da-DK" w:bidi="ar-SA"/>
              </w:rPr>
              <w:drawing>
                <wp:inline distT="0" distB="0" distL="0" distR="0" wp14:anchorId="6B4BF736" wp14:editId="5C57C21C">
                  <wp:extent cx="2905951" cy="1155700"/>
                  <wp:effectExtent l="0" t="0" r="889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5085" cy="1159332"/>
                          </a:xfrm>
                          <a:prstGeom prst="rect">
                            <a:avLst/>
                          </a:prstGeom>
                          <a:noFill/>
                          <a:ln>
                            <a:noFill/>
                          </a:ln>
                        </pic:spPr>
                      </pic:pic>
                    </a:graphicData>
                  </a:graphic>
                </wp:inline>
              </w:drawing>
            </w:r>
          </w:p>
        </w:tc>
      </w:tr>
    </w:tbl>
    <w:p w14:paraId="2A4864F0" w14:textId="77777777" w:rsidR="000B2E96" w:rsidRPr="001B1FC4" w:rsidRDefault="000B2E96" w:rsidP="000B2E96">
      <w:pPr>
        <w:rPr>
          <w:rFonts w:ascii="Baskerville Old Face" w:hAnsi="Baskerville Old Face" w:cs="Aharoni"/>
        </w:rPr>
      </w:pPr>
    </w:p>
    <w:p w14:paraId="36550C14" w14:textId="77777777" w:rsidR="000B2E96" w:rsidRPr="001B1FC4" w:rsidRDefault="000B2E96" w:rsidP="000B2E96">
      <w:pPr>
        <w:jc w:val="center"/>
        <w:rPr>
          <w:rFonts w:ascii="Baskerville Old Face" w:hAnsi="Baskerville Old Face" w:cs="Aharoni"/>
          <w:b/>
          <w:u w:val="single"/>
        </w:rPr>
      </w:pPr>
    </w:p>
    <w:p w14:paraId="77BD1A47" w14:textId="0FEDEF43" w:rsidR="000B2E96" w:rsidRPr="001B1FC4" w:rsidRDefault="000B2E96" w:rsidP="000B2E96">
      <w:pPr>
        <w:jc w:val="center"/>
        <w:rPr>
          <w:rFonts w:ascii="Baskerville Old Face" w:hAnsi="Baskerville Old Face" w:cs="Aharoni"/>
          <w:b/>
          <w:u w:val="single"/>
        </w:rPr>
      </w:pPr>
      <w:r w:rsidRPr="001B1FC4">
        <w:rPr>
          <w:rFonts w:ascii="Baskerville Old Face" w:hAnsi="Baskerville Old Face" w:cs="Aharoni"/>
          <w:b/>
          <w:u w:val="single"/>
        </w:rPr>
        <w:t xml:space="preserve">Call for Papers – </w:t>
      </w:r>
      <w:r>
        <w:rPr>
          <w:rFonts w:ascii="Baskerville Old Face" w:hAnsi="Baskerville Old Face" w:cs="Aharoni"/>
          <w:b/>
          <w:u w:val="single"/>
        </w:rPr>
        <w:t xml:space="preserve">Dublin </w:t>
      </w:r>
      <w:r w:rsidR="006B3A35">
        <w:rPr>
          <w:rFonts w:ascii="Baskerville Old Face" w:hAnsi="Baskerville Old Face" w:cs="Aharoni"/>
          <w:b/>
          <w:u w:val="single"/>
        </w:rPr>
        <w:t>2022</w:t>
      </w:r>
    </w:p>
    <w:p w14:paraId="2CA60CC8" w14:textId="77777777" w:rsidR="000B2E96" w:rsidRPr="001B1FC4" w:rsidRDefault="000B2E96" w:rsidP="000B2E96">
      <w:pPr>
        <w:jc w:val="both"/>
        <w:rPr>
          <w:rFonts w:ascii="Baskerville Old Face" w:hAnsi="Baskerville Old Face" w:cs="Aharoni"/>
        </w:rPr>
      </w:pPr>
    </w:p>
    <w:p w14:paraId="79451936" w14:textId="77777777" w:rsidR="000B2E96" w:rsidRPr="001B1FC4" w:rsidRDefault="000B2E96" w:rsidP="000B2E96">
      <w:pPr>
        <w:jc w:val="both"/>
        <w:rPr>
          <w:rFonts w:ascii="Baskerville Old Face" w:hAnsi="Baskerville Old Face" w:cs="Aharoni"/>
        </w:rPr>
      </w:pPr>
    </w:p>
    <w:p w14:paraId="6AE53489" w14:textId="515B5598" w:rsidR="000B2E96" w:rsidRPr="001B1FC4" w:rsidRDefault="000B2E96" w:rsidP="000B2E96">
      <w:pPr>
        <w:jc w:val="both"/>
        <w:rPr>
          <w:rFonts w:ascii="Baskerville Old Face" w:hAnsi="Baskerville Old Face" w:cs="Aharoni"/>
        </w:rPr>
      </w:pPr>
      <w:r w:rsidRPr="001B1FC4">
        <w:rPr>
          <w:rFonts w:ascii="Baskerville Old Face" w:hAnsi="Baskerville Old Face" w:cs="Aharoni"/>
        </w:rPr>
        <w:t xml:space="preserve">The </w:t>
      </w:r>
      <w:r w:rsidRPr="001B1FC4">
        <w:rPr>
          <w:rFonts w:ascii="Baskerville Old Face" w:hAnsi="Baskerville Old Face" w:cs="Aharoni"/>
          <w:b/>
          <w:bCs/>
        </w:rPr>
        <w:t>Academic Forum of INSOL Europe</w:t>
      </w:r>
      <w:r w:rsidRPr="001B1FC4">
        <w:rPr>
          <w:rFonts w:ascii="Baskerville Old Face" w:hAnsi="Baskerville Old Face" w:cs="Aharoni"/>
        </w:rPr>
        <w:t xml:space="preserve"> will be hosting its </w:t>
      </w:r>
      <w:r>
        <w:rPr>
          <w:rFonts w:ascii="Baskerville Old Face" w:hAnsi="Baskerville Old Face" w:cs="Aharoni"/>
        </w:rPr>
        <w:t>17</w:t>
      </w:r>
      <w:r w:rsidRPr="001B1FC4">
        <w:rPr>
          <w:rFonts w:ascii="Baskerville Old Face" w:hAnsi="Baskerville Old Face" w:cs="Aharoni"/>
          <w:vertAlign w:val="superscript"/>
        </w:rPr>
        <w:t>th</w:t>
      </w:r>
      <w:r w:rsidRPr="001B1FC4">
        <w:rPr>
          <w:rFonts w:ascii="Baskerville Old Face" w:hAnsi="Baskerville Old Face" w:cs="Aharoni"/>
        </w:rPr>
        <w:t xml:space="preserve"> annual conference in </w:t>
      </w:r>
      <w:r w:rsidR="00D31D6D">
        <w:rPr>
          <w:rFonts w:ascii="Baskerville Old Face" w:hAnsi="Baskerville Old Face" w:cs="Aharoni"/>
        </w:rPr>
        <w:t>Dublin, Ireland</w:t>
      </w:r>
      <w:r w:rsidRPr="001B1FC4">
        <w:rPr>
          <w:rFonts w:ascii="Baskerville Old Face" w:hAnsi="Baskerville Old Face" w:cs="Aharoni"/>
        </w:rPr>
        <w:t xml:space="preserve">, on </w:t>
      </w:r>
      <w:r w:rsidRPr="001B1FC4">
        <w:rPr>
          <w:rFonts w:ascii="Baskerville Old Face" w:hAnsi="Baskerville Old Face" w:cs="Aharoni"/>
          <w:b/>
          <w:u w:val="single"/>
        </w:rPr>
        <w:t xml:space="preserve">Wednesday </w:t>
      </w:r>
      <w:r>
        <w:rPr>
          <w:rFonts w:ascii="Baskerville Old Face" w:hAnsi="Baskerville Old Face" w:cs="Aharoni"/>
          <w:b/>
          <w:u w:val="single"/>
        </w:rPr>
        <w:t>2</w:t>
      </w:r>
      <w:r w:rsidRPr="001B1FC4">
        <w:rPr>
          <w:rFonts w:ascii="Baskerville Old Face" w:hAnsi="Baskerville Old Face" w:cs="Aharoni"/>
          <w:b/>
          <w:u w:val="single"/>
        </w:rPr>
        <w:t xml:space="preserve"> </w:t>
      </w:r>
      <w:r>
        <w:rPr>
          <w:rFonts w:ascii="Baskerville Old Face" w:hAnsi="Baskerville Old Face" w:cs="Aharoni"/>
          <w:b/>
          <w:u w:val="single"/>
        </w:rPr>
        <w:t>March</w:t>
      </w:r>
      <w:r w:rsidR="00D31D6D">
        <w:rPr>
          <w:rFonts w:ascii="Baskerville Old Face" w:hAnsi="Baskerville Old Face" w:cs="Aharoni"/>
          <w:b/>
          <w:u w:val="single"/>
        </w:rPr>
        <w:t xml:space="preserve"> </w:t>
      </w:r>
      <w:r w:rsidRPr="001B1FC4">
        <w:rPr>
          <w:rFonts w:ascii="Baskerville Old Face" w:hAnsi="Baskerville Old Face" w:cs="Aharoni"/>
          <w:b/>
          <w:u w:val="single"/>
        </w:rPr>
        <w:t>–</w:t>
      </w:r>
      <w:r w:rsidR="00D31D6D">
        <w:rPr>
          <w:rFonts w:ascii="Baskerville Old Face" w:hAnsi="Baskerville Old Face" w:cs="Aharoni"/>
          <w:b/>
          <w:u w:val="single"/>
        </w:rPr>
        <w:t xml:space="preserve"> </w:t>
      </w:r>
      <w:r w:rsidRPr="001B1FC4">
        <w:rPr>
          <w:rFonts w:ascii="Baskerville Old Face" w:hAnsi="Baskerville Old Face" w:cs="Aharoni"/>
          <w:b/>
          <w:u w:val="single"/>
        </w:rPr>
        <w:t xml:space="preserve">Thursday </w:t>
      </w:r>
      <w:r>
        <w:rPr>
          <w:rFonts w:ascii="Baskerville Old Face" w:hAnsi="Baskerville Old Face" w:cs="Aharoni"/>
          <w:b/>
          <w:u w:val="single"/>
        </w:rPr>
        <w:t>3 March 2022</w:t>
      </w:r>
      <w:r w:rsidRPr="00130C6C">
        <w:rPr>
          <w:rFonts w:ascii="Baskerville Old Face" w:hAnsi="Baskerville Old Face" w:cs="Aharoni"/>
          <w:bCs/>
        </w:rPr>
        <w:t>, immediately</w:t>
      </w:r>
      <w:r w:rsidRPr="001B1FC4">
        <w:rPr>
          <w:rFonts w:ascii="Baskerville Old Face" w:hAnsi="Baskerville Old Face" w:cs="Aharoni"/>
          <w:bCs/>
          <w:u w:val="single"/>
        </w:rPr>
        <w:t xml:space="preserve"> </w:t>
      </w:r>
      <w:r w:rsidRPr="001B1FC4">
        <w:rPr>
          <w:rFonts w:ascii="Baskerville Old Face" w:hAnsi="Baskerville Old Face" w:cs="Aharoni"/>
          <w:bCs/>
        </w:rPr>
        <w:t xml:space="preserve">prior to INSOL Europe's main annual conference taking place in </w:t>
      </w:r>
      <w:r w:rsidR="00D31D6D">
        <w:rPr>
          <w:rFonts w:ascii="Baskerville Old Face" w:hAnsi="Baskerville Old Face" w:cs="Aharoni"/>
          <w:bCs/>
        </w:rPr>
        <w:t>Dublin</w:t>
      </w:r>
      <w:r w:rsidR="00D31D6D" w:rsidRPr="001B1FC4">
        <w:rPr>
          <w:rFonts w:ascii="Baskerville Old Face" w:hAnsi="Baskerville Old Face" w:cs="Aharoni"/>
          <w:bCs/>
        </w:rPr>
        <w:t xml:space="preserve"> </w:t>
      </w:r>
      <w:r w:rsidRPr="001B1FC4">
        <w:rPr>
          <w:rFonts w:ascii="Baskerville Old Face" w:hAnsi="Baskerville Old Face" w:cs="Aharoni"/>
          <w:bCs/>
        </w:rPr>
        <w:t xml:space="preserve">from </w:t>
      </w:r>
      <w:r>
        <w:rPr>
          <w:rFonts w:ascii="Baskerville Old Face" w:hAnsi="Baskerville Old Face" w:cs="Aharoni"/>
          <w:bCs/>
        </w:rPr>
        <w:t>3 to 6</w:t>
      </w:r>
      <w:r w:rsidRPr="001B1FC4">
        <w:rPr>
          <w:rFonts w:ascii="Baskerville Old Face" w:hAnsi="Baskerville Old Face" w:cs="Aharoni"/>
          <w:bCs/>
        </w:rPr>
        <w:t xml:space="preserve"> </w:t>
      </w:r>
      <w:proofErr w:type="gramStart"/>
      <w:r>
        <w:rPr>
          <w:rFonts w:ascii="Baskerville Old Face" w:hAnsi="Baskerville Old Face" w:cs="Aharoni"/>
          <w:bCs/>
        </w:rPr>
        <w:t>March,</w:t>
      </w:r>
      <w:proofErr w:type="gramEnd"/>
      <w:r>
        <w:rPr>
          <w:rFonts w:ascii="Baskerville Old Face" w:hAnsi="Baskerville Old Face" w:cs="Aharoni"/>
          <w:bCs/>
        </w:rPr>
        <w:t xml:space="preserve"> 2022</w:t>
      </w:r>
      <w:r w:rsidRPr="001B1FC4">
        <w:rPr>
          <w:rFonts w:ascii="Baskerville Old Face" w:hAnsi="Baskerville Old Face" w:cs="Aharoni"/>
        </w:rPr>
        <w:t>.</w:t>
      </w:r>
    </w:p>
    <w:p w14:paraId="761D58CA" w14:textId="77777777" w:rsidR="000B2E96" w:rsidRPr="001B1FC4" w:rsidRDefault="000B2E96" w:rsidP="000B2E96">
      <w:pPr>
        <w:jc w:val="both"/>
        <w:rPr>
          <w:rFonts w:ascii="Baskerville Old Face" w:hAnsi="Baskerville Old Face" w:cs="Aharoni"/>
        </w:rPr>
      </w:pPr>
    </w:p>
    <w:p w14:paraId="5EE4224F" w14:textId="77777777" w:rsidR="000B2E96" w:rsidRPr="001B1FC4" w:rsidRDefault="000B2E96" w:rsidP="000B2E96">
      <w:pPr>
        <w:jc w:val="both"/>
        <w:rPr>
          <w:rFonts w:ascii="Baskerville Old Face" w:hAnsi="Baskerville Old Face"/>
        </w:rPr>
      </w:pPr>
      <w:r w:rsidRPr="001B1FC4">
        <w:rPr>
          <w:rFonts w:ascii="Baskerville Old Face" w:hAnsi="Baskerville Old Face"/>
        </w:rPr>
        <w:t xml:space="preserve">Expressions of interest are invited for the delivery of research papers within the overall academic conference's theme, which will be: </w:t>
      </w:r>
    </w:p>
    <w:p w14:paraId="71052450" w14:textId="77777777" w:rsidR="000B2E96" w:rsidRPr="001B1FC4" w:rsidRDefault="000B2E96" w:rsidP="000B2E96">
      <w:pPr>
        <w:jc w:val="both"/>
        <w:rPr>
          <w:rFonts w:ascii="Baskerville Old Face" w:hAnsi="Baskerville Old Face"/>
        </w:rPr>
      </w:pPr>
    </w:p>
    <w:p w14:paraId="6D4EF550" w14:textId="77777777" w:rsidR="000B2E96" w:rsidRPr="001B1FC4" w:rsidRDefault="000B2E96" w:rsidP="000B2E96">
      <w:pPr>
        <w:jc w:val="center"/>
        <w:rPr>
          <w:rFonts w:ascii="Baskerville Old Face" w:hAnsi="Baskerville Old Face"/>
          <w:b/>
        </w:rPr>
      </w:pPr>
      <w:r w:rsidRPr="001B1FC4">
        <w:rPr>
          <w:rFonts w:ascii="Baskerville Old Face" w:hAnsi="Baskerville Old Face"/>
          <w:b/>
        </w:rPr>
        <w:t>“The Emerging New Landscape of European Restructuring and Insolvency”</w:t>
      </w:r>
    </w:p>
    <w:p w14:paraId="0925FFC4" w14:textId="77777777" w:rsidR="000B2E96" w:rsidRPr="001B1FC4" w:rsidRDefault="000B2E96" w:rsidP="000B2E96">
      <w:pPr>
        <w:jc w:val="both"/>
        <w:rPr>
          <w:rFonts w:ascii="Baskerville Old Face" w:hAnsi="Baskerville Old Face"/>
        </w:rPr>
      </w:pPr>
    </w:p>
    <w:p w14:paraId="11D1C5DE" w14:textId="77777777" w:rsidR="000B2E96" w:rsidRDefault="000B2E96" w:rsidP="000B2E96">
      <w:pPr>
        <w:jc w:val="both"/>
        <w:rPr>
          <w:rFonts w:ascii="Baskerville Old Face" w:hAnsi="Baskerville Old Face"/>
        </w:rPr>
      </w:pPr>
      <w:r w:rsidRPr="001B1FC4">
        <w:rPr>
          <w:rFonts w:ascii="Baskerville Old Face" w:hAnsi="Baskerville Old Face"/>
        </w:rPr>
        <w:t xml:space="preserve">The theme is intended to focus on, </w:t>
      </w:r>
      <w:r w:rsidRPr="001B1FC4">
        <w:rPr>
          <w:rFonts w:ascii="Baskerville Old Face" w:hAnsi="Baskerville Old Face"/>
          <w:i/>
        </w:rPr>
        <w:t>inter alia</w:t>
      </w:r>
      <w:r w:rsidRPr="001B1FC4">
        <w:rPr>
          <w:rFonts w:ascii="Baskerville Old Face" w:hAnsi="Baskerville Old Face"/>
        </w:rPr>
        <w:t xml:space="preserve">, the following </w:t>
      </w:r>
      <w:r>
        <w:rPr>
          <w:rFonts w:ascii="Baskerville Old Face" w:hAnsi="Baskerville Old Face"/>
        </w:rPr>
        <w:t xml:space="preserve">overall </w:t>
      </w:r>
      <w:r w:rsidRPr="001B1FC4">
        <w:rPr>
          <w:rFonts w:ascii="Baskerville Old Face" w:hAnsi="Baskerville Old Face"/>
        </w:rPr>
        <w:t>topics:</w:t>
      </w:r>
    </w:p>
    <w:p w14:paraId="37A089F3" w14:textId="77777777" w:rsidR="000B2E96" w:rsidRDefault="000B2E96" w:rsidP="000B2E96">
      <w:pPr>
        <w:jc w:val="both"/>
        <w:rPr>
          <w:rFonts w:ascii="Baskerville Old Face" w:hAnsi="Baskerville Old Face"/>
        </w:rPr>
      </w:pPr>
    </w:p>
    <w:p w14:paraId="24D900E0" w14:textId="77777777" w:rsidR="000B2E96" w:rsidRDefault="000B2E96" w:rsidP="000B2E96">
      <w:pPr>
        <w:pStyle w:val="ListParagraph"/>
        <w:numPr>
          <w:ilvl w:val="0"/>
          <w:numId w:val="3"/>
        </w:numPr>
        <w:jc w:val="both"/>
        <w:rPr>
          <w:rFonts w:ascii="Baskerville Old Face" w:hAnsi="Baskerville Old Face"/>
        </w:rPr>
      </w:pPr>
      <w:r>
        <w:rPr>
          <w:rFonts w:ascii="Baskerville Old Face" w:hAnsi="Baskerville Old Face"/>
        </w:rPr>
        <w:t xml:space="preserve">Reflections on the 2019/1023 Directive as such, and on further harmonization of insolvency laws in the </w:t>
      </w:r>
      <w:proofErr w:type="gramStart"/>
      <w:r>
        <w:rPr>
          <w:rFonts w:ascii="Baskerville Old Face" w:hAnsi="Baskerville Old Face"/>
        </w:rPr>
        <w:t>EU;</w:t>
      </w:r>
      <w:proofErr w:type="gramEnd"/>
    </w:p>
    <w:p w14:paraId="340363CC" w14:textId="77777777" w:rsidR="000B2E96" w:rsidRDefault="000B2E96" w:rsidP="000B2E96">
      <w:pPr>
        <w:pStyle w:val="ListParagraph"/>
        <w:numPr>
          <w:ilvl w:val="0"/>
          <w:numId w:val="3"/>
        </w:numPr>
        <w:jc w:val="both"/>
        <w:rPr>
          <w:rFonts w:ascii="Baskerville Old Face" w:hAnsi="Baskerville Old Face"/>
        </w:rPr>
      </w:pPr>
      <w:r>
        <w:rPr>
          <w:rFonts w:ascii="Baskerville Old Face" w:hAnsi="Baskerville Old Face"/>
        </w:rPr>
        <w:t xml:space="preserve">Reports on national implementations of the 2019/1023 Directive in the EU Member States, including related changes to insolvency and company </w:t>
      </w:r>
      <w:proofErr w:type="gramStart"/>
      <w:r>
        <w:rPr>
          <w:rFonts w:ascii="Baskerville Old Face" w:hAnsi="Baskerville Old Face"/>
        </w:rPr>
        <w:t>laws;</w:t>
      </w:r>
      <w:proofErr w:type="gramEnd"/>
    </w:p>
    <w:p w14:paraId="01185B76" w14:textId="7ABF06B9" w:rsidR="000B2E96" w:rsidRDefault="000B2E96" w:rsidP="000B2E96">
      <w:pPr>
        <w:pStyle w:val="ListParagraph"/>
        <w:numPr>
          <w:ilvl w:val="0"/>
          <w:numId w:val="3"/>
        </w:numPr>
        <w:jc w:val="both"/>
        <w:rPr>
          <w:rFonts w:ascii="Baskerville Old Face" w:hAnsi="Baskerville Old Face"/>
        </w:rPr>
      </w:pPr>
      <w:r>
        <w:rPr>
          <w:rFonts w:ascii="Baskerville Old Face" w:hAnsi="Baskerville Old Face"/>
        </w:rPr>
        <w:t>Cross-</w:t>
      </w:r>
      <w:r w:rsidR="00916B9C">
        <w:rPr>
          <w:rFonts w:ascii="Baskerville Old Face" w:hAnsi="Baskerville Old Face"/>
        </w:rPr>
        <w:t>b</w:t>
      </w:r>
      <w:r>
        <w:rPr>
          <w:rFonts w:ascii="Baskerville Old Face" w:hAnsi="Baskerville Old Face"/>
        </w:rPr>
        <w:t>order issues relat</w:t>
      </w:r>
      <w:r w:rsidR="006B3A35">
        <w:rPr>
          <w:rFonts w:ascii="Baskerville Old Face" w:hAnsi="Baskerville Old Face"/>
        </w:rPr>
        <w:t>ing</w:t>
      </w:r>
      <w:r>
        <w:rPr>
          <w:rFonts w:ascii="Baskerville Old Face" w:hAnsi="Baskerville Old Face"/>
        </w:rPr>
        <w:t xml:space="preserve"> </w:t>
      </w:r>
      <w:r w:rsidR="006B3A35">
        <w:rPr>
          <w:rFonts w:ascii="Baskerville Old Face" w:hAnsi="Baskerville Old Face"/>
        </w:rPr>
        <w:t xml:space="preserve">to </w:t>
      </w:r>
      <w:r>
        <w:rPr>
          <w:rFonts w:ascii="Baskerville Old Face" w:hAnsi="Baskerville Old Face"/>
        </w:rPr>
        <w:t xml:space="preserve">the new restructuring </w:t>
      </w:r>
      <w:proofErr w:type="gramStart"/>
      <w:r>
        <w:rPr>
          <w:rFonts w:ascii="Baskerville Old Face" w:hAnsi="Baskerville Old Face"/>
        </w:rPr>
        <w:t>frameworks;</w:t>
      </w:r>
      <w:proofErr w:type="gramEnd"/>
    </w:p>
    <w:p w14:paraId="1E7962E2" w14:textId="0D71CDF0" w:rsidR="000B2E96" w:rsidRDefault="000B2E96" w:rsidP="000B2E96">
      <w:pPr>
        <w:pStyle w:val="ListParagraph"/>
        <w:numPr>
          <w:ilvl w:val="0"/>
          <w:numId w:val="3"/>
        </w:numPr>
        <w:jc w:val="both"/>
        <w:rPr>
          <w:rFonts w:ascii="Baskerville Old Face" w:hAnsi="Baskerville Old Face"/>
        </w:rPr>
      </w:pPr>
      <w:r>
        <w:rPr>
          <w:rFonts w:ascii="Baskerville Old Face" w:hAnsi="Baskerville Old Face"/>
        </w:rPr>
        <w:t xml:space="preserve">The longer-term impacts of </w:t>
      </w:r>
      <w:r w:rsidR="00D31D6D">
        <w:rPr>
          <w:rFonts w:ascii="Baskerville Old Face" w:hAnsi="Baskerville Old Face"/>
        </w:rPr>
        <w:t>the</w:t>
      </w:r>
      <w:r>
        <w:rPr>
          <w:rFonts w:ascii="Baskerville Old Face" w:hAnsi="Baskerville Old Face"/>
        </w:rPr>
        <w:t xml:space="preserve"> COVID-19 pandemic on insolvency</w:t>
      </w:r>
      <w:r w:rsidR="00916B9C">
        <w:rPr>
          <w:rFonts w:ascii="Baskerville Old Face" w:hAnsi="Baskerville Old Face"/>
        </w:rPr>
        <w:t xml:space="preserve"> and restructuring</w:t>
      </w:r>
      <w:r>
        <w:rPr>
          <w:rFonts w:ascii="Baskerville Old Face" w:hAnsi="Baskerville Old Face"/>
        </w:rPr>
        <w:t xml:space="preserve"> laws in the EU and </w:t>
      </w:r>
      <w:proofErr w:type="gramStart"/>
      <w:r>
        <w:rPr>
          <w:rFonts w:ascii="Baskerville Old Face" w:hAnsi="Baskerville Old Face"/>
        </w:rPr>
        <w:t>elsewhere;</w:t>
      </w:r>
      <w:proofErr w:type="gramEnd"/>
    </w:p>
    <w:p w14:paraId="31D3479A" w14:textId="77777777" w:rsidR="000B2E96" w:rsidRPr="000B2E96" w:rsidRDefault="000B2E96" w:rsidP="000B2E96">
      <w:pPr>
        <w:pStyle w:val="ListParagraph"/>
        <w:numPr>
          <w:ilvl w:val="0"/>
          <w:numId w:val="3"/>
        </w:numPr>
        <w:jc w:val="both"/>
        <w:rPr>
          <w:rFonts w:ascii="Baskerville Old Face" w:hAnsi="Baskerville Old Face"/>
          <w:bCs/>
        </w:rPr>
      </w:pPr>
      <w:r>
        <w:rPr>
          <w:rFonts w:ascii="Baskerville Old Face" w:hAnsi="Baskerville Old Face"/>
        </w:rPr>
        <w:t>Digital assets and data in the context of insolvency proceedings and the new restructuring frameworks.</w:t>
      </w:r>
    </w:p>
    <w:p w14:paraId="116EB993" w14:textId="77777777" w:rsidR="000B2E96" w:rsidRPr="000B2E96" w:rsidRDefault="000B2E96" w:rsidP="000B2E96">
      <w:pPr>
        <w:pStyle w:val="ListParagraph"/>
        <w:jc w:val="both"/>
        <w:rPr>
          <w:rFonts w:ascii="Baskerville Old Face" w:hAnsi="Baskerville Old Face"/>
          <w:bCs/>
        </w:rPr>
      </w:pPr>
    </w:p>
    <w:p w14:paraId="150A5F8C" w14:textId="77777777" w:rsidR="000B2E96" w:rsidRPr="00D46ECD" w:rsidRDefault="000B2E96" w:rsidP="000B2E96">
      <w:pPr>
        <w:jc w:val="both"/>
        <w:rPr>
          <w:rFonts w:ascii="Baskerville Old Face" w:hAnsi="Baskerville Old Face"/>
          <w:b/>
          <w:bCs/>
        </w:rPr>
      </w:pPr>
    </w:p>
    <w:p w14:paraId="4A00299E" w14:textId="77777777" w:rsidR="000B2E96" w:rsidRPr="00D46ECD" w:rsidRDefault="000B2E96" w:rsidP="000B2E96">
      <w:pPr>
        <w:jc w:val="both"/>
        <w:rPr>
          <w:rFonts w:ascii="Baskerville Old Face" w:hAnsi="Baskerville Old Face"/>
          <w:b/>
          <w:bCs/>
        </w:rPr>
      </w:pPr>
      <w:r w:rsidRPr="00D46ECD">
        <w:rPr>
          <w:rFonts w:ascii="Baskerville Old Face" w:hAnsi="Baskerville Old Face"/>
          <w:b/>
          <w:bCs/>
        </w:rPr>
        <w:t xml:space="preserve">Methodology </w:t>
      </w:r>
    </w:p>
    <w:p w14:paraId="03496F3D" w14:textId="77777777" w:rsidR="000B2E96" w:rsidRPr="00D46ECD" w:rsidRDefault="000B2E96" w:rsidP="000B2E96">
      <w:pPr>
        <w:jc w:val="both"/>
        <w:rPr>
          <w:rFonts w:ascii="Baskerville Old Face" w:hAnsi="Baskerville Old Face"/>
        </w:rPr>
      </w:pPr>
    </w:p>
    <w:p w14:paraId="333D2CA9" w14:textId="77777777" w:rsidR="000B2E96" w:rsidRPr="00D46ECD" w:rsidRDefault="000B2E96" w:rsidP="000B2E96">
      <w:pPr>
        <w:jc w:val="both"/>
        <w:rPr>
          <w:rFonts w:ascii="Baskerville Old Face" w:hAnsi="Baskerville Old Face"/>
        </w:rPr>
      </w:pPr>
      <w:r w:rsidRPr="00D46ECD">
        <w:rPr>
          <w:rFonts w:ascii="Baskerville Old Face" w:hAnsi="Baskerville Old Face"/>
        </w:rPr>
        <w:t xml:space="preserve">In line with practice established in our past academic conferences, the intention for this year's conference is to have research papers that challenge existing approaches, stimulate </w:t>
      </w:r>
      <w:proofErr w:type="gramStart"/>
      <w:r w:rsidRPr="00D46ECD">
        <w:rPr>
          <w:rFonts w:ascii="Baskerville Old Face" w:hAnsi="Baskerville Old Face"/>
        </w:rPr>
        <w:t>debate</w:t>
      </w:r>
      <w:proofErr w:type="gramEnd"/>
      <w:r w:rsidRPr="00D46ECD">
        <w:rPr>
          <w:rFonts w:ascii="Baskerville Old Face" w:hAnsi="Baskerville Old Face"/>
        </w:rPr>
        <w:t xml:space="preserve"> and ask, and attempt to answer, comparative and interdisciplinary questions about the above-mentioned topics. Accordingly, proposals are invited that do more than just outline a topic of interest in respect of any given jurisdiction, but seek to understand, </w:t>
      </w:r>
      <w:proofErr w:type="gramStart"/>
      <w:r w:rsidRPr="00D46ECD">
        <w:rPr>
          <w:rFonts w:ascii="Baskerville Old Face" w:hAnsi="Baskerville Old Face"/>
        </w:rPr>
        <w:t>analyse</w:t>
      </w:r>
      <w:proofErr w:type="gramEnd"/>
      <w:r w:rsidRPr="00D46ECD">
        <w:rPr>
          <w:rFonts w:ascii="Baskerville Old Face" w:hAnsi="Baskerville Old Face"/>
        </w:rPr>
        <w:t xml:space="preserve"> and critique the fundamentals of insolvency and restructuring systems in ways that are relevant across jurisdictions and across fields of academic inquiry. </w:t>
      </w:r>
    </w:p>
    <w:p w14:paraId="4CE71D66" w14:textId="77777777" w:rsidR="000B2E96" w:rsidRPr="00D46ECD" w:rsidRDefault="000B2E96" w:rsidP="000B2E96">
      <w:pPr>
        <w:jc w:val="both"/>
        <w:rPr>
          <w:rFonts w:ascii="Baskerville Old Face" w:hAnsi="Baskerville Old Face"/>
        </w:rPr>
      </w:pPr>
    </w:p>
    <w:p w14:paraId="595F9FE7" w14:textId="77777777" w:rsidR="000B2E96" w:rsidRPr="00D46ECD" w:rsidRDefault="000B2E96" w:rsidP="000B2E96">
      <w:pPr>
        <w:jc w:val="both"/>
        <w:rPr>
          <w:rFonts w:ascii="Baskerville Old Face" w:hAnsi="Baskerville Old Face"/>
        </w:rPr>
      </w:pPr>
      <w:r w:rsidRPr="00D46ECD">
        <w:rPr>
          <w:rFonts w:ascii="Baskerville Old Face" w:hAnsi="Baskerville Old Face"/>
        </w:rPr>
        <w:t>Although the Academic Forum of INSOL Europe concentrates primarily on research regarding insolvency and restructuring in Europe, proposals from non-European jurisdictions are warmly welcome to the extent that they are of relevance to the issues debated in Europe.</w:t>
      </w:r>
    </w:p>
    <w:p w14:paraId="4486568E" w14:textId="77777777" w:rsidR="000B2E96" w:rsidRPr="00D46ECD" w:rsidRDefault="000B2E96" w:rsidP="000B2E96">
      <w:pPr>
        <w:jc w:val="both"/>
        <w:rPr>
          <w:rFonts w:ascii="Baskerville Old Face" w:hAnsi="Baskerville Old Face"/>
        </w:rPr>
      </w:pPr>
    </w:p>
    <w:p w14:paraId="70B3662A" w14:textId="77777777" w:rsidR="000B2E96" w:rsidRPr="00D46ECD" w:rsidRDefault="000B2E96" w:rsidP="000B2E96">
      <w:pPr>
        <w:jc w:val="both"/>
        <w:rPr>
          <w:rFonts w:ascii="Baskerville Old Face" w:hAnsi="Baskerville Old Face"/>
        </w:rPr>
      </w:pPr>
      <w:r w:rsidRPr="00D46ECD">
        <w:rPr>
          <w:rFonts w:ascii="Baskerville Old Face" w:hAnsi="Baskerville Old Face"/>
        </w:rPr>
        <w:t>Even though the Academic Forum is primarily interested in receiving papers on topics listed above, inspiring papers on insolvency and restructuring issues not directly covered by those topics will be considered for inclusion as well.</w:t>
      </w:r>
    </w:p>
    <w:p w14:paraId="2D635EA2" w14:textId="77777777" w:rsidR="000B2E96" w:rsidRPr="00CF59FA" w:rsidRDefault="000B2E96" w:rsidP="000B2E96">
      <w:pPr>
        <w:jc w:val="both"/>
        <w:rPr>
          <w:rFonts w:ascii="Baskerville Old Face" w:hAnsi="Baskerville Old Face"/>
        </w:rPr>
      </w:pPr>
    </w:p>
    <w:p w14:paraId="58322C9D" w14:textId="77777777" w:rsidR="000B2E96" w:rsidRPr="00CF59FA" w:rsidRDefault="000B2E96" w:rsidP="000B2E96">
      <w:pPr>
        <w:jc w:val="both"/>
        <w:rPr>
          <w:rFonts w:ascii="Baskerville Old Face" w:hAnsi="Baskerville Old Face"/>
          <w:b/>
          <w:bCs/>
        </w:rPr>
      </w:pPr>
      <w:r w:rsidRPr="00CF59FA">
        <w:rPr>
          <w:rFonts w:ascii="Baskerville Old Face" w:hAnsi="Baskerville Old Face"/>
          <w:b/>
          <w:bCs/>
        </w:rPr>
        <w:t>Expressions of interest and selection</w:t>
      </w:r>
    </w:p>
    <w:p w14:paraId="17E672FB" w14:textId="77777777" w:rsidR="000B2E96" w:rsidRPr="00CF59FA" w:rsidRDefault="000B2E96" w:rsidP="000B2E96">
      <w:pPr>
        <w:jc w:val="both"/>
        <w:rPr>
          <w:rFonts w:ascii="Baskerville Old Face" w:hAnsi="Baskerville Old Face"/>
        </w:rPr>
      </w:pPr>
    </w:p>
    <w:p w14:paraId="7ED5C8E4" w14:textId="49653269" w:rsidR="000B2E96" w:rsidRPr="00CF59FA" w:rsidRDefault="000B2E96" w:rsidP="000B2E96">
      <w:pPr>
        <w:jc w:val="both"/>
        <w:rPr>
          <w:rFonts w:ascii="Baskerville Old Face" w:hAnsi="Baskerville Old Face"/>
        </w:rPr>
      </w:pPr>
      <w:r w:rsidRPr="00275BB1">
        <w:rPr>
          <w:rFonts w:ascii="Baskerville Old Face" w:hAnsi="Baskerville Old Face"/>
        </w:rPr>
        <w:t>Expressions of interest</w:t>
      </w:r>
      <w:r w:rsidRPr="00CF59FA">
        <w:rPr>
          <w:rFonts w:ascii="Baskerville Old Face" w:hAnsi="Baskerville Old Face"/>
        </w:rPr>
        <w:t xml:space="preserve"> in delivering papers within the conference theme</w:t>
      </w:r>
      <w:r>
        <w:rPr>
          <w:rFonts w:ascii="Baskerville Old Face" w:hAnsi="Baskerville Old Face"/>
        </w:rPr>
        <w:t xml:space="preserve"> </w:t>
      </w:r>
      <w:r w:rsidRPr="00CF59FA">
        <w:rPr>
          <w:rFonts w:ascii="Baskerville Old Face" w:hAnsi="Baskerville Old Face"/>
        </w:rPr>
        <w:t xml:space="preserve">should be sent by email on or before </w:t>
      </w:r>
      <w:r w:rsidR="002518D8" w:rsidRPr="00275BB1">
        <w:rPr>
          <w:rFonts w:ascii="Baskerville Old Face" w:hAnsi="Baskerville Old Face"/>
          <w:b/>
          <w:bCs/>
        </w:rPr>
        <w:t>6</w:t>
      </w:r>
      <w:r w:rsidR="006B3A35" w:rsidRPr="00275BB1">
        <w:rPr>
          <w:rFonts w:ascii="Baskerville Old Face" w:hAnsi="Baskerville Old Face"/>
          <w:b/>
          <w:bCs/>
        </w:rPr>
        <w:t xml:space="preserve"> December</w:t>
      </w:r>
      <w:r w:rsidRPr="00275BB1">
        <w:rPr>
          <w:rFonts w:ascii="Baskerville Old Face" w:hAnsi="Baskerville Old Face"/>
          <w:b/>
          <w:bCs/>
        </w:rPr>
        <w:t xml:space="preserve"> 2021</w:t>
      </w:r>
      <w:r w:rsidRPr="00CF59FA">
        <w:rPr>
          <w:rFonts w:ascii="Baskerville Old Face" w:hAnsi="Baskerville Old Face"/>
        </w:rPr>
        <w:t xml:space="preserve"> to Line </w:t>
      </w:r>
      <w:proofErr w:type="spellStart"/>
      <w:r w:rsidRPr="00CF59FA">
        <w:rPr>
          <w:rFonts w:ascii="Baskerville Old Face" w:hAnsi="Baskerville Old Face"/>
        </w:rPr>
        <w:t>Langkjaer</w:t>
      </w:r>
      <w:proofErr w:type="spellEnd"/>
      <w:r w:rsidRPr="00CF59FA">
        <w:rPr>
          <w:rFonts w:ascii="Baskerville Old Face" w:hAnsi="Baskerville Old Face"/>
        </w:rPr>
        <w:t xml:space="preserve">, the Academic Forum's </w:t>
      </w:r>
      <w:proofErr w:type="gramStart"/>
      <w:r w:rsidRPr="00CF59FA">
        <w:rPr>
          <w:rFonts w:ascii="Baskerville Old Face" w:hAnsi="Baskerville Old Face"/>
        </w:rPr>
        <w:t>Secretary,  at</w:t>
      </w:r>
      <w:proofErr w:type="gramEnd"/>
      <w:r w:rsidRPr="00CF59FA">
        <w:rPr>
          <w:rFonts w:ascii="Baskerville Old Face" w:hAnsi="Baskerville Old Face"/>
        </w:rPr>
        <w:t xml:space="preserve">: </w:t>
      </w:r>
      <w:hyperlink r:id="rId12" w:history="1">
        <w:r w:rsidRPr="00CF59FA">
          <w:rPr>
            <w:rStyle w:val="Hyperlink"/>
          </w:rPr>
          <w:t>linehl@law.au.dk</w:t>
        </w:r>
      </w:hyperlink>
      <w:r>
        <w:rPr>
          <w:rFonts w:ascii="Baskerville Old Face" w:hAnsi="Baskerville Old Face"/>
        </w:rPr>
        <w:t xml:space="preserve"> on the paper submission form attached to this call </w:t>
      </w:r>
      <w:r w:rsidRPr="00275BB1">
        <w:rPr>
          <w:rFonts w:ascii="Baskerville Old Face" w:hAnsi="Baskerville Old Face"/>
        </w:rPr>
        <w:t xml:space="preserve">as Annex </w:t>
      </w:r>
      <w:r w:rsidR="00275BB1" w:rsidRPr="00275BB1">
        <w:rPr>
          <w:rFonts w:ascii="Baskerville Old Face" w:hAnsi="Baskerville Old Face"/>
        </w:rPr>
        <w:t>A</w:t>
      </w:r>
      <w:r w:rsidRPr="00275BB1">
        <w:rPr>
          <w:rFonts w:ascii="Baskerville Old Face" w:hAnsi="Baskerville Old Face"/>
        </w:rPr>
        <w:t>.</w:t>
      </w:r>
    </w:p>
    <w:p w14:paraId="6A88DE7E" w14:textId="77777777" w:rsidR="000B2E96" w:rsidRPr="00CF59FA" w:rsidRDefault="000B2E96" w:rsidP="000B2E96">
      <w:pPr>
        <w:jc w:val="both"/>
        <w:rPr>
          <w:rFonts w:ascii="Baskerville Old Face" w:hAnsi="Baskerville Old Face"/>
        </w:rPr>
      </w:pPr>
    </w:p>
    <w:p w14:paraId="1FCC77CB" w14:textId="5497D9A9" w:rsidR="000B2E96" w:rsidRPr="00CF59FA" w:rsidRDefault="000B2E96" w:rsidP="000B2E96">
      <w:pPr>
        <w:jc w:val="both"/>
        <w:rPr>
          <w:rFonts w:ascii="Baskerville Old Face" w:hAnsi="Baskerville Old Face"/>
        </w:rPr>
      </w:pPr>
      <w:r w:rsidRPr="00CF59FA">
        <w:rPr>
          <w:rFonts w:ascii="Baskerville Old Face" w:hAnsi="Baskerville Old Face"/>
        </w:rPr>
        <w:t xml:space="preserve">Proposals for papers will then be reviewed by the Academic Forum's Board and, on or around </w:t>
      </w:r>
      <w:r w:rsidR="006B3A35" w:rsidRPr="00275BB1">
        <w:rPr>
          <w:rFonts w:ascii="Baskerville Old Face" w:hAnsi="Baskerville Old Face"/>
          <w:b/>
          <w:bCs/>
        </w:rPr>
        <w:t>10 January</w:t>
      </w:r>
      <w:r w:rsidRPr="00275BB1">
        <w:rPr>
          <w:rFonts w:ascii="Baskerville Old Face" w:hAnsi="Baskerville Old Face"/>
          <w:b/>
          <w:bCs/>
        </w:rPr>
        <w:t xml:space="preserve"> 2022</w:t>
      </w:r>
      <w:r w:rsidRPr="00CF59FA">
        <w:rPr>
          <w:rFonts w:ascii="Baskerville Old Face" w:hAnsi="Baskerville Old Face"/>
        </w:rPr>
        <w:t>, the Board will contact authors of those papers that will have been selected for presentation at the conference.</w:t>
      </w:r>
    </w:p>
    <w:p w14:paraId="021C6F6E" w14:textId="77777777" w:rsidR="000B2E96" w:rsidRPr="00CF59FA" w:rsidRDefault="000B2E96" w:rsidP="000B2E96">
      <w:pPr>
        <w:jc w:val="both"/>
        <w:rPr>
          <w:rFonts w:ascii="Baskerville Old Face" w:hAnsi="Baskerville Old Face"/>
        </w:rPr>
      </w:pPr>
      <w:r w:rsidRPr="00CF59FA">
        <w:rPr>
          <w:rFonts w:ascii="Baskerville Old Face" w:hAnsi="Baskerville Old Face"/>
        </w:rPr>
        <w:br/>
        <w:t xml:space="preserve">After the selection of proposed papers, the panel chairs will contact participants of each session to arrange for a joint conference call </w:t>
      </w:r>
      <w:proofErr w:type="gramStart"/>
      <w:r w:rsidRPr="00CF59FA">
        <w:rPr>
          <w:rFonts w:ascii="Baskerville Old Face" w:hAnsi="Baskerville Old Face"/>
        </w:rPr>
        <w:t>in order to</w:t>
      </w:r>
      <w:proofErr w:type="gramEnd"/>
      <w:r w:rsidRPr="00CF59FA">
        <w:rPr>
          <w:rFonts w:ascii="Baskerville Old Face" w:hAnsi="Baskerville Old Face"/>
        </w:rPr>
        <w:t xml:space="preserve"> discuss the outlines of the proposed papers, to align presentations, and to discuss and agree the further process of preparation and co-ordination that will lead up to the conference. </w:t>
      </w:r>
    </w:p>
    <w:p w14:paraId="17EB89C8" w14:textId="77777777" w:rsidR="000B2E96" w:rsidRPr="00CF59FA" w:rsidRDefault="000B2E96" w:rsidP="000B2E96">
      <w:pPr>
        <w:jc w:val="both"/>
        <w:rPr>
          <w:rFonts w:ascii="Baskerville Old Face" w:hAnsi="Baskerville Old Face"/>
        </w:rPr>
      </w:pPr>
    </w:p>
    <w:p w14:paraId="421187B0" w14:textId="77777777" w:rsidR="000B2E96" w:rsidRPr="00CF59FA" w:rsidRDefault="000B2E96" w:rsidP="000B2E96">
      <w:pPr>
        <w:jc w:val="both"/>
        <w:rPr>
          <w:rFonts w:ascii="Baskerville Old Face" w:hAnsi="Baskerville Old Face"/>
          <w:b/>
          <w:bCs/>
        </w:rPr>
      </w:pPr>
      <w:r w:rsidRPr="00CF59FA">
        <w:rPr>
          <w:rFonts w:ascii="Baskerville Old Face" w:hAnsi="Baskerville Old Face"/>
          <w:b/>
          <w:bCs/>
        </w:rPr>
        <w:t>Costs</w:t>
      </w:r>
    </w:p>
    <w:p w14:paraId="358F471A" w14:textId="77777777" w:rsidR="000B2E96" w:rsidRPr="00CF59FA" w:rsidRDefault="000B2E96" w:rsidP="000B2E96">
      <w:pPr>
        <w:jc w:val="both"/>
        <w:rPr>
          <w:rFonts w:ascii="Baskerville Old Face" w:hAnsi="Baskerville Old Face"/>
        </w:rPr>
      </w:pPr>
    </w:p>
    <w:p w14:paraId="54A773F4" w14:textId="77777777" w:rsidR="000B2E96" w:rsidRPr="00CF59FA" w:rsidRDefault="000B2E96" w:rsidP="000B2E96">
      <w:pPr>
        <w:jc w:val="both"/>
        <w:rPr>
          <w:rFonts w:ascii="Baskerville Old Face" w:hAnsi="Baskerville Old Face"/>
        </w:rPr>
      </w:pPr>
      <w:r w:rsidRPr="00CF59FA">
        <w:rPr>
          <w:rFonts w:ascii="Baskerville Old Face" w:hAnsi="Baskerville Old Face"/>
        </w:rPr>
        <w:t xml:space="preserve">Authors of papers selected for presentation will benefit from </w:t>
      </w:r>
      <w:r w:rsidRPr="00CF59FA">
        <w:rPr>
          <w:rFonts w:ascii="Baskerville Old Face" w:hAnsi="Baskerville Old Face"/>
          <w:b/>
          <w:bCs/>
        </w:rPr>
        <w:t>a waiver of the participation fee</w:t>
      </w:r>
      <w:r w:rsidRPr="00CF59FA">
        <w:rPr>
          <w:rFonts w:ascii="Baskerville Old Face" w:hAnsi="Baskerville Old Face"/>
        </w:rPr>
        <w:t xml:space="preserve"> for the academic conference, however, they will be responsible for their own travel and accommodation costs.</w:t>
      </w:r>
    </w:p>
    <w:p w14:paraId="37184ABB" w14:textId="77777777" w:rsidR="000B2E96" w:rsidRPr="00CF59FA" w:rsidRDefault="000B2E96" w:rsidP="000B2E96">
      <w:pPr>
        <w:jc w:val="both"/>
        <w:rPr>
          <w:rFonts w:ascii="Baskerville Old Face" w:hAnsi="Baskerville Old Face"/>
        </w:rPr>
      </w:pPr>
    </w:p>
    <w:p w14:paraId="39F7C1C6" w14:textId="044AECA5" w:rsidR="000B2E96" w:rsidRPr="003B4553" w:rsidRDefault="000B2E96" w:rsidP="000B2E96">
      <w:pPr>
        <w:jc w:val="both"/>
        <w:rPr>
          <w:rFonts w:ascii="Baskerville Old Face" w:hAnsi="Baskerville Old Face"/>
        </w:rPr>
      </w:pPr>
      <w:r w:rsidRPr="00CF59FA">
        <w:rPr>
          <w:rFonts w:ascii="Baskerville Old Face" w:hAnsi="Baskerville Old Face"/>
        </w:rPr>
        <w:t xml:space="preserve">A limited number of </w:t>
      </w:r>
      <w:r w:rsidRPr="00275BB1">
        <w:rPr>
          <w:rFonts w:ascii="Baskerville Old Face" w:hAnsi="Baskerville Old Face"/>
        </w:rPr>
        <w:t>travel grants</w:t>
      </w:r>
      <w:r w:rsidRPr="00CF59FA">
        <w:rPr>
          <w:rFonts w:ascii="Baskerville Old Face" w:hAnsi="Baskerville Old Face"/>
        </w:rPr>
        <w:t xml:space="preserve"> will be available to </w:t>
      </w:r>
      <w:r>
        <w:rPr>
          <w:rFonts w:ascii="Baskerville Old Face" w:hAnsi="Baskerville Old Face"/>
        </w:rPr>
        <w:t>junior scholars</w:t>
      </w:r>
      <w:r w:rsidRPr="00CF59FA">
        <w:rPr>
          <w:rFonts w:ascii="Baskerville Old Face" w:hAnsi="Baskerville Old Face"/>
        </w:rPr>
        <w:t xml:space="preserve"> </w:t>
      </w:r>
      <w:r>
        <w:rPr>
          <w:rFonts w:ascii="Baskerville Old Face" w:hAnsi="Baskerville Old Face"/>
        </w:rPr>
        <w:t>invited</w:t>
      </w:r>
      <w:r w:rsidRPr="00CF59FA">
        <w:rPr>
          <w:rFonts w:ascii="Baskerville Old Face" w:hAnsi="Baskerville Old Face"/>
        </w:rPr>
        <w:t xml:space="preserve"> to present papers. For more information on the criteria for eligibility and the required forms, please visit the IEAF Homepage: </w:t>
      </w:r>
      <w:hyperlink r:id="rId13" w:history="1">
        <w:r w:rsidRPr="003B4553">
          <w:rPr>
            <w:rStyle w:val="Hyperlink"/>
          </w:rPr>
          <w:t>https://www.insol-europe.org/academic-forum-news</w:t>
        </w:r>
      </w:hyperlink>
      <w:r>
        <w:rPr>
          <w:rFonts w:ascii="Baskerville Old Face" w:hAnsi="Baskerville Old Face"/>
        </w:rPr>
        <w:t xml:space="preserve"> </w:t>
      </w:r>
      <w:r w:rsidRPr="003B4553">
        <w:rPr>
          <w:rFonts w:ascii="Baskerville Old Face" w:hAnsi="Baskerville Old Face"/>
        </w:rPr>
        <w:t>.</w:t>
      </w:r>
    </w:p>
    <w:p w14:paraId="70D19A99" w14:textId="77777777" w:rsidR="000B2E96" w:rsidRPr="003B4553" w:rsidRDefault="000B2E96" w:rsidP="000B2E96">
      <w:pPr>
        <w:jc w:val="both"/>
        <w:rPr>
          <w:rFonts w:ascii="Baskerville Old Face" w:hAnsi="Baskerville Old Face"/>
        </w:rPr>
      </w:pPr>
    </w:p>
    <w:p w14:paraId="3424DF56" w14:textId="77777777" w:rsidR="000B2E96" w:rsidRPr="003B4553" w:rsidRDefault="000B2E96" w:rsidP="000B2E96">
      <w:pPr>
        <w:jc w:val="both"/>
        <w:rPr>
          <w:rFonts w:ascii="Baskerville Old Face" w:hAnsi="Baskerville Old Face"/>
          <w:b/>
          <w:bCs/>
        </w:rPr>
      </w:pPr>
      <w:r w:rsidRPr="003B4553">
        <w:rPr>
          <w:rFonts w:ascii="Baskerville Old Face" w:hAnsi="Baskerville Old Face"/>
          <w:b/>
          <w:bCs/>
        </w:rPr>
        <w:t>Further information</w:t>
      </w:r>
    </w:p>
    <w:p w14:paraId="0598B48C" w14:textId="77777777" w:rsidR="000B2E96" w:rsidRPr="003B4553" w:rsidRDefault="000B2E96" w:rsidP="000B2E96">
      <w:pPr>
        <w:jc w:val="both"/>
        <w:rPr>
          <w:rFonts w:ascii="Baskerville Old Face" w:hAnsi="Baskerville Old Face"/>
          <w:b/>
          <w:bCs/>
        </w:rPr>
      </w:pPr>
    </w:p>
    <w:p w14:paraId="4E530B37" w14:textId="60860DFF" w:rsidR="000B2E96" w:rsidRPr="003B4553" w:rsidRDefault="000B2E96" w:rsidP="000B2E96">
      <w:pPr>
        <w:jc w:val="both"/>
        <w:rPr>
          <w:rFonts w:ascii="Baskerville Old Face" w:hAnsi="Baskerville Old Face"/>
        </w:rPr>
      </w:pPr>
      <w:r w:rsidRPr="003B4553">
        <w:rPr>
          <w:rFonts w:ascii="Baskerville Old Face" w:hAnsi="Baskerville Old Face"/>
        </w:rPr>
        <w:t xml:space="preserve">For further questions about the </w:t>
      </w:r>
      <w:r w:rsidR="00D31D6D">
        <w:rPr>
          <w:rFonts w:ascii="Baskerville Old Face" w:hAnsi="Baskerville Old Face"/>
        </w:rPr>
        <w:t>Dublin</w:t>
      </w:r>
      <w:r w:rsidR="00D31D6D" w:rsidRPr="003B4553">
        <w:rPr>
          <w:rFonts w:ascii="Baskerville Old Face" w:hAnsi="Baskerville Old Face"/>
        </w:rPr>
        <w:t xml:space="preserve"> </w:t>
      </w:r>
      <w:r w:rsidRPr="003B4553">
        <w:rPr>
          <w:rFonts w:ascii="Baskerville Old Face" w:hAnsi="Baskerville Old Face"/>
        </w:rPr>
        <w:t xml:space="preserve">academic conference, please contact Line </w:t>
      </w:r>
      <w:proofErr w:type="spellStart"/>
      <w:r w:rsidRPr="003B4553">
        <w:rPr>
          <w:rFonts w:ascii="Baskerville Old Face" w:hAnsi="Baskerville Old Face"/>
        </w:rPr>
        <w:t>Langkjaer</w:t>
      </w:r>
      <w:proofErr w:type="spellEnd"/>
      <w:r w:rsidRPr="003B4553">
        <w:rPr>
          <w:rFonts w:ascii="Baskerville Old Face" w:hAnsi="Baskerville Old Face"/>
        </w:rPr>
        <w:t xml:space="preserve">, the Academic Forum's Secretary, at: </w:t>
      </w:r>
      <w:hyperlink r:id="rId14" w:history="1">
        <w:r w:rsidRPr="003B4553">
          <w:rPr>
            <w:rStyle w:val="Hyperlink"/>
            <w:rFonts w:ascii="Baskerville Old Face" w:hAnsi="Baskerville Old Face"/>
          </w:rPr>
          <w:t>linehl@law.au.dk</w:t>
        </w:r>
      </w:hyperlink>
      <w:r w:rsidRPr="003B4553">
        <w:rPr>
          <w:rFonts w:ascii="Baskerville Old Face" w:hAnsi="Baskerville Old Face"/>
        </w:rPr>
        <w:t>.</w:t>
      </w:r>
    </w:p>
    <w:p w14:paraId="62E22B33" w14:textId="77777777" w:rsidR="000B2E96" w:rsidRPr="003B4553" w:rsidRDefault="000B2E96" w:rsidP="000B2E96">
      <w:pPr>
        <w:jc w:val="both"/>
        <w:rPr>
          <w:rFonts w:ascii="Baskerville Old Face" w:hAnsi="Baskerville Old Face"/>
        </w:rPr>
      </w:pPr>
    </w:p>
    <w:p w14:paraId="19A024C9" w14:textId="77777777" w:rsidR="000B2E96" w:rsidRPr="003B4553" w:rsidRDefault="000B2E96" w:rsidP="000B2E96">
      <w:pPr>
        <w:jc w:val="both"/>
        <w:rPr>
          <w:rFonts w:ascii="Baskerville Old Face" w:hAnsi="Baskerville Old Face"/>
        </w:rPr>
      </w:pPr>
      <w:r w:rsidRPr="003B4553">
        <w:rPr>
          <w:rFonts w:ascii="Baskerville Old Face" w:hAnsi="Baskerville Old Face"/>
        </w:rPr>
        <w:t xml:space="preserve">For information on INSOL Europe and the types of membership available, please see </w:t>
      </w:r>
      <w:hyperlink r:id="rId15" w:history="1">
        <w:r w:rsidRPr="003B4553">
          <w:rPr>
            <w:rStyle w:val="Hyperlink"/>
          </w:rPr>
          <w:t>https://www.insol-europe.org/insol-europe-membership</w:t>
        </w:r>
      </w:hyperlink>
      <w:r w:rsidRPr="003B4553">
        <w:rPr>
          <w:rFonts w:ascii="Baskerville Old Face" w:hAnsi="Baskerville Old Face"/>
        </w:rPr>
        <w:t xml:space="preserve">. </w:t>
      </w:r>
    </w:p>
    <w:p w14:paraId="2FB00405" w14:textId="77777777" w:rsidR="000B2E96" w:rsidRPr="003B4553" w:rsidRDefault="000B2E96" w:rsidP="000B2E96">
      <w:pPr>
        <w:jc w:val="both"/>
        <w:rPr>
          <w:rFonts w:ascii="Baskerville Old Face" w:hAnsi="Baskerville Old Face"/>
        </w:rPr>
      </w:pPr>
    </w:p>
    <w:p w14:paraId="32D063F9" w14:textId="6EC65A9D" w:rsidR="000B2E96" w:rsidRPr="00275BB1" w:rsidRDefault="000B2E96" w:rsidP="000B2E96">
      <w:pPr>
        <w:jc w:val="both"/>
        <w:rPr>
          <w:rFonts w:ascii="Baskerville Old Face" w:hAnsi="Baskerville Old Face"/>
        </w:rPr>
      </w:pPr>
      <w:r w:rsidRPr="003B4553">
        <w:rPr>
          <w:rFonts w:ascii="Baskerville Old Face" w:hAnsi="Baskerville Old Face"/>
        </w:rPr>
        <w:t xml:space="preserve">For information on INSOL Europe's main annual conference in </w:t>
      </w:r>
      <w:r>
        <w:rPr>
          <w:rFonts w:ascii="Baskerville Old Face" w:hAnsi="Baskerville Old Face"/>
        </w:rPr>
        <w:t>Dublin</w:t>
      </w:r>
      <w:r w:rsidRPr="003B4553">
        <w:rPr>
          <w:rFonts w:ascii="Baskerville Old Face" w:hAnsi="Baskerville Old Face"/>
        </w:rPr>
        <w:t xml:space="preserve">, please see </w:t>
      </w:r>
      <w:hyperlink r:id="rId16" w:history="1">
        <w:r w:rsidRPr="003B4553">
          <w:rPr>
            <w:rStyle w:val="Hyperlink"/>
            <w:rFonts w:ascii="Baskerville Old Face" w:hAnsi="Baskerville Old Face"/>
          </w:rPr>
          <w:t>https://www.insol-europe.org/events</w:t>
        </w:r>
      </w:hyperlink>
      <w:r w:rsidR="00275BB1">
        <w:rPr>
          <w:rFonts w:ascii="Baskerville Old Face" w:hAnsi="Baskerville Old Face"/>
        </w:rPr>
        <w:t>.</w:t>
      </w:r>
    </w:p>
    <w:tbl>
      <w:tblPr>
        <w:tblW w:w="5000" w:type="pct"/>
        <w:tblBorders>
          <w:top w:val="single" w:sz="4" w:space="0" w:color="auto"/>
        </w:tblBorders>
        <w:tblLook w:val="01E0" w:firstRow="1" w:lastRow="1" w:firstColumn="1" w:lastColumn="1" w:noHBand="0" w:noVBand="0"/>
      </w:tblPr>
      <w:tblGrid>
        <w:gridCol w:w="5931"/>
        <w:gridCol w:w="2375"/>
      </w:tblGrid>
      <w:tr w:rsidR="000B2E96" w:rsidRPr="00C76B0F" w14:paraId="281F6A87" w14:textId="77777777" w:rsidTr="00CD295E">
        <w:tc>
          <w:tcPr>
            <w:tcW w:w="3453" w:type="pct"/>
            <w:shd w:val="clear" w:color="auto" w:fill="auto"/>
          </w:tcPr>
          <w:p w14:paraId="7F980CC3" w14:textId="77777777" w:rsidR="000B2E96" w:rsidRPr="003B4553" w:rsidRDefault="000B2E96" w:rsidP="00CD295E">
            <w:pPr>
              <w:jc w:val="center"/>
            </w:pPr>
            <w:r w:rsidRPr="001B1FC4">
              <w:rPr>
                <w:noProof/>
                <w:lang w:val="da-DK" w:eastAsia="da-DK" w:bidi="ar-SA"/>
              </w:rPr>
              <w:drawing>
                <wp:inline distT="0" distB="0" distL="0" distR="0" wp14:anchorId="33A6CBA0" wp14:editId="20DE76A5">
                  <wp:extent cx="3629025" cy="1228725"/>
                  <wp:effectExtent l="0" t="0" r="0" b="0"/>
                  <wp:docPr id="3" name="Billede 3" descr="Edwin_Coe_LLP_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win_Coe_LLP_Lond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29025" cy="1228725"/>
                          </a:xfrm>
                          <a:prstGeom prst="rect">
                            <a:avLst/>
                          </a:prstGeom>
                          <a:noFill/>
                          <a:ln>
                            <a:noFill/>
                          </a:ln>
                        </pic:spPr>
                      </pic:pic>
                    </a:graphicData>
                  </a:graphic>
                </wp:inline>
              </w:drawing>
            </w:r>
          </w:p>
        </w:tc>
        <w:tc>
          <w:tcPr>
            <w:tcW w:w="1547" w:type="pct"/>
            <w:shd w:val="clear" w:color="auto" w:fill="auto"/>
          </w:tcPr>
          <w:p w14:paraId="072E95B8" w14:textId="77777777" w:rsidR="000B2E96" w:rsidRPr="003B4553" w:rsidRDefault="000B2E96" w:rsidP="00CD295E">
            <w:pPr>
              <w:jc w:val="both"/>
            </w:pPr>
          </w:p>
          <w:p w14:paraId="21327782" w14:textId="77777777" w:rsidR="000B2E96" w:rsidRPr="003B4553" w:rsidRDefault="000B2E96" w:rsidP="00CD295E">
            <w:pPr>
              <w:jc w:val="both"/>
            </w:pPr>
            <w:r w:rsidRPr="003B4553">
              <w:t xml:space="preserve">The Academic Forum is pleased to announce the generous sponsorship of </w:t>
            </w:r>
            <w:proofErr w:type="spellStart"/>
            <w:r w:rsidRPr="003B4553">
              <w:t>EdwinCoe</w:t>
            </w:r>
            <w:proofErr w:type="spellEnd"/>
            <w:r w:rsidRPr="003B4553">
              <w:t xml:space="preserve"> LLP and their support for group activities in 2018-2021.</w:t>
            </w:r>
          </w:p>
        </w:tc>
      </w:tr>
    </w:tbl>
    <w:p w14:paraId="58468EA4" w14:textId="77777777" w:rsidR="000B2E96" w:rsidRPr="003B4553" w:rsidRDefault="000B2E96" w:rsidP="000B2E96">
      <w:pPr>
        <w:jc w:val="both"/>
        <w:rPr>
          <w:rFonts w:ascii="Baskerville Old Face" w:hAnsi="Baskerville Old Face" w:cs="Aharoni"/>
        </w:rPr>
      </w:pPr>
    </w:p>
    <w:p w14:paraId="25DAFC00" w14:textId="77777777" w:rsidR="00027827" w:rsidRDefault="00A4003B"/>
    <w:sectPr w:rsidR="00027827">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1C5DA" w14:textId="77777777" w:rsidR="00A4003B" w:rsidRDefault="00A4003B">
      <w:r>
        <w:separator/>
      </w:r>
    </w:p>
  </w:endnote>
  <w:endnote w:type="continuationSeparator" w:id="0">
    <w:p w14:paraId="142B3241" w14:textId="77777777" w:rsidR="00A4003B" w:rsidRDefault="00A4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9D09" w14:textId="77777777" w:rsidR="00051D61" w:rsidRDefault="00A40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71FCF" w14:textId="5FB4AEF7" w:rsidR="00337F9D" w:rsidRDefault="00D0036E">
    <w:pPr>
      <w:pStyle w:val="Footer"/>
      <w:jc w:val="center"/>
    </w:pPr>
    <w:r>
      <w:fldChar w:fldCharType="begin"/>
    </w:r>
    <w:r>
      <w:instrText xml:space="preserve"> PAGE   \* MERGEFORMAT </w:instrText>
    </w:r>
    <w:r>
      <w:fldChar w:fldCharType="separate"/>
    </w:r>
    <w:r>
      <w:rPr>
        <w:noProof/>
      </w:rPr>
      <w:t>1</w:t>
    </w:r>
    <w:r>
      <w:rPr>
        <w:noProof/>
      </w:rPr>
      <w:fldChar w:fldCharType="end"/>
    </w:r>
  </w:p>
  <w:p w14:paraId="6DBC2A0E" w14:textId="77777777" w:rsidR="00051D61" w:rsidRDefault="00A40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72DA4" w14:textId="77777777" w:rsidR="00051D61" w:rsidRDefault="00A4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96F7A" w14:textId="77777777" w:rsidR="00A4003B" w:rsidRDefault="00A4003B">
      <w:r>
        <w:separator/>
      </w:r>
    </w:p>
  </w:footnote>
  <w:footnote w:type="continuationSeparator" w:id="0">
    <w:p w14:paraId="1C614380" w14:textId="77777777" w:rsidR="00A4003B" w:rsidRDefault="00A4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504A" w14:textId="77777777" w:rsidR="00051D61" w:rsidRDefault="00A40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DA5C8" w14:textId="77777777" w:rsidR="00051D61" w:rsidRDefault="00A40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6AAD9" w14:textId="77777777" w:rsidR="00051D61" w:rsidRDefault="00A40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BC5C40"/>
    <w:multiLevelType w:val="hybridMultilevel"/>
    <w:tmpl w:val="EBD4E69A"/>
    <w:lvl w:ilvl="0" w:tplc="73D0917C">
      <w:numFmt w:val="bullet"/>
      <w:lvlText w:val=""/>
      <w:lvlJc w:val="left"/>
      <w:pPr>
        <w:ind w:left="720" w:hanging="360"/>
      </w:pPr>
      <w:rPr>
        <w:rFonts w:ascii="Symbol" w:eastAsia="SimSun" w:hAnsi="Symbol" w:cs="Aharon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B5D87"/>
    <w:multiLevelType w:val="hybridMultilevel"/>
    <w:tmpl w:val="78083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DD927D8"/>
    <w:multiLevelType w:val="hybridMultilevel"/>
    <w:tmpl w:val="69BCBD08"/>
    <w:lvl w:ilvl="0" w:tplc="94620466">
      <w:numFmt w:val="bullet"/>
      <w:lvlText w:val="•"/>
      <w:lvlJc w:val="left"/>
      <w:pPr>
        <w:ind w:left="1080" w:hanging="72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E96"/>
    <w:rsid w:val="000B2E96"/>
    <w:rsid w:val="002518D8"/>
    <w:rsid w:val="00275BB1"/>
    <w:rsid w:val="004F1413"/>
    <w:rsid w:val="006B3A35"/>
    <w:rsid w:val="006D28CC"/>
    <w:rsid w:val="008A2E6D"/>
    <w:rsid w:val="00911937"/>
    <w:rsid w:val="00915CA5"/>
    <w:rsid w:val="00916B9C"/>
    <w:rsid w:val="0098565F"/>
    <w:rsid w:val="009E20DF"/>
    <w:rsid w:val="00A4003B"/>
    <w:rsid w:val="00BE240C"/>
    <w:rsid w:val="00CF3052"/>
    <w:rsid w:val="00D0036E"/>
    <w:rsid w:val="00D31D6D"/>
    <w:rsid w:val="00D93ADD"/>
    <w:rsid w:val="00D97972"/>
    <w:rsid w:val="00DB76B6"/>
    <w:rsid w:val="00E935E4"/>
    <w:rsid w:val="00F14AB2"/>
    <w:rsid w:val="00F6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C33A"/>
  <w15:chartTrackingRefBased/>
  <w15:docId w15:val="{6AC5CBCF-7825-4C45-B077-08D91331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96"/>
    <w:pPr>
      <w:spacing w:after="0" w:line="240" w:lineRule="auto"/>
    </w:pPr>
    <w:rPr>
      <w:rFonts w:ascii="Times New Roman" w:eastAsia="SimSun" w:hAnsi="Times New Roman" w:cs="Times New Roman"/>
      <w:sz w:val="24"/>
      <w:szCs w:val="24"/>
      <w:lang w:val="en-GB" w:eastAsia="zh-CN" w:bidi="he-IL"/>
    </w:rPr>
  </w:style>
  <w:style w:type="paragraph" w:styleId="Heading3">
    <w:name w:val="heading 3"/>
    <w:basedOn w:val="Normal"/>
    <w:next w:val="Normal"/>
    <w:link w:val="Heading3Char"/>
    <w:uiPriority w:val="9"/>
    <w:semiHidden/>
    <w:unhideWhenUsed/>
    <w:qFormat/>
    <w:rsid w:val="00F14A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ektionoverskrift"/>
    <w:basedOn w:val="Heading3"/>
    <w:autoRedefine/>
    <w:uiPriority w:val="1"/>
    <w:qFormat/>
    <w:rsid w:val="00F14AB2"/>
    <w:rPr>
      <w:rFonts w:ascii="Times New Roman" w:hAnsi="Times New Roman"/>
      <w:color w:val="000000" w:themeColor="text1"/>
      <w:sz w:val="32"/>
    </w:rPr>
  </w:style>
  <w:style w:type="character" w:customStyle="1" w:styleId="Heading3Char">
    <w:name w:val="Heading 3 Char"/>
    <w:basedOn w:val="DefaultParagraphFont"/>
    <w:link w:val="Heading3"/>
    <w:uiPriority w:val="9"/>
    <w:semiHidden/>
    <w:rsid w:val="00F14A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0B2E96"/>
    <w:pPr>
      <w:tabs>
        <w:tab w:val="center" w:pos="4153"/>
        <w:tab w:val="right" w:pos="8306"/>
      </w:tabs>
    </w:pPr>
  </w:style>
  <w:style w:type="character" w:customStyle="1" w:styleId="HeaderChar">
    <w:name w:val="Header Char"/>
    <w:basedOn w:val="DefaultParagraphFont"/>
    <w:link w:val="Header"/>
    <w:rsid w:val="000B2E96"/>
    <w:rPr>
      <w:rFonts w:ascii="Times New Roman" w:eastAsia="SimSun" w:hAnsi="Times New Roman" w:cs="Times New Roman"/>
      <w:sz w:val="24"/>
      <w:szCs w:val="24"/>
      <w:lang w:val="en-GB" w:eastAsia="zh-CN" w:bidi="he-IL"/>
    </w:rPr>
  </w:style>
  <w:style w:type="character" w:styleId="Hyperlink">
    <w:name w:val="Hyperlink"/>
    <w:rsid w:val="000B2E96"/>
    <w:rPr>
      <w:color w:val="0000FF"/>
      <w:u w:val="single"/>
    </w:rPr>
  </w:style>
  <w:style w:type="paragraph" w:styleId="Footer">
    <w:name w:val="footer"/>
    <w:basedOn w:val="Normal"/>
    <w:link w:val="FooterChar"/>
    <w:uiPriority w:val="99"/>
    <w:rsid w:val="000B2E96"/>
    <w:pPr>
      <w:tabs>
        <w:tab w:val="center" w:pos="4513"/>
        <w:tab w:val="right" w:pos="9026"/>
      </w:tabs>
    </w:pPr>
  </w:style>
  <w:style w:type="character" w:customStyle="1" w:styleId="FooterChar">
    <w:name w:val="Footer Char"/>
    <w:basedOn w:val="DefaultParagraphFont"/>
    <w:link w:val="Footer"/>
    <w:uiPriority w:val="99"/>
    <w:rsid w:val="000B2E96"/>
    <w:rPr>
      <w:rFonts w:ascii="Times New Roman" w:eastAsia="SimSun" w:hAnsi="Times New Roman" w:cs="Times New Roman"/>
      <w:sz w:val="24"/>
      <w:szCs w:val="24"/>
      <w:lang w:val="en-GB" w:eastAsia="zh-CN" w:bidi="he-IL"/>
    </w:rPr>
  </w:style>
  <w:style w:type="paragraph" w:styleId="ListParagraph">
    <w:name w:val="List Paragraph"/>
    <w:basedOn w:val="Normal"/>
    <w:uiPriority w:val="34"/>
    <w:qFormat/>
    <w:rsid w:val="000B2E96"/>
    <w:pPr>
      <w:ind w:left="720"/>
      <w:contextualSpacing/>
    </w:pPr>
    <w:rPr>
      <w:rFonts w:asciiTheme="minorHAnsi" w:eastAsiaTheme="minorHAnsi" w:hAnsiTheme="minorHAnsi" w:cstheme="minorBidi"/>
      <w:lang w:eastAsia="en-US" w:bidi="ar-SA"/>
    </w:rPr>
  </w:style>
  <w:style w:type="paragraph" w:styleId="Revision">
    <w:name w:val="Revision"/>
    <w:hidden/>
    <w:uiPriority w:val="99"/>
    <w:semiHidden/>
    <w:rsid w:val="00275BB1"/>
    <w:pPr>
      <w:spacing w:after="0" w:line="240" w:lineRule="auto"/>
    </w:pPr>
    <w:rPr>
      <w:rFonts w:ascii="Times New Roman" w:eastAsia="SimSun" w:hAnsi="Times New Roman" w:cs="Times New Roman"/>
      <w:sz w:val="24"/>
      <w:szCs w:val="24"/>
      <w:lang w:val="en-GB" w:eastAsia="zh-CN" w:bidi="he-IL"/>
    </w:rPr>
  </w:style>
  <w:style w:type="character" w:styleId="FollowedHyperlink">
    <w:name w:val="FollowedHyperlink"/>
    <w:basedOn w:val="DefaultParagraphFont"/>
    <w:uiPriority w:val="99"/>
    <w:semiHidden/>
    <w:unhideWhenUsed/>
    <w:rsid w:val="00CF30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ol-europe.org/academic-forum-new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linehl@law.au.dk"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ol-europe.org/ev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nsol-europe.org/insol-europe-membership" TargetMode="External"/><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inehl@law.au.d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836BC33D1E5846BD77C269C61838DB" ma:contentTypeVersion="13" ma:contentTypeDescription="Opret et nyt dokument." ma:contentTypeScope="" ma:versionID="c4107d7dc7a7dca7b97aca8cf0649fc6">
  <xsd:schema xmlns:xsd="http://www.w3.org/2001/XMLSchema" xmlns:xs="http://www.w3.org/2001/XMLSchema" xmlns:p="http://schemas.microsoft.com/office/2006/metadata/properties" xmlns:ns3="e064323b-8959-406a-a3e9-bb6e93638192" xmlns:ns4="f659a008-7c21-4ee3-a745-e38581e13101" targetNamespace="http://schemas.microsoft.com/office/2006/metadata/properties" ma:root="true" ma:fieldsID="8f56696aab18de891cb7c6990d70f2f8" ns3:_="" ns4:_="">
    <xsd:import namespace="e064323b-8959-406a-a3e9-bb6e93638192"/>
    <xsd:import namespace="f659a008-7c21-4ee3-a745-e38581e131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4323b-8959-406a-a3e9-bb6e9363819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9a008-7c21-4ee3-a745-e38581e131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3BE43A-56E6-446B-A1E5-E9605DA5FE73}">
  <ds:schemaRefs>
    <ds:schemaRef ds:uri="http://schemas.microsoft.com/sharepoint/v3/contenttype/forms"/>
  </ds:schemaRefs>
</ds:datastoreItem>
</file>

<file path=customXml/itemProps2.xml><?xml version="1.0" encoding="utf-8"?>
<ds:datastoreItem xmlns:ds="http://schemas.openxmlformats.org/officeDocument/2006/customXml" ds:itemID="{94F82B37-408F-401F-9590-039A09918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4323b-8959-406a-a3e9-bb6e93638192"/>
    <ds:schemaRef ds:uri="f659a008-7c21-4ee3-a745-e38581e13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C7EC1-FB6C-4B04-B165-9D3E039F16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Aarhus University</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Herman Langkjær</dc:creator>
  <cp:keywords/>
  <dc:description/>
  <cp:lastModifiedBy>Line Herman Langkjær</cp:lastModifiedBy>
  <cp:revision>2</cp:revision>
  <dcterms:created xsi:type="dcterms:W3CDTF">2021-08-31T12:27:00Z</dcterms:created>
  <dcterms:modified xsi:type="dcterms:W3CDTF">2021-08-31T12:27:00Z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0x01010056836BC33D1E5846BD77C269C61838DB</vt:lpwstr>
  </property>
</Properties>
</file>