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71D5" w14:textId="77F3D948" w:rsidR="00A2314B" w:rsidRPr="00E1761D" w:rsidRDefault="00F10310" w:rsidP="00F10310">
      <w:pPr>
        <w:jc w:val="center"/>
        <w:rPr>
          <w:b/>
          <w:sz w:val="24"/>
          <w:szCs w:val="24"/>
          <w:lang w:val="en-US"/>
        </w:rPr>
      </w:pPr>
      <w:r w:rsidRPr="00E1761D">
        <w:rPr>
          <w:b/>
          <w:sz w:val="24"/>
          <w:szCs w:val="24"/>
          <w:lang w:val="en-US"/>
        </w:rPr>
        <w:t xml:space="preserve">INSOL EUROPE </w:t>
      </w:r>
    </w:p>
    <w:p w14:paraId="316C9813" w14:textId="77777777" w:rsidR="00F10310" w:rsidRPr="00E1761D" w:rsidRDefault="00F10310" w:rsidP="00F10310">
      <w:pPr>
        <w:jc w:val="center"/>
        <w:rPr>
          <w:b/>
          <w:sz w:val="24"/>
          <w:szCs w:val="24"/>
          <w:lang w:val="en-US"/>
        </w:rPr>
      </w:pPr>
    </w:p>
    <w:p w14:paraId="2E12E460" w14:textId="32F5E063" w:rsidR="00F10310" w:rsidRPr="00E1761D" w:rsidRDefault="00A5239F" w:rsidP="00F10310">
      <w:pPr>
        <w:jc w:val="center"/>
        <w:rPr>
          <w:b/>
          <w:sz w:val="24"/>
          <w:szCs w:val="24"/>
          <w:lang w:val="en-US"/>
        </w:rPr>
      </w:pPr>
      <w:r w:rsidRPr="00E1761D">
        <w:rPr>
          <w:b/>
          <w:sz w:val="24"/>
          <w:szCs w:val="24"/>
          <w:lang w:val="en-US"/>
        </w:rPr>
        <w:t xml:space="preserve">DIGITAL ASSETS </w:t>
      </w:r>
      <w:r w:rsidR="00F10310" w:rsidRPr="00E1761D">
        <w:rPr>
          <w:b/>
          <w:sz w:val="24"/>
          <w:szCs w:val="24"/>
          <w:lang w:val="en-US"/>
        </w:rPr>
        <w:t>CASE SUMMARIES</w:t>
      </w:r>
    </w:p>
    <w:p w14:paraId="25CFF7B1" w14:textId="77777777" w:rsidR="00F10310" w:rsidRPr="00E1761D" w:rsidRDefault="00F10310" w:rsidP="00F10310">
      <w:pPr>
        <w:jc w:val="center"/>
        <w:rPr>
          <w:b/>
          <w:i/>
          <w:sz w:val="24"/>
          <w:szCs w:val="24"/>
          <w:lang w:val="en-US"/>
        </w:rPr>
      </w:pPr>
    </w:p>
    <w:tbl>
      <w:tblPr>
        <w:tblStyle w:val="TableGrid"/>
        <w:tblW w:w="0" w:type="auto"/>
        <w:tblLook w:val="04A0" w:firstRow="1" w:lastRow="0" w:firstColumn="1" w:lastColumn="0" w:noHBand="0" w:noVBand="1"/>
      </w:tblPr>
      <w:tblGrid>
        <w:gridCol w:w="3085"/>
        <w:gridCol w:w="5919"/>
      </w:tblGrid>
      <w:tr w:rsidR="00F10310" w:rsidRPr="00E1761D" w14:paraId="4E33A013" w14:textId="77777777" w:rsidTr="00F10310">
        <w:tc>
          <w:tcPr>
            <w:tcW w:w="9004" w:type="dxa"/>
            <w:gridSpan w:val="2"/>
            <w:shd w:val="clear" w:color="auto" w:fill="D9D9D9" w:themeFill="background1" w:themeFillShade="D9"/>
          </w:tcPr>
          <w:p w14:paraId="365DF959" w14:textId="77777777" w:rsidR="00F10310" w:rsidRPr="00E1761D" w:rsidRDefault="00F10310" w:rsidP="00C925DE">
            <w:pPr>
              <w:spacing w:after="240"/>
              <w:jc w:val="center"/>
              <w:rPr>
                <w:b/>
                <w:lang w:val="en-US"/>
              </w:rPr>
            </w:pPr>
            <w:r w:rsidRPr="00E1761D">
              <w:rPr>
                <w:b/>
                <w:lang w:val="en-US"/>
              </w:rPr>
              <w:t>Overview</w:t>
            </w:r>
          </w:p>
        </w:tc>
      </w:tr>
      <w:tr w:rsidR="00F10310" w:rsidRPr="00E1761D" w14:paraId="093887AD" w14:textId="77777777" w:rsidTr="00F10310">
        <w:tc>
          <w:tcPr>
            <w:tcW w:w="3085" w:type="dxa"/>
          </w:tcPr>
          <w:p w14:paraId="2D90E374" w14:textId="1660C36B" w:rsidR="00F10310" w:rsidRPr="00E1761D" w:rsidRDefault="00F10310" w:rsidP="00C925DE">
            <w:pPr>
              <w:spacing w:after="240"/>
              <w:rPr>
                <w:b/>
                <w:lang w:val="en-US"/>
              </w:rPr>
            </w:pPr>
            <w:r w:rsidRPr="00E1761D">
              <w:rPr>
                <w:b/>
                <w:lang w:val="en-US"/>
              </w:rPr>
              <w:t>Case</w:t>
            </w:r>
            <w:r w:rsidR="00A5239F" w:rsidRPr="00E1761D">
              <w:rPr>
                <w:b/>
                <w:lang w:val="en-US"/>
              </w:rPr>
              <w:t xml:space="preserve"> Citation</w:t>
            </w:r>
          </w:p>
        </w:tc>
        <w:tc>
          <w:tcPr>
            <w:tcW w:w="5919" w:type="dxa"/>
          </w:tcPr>
          <w:p w14:paraId="586395D6" w14:textId="77777777" w:rsidR="00621C46" w:rsidRPr="00E1761D" w:rsidRDefault="00621C46" w:rsidP="00916C12">
            <w:pPr>
              <w:spacing w:after="240"/>
              <w:rPr>
                <w:lang w:val="en-US"/>
              </w:rPr>
            </w:pPr>
            <w:r w:rsidRPr="00E1761D">
              <w:rPr>
                <w:b/>
                <w:bCs/>
                <w:lang w:val="en-US"/>
              </w:rPr>
              <w:t>3-14-50581</w:t>
            </w:r>
            <w:r w:rsidRPr="00E1761D">
              <w:rPr>
                <w:lang w:val="en-US"/>
              </w:rPr>
              <w:t xml:space="preserve"> </w:t>
            </w:r>
          </w:p>
          <w:p w14:paraId="2A7297DB" w14:textId="27B3053A" w:rsidR="00F10310" w:rsidRPr="00E1761D" w:rsidRDefault="00650E75" w:rsidP="00916C12">
            <w:pPr>
              <w:spacing w:after="240"/>
              <w:rPr>
                <w:lang w:val="en-US"/>
              </w:rPr>
            </w:pPr>
            <w:r w:rsidRPr="00E1761D">
              <w:rPr>
                <w:lang w:val="en-US"/>
              </w:rPr>
              <w:t>O</w:t>
            </w:r>
            <w:r w:rsidR="00470FA0" w:rsidRPr="00E1761D">
              <w:rPr>
                <w:lang w:val="en-US"/>
              </w:rPr>
              <w:t xml:space="preserve">. </w:t>
            </w:r>
            <w:r w:rsidRPr="00E1761D">
              <w:rPr>
                <w:lang w:val="en-US"/>
              </w:rPr>
              <w:t>A</w:t>
            </w:r>
            <w:r w:rsidR="00470FA0" w:rsidRPr="00E1761D">
              <w:rPr>
                <w:lang w:val="en-US"/>
              </w:rPr>
              <w:t xml:space="preserve">. de </w:t>
            </w:r>
            <w:r w:rsidRPr="00E1761D">
              <w:rPr>
                <w:lang w:val="en-US"/>
              </w:rPr>
              <w:t>V complaint for revocation of precept of 24 March 2014 No. 1-9/1011 of the Financial Intelligence Unit (FIU) of the Estonian Police and Border Guard Board.</w:t>
            </w:r>
          </w:p>
        </w:tc>
      </w:tr>
      <w:tr w:rsidR="00F10310" w:rsidRPr="00E1761D" w14:paraId="736ADF09" w14:textId="77777777" w:rsidTr="00F10310">
        <w:tc>
          <w:tcPr>
            <w:tcW w:w="3085" w:type="dxa"/>
          </w:tcPr>
          <w:p w14:paraId="58B9A687" w14:textId="77777777" w:rsidR="00F10310" w:rsidRPr="00E1761D" w:rsidRDefault="00F10310" w:rsidP="00C925DE">
            <w:pPr>
              <w:spacing w:after="240"/>
              <w:rPr>
                <w:b/>
                <w:lang w:val="en-US"/>
              </w:rPr>
            </w:pPr>
            <w:r w:rsidRPr="00E1761D">
              <w:rPr>
                <w:b/>
                <w:lang w:val="en-US"/>
              </w:rPr>
              <w:t>Date</w:t>
            </w:r>
            <w:r w:rsidR="0026452F" w:rsidRPr="00E1761D">
              <w:rPr>
                <w:b/>
                <w:lang w:val="en-US"/>
              </w:rPr>
              <w:t xml:space="preserve"> of judgment</w:t>
            </w:r>
          </w:p>
        </w:tc>
        <w:tc>
          <w:tcPr>
            <w:tcW w:w="5919" w:type="dxa"/>
          </w:tcPr>
          <w:p w14:paraId="65366919" w14:textId="02A2E7F5" w:rsidR="00F10310" w:rsidRPr="00E1761D" w:rsidRDefault="00650E75" w:rsidP="00C925DE">
            <w:pPr>
              <w:spacing w:after="240"/>
              <w:rPr>
                <w:lang w:val="en-US"/>
              </w:rPr>
            </w:pPr>
            <w:r w:rsidRPr="00E1761D">
              <w:rPr>
                <w:lang w:val="en-US"/>
              </w:rPr>
              <w:t>18 June 2015</w:t>
            </w:r>
          </w:p>
        </w:tc>
      </w:tr>
      <w:tr w:rsidR="00F10310" w:rsidRPr="00E1761D" w14:paraId="46E9CAD5" w14:textId="77777777" w:rsidTr="00F10310">
        <w:tc>
          <w:tcPr>
            <w:tcW w:w="3085" w:type="dxa"/>
          </w:tcPr>
          <w:p w14:paraId="65FB5F3E" w14:textId="59C7267B" w:rsidR="00F10310" w:rsidRPr="00E1761D" w:rsidRDefault="00844489" w:rsidP="00C925DE">
            <w:pPr>
              <w:spacing w:after="240"/>
              <w:rPr>
                <w:b/>
                <w:lang w:val="en-US"/>
              </w:rPr>
            </w:pPr>
            <w:r w:rsidRPr="00E1761D">
              <w:rPr>
                <w:b/>
                <w:lang w:val="en-US"/>
              </w:rPr>
              <w:t>Country</w:t>
            </w:r>
          </w:p>
        </w:tc>
        <w:tc>
          <w:tcPr>
            <w:tcW w:w="5919" w:type="dxa"/>
          </w:tcPr>
          <w:p w14:paraId="7781BAD7" w14:textId="2F030C29" w:rsidR="00F10310" w:rsidRPr="00E1761D" w:rsidRDefault="00650E75" w:rsidP="00C925DE">
            <w:pPr>
              <w:spacing w:after="240"/>
              <w:rPr>
                <w:lang w:val="en-US"/>
              </w:rPr>
            </w:pPr>
            <w:r w:rsidRPr="00E1761D">
              <w:rPr>
                <w:lang w:val="en-US"/>
              </w:rPr>
              <w:t>Estonia</w:t>
            </w:r>
          </w:p>
        </w:tc>
      </w:tr>
      <w:tr w:rsidR="00A5239F" w:rsidRPr="00E1761D" w14:paraId="1C14BBE3" w14:textId="77777777" w:rsidTr="00F10310">
        <w:tc>
          <w:tcPr>
            <w:tcW w:w="3085" w:type="dxa"/>
          </w:tcPr>
          <w:p w14:paraId="31FAEEBB" w14:textId="0C37B117" w:rsidR="00A5239F" w:rsidRPr="00E1761D" w:rsidRDefault="00A5239F" w:rsidP="00C925DE">
            <w:pPr>
              <w:spacing w:after="240"/>
              <w:rPr>
                <w:b/>
                <w:lang w:val="en-US"/>
              </w:rPr>
            </w:pPr>
            <w:r w:rsidRPr="00E1761D">
              <w:rPr>
                <w:b/>
                <w:lang w:val="en-US"/>
              </w:rPr>
              <w:t>Original Language of Judgment</w:t>
            </w:r>
          </w:p>
        </w:tc>
        <w:tc>
          <w:tcPr>
            <w:tcW w:w="5919" w:type="dxa"/>
          </w:tcPr>
          <w:p w14:paraId="02A5575A" w14:textId="75EB6E26" w:rsidR="00A5239F" w:rsidRPr="00E1761D" w:rsidRDefault="00650E75" w:rsidP="00C925DE">
            <w:pPr>
              <w:spacing w:after="240"/>
              <w:rPr>
                <w:lang w:val="en-US"/>
              </w:rPr>
            </w:pPr>
            <w:r w:rsidRPr="00E1761D">
              <w:rPr>
                <w:lang w:val="en-US"/>
              </w:rPr>
              <w:t>Estonian</w:t>
            </w:r>
          </w:p>
        </w:tc>
      </w:tr>
      <w:tr w:rsidR="00C925DE" w:rsidRPr="00E1761D" w14:paraId="458BEC58" w14:textId="77777777" w:rsidTr="00F10310">
        <w:tc>
          <w:tcPr>
            <w:tcW w:w="3085" w:type="dxa"/>
          </w:tcPr>
          <w:p w14:paraId="1217299E" w14:textId="27519B3C" w:rsidR="00C925DE" w:rsidRPr="00E1761D" w:rsidRDefault="00C925DE" w:rsidP="00844489">
            <w:pPr>
              <w:spacing w:after="240"/>
              <w:rPr>
                <w:b/>
                <w:lang w:val="en-US"/>
              </w:rPr>
            </w:pPr>
            <w:r w:rsidRPr="00E1761D">
              <w:rPr>
                <w:b/>
                <w:lang w:val="en-US"/>
              </w:rPr>
              <w:t>Court</w:t>
            </w:r>
          </w:p>
        </w:tc>
        <w:tc>
          <w:tcPr>
            <w:tcW w:w="5919" w:type="dxa"/>
          </w:tcPr>
          <w:p w14:paraId="1DA45CE1" w14:textId="3D20094A" w:rsidR="00C925DE" w:rsidRPr="00E1761D" w:rsidRDefault="00650E75" w:rsidP="00C925DE">
            <w:pPr>
              <w:spacing w:after="240"/>
              <w:rPr>
                <w:lang w:val="en-US"/>
              </w:rPr>
            </w:pPr>
            <w:r w:rsidRPr="00E1761D">
              <w:rPr>
                <w:lang w:val="en-US"/>
              </w:rPr>
              <w:t>Tallinn Circuit Court</w:t>
            </w:r>
          </w:p>
        </w:tc>
      </w:tr>
      <w:tr w:rsidR="00C925DE" w:rsidRPr="00E1761D" w14:paraId="0A70C0DC" w14:textId="77777777" w:rsidTr="00F10310">
        <w:tc>
          <w:tcPr>
            <w:tcW w:w="3085" w:type="dxa"/>
          </w:tcPr>
          <w:p w14:paraId="23F6C62F" w14:textId="77777777" w:rsidR="00C925DE" w:rsidRPr="00E1761D" w:rsidRDefault="00C925DE" w:rsidP="00C925DE">
            <w:pPr>
              <w:spacing w:after="240"/>
              <w:rPr>
                <w:b/>
                <w:lang w:val="en-US"/>
              </w:rPr>
            </w:pPr>
            <w:r w:rsidRPr="00E1761D">
              <w:rPr>
                <w:b/>
                <w:lang w:val="en-US"/>
              </w:rPr>
              <w:t>Subject matter/catchwords</w:t>
            </w:r>
          </w:p>
        </w:tc>
        <w:tc>
          <w:tcPr>
            <w:tcW w:w="5919" w:type="dxa"/>
          </w:tcPr>
          <w:p w14:paraId="4D1DC739" w14:textId="567F230B" w:rsidR="00C925DE" w:rsidRPr="00E1761D" w:rsidRDefault="00650E75" w:rsidP="00C925DE">
            <w:pPr>
              <w:spacing w:after="240"/>
              <w:rPr>
                <w:lang w:val="en-US"/>
              </w:rPr>
            </w:pPr>
            <w:r w:rsidRPr="00E1761D">
              <w:rPr>
                <w:lang w:val="en-US"/>
              </w:rPr>
              <w:t>Competence of the FIU to supervise the trading of bitcoins (and other virtual or cryptocurrencies).</w:t>
            </w:r>
          </w:p>
        </w:tc>
      </w:tr>
      <w:tr w:rsidR="0032577C" w:rsidRPr="00E1761D" w14:paraId="4DC6682C" w14:textId="77777777" w:rsidTr="00F10310">
        <w:tc>
          <w:tcPr>
            <w:tcW w:w="3085" w:type="dxa"/>
          </w:tcPr>
          <w:p w14:paraId="22A361A9" w14:textId="77777777" w:rsidR="0032577C" w:rsidRPr="00E1761D" w:rsidRDefault="0032577C" w:rsidP="00C925DE">
            <w:pPr>
              <w:spacing w:after="240"/>
              <w:rPr>
                <w:b/>
                <w:lang w:val="en-US"/>
              </w:rPr>
            </w:pPr>
            <w:r w:rsidRPr="00E1761D">
              <w:rPr>
                <w:b/>
                <w:lang w:val="en-US"/>
              </w:rPr>
              <w:t xml:space="preserve">Decision </w:t>
            </w:r>
            <w:r w:rsidR="00C925DE" w:rsidRPr="00E1761D">
              <w:rPr>
                <w:b/>
                <w:lang w:val="en-US"/>
              </w:rPr>
              <w:t>summary</w:t>
            </w:r>
          </w:p>
        </w:tc>
        <w:tc>
          <w:tcPr>
            <w:tcW w:w="5919" w:type="dxa"/>
          </w:tcPr>
          <w:p w14:paraId="001A069E" w14:textId="77777777" w:rsidR="00650E75" w:rsidRPr="00E1761D" w:rsidRDefault="00650E75" w:rsidP="00C925DE">
            <w:pPr>
              <w:spacing w:after="240"/>
              <w:rPr>
                <w:lang w:val="en-US"/>
              </w:rPr>
            </w:pPr>
            <w:r w:rsidRPr="00E1761D">
              <w:rPr>
                <w:lang w:val="en-US"/>
              </w:rPr>
              <w:t>The FIU has the competence to supervise because:</w:t>
            </w:r>
          </w:p>
          <w:p w14:paraId="7DEB6D4B" w14:textId="2186901D" w:rsidR="001727D2" w:rsidRPr="00E1761D" w:rsidRDefault="001727D2" w:rsidP="00391C48">
            <w:pPr>
              <w:spacing w:after="240"/>
              <w:rPr>
                <w:lang w:val="en-US"/>
              </w:rPr>
            </w:pPr>
            <w:r w:rsidRPr="00E1761D">
              <w:rPr>
                <w:lang w:val="en-US"/>
              </w:rPr>
              <w:t>1.</w:t>
            </w:r>
            <w:r w:rsidR="006B37DC">
              <w:rPr>
                <w:lang w:val="en-US"/>
              </w:rPr>
              <w:t xml:space="preserve"> </w:t>
            </w:r>
            <w:r w:rsidRPr="00E1761D">
              <w:rPr>
                <w:lang w:val="en-US"/>
              </w:rPr>
              <w:t>Bitcoin is classified as an alternative means of payment within the meaning of Money Laundering and Terrorist Financing Prevention Act.</w:t>
            </w:r>
          </w:p>
          <w:p w14:paraId="17828A65" w14:textId="22EBFEEF" w:rsidR="00391C48" w:rsidRPr="00E1761D" w:rsidRDefault="00391C48" w:rsidP="00391C48">
            <w:pPr>
              <w:spacing w:after="240"/>
              <w:rPr>
                <w:lang w:val="en-US"/>
              </w:rPr>
            </w:pPr>
            <w:r w:rsidRPr="00E1761D">
              <w:rPr>
                <w:lang w:val="en-US"/>
              </w:rPr>
              <w:t xml:space="preserve">2. </w:t>
            </w:r>
            <w:r w:rsidR="001727D2" w:rsidRPr="00E1761D">
              <w:rPr>
                <w:lang w:val="en-US"/>
              </w:rPr>
              <w:t>Although the website www.btc.ee was not hosted on a server located in Estonia, the website showed that the location of the public offering of bitcoin purchase and sale services is in Tallinn, Estonia (incl. The possibility to pay in cash at the service provider's office). Thus, the FIU had sufficient reason to believe that O. A. de V was offering a bitcoin purchase and sale service in Estonia and could therefore initiate supervision proceedings against it.</w:t>
            </w:r>
          </w:p>
          <w:p w14:paraId="5FC27BB6" w14:textId="31726CD9" w:rsidR="00080AA8" w:rsidRPr="00E1761D" w:rsidRDefault="00080AA8" w:rsidP="00391C48">
            <w:pPr>
              <w:spacing w:after="240"/>
              <w:rPr>
                <w:lang w:val="en-US"/>
              </w:rPr>
            </w:pPr>
            <w:r w:rsidRPr="00E1761D">
              <w:rPr>
                <w:lang w:val="en-US"/>
              </w:rPr>
              <w:t xml:space="preserve">3. </w:t>
            </w:r>
            <w:r w:rsidR="001727D2" w:rsidRPr="00E1761D">
              <w:rPr>
                <w:lang w:val="en-US"/>
              </w:rPr>
              <w:t>The fact that O. A. de V stated on the website www.btc.ee that he trades in bitcoins as a hobby does not preclude the supervisory competence of the FIU. If a person sells bitcoins at a higher price than he buys them, it is clearly a gainful activity. Nor does the facts show that it was a one-off or occasional transaction, but that it was a permanent activity. Classification as an economic activity does not imply that such trading in bitcoins should be the sole or principal activity or source of income of a person, nor is its actual profitability relevant.</w:t>
            </w:r>
          </w:p>
          <w:p w14:paraId="2CD8AB37" w14:textId="77777777" w:rsidR="00391C48" w:rsidRPr="00E1761D" w:rsidRDefault="00391C48" w:rsidP="00391C48">
            <w:pPr>
              <w:spacing w:after="240"/>
              <w:rPr>
                <w:lang w:val="en-US"/>
              </w:rPr>
            </w:pPr>
          </w:p>
          <w:p w14:paraId="70E64A89" w14:textId="117E1B81" w:rsidR="00391C48" w:rsidRPr="00E1761D" w:rsidRDefault="00391C48" w:rsidP="00391C48">
            <w:pPr>
              <w:spacing w:after="240"/>
              <w:rPr>
                <w:lang w:val="en-US"/>
              </w:rPr>
            </w:pPr>
          </w:p>
        </w:tc>
      </w:tr>
      <w:tr w:rsidR="00F10310" w:rsidRPr="00E1761D" w14:paraId="0131BA7E" w14:textId="77777777" w:rsidTr="00F10310">
        <w:tc>
          <w:tcPr>
            <w:tcW w:w="3085" w:type="dxa"/>
          </w:tcPr>
          <w:p w14:paraId="4F974A4F" w14:textId="77777777" w:rsidR="00F10310" w:rsidRPr="00E1761D" w:rsidRDefault="00F10310" w:rsidP="009772ED">
            <w:pPr>
              <w:spacing w:after="240"/>
              <w:rPr>
                <w:b/>
                <w:lang w:val="en-US"/>
              </w:rPr>
            </w:pPr>
            <w:r w:rsidRPr="00E1761D">
              <w:rPr>
                <w:b/>
                <w:lang w:val="en-US"/>
              </w:rPr>
              <w:t xml:space="preserve">Digital asset involved </w:t>
            </w:r>
            <w:r w:rsidR="00C925DE" w:rsidRPr="00E1761D">
              <w:rPr>
                <w:b/>
                <w:lang w:val="en-US"/>
              </w:rPr>
              <w:t>(e.g. Bit</w:t>
            </w:r>
            <w:r w:rsidR="009772ED" w:rsidRPr="00E1761D">
              <w:rPr>
                <w:b/>
                <w:lang w:val="en-US"/>
              </w:rPr>
              <w:t>c</w:t>
            </w:r>
            <w:r w:rsidR="00C925DE" w:rsidRPr="00E1761D">
              <w:rPr>
                <w:b/>
                <w:lang w:val="en-US"/>
              </w:rPr>
              <w:t>oin, Ethereum, Ripple etc.)</w:t>
            </w:r>
          </w:p>
        </w:tc>
        <w:tc>
          <w:tcPr>
            <w:tcW w:w="5919" w:type="dxa"/>
          </w:tcPr>
          <w:p w14:paraId="7A0A88DF" w14:textId="379EA9E2" w:rsidR="00BE312E" w:rsidRPr="00E1761D" w:rsidRDefault="00080AA8" w:rsidP="00C925DE">
            <w:pPr>
              <w:spacing w:after="240"/>
              <w:rPr>
                <w:lang w:val="en-US"/>
              </w:rPr>
            </w:pPr>
            <w:r w:rsidRPr="00E1761D">
              <w:rPr>
                <w:lang w:val="en-US"/>
              </w:rPr>
              <w:t>Bitcoin</w:t>
            </w:r>
          </w:p>
        </w:tc>
      </w:tr>
      <w:tr w:rsidR="00BE312E" w:rsidRPr="00E1761D" w14:paraId="21656631" w14:textId="77777777" w:rsidTr="00F10310">
        <w:tc>
          <w:tcPr>
            <w:tcW w:w="3085" w:type="dxa"/>
          </w:tcPr>
          <w:p w14:paraId="6BCC2167" w14:textId="77777777" w:rsidR="00BE312E" w:rsidRPr="00E1761D" w:rsidRDefault="00BE312E" w:rsidP="00C925DE">
            <w:pPr>
              <w:spacing w:after="240"/>
              <w:rPr>
                <w:b/>
                <w:lang w:val="en-US"/>
              </w:rPr>
            </w:pPr>
            <w:r w:rsidRPr="00E1761D">
              <w:rPr>
                <w:b/>
                <w:lang w:val="en-US"/>
              </w:rPr>
              <w:lastRenderedPageBreak/>
              <w:t>Valuation issues</w:t>
            </w:r>
          </w:p>
        </w:tc>
        <w:tc>
          <w:tcPr>
            <w:tcW w:w="5919" w:type="dxa"/>
          </w:tcPr>
          <w:p w14:paraId="112A5E03" w14:textId="647C5326" w:rsidR="00BE312E" w:rsidRPr="00E1761D" w:rsidRDefault="002E198A" w:rsidP="00C925DE">
            <w:pPr>
              <w:spacing w:after="240"/>
              <w:rPr>
                <w:lang w:val="en-US"/>
              </w:rPr>
            </w:pPr>
            <w:r w:rsidRPr="00E1761D">
              <w:rPr>
                <w:lang w:val="en-US"/>
              </w:rPr>
              <w:t>N/A</w:t>
            </w:r>
          </w:p>
        </w:tc>
      </w:tr>
      <w:tr w:rsidR="00BE312E" w:rsidRPr="00E1761D" w14:paraId="1F252E55" w14:textId="77777777" w:rsidTr="000F680D">
        <w:tc>
          <w:tcPr>
            <w:tcW w:w="9004" w:type="dxa"/>
            <w:gridSpan w:val="2"/>
            <w:shd w:val="clear" w:color="auto" w:fill="D9D9D9" w:themeFill="background1" w:themeFillShade="D9"/>
          </w:tcPr>
          <w:p w14:paraId="4A0E3C1E" w14:textId="77777777" w:rsidR="00BE312E" w:rsidRPr="00E1761D" w:rsidRDefault="00BE312E" w:rsidP="00AA5AAB">
            <w:pPr>
              <w:spacing w:after="240"/>
              <w:jc w:val="center"/>
              <w:rPr>
                <w:b/>
                <w:lang w:val="en-US"/>
              </w:rPr>
            </w:pPr>
            <w:r w:rsidRPr="00E1761D">
              <w:rPr>
                <w:b/>
                <w:lang w:val="en-US"/>
              </w:rPr>
              <w:t xml:space="preserve">Expanded </w:t>
            </w:r>
            <w:r w:rsidR="00AA5AAB" w:rsidRPr="00E1761D">
              <w:rPr>
                <w:b/>
                <w:lang w:val="en-US"/>
              </w:rPr>
              <w:t>Case D</w:t>
            </w:r>
            <w:r w:rsidRPr="00E1761D">
              <w:rPr>
                <w:b/>
                <w:lang w:val="en-US"/>
              </w:rPr>
              <w:t>escription</w:t>
            </w:r>
          </w:p>
        </w:tc>
      </w:tr>
      <w:tr w:rsidR="00BE312E" w:rsidRPr="00E1761D" w14:paraId="4089B552" w14:textId="77777777" w:rsidTr="00F10310">
        <w:tc>
          <w:tcPr>
            <w:tcW w:w="3085" w:type="dxa"/>
          </w:tcPr>
          <w:p w14:paraId="706F27C7" w14:textId="3710F031" w:rsidR="00BE312E" w:rsidRPr="00E1761D" w:rsidRDefault="00E1761D" w:rsidP="00C925DE">
            <w:pPr>
              <w:spacing w:after="240"/>
              <w:rPr>
                <w:b/>
                <w:lang w:val="en-US"/>
              </w:rPr>
            </w:pPr>
            <w:r w:rsidRPr="00E1761D">
              <w:rPr>
                <w:b/>
                <w:lang w:val="en-US"/>
              </w:rPr>
              <w:t>A</w:t>
            </w:r>
            <w:r w:rsidR="00067F8D" w:rsidRPr="00E1761D">
              <w:rPr>
                <w:b/>
                <w:lang w:val="en-US"/>
              </w:rPr>
              <w:t>pplicant</w:t>
            </w:r>
          </w:p>
        </w:tc>
        <w:tc>
          <w:tcPr>
            <w:tcW w:w="5919" w:type="dxa"/>
          </w:tcPr>
          <w:p w14:paraId="7355E045" w14:textId="176D1DAE" w:rsidR="00BE312E" w:rsidRPr="00E1761D" w:rsidRDefault="00067F8D" w:rsidP="00C925DE">
            <w:pPr>
              <w:spacing w:after="240"/>
              <w:rPr>
                <w:lang w:val="en-US"/>
              </w:rPr>
            </w:pPr>
            <w:r w:rsidRPr="00E1761D">
              <w:rPr>
                <w:lang w:val="en-US"/>
              </w:rPr>
              <w:t>Private person</w:t>
            </w:r>
            <w:r w:rsidR="008E5168" w:rsidRPr="00E1761D">
              <w:rPr>
                <w:lang w:val="en-US"/>
              </w:rPr>
              <w:t xml:space="preserve"> O.</w:t>
            </w:r>
            <w:r w:rsidR="006B37DC">
              <w:rPr>
                <w:lang w:val="en-US"/>
              </w:rPr>
              <w:t xml:space="preserve"> </w:t>
            </w:r>
            <w:r w:rsidR="008E5168" w:rsidRPr="00E1761D">
              <w:rPr>
                <w:lang w:val="en-US"/>
              </w:rPr>
              <w:t>A.</w:t>
            </w:r>
            <w:r w:rsidR="006B37DC">
              <w:rPr>
                <w:lang w:val="en-US"/>
              </w:rPr>
              <w:t xml:space="preserve"> </w:t>
            </w:r>
            <w:r w:rsidR="008E5168" w:rsidRPr="00E1761D">
              <w:rPr>
                <w:lang w:val="en-US"/>
              </w:rPr>
              <w:t>de V.</w:t>
            </w:r>
          </w:p>
        </w:tc>
      </w:tr>
      <w:tr w:rsidR="00A5239F" w:rsidRPr="00E1761D" w14:paraId="1244D0A4" w14:textId="77777777" w:rsidTr="00F10310">
        <w:tc>
          <w:tcPr>
            <w:tcW w:w="3085" w:type="dxa"/>
          </w:tcPr>
          <w:p w14:paraId="7047F3CF" w14:textId="261AB707" w:rsidR="00A5239F" w:rsidRPr="00E1761D" w:rsidRDefault="00A5239F" w:rsidP="00C925DE">
            <w:pPr>
              <w:spacing w:after="240"/>
              <w:rPr>
                <w:b/>
                <w:lang w:val="en-US"/>
              </w:rPr>
            </w:pPr>
            <w:r w:rsidRPr="00E1761D">
              <w:rPr>
                <w:b/>
                <w:lang w:val="en-US"/>
              </w:rPr>
              <w:t>Identity of Insolvency Practitioner (if applicable)</w:t>
            </w:r>
          </w:p>
        </w:tc>
        <w:tc>
          <w:tcPr>
            <w:tcW w:w="5919" w:type="dxa"/>
          </w:tcPr>
          <w:p w14:paraId="13612E95" w14:textId="4DFCF57C" w:rsidR="00A5239F" w:rsidRPr="00E1761D" w:rsidRDefault="002E198A" w:rsidP="002E198A">
            <w:pPr>
              <w:spacing w:after="240"/>
              <w:rPr>
                <w:lang w:val="en-US"/>
              </w:rPr>
            </w:pPr>
            <w:r w:rsidRPr="00E1761D">
              <w:rPr>
                <w:lang w:val="en-US"/>
              </w:rPr>
              <w:t>N/A</w:t>
            </w:r>
          </w:p>
        </w:tc>
      </w:tr>
      <w:tr w:rsidR="00C925DE" w:rsidRPr="00E1761D" w14:paraId="1270FC92" w14:textId="77777777" w:rsidTr="00F10310">
        <w:tc>
          <w:tcPr>
            <w:tcW w:w="3085" w:type="dxa"/>
          </w:tcPr>
          <w:p w14:paraId="7DFDE72C" w14:textId="77777777" w:rsidR="00C925DE" w:rsidRPr="00E1761D" w:rsidRDefault="00C925DE" w:rsidP="00C925DE">
            <w:pPr>
              <w:spacing w:after="240"/>
              <w:rPr>
                <w:b/>
                <w:lang w:val="en-US"/>
              </w:rPr>
            </w:pPr>
            <w:r w:rsidRPr="00E1761D">
              <w:rPr>
                <w:b/>
                <w:lang w:val="en-US"/>
              </w:rPr>
              <w:t>Authorities considered by this case (categorised by country)</w:t>
            </w:r>
          </w:p>
        </w:tc>
        <w:tc>
          <w:tcPr>
            <w:tcW w:w="5919" w:type="dxa"/>
          </w:tcPr>
          <w:p w14:paraId="0239ADD9" w14:textId="3C791658" w:rsidR="00C925DE" w:rsidRPr="00E1761D" w:rsidRDefault="001D3913" w:rsidP="00C925DE">
            <w:pPr>
              <w:spacing w:after="240"/>
              <w:rPr>
                <w:lang w:val="en-US"/>
              </w:rPr>
            </w:pPr>
            <w:r w:rsidRPr="00E1761D">
              <w:rPr>
                <w:lang w:val="en-US"/>
              </w:rPr>
              <w:t>E</w:t>
            </w:r>
            <w:r w:rsidR="00067F8D" w:rsidRPr="00E1761D">
              <w:rPr>
                <w:lang w:val="en-US"/>
              </w:rPr>
              <w:t>stonia</w:t>
            </w:r>
            <w:r w:rsidRPr="00E1761D">
              <w:rPr>
                <w:lang w:val="en-US"/>
              </w:rPr>
              <w:t>:</w:t>
            </w:r>
          </w:p>
          <w:p w14:paraId="5A640068" w14:textId="5361B087" w:rsidR="00067F8D" w:rsidRPr="00E1761D" w:rsidRDefault="00067F8D" w:rsidP="00067F8D">
            <w:pPr>
              <w:pStyle w:val="ListParagraph"/>
              <w:numPr>
                <w:ilvl w:val="0"/>
                <w:numId w:val="21"/>
              </w:numPr>
              <w:spacing w:after="240"/>
              <w:rPr>
                <w:lang w:val="en-US"/>
              </w:rPr>
            </w:pPr>
            <w:r w:rsidRPr="00E1761D">
              <w:rPr>
                <w:lang w:val="en-US"/>
              </w:rPr>
              <w:t>Judgment No. 3-3-1-15-01 of the Supreme Court of 20 December 2001</w:t>
            </w:r>
          </w:p>
          <w:p w14:paraId="2F83B7FC" w14:textId="30D516F0" w:rsidR="001D3913" w:rsidRPr="00E1761D" w:rsidRDefault="001D3913" w:rsidP="00067F8D">
            <w:pPr>
              <w:spacing w:after="240"/>
              <w:rPr>
                <w:lang w:val="en-US"/>
              </w:rPr>
            </w:pPr>
            <w:r w:rsidRPr="00E1761D">
              <w:rPr>
                <w:lang w:val="en-US"/>
              </w:rPr>
              <w:t>E</w:t>
            </w:r>
            <w:r w:rsidR="00067F8D" w:rsidRPr="00E1761D">
              <w:rPr>
                <w:lang w:val="en-US"/>
              </w:rPr>
              <w:t>U</w:t>
            </w:r>
            <w:r w:rsidRPr="00E1761D">
              <w:rPr>
                <w:lang w:val="en-US"/>
              </w:rPr>
              <w:t>:</w:t>
            </w:r>
          </w:p>
          <w:p w14:paraId="109A81C4" w14:textId="47B10E0C" w:rsidR="001D3913" w:rsidRPr="00E1761D" w:rsidRDefault="00067F8D" w:rsidP="00067F8D">
            <w:pPr>
              <w:pStyle w:val="ListParagraph"/>
              <w:numPr>
                <w:ilvl w:val="0"/>
                <w:numId w:val="21"/>
              </w:numPr>
              <w:spacing w:after="240"/>
              <w:rPr>
                <w:lang w:val="en-US"/>
              </w:rPr>
            </w:pPr>
            <w:r w:rsidRPr="00E1761D">
              <w:rPr>
                <w:lang w:val="en-US"/>
              </w:rPr>
              <w:t>Judgment of the European Court of Human Rights of 8 April 2004 in Weh v. Austria, no. 38544/97.</w:t>
            </w:r>
          </w:p>
        </w:tc>
      </w:tr>
      <w:tr w:rsidR="00BE312E" w:rsidRPr="00E1761D" w14:paraId="5951BCE0" w14:textId="77777777" w:rsidTr="00F10310">
        <w:tc>
          <w:tcPr>
            <w:tcW w:w="3085" w:type="dxa"/>
          </w:tcPr>
          <w:p w14:paraId="139621A4" w14:textId="77777777" w:rsidR="00BE312E" w:rsidRPr="00E1761D" w:rsidRDefault="00C925DE" w:rsidP="00C925DE">
            <w:pPr>
              <w:spacing w:after="240"/>
              <w:rPr>
                <w:b/>
                <w:lang w:val="en-US"/>
              </w:rPr>
            </w:pPr>
            <w:r w:rsidRPr="00E1761D">
              <w:rPr>
                <w:b/>
                <w:lang w:val="en-US"/>
              </w:rPr>
              <w:t>Domestic l</w:t>
            </w:r>
            <w:r w:rsidR="00BE312E" w:rsidRPr="00E1761D">
              <w:rPr>
                <w:b/>
                <w:lang w:val="en-US"/>
              </w:rPr>
              <w:t xml:space="preserve">egislation </w:t>
            </w:r>
            <w:r w:rsidRPr="00E1761D">
              <w:rPr>
                <w:b/>
                <w:lang w:val="en-US"/>
              </w:rPr>
              <w:t>a</w:t>
            </w:r>
            <w:r w:rsidR="00BE312E" w:rsidRPr="00E1761D">
              <w:rPr>
                <w:b/>
                <w:lang w:val="en-US"/>
              </w:rPr>
              <w:t>pplied</w:t>
            </w:r>
          </w:p>
        </w:tc>
        <w:tc>
          <w:tcPr>
            <w:tcW w:w="5919" w:type="dxa"/>
          </w:tcPr>
          <w:p w14:paraId="019557B0" w14:textId="260544C3" w:rsidR="00BE312E" w:rsidRPr="00E1761D" w:rsidRDefault="00067F8D" w:rsidP="00C925DE">
            <w:pPr>
              <w:spacing w:after="240"/>
              <w:rPr>
                <w:lang w:val="en-US"/>
              </w:rPr>
            </w:pPr>
            <w:r w:rsidRPr="00E1761D">
              <w:rPr>
                <w:lang w:val="en-US"/>
              </w:rPr>
              <w:t>Money Laundering and Terrorist Financing Prevention Act</w:t>
            </w:r>
          </w:p>
        </w:tc>
      </w:tr>
      <w:tr w:rsidR="00BE312E" w:rsidRPr="00E1761D" w14:paraId="1CA6B705" w14:textId="77777777" w:rsidTr="00F10310">
        <w:tc>
          <w:tcPr>
            <w:tcW w:w="3085" w:type="dxa"/>
          </w:tcPr>
          <w:p w14:paraId="2FC7B139" w14:textId="77777777" w:rsidR="00BE312E" w:rsidRPr="00E1761D" w:rsidRDefault="00C925DE" w:rsidP="00C925DE">
            <w:pPr>
              <w:spacing w:after="240"/>
              <w:rPr>
                <w:b/>
                <w:lang w:val="en-US"/>
              </w:rPr>
            </w:pPr>
            <w:r w:rsidRPr="00E1761D">
              <w:rPr>
                <w:b/>
                <w:lang w:val="en-US"/>
              </w:rPr>
              <w:t>Factual b</w:t>
            </w:r>
            <w:r w:rsidR="00557228" w:rsidRPr="00E1761D">
              <w:rPr>
                <w:b/>
                <w:lang w:val="en-US"/>
              </w:rPr>
              <w:t xml:space="preserve">ackground </w:t>
            </w:r>
          </w:p>
        </w:tc>
        <w:tc>
          <w:tcPr>
            <w:tcW w:w="5919" w:type="dxa"/>
          </w:tcPr>
          <w:p w14:paraId="07263E00" w14:textId="77777777" w:rsidR="00067F8D" w:rsidRPr="00E1761D" w:rsidRDefault="00067F8D" w:rsidP="001D2860">
            <w:pPr>
              <w:spacing w:after="240"/>
              <w:jc w:val="both"/>
              <w:rPr>
                <w:lang w:val="en-US"/>
              </w:rPr>
            </w:pPr>
            <w:r w:rsidRPr="00E1761D">
              <w:rPr>
                <w:lang w:val="en-US"/>
              </w:rPr>
              <w:t>O. A. de V has registered a website with the address www.btc.ee, which as of 14.02.2014 and 19.03.2014 offers the opportunity to buy or sell units of monetary value called bitcoin with certain service providers.</w:t>
            </w:r>
          </w:p>
          <w:p w14:paraId="296C8465" w14:textId="437EFBC5" w:rsidR="00067F8D" w:rsidRPr="00E1761D" w:rsidRDefault="00067F8D" w:rsidP="001D2860">
            <w:pPr>
              <w:spacing w:after="240"/>
              <w:jc w:val="both"/>
              <w:rPr>
                <w:lang w:val="en-US"/>
              </w:rPr>
            </w:pPr>
            <w:r w:rsidRPr="00E1761D">
              <w:rPr>
                <w:lang w:val="en-US"/>
              </w:rPr>
              <w:t xml:space="preserve">It is not clear from the website who the service provider is, but it can be seen that the service provider's office is located in Tallinn, Rävala pst 8 and the source of bitcoins is in Tallinn. An explanation of the bitcoin buying and selling process and information that bitcoins can also be paid for in cash are also provided. The </w:t>
            </w:r>
            <w:r w:rsidR="00470FA0" w:rsidRPr="00E1761D">
              <w:rPr>
                <w:lang w:val="en-US"/>
              </w:rPr>
              <w:t>FIU</w:t>
            </w:r>
            <w:r w:rsidRPr="00E1761D">
              <w:rPr>
                <w:lang w:val="en-US"/>
              </w:rPr>
              <w:t xml:space="preserve"> has requested O. A. de V to monitor the activities of the person providing its service on this website in order to apply the requirements set out in the</w:t>
            </w:r>
            <w:r w:rsidR="00470FA0" w:rsidRPr="00E1761D">
              <w:rPr>
                <w:lang w:val="en-US"/>
              </w:rPr>
              <w:t xml:space="preserve"> Money Laundering and Terrorist Financing Prevention Act</w:t>
            </w:r>
            <w:r w:rsidRPr="00E1761D">
              <w:rPr>
                <w:lang w:val="en-US"/>
              </w:rPr>
              <w:t>.</w:t>
            </w:r>
          </w:p>
          <w:p w14:paraId="314811D0" w14:textId="04FC69CD" w:rsidR="00470FA0" w:rsidRPr="00E1761D" w:rsidRDefault="00470FA0" w:rsidP="001D2860">
            <w:pPr>
              <w:spacing w:after="240"/>
              <w:jc w:val="both"/>
              <w:rPr>
                <w:lang w:val="en-US"/>
              </w:rPr>
            </w:pPr>
            <w:r w:rsidRPr="00E1761D">
              <w:rPr>
                <w:lang w:val="en-US"/>
              </w:rPr>
              <w:t xml:space="preserve">So far, the FIU has not received an explicit answer as to which person actually carries out the purchase and sale of bitcoins, and the documents necessary to verify compliance with the requirements of </w:t>
            </w:r>
            <w:r w:rsidR="006B37DC" w:rsidRPr="00E1761D">
              <w:rPr>
                <w:lang w:val="en-US"/>
              </w:rPr>
              <w:t>the Money Laundering and Terrorist Financing Prevention Act</w:t>
            </w:r>
            <w:r w:rsidRPr="00E1761D">
              <w:rPr>
                <w:lang w:val="en-US"/>
              </w:rPr>
              <w:t xml:space="preserve"> have not been submitted when providing the service. As of 24.03.2014, the website www.btc.ee is not registered as a place of business with the registration data of any alternative payment service provider.</w:t>
            </w:r>
          </w:p>
          <w:p w14:paraId="7885B523" w14:textId="77777777" w:rsidR="00470FA0" w:rsidRPr="00E1761D" w:rsidRDefault="00470FA0" w:rsidP="001D2860">
            <w:pPr>
              <w:spacing w:after="240"/>
              <w:jc w:val="both"/>
              <w:rPr>
                <w:lang w:val="en-US"/>
              </w:rPr>
            </w:pPr>
            <w:r w:rsidRPr="00E1761D">
              <w:rPr>
                <w:lang w:val="en-US"/>
              </w:rPr>
              <w:t>Based on the above, FIU obliged O. A. de V to submit information on its activities by post or e-mail no later than 28.03.2014 (the term has been extended by a precept until 28.04.2014).</w:t>
            </w:r>
          </w:p>
          <w:p w14:paraId="1AE6A077" w14:textId="14532629" w:rsidR="00A95B8B" w:rsidRPr="00E1761D" w:rsidRDefault="00470FA0" w:rsidP="001D2860">
            <w:pPr>
              <w:spacing w:after="240"/>
              <w:jc w:val="both"/>
              <w:rPr>
                <w:lang w:val="en-US"/>
              </w:rPr>
            </w:pPr>
            <w:r w:rsidRPr="00E1761D">
              <w:rPr>
                <w:lang w:val="en-US"/>
              </w:rPr>
              <w:t>On 21 April 2014, O. A. de V filed a complaint with the Tallinn Administrative Court for annulment of the precept of the FIU of 24 March 2014, finding that the precept was both materially and formally unlawful and violated the applicant's subjective rights.</w:t>
            </w:r>
          </w:p>
        </w:tc>
      </w:tr>
      <w:tr w:rsidR="00BE312E" w:rsidRPr="00E1761D" w14:paraId="185AC5DE" w14:textId="77777777" w:rsidTr="00F10310">
        <w:tc>
          <w:tcPr>
            <w:tcW w:w="3085" w:type="dxa"/>
          </w:tcPr>
          <w:p w14:paraId="42C800BA" w14:textId="77777777" w:rsidR="00BE312E" w:rsidRPr="00E1761D" w:rsidRDefault="00BE312E" w:rsidP="00C925DE">
            <w:pPr>
              <w:spacing w:after="240"/>
              <w:rPr>
                <w:b/>
                <w:lang w:val="en-US"/>
              </w:rPr>
            </w:pPr>
            <w:r w:rsidRPr="00E1761D">
              <w:rPr>
                <w:b/>
                <w:lang w:val="en-US"/>
              </w:rPr>
              <w:t xml:space="preserve">Legal </w:t>
            </w:r>
            <w:r w:rsidR="00C925DE" w:rsidRPr="00E1761D">
              <w:rPr>
                <w:b/>
                <w:lang w:val="en-US"/>
              </w:rPr>
              <w:t>issues</w:t>
            </w:r>
            <w:r w:rsidRPr="00E1761D">
              <w:rPr>
                <w:b/>
                <w:lang w:val="en-US"/>
              </w:rPr>
              <w:t xml:space="preserve"> </w:t>
            </w:r>
          </w:p>
        </w:tc>
        <w:tc>
          <w:tcPr>
            <w:tcW w:w="5919" w:type="dxa"/>
          </w:tcPr>
          <w:p w14:paraId="0D0E0581" w14:textId="668F07FE" w:rsidR="00470FA0" w:rsidRPr="00E1761D" w:rsidRDefault="00470FA0" w:rsidP="00902ED5">
            <w:pPr>
              <w:pStyle w:val="ListParagraph"/>
              <w:numPr>
                <w:ilvl w:val="0"/>
                <w:numId w:val="22"/>
              </w:numPr>
              <w:spacing w:after="240"/>
              <w:rPr>
                <w:lang w:val="en-US"/>
              </w:rPr>
            </w:pPr>
            <w:r w:rsidRPr="00E1761D">
              <w:rPr>
                <w:lang w:val="en-US"/>
              </w:rPr>
              <w:t>Is bitcoin an alternative payment instrument?</w:t>
            </w:r>
          </w:p>
          <w:p w14:paraId="261E8812" w14:textId="4A209219" w:rsidR="002E198A" w:rsidRPr="00E1761D" w:rsidRDefault="00470FA0" w:rsidP="00902ED5">
            <w:pPr>
              <w:pStyle w:val="ListParagraph"/>
              <w:numPr>
                <w:ilvl w:val="0"/>
                <w:numId w:val="22"/>
              </w:numPr>
              <w:spacing w:after="240"/>
              <w:rPr>
                <w:lang w:val="en-US"/>
              </w:rPr>
            </w:pPr>
            <w:r w:rsidRPr="00E1761D">
              <w:rPr>
                <w:lang w:val="en-US"/>
              </w:rPr>
              <w:t xml:space="preserve">Does the fact that the website www.btc.ee is not hosted on a server located in Estonia cause the situation that </w:t>
            </w:r>
            <w:r w:rsidRPr="00E1761D">
              <w:rPr>
                <w:lang w:val="en-US"/>
              </w:rPr>
              <w:lastRenderedPageBreak/>
              <w:t xml:space="preserve">the service provided through it is not covered by the regulation of the Money Laundering and Terrorist Financing Prevention Act, therefore FIU also does not have supervisory competence? </w:t>
            </w:r>
          </w:p>
          <w:p w14:paraId="0DD0A51B" w14:textId="3E431600" w:rsidR="008D17AE" w:rsidRPr="00E1761D" w:rsidRDefault="002E198A" w:rsidP="00902ED5">
            <w:pPr>
              <w:pStyle w:val="ListParagraph"/>
              <w:numPr>
                <w:ilvl w:val="0"/>
                <w:numId w:val="22"/>
              </w:numPr>
              <w:spacing w:after="240"/>
              <w:rPr>
                <w:lang w:val="en-US"/>
              </w:rPr>
            </w:pPr>
            <w:r w:rsidRPr="00E1761D">
              <w:rPr>
                <w:lang w:val="en-US"/>
              </w:rPr>
              <w:t>Does the fact that O. A. de V stated on the website www.btc.ee that he trades in bitcoins as a hobby preclude the FIU's supervisory competence?</w:t>
            </w:r>
          </w:p>
        </w:tc>
      </w:tr>
      <w:tr w:rsidR="00BE312E" w:rsidRPr="00E1761D" w14:paraId="17B0EF80" w14:textId="77777777" w:rsidTr="00F10310">
        <w:tc>
          <w:tcPr>
            <w:tcW w:w="3085" w:type="dxa"/>
          </w:tcPr>
          <w:p w14:paraId="6D658CF1" w14:textId="77777777" w:rsidR="00BE312E" w:rsidRPr="00E1761D" w:rsidRDefault="00BE312E" w:rsidP="00C925DE">
            <w:pPr>
              <w:spacing w:after="240"/>
              <w:rPr>
                <w:b/>
                <w:lang w:val="en-US"/>
              </w:rPr>
            </w:pPr>
            <w:r w:rsidRPr="00E1761D">
              <w:rPr>
                <w:b/>
                <w:lang w:val="en-US"/>
              </w:rPr>
              <w:lastRenderedPageBreak/>
              <w:t>Reasoning</w:t>
            </w:r>
          </w:p>
        </w:tc>
        <w:tc>
          <w:tcPr>
            <w:tcW w:w="5919" w:type="dxa"/>
          </w:tcPr>
          <w:p w14:paraId="72431CFA" w14:textId="27736EDF" w:rsidR="002E198A" w:rsidRPr="00E1761D" w:rsidRDefault="002E198A" w:rsidP="008D17AE">
            <w:pPr>
              <w:pStyle w:val="ListParagraph"/>
              <w:numPr>
                <w:ilvl w:val="0"/>
                <w:numId w:val="23"/>
              </w:numPr>
              <w:spacing w:after="240"/>
              <w:rPr>
                <w:lang w:val="en-US"/>
              </w:rPr>
            </w:pPr>
            <w:r w:rsidRPr="00E1761D">
              <w:rPr>
                <w:lang w:val="en-US"/>
              </w:rPr>
              <w:t>Bitcoin must be classified as an alternative payment instrument insofar as it meets all the identification criteria arising from § 6 (4) of the Money Laundering and Terrorist Financing Prevention Act: 1) bitcoin has a price expressed in traditional money at any given time (exchange value); 2) bitcoins can be bought and sold for traditional money in a user environment; 3) bitcoines are accepted as a means of payment by a number of traders (means of payment).</w:t>
            </w:r>
          </w:p>
          <w:p w14:paraId="238704ED" w14:textId="189B6506" w:rsidR="002E198A" w:rsidRPr="00E1761D" w:rsidRDefault="002E198A" w:rsidP="008D17AE">
            <w:pPr>
              <w:pStyle w:val="ListParagraph"/>
              <w:numPr>
                <w:ilvl w:val="0"/>
                <w:numId w:val="23"/>
              </w:numPr>
              <w:spacing w:after="240"/>
              <w:rPr>
                <w:lang w:val="en-US"/>
              </w:rPr>
            </w:pPr>
            <w:r w:rsidRPr="00E1761D">
              <w:rPr>
                <w:lang w:val="en-US"/>
              </w:rPr>
              <w:t>Although the website www.btc.ee was not hosted on a server located in Estonia, the website showed that the location of the public offering of bitcoin purchase and sale services is in Tallinn, Estonia (incl. The possibility to pay in cash at the service provider's office). Thus, the FIU had sufficient reason to believe that O. A. de V was offering a bitcoin purchase and sale service in Estonia and could therefore initiate supervision proceedings against it.</w:t>
            </w:r>
          </w:p>
          <w:p w14:paraId="6BDCFBB3" w14:textId="3E9E72BD" w:rsidR="00E86609" w:rsidRPr="00E1761D" w:rsidRDefault="002E198A" w:rsidP="008D17AE">
            <w:pPr>
              <w:pStyle w:val="ListParagraph"/>
              <w:numPr>
                <w:ilvl w:val="0"/>
                <w:numId w:val="23"/>
              </w:numPr>
              <w:spacing w:after="240"/>
              <w:rPr>
                <w:lang w:val="en-US"/>
              </w:rPr>
            </w:pPr>
            <w:r w:rsidRPr="00E1761D">
              <w:rPr>
                <w:lang w:val="en-US"/>
              </w:rPr>
              <w:t>The supervisory competence of the FIU is also not excluded by the fact that O. A. de V stated on the website www.btc.ee that he trades in bitcoins as a hobby. If a person sells bitcoins at a higher price than he buys them, it is clearly a gainful activity. Nor does the facts show that it was a one-off or occasional transaction, but that it was a permanent activity. Classification as an economic activity does not imply that such trading in bitcoins should be the sole or principal activity or source of income of a person, nor is its actual profitability relevant.</w:t>
            </w:r>
          </w:p>
        </w:tc>
      </w:tr>
      <w:tr w:rsidR="00BE312E" w:rsidRPr="00E1761D" w14:paraId="66C175F3" w14:textId="77777777" w:rsidTr="00F10310">
        <w:tc>
          <w:tcPr>
            <w:tcW w:w="3085" w:type="dxa"/>
          </w:tcPr>
          <w:p w14:paraId="79E0C382" w14:textId="77777777" w:rsidR="00BE312E" w:rsidRPr="00E1761D" w:rsidRDefault="00BE312E" w:rsidP="00C925DE">
            <w:pPr>
              <w:spacing w:after="240"/>
              <w:rPr>
                <w:b/>
                <w:lang w:val="en-US"/>
              </w:rPr>
            </w:pPr>
            <w:r w:rsidRPr="00E1761D">
              <w:rPr>
                <w:b/>
                <w:lang w:val="en-US"/>
              </w:rPr>
              <w:t>Further information</w:t>
            </w:r>
            <w:r w:rsidR="00C925DE" w:rsidRPr="00E1761D">
              <w:rPr>
                <w:b/>
                <w:lang w:val="en-US"/>
              </w:rPr>
              <w:t xml:space="preserve"> (e.g. liquidator’s website)</w:t>
            </w:r>
          </w:p>
        </w:tc>
        <w:tc>
          <w:tcPr>
            <w:tcW w:w="5919" w:type="dxa"/>
          </w:tcPr>
          <w:p w14:paraId="3EB95367" w14:textId="0065CA98" w:rsidR="00BE312E" w:rsidRPr="00E1761D" w:rsidRDefault="002E198A" w:rsidP="00C925DE">
            <w:pPr>
              <w:spacing w:after="240"/>
              <w:rPr>
                <w:lang w:val="en-US"/>
              </w:rPr>
            </w:pPr>
            <w:r w:rsidRPr="00E1761D">
              <w:rPr>
                <w:lang w:val="en-US"/>
              </w:rPr>
              <w:t>N/A</w:t>
            </w:r>
          </w:p>
        </w:tc>
      </w:tr>
    </w:tbl>
    <w:p w14:paraId="26D6DBD2" w14:textId="77777777" w:rsidR="00F10310" w:rsidRPr="00E1761D" w:rsidRDefault="00F10310" w:rsidP="00F10310">
      <w:pPr>
        <w:jc w:val="center"/>
        <w:rPr>
          <w:b/>
          <w:i/>
          <w:sz w:val="28"/>
          <w:szCs w:val="28"/>
          <w:lang w:val="en-US"/>
        </w:rPr>
      </w:pPr>
    </w:p>
    <w:sectPr w:rsidR="00F10310" w:rsidRPr="00E1761D" w:rsidSect="00B37D3B">
      <w:headerReference w:type="even" r:id="rId9"/>
      <w:headerReference w:type="default" r:id="rId10"/>
      <w:footerReference w:type="even" r:id="rId11"/>
      <w:footerReference w:type="default" r:id="rId12"/>
      <w:headerReference w:type="first" r:id="rId13"/>
      <w:footerReference w:type="first" r:id="rId14"/>
      <w:pgSz w:w="11907" w:h="16840" w:code="9"/>
      <w:pgMar w:top="1985" w:right="1418" w:bottom="1134" w:left="1701" w:header="680" w:footer="425"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D0910" w14:textId="77777777" w:rsidR="008D6C0B" w:rsidRDefault="008D6C0B">
      <w:r>
        <w:separator/>
      </w:r>
    </w:p>
  </w:endnote>
  <w:endnote w:type="continuationSeparator" w:id="0">
    <w:p w14:paraId="419D7C73" w14:textId="77777777" w:rsidR="008D6C0B" w:rsidRDefault="008D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27A9" w14:textId="77777777" w:rsidR="00B37D3B" w:rsidRDefault="00B37D3B" w:rsidP="00BA30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B6651">
      <w:rPr>
        <w:rStyle w:val="PageNumber"/>
        <w:noProof/>
      </w:rPr>
      <w:t>2</w:t>
    </w:r>
    <w:r>
      <w:rPr>
        <w:rStyle w:val="PageNumber"/>
      </w:rPr>
      <w:fldChar w:fldCharType="end"/>
    </w:r>
  </w:p>
  <w:tbl>
    <w:tblPr>
      <w:tblW w:w="5000" w:type="pct"/>
      <w:tblLook w:val="04A0" w:firstRow="1" w:lastRow="0" w:firstColumn="1" w:lastColumn="0" w:noHBand="0" w:noVBand="1"/>
    </w:tblPr>
    <w:tblGrid>
      <w:gridCol w:w="3047"/>
      <w:gridCol w:w="2944"/>
      <w:gridCol w:w="3013"/>
    </w:tblGrid>
    <w:tr w:rsidR="00B37D3B" w14:paraId="12121B2D" w14:textId="77777777">
      <w:tc>
        <w:tcPr>
          <w:tcW w:w="3284" w:type="dxa"/>
          <w:shd w:val="clear" w:color="auto" w:fill="auto"/>
        </w:tcPr>
        <w:p w14:paraId="6EF47CB9" w14:textId="77777777" w:rsidR="00B37D3B" w:rsidRDefault="00B37D3B" w:rsidP="00B37D3B">
          <w:pPr>
            <w:pStyle w:val="Footer"/>
            <w:framePr w:wrap="around" w:vAnchor="text" w:hAnchor="margin" w:xAlign="center" w:y="1"/>
            <w:rPr>
              <w:szCs w:val="16"/>
            </w:rPr>
          </w:pPr>
          <w:r>
            <w:rPr>
              <w:szCs w:val="16"/>
            </w:rPr>
            <w:fldChar w:fldCharType="begin"/>
          </w:r>
          <w:r>
            <w:rPr>
              <w:szCs w:val="16"/>
            </w:rPr>
            <w:instrText xml:space="preserve"> DOCPROPERTY DocumentDatabase  \* MERGEFORMAT</w:instrText>
          </w:r>
          <w:r>
            <w:rPr>
              <w:szCs w:val="16"/>
            </w:rPr>
            <w:fldChar w:fldCharType="separate"/>
          </w:r>
          <w:r w:rsidR="002B6651">
            <w:rPr>
              <w:szCs w:val="16"/>
            </w:rPr>
            <w:t>APAC</w:t>
          </w:r>
          <w:r>
            <w:rPr>
              <w:szCs w:val="16"/>
            </w:rPr>
            <w:fldChar w:fldCharType="end"/>
          </w:r>
          <w:r>
            <w:rPr>
              <w:szCs w:val="16"/>
            </w:rPr>
            <w:t>-#</w:t>
          </w:r>
          <w:r>
            <w:rPr>
              <w:szCs w:val="16"/>
            </w:rPr>
            <w:fldChar w:fldCharType="begin"/>
          </w:r>
          <w:r>
            <w:rPr>
              <w:szCs w:val="16"/>
            </w:rPr>
            <w:instrText xml:space="preserve"> DOCPROPERTY DocumentNumber  \* MERGEFORMAT</w:instrText>
          </w:r>
          <w:r>
            <w:rPr>
              <w:szCs w:val="16"/>
            </w:rPr>
            <w:fldChar w:fldCharType="separate"/>
          </w:r>
          <w:r w:rsidR="002B6651">
            <w:rPr>
              <w:szCs w:val="16"/>
            </w:rPr>
            <w:t>116771128</w:t>
          </w:r>
          <w:r>
            <w:rPr>
              <w:bCs/>
              <w:szCs w:val="16"/>
              <w:lang w:val="en-US"/>
            </w:rPr>
            <w:fldChar w:fldCharType="end"/>
          </w:r>
          <w:r>
            <w:rPr>
              <w:szCs w:val="16"/>
            </w:rPr>
            <w:t>-v</w:t>
          </w:r>
          <w:r>
            <w:rPr>
              <w:szCs w:val="16"/>
            </w:rPr>
            <w:fldChar w:fldCharType="begin"/>
          </w:r>
          <w:r>
            <w:rPr>
              <w:szCs w:val="16"/>
            </w:rPr>
            <w:instrText xml:space="preserve"> DOCPROPERTY DocumentVersion  \* MERGEFORMAT</w:instrText>
          </w:r>
          <w:r>
            <w:rPr>
              <w:szCs w:val="16"/>
            </w:rPr>
            <w:fldChar w:fldCharType="separate"/>
          </w:r>
          <w:r w:rsidR="002B6651">
            <w:rPr>
              <w:szCs w:val="16"/>
            </w:rPr>
            <w:t>1</w:t>
          </w:r>
          <w:r>
            <w:rPr>
              <w:bCs/>
              <w:szCs w:val="16"/>
              <w:lang w:val="en-US"/>
            </w:rPr>
            <w:fldChar w:fldCharType="end"/>
          </w:r>
        </w:p>
      </w:tc>
      <w:tc>
        <w:tcPr>
          <w:tcW w:w="3285" w:type="dxa"/>
          <w:shd w:val="clear" w:color="auto" w:fill="auto"/>
        </w:tcPr>
        <w:p w14:paraId="3461A8A3" w14:textId="77777777" w:rsidR="00B37D3B" w:rsidRDefault="00B37D3B" w:rsidP="00B37D3B">
          <w:pPr>
            <w:pStyle w:val="Footer"/>
            <w:framePr w:wrap="around" w:vAnchor="text" w:hAnchor="margin" w:xAlign="center" w:y="1"/>
            <w:jc w:val="center"/>
            <w:rPr>
              <w:szCs w:val="16"/>
            </w:rPr>
          </w:pPr>
        </w:p>
      </w:tc>
      <w:tc>
        <w:tcPr>
          <w:tcW w:w="3285" w:type="dxa"/>
          <w:shd w:val="clear" w:color="auto" w:fill="auto"/>
        </w:tcPr>
        <w:p w14:paraId="218F508E" w14:textId="77777777" w:rsidR="00B37D3B" w:rsidRDefault="00B37D3B" w:rsidP="00B37D3B">
          <w:pPr>
            <w:pStyle w:val="Footer"/>
            <w:framePr w:wrap="around" w:vAnchor="text" w:hAnchor="margin" w:xAlign="center" w:y="1"/>
            <w:jc w:val="right"/>
            <w:rPr>
              <w:szCs w:val="16"/>
            </w:rPr>
          </w:pPr>
          <w:r>
            <w:rPr>
              <w:szCs w:val="16"/>
            </w:rPr>
            <w:t>© Norton Rose Fulbright Australia</w:t>
          </w:r>
        </w:p>
      </w:tc>
    </w:tr>
  </w:tbl>
  <w:p w14:paraId="5BA93AAE" w14:textId="77777777" w:rsidR="00A2314B" w:rsidRDefault="00A23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34E81" w14:textId="26CD0779" w:rsidR="00B37D3B" w:rsidRDefault="00B37D3B" w:rsidP="00BA3057">
    <w:pPr>
      <w:pStyle w:val="Footer"/>
      <w:framePr w:wrap="around" w:vAnchor="text" w:hAnchor="margin" w:xAlign="center" w:y="1"/>
      <w:rPr>
        <w:rStyle w:val="PageNumber"/>
      </w:rPr>
    </w:pPr>
    <w:r w:rsidRPr="00B37D3B">
      <w:rPr>
        <w:rStyle w:val="PageNumber"/>
      </w:rPr>
      <w:fldChar w:fldCharType="begin"/>
    </w:r>
    <w:r w:rsidRPr="00B37D3B">
      <w:rPr>
        <w:rStyle w:val="PageNumber"/>
      </w:rPr>
      <w:instrText xml:space="preserve"> PAGE </w:instrText>
    </w:r>
    <w:r w:rsidRPr="00B37D3B">
      <w:rPr>
        <w:rStyle w:val="PageNumber"/>
      </w:rPr>
      <w:fldChar w:fldCharType="separate"/>
    </w:r>
    <w:r w:rsidR="00A5239F">
      <w:rPr>
        <w:rStyle w:val="PageNumber"/>
        <w:noProof/>
      </w:rPr>
      <w:t>1</w:t>
    </w:r>
    <w:r w:rsidRPr="00B37D3B">
      <w:rPr>
        <w:rStyle w:val="PageNumber"/>
      </w:rPr>
      <w:fldChar w:fldCharType="end"/>
    </w:r>
  </w:p>
  <w:tbl>
    <w:tblPr>
      <w:tblW w:w="5000" w:type="pct"/>
      <w:tblLook w:val="04A0" w:firstRow="1" w:lastRow="0" w:firstColumn="1" w:lastColumn="0" w:noHBand="0" w:noVBand="1"/>
    </w:tblPr>
    <w:tblGrid>
      <w:gridCol w:w="3047"/>
      <w:gridCol w:w="2944"/>
      <w:gridCol w:w="3013"/>
    </w:tblGrid>
    <w:tr w:rsidR="00B37D3B" w14:paraId="658C13F7" w14:textId="77777777">
      <w:tc>
        <w:tcPr>
          <w:tcW w:w="3284" w:type="dxa"/>
          <w:shd w:val="clear" w:color="auto" w:fill="auto"/>
        </w:tcPr>
        <w:p w14:paraId="1E97A719" w14:textId="77777777" w:rsidR="00B37D3B" w:rsidRDefault="00B37D3B">
          <w:pPr>
            <w:pStyle w:val="Footer"/>
            <w:rPr>
              <w:szCs w:val="16"/>
            </w:rPr>
          </w:pPr>
          <w:r>
            <w:rPr>
              <w:szCs w:val="16"/>
            </w:rPr>
            <w:fldChar w:fldCharType="begin"/>
          </w:r>
          <w:r>
            <w:rPr>
              <w:szCs w:val="16"/>
            </w:rPr>
            <w:instrText xml:space="preserve"> DOCPROPERTY DocumentDatabase  \* MERGEFORMAT</w:instrText>
          </w:r>
          <w:r>
            <w:rPr>
              <w:szCs w:val="16"/>
            </w:rPr>
            <w:fldChar w:fldCharType="separate"/>
          </w:r>
          <w:r w:rsidR="002B6651">
            <w:rPr>
              <w:szCs w:val="16"/>
            </w:rPr>
            <w:t>APAC</w:t>
          </w:r>
          <w:r>
            <w:rPr>
              <w:szCs w:val="16"/>
            </w:rPr>
            <w:fldChar w:fldCharType="end"/>
          </w:r>
          <w:r>
            <w:rPr>
              <w:szCs w:val="16"/>
            </w:rPr>
            <w:t>-#</w:t>
          </w:r>
          <w:r>
            <w:rPr>
              <w:szCs w:val="16"/>
            </w:rPr>
            <w:fldChar w:fldCharType="begin"/>
          </w:r>
          <w:r>
            <w:rPr>
              <w:szCs w:val="16"/>
            </w:rPr>
            <w:instrText xml:space="preserve"> DOCPROPERTY DocumentNumber  \* MERGEFORMAT</w:instrText>
          </w:r>
          <w:r>
            <w:rPr>
              <w:szCs w:val="16"/>
            </w:rPr>
            <w:fldChar w:fldCharType="separate"/>
          </w:r>
          <w:r w:rsidR="002B6651">
            <w:rPr>
              <w:szCs w:val="16"/>
            </w:rPr>
            <w:t>116771128</w:t>
          </w:r>
          <w:r>
            <w:rPr>
              <w:bCs/>
              <w:szCs w:val="16"/>
              <w:lang w:val="en-US"/>
            </w:rPr>
            <w:fldChar w:fldCharType="end"/>
          </w:r>
          <w:r>
            <w:rPr>
              <w:szCs w:val="16"/>
            </w:rPr>
            <w:t>-v</w:t>
          </w:r>
          <w:r>
            <w:rPr>
              <w:szCs w:val="16"/>
            </w:rPr>
            <w:fldChar w:fldCharType="begin"/>
          </w:r>
          <w:r>
            <w:rPr>
              <w:szCs w:val="16"/>
            </w:rPr>
            <w:instrText xml:space="preserve"> DOCPROPERTY DocumentVersion  \* MERGEFORMAT</w:instrText>
          </w:r>
          <w:r>
            <w:rPr>
              <w:szCs w:val="16"/>
            </w:rPr>
            <w:fldChar w:fldCharType="separate"/>
          </w:r>
          <w:r w:rsidR="002B6651">
            <w:rPr>
              <w:szCs w:val="16"/>
            </w:rPr>
            <w:t>1</w:t>
          </w:r>
          <w:r>
            <w:rPr>
              <w:bCs/>
              <w:szCs w:val="16"/>
              <w:lang w:val="en-US"/>
            </w:rPr>
            <w:fldChar w:fldCharType="end"/>
          </w:r>
        </w:p>
      </w:tc>
      <w:tc>
        <w:tcPr>
          <w:tcW w:w="3285" w:type="dxa"/>
          <w:shd w:val="clear" w:color="auto" w:fill="auto"/>
        </w:tcPr>
        <w:p w14:paraId="3AF223DA" w14:textId="77777777" w:rsidR="00B37D3B" w:rsidRDefault="00B37D3B">
          <w:pPr>
            <w:pStyle w:val="Footer"/>
            <w:jc w:val="center"/>
            <w:rPr>
              <w:szCs w:val="16"/>
            </w:rPr>
          </w:pPr>
        </w:p>
      </w:tc>
      <w:tc>
        <w:tcPr>
          <w:tcW w:w="3285" w:type="dxa"/>
          <w:shd w:val="clear" w:color="auto" w:fill="auto"/>
        </w:tcPr>
        <w:p w14:paraId="76563DC1" w14:textId="77777777" w:rsidR="00B37D3B" w:rsidRDefault="00B37D3B">
          <w:pPr>
            <w:pStyle w:val="Footer"/>
            <w:jc w:val="right"/>
            <w:rPr>
              <w:szCs w:val="16"/>
            </w:rPr>
          </w:pPr>
          <w:r>
            <w:rPr>
              <w:szCs w:val="16"/>
            </w:rPr>
            <w:t>© Norton Rose Fulbright Australia</w:t>
          </w:r>
        </w:p>
      </w:tc>
    </w:tr>
  </w:tbl>
  <w:p w14:paraId="49E6D880" w14:textId="77777777" w:rsidR="00A2314B" w:rsidRPr="00B37D3B" w:rsidRDefault="00A2314B" w:rsidP="00B37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047"/>
      <w:gridCol w:w="2944"/>
      <w:gridCol w:w="3013"/>
    </w:tblGrid>
    <w:tr w:rsidR="00B37D3B" w14:paraId="49D108ED" w14:textId="77777777">
      <w:tc>
        <w:tcPr>
          <w:tcW w:w="3284" w:type="dxa"/>
          <w:shd w:val="clear" w:color="auto" w:fill="auto"/>
        </w:tcPr>
        <w:p w14:paraId="3D31500C" w14:textId="77777777" w:rsidR="00B37D3B" w:rsidRDefault="00B37D3B">
          <w:pPr>
            <w:pStyle w:val="Footer"/>
            <w:rPr>
              <w:szCs w:val="16"/>
            </w:rPr>
          </w:pPr>
          <w:r>
            <w:rPr>
              <w:szCs w:val="16"/>
            </w:rPr>
            <w:fldChar w:fldCharType="begin"/>
          </w:r>
          <w:r>
            <w:rPr>
              <w:szCs w:val="16"/>
            </w:rPr>
            <w:instrText xml:space="preserve"> DOCPROPERTY DocumentDatabase  \* MERGEFORMAT</w:instrText>
          </w:r>
          <w:r>
            <w:rPr>
              <w:szCs w:val="16"/>
            </w:rPr>
            <w:fldChar w:fldCharType="separate"/>
          </w:r>
          <w:r w:rsidR="002B6651">
            <w:rPr>
              <w:szCs w:val="16"/>
            </w:rPr>
            <w:t>APAC</w:t>
          </w:r>
          <w:r>
            <w:rPr>
              <w:szCs w:val="16"/>
            </w:rPr>
            <w:fldChar w:fldCharType="end"/>
          </w:r>
          <w:r>
            <w:rPr>
              <w:szCs w:val="16"/>
            </w:rPr>
            <w:t>-#</w:t>
          </w:r>
          <w:r>
            <w:rPr>
              <w:szCs w:val="16"/>
            </w:rPr>
            <w:fldChar w:fldCharType="begin"/>
          </w:r>
          <w:r>
            <w:rPr>
              <w:szCs w:val="16"/>
            </w:rPr>
            <w:instrText xml:space="preserve"> DOCPROPERTY DocumentNumber  \* MERGEFORMAT</w:instrText>
          </w:r>
          <w:r>
            <w:rPr>
              <w:szCs w:val="16"/>
            </w:rPr>
            <w:fldChar w:fldCharType="separate"/>
          </w:r>
          <w:r w:rsidR="002B6651">
            <w:rPr>
              <w:szCs w:val="16"/>
            </w:rPr>
            <w:t>116771128</w:t>
          </w:r>
          <w:r>
            <w:rPr>
              <w:bCs/>
              <w:szCs w:val="16"/>
              <w:lang w:val="en-US"/>
            </w:rPr>
            <w:fldChar w:fldCharType="end"/>
          </w:r>
          <w:r>
            <w:rPr>
              <w:szCs w:val="16"/>
            </w:rPr>
            <w:t>-v</w:t>
          </w:r>
          <w:r>
            <w:rPr>
              <w:szCs w:val="16"/>
            </w:rPr>
            <w:fldChar w:fldCharType="begin"/>
          </w:r>
          <w:r>
            <w:rPr>
              <w:szCs w:val="16"/>
            </w:rPr>
            <w:instrText xml:space="preserve"> DOCPROPERTY DocumentVersion  \* MERGEFORMAT</w:instrText>
          </w:r>
          <w:r>
            <w:rPr>
              <w:szCs w:val="16"/>
            </w:rPr>
            <w:fldChar w:fldCharType="separate"/>
          </w:r>
          <w:r w:rsidR="002B6651">
            <w:rPr>
              <w:szCs w:val="16"/>
            </w:rPr>
            <w:t>1</w:t>
          </w:r>
          <w:r>
            <w:rPr>
              <w:bCs/>
              <w:szCs w:val="16"/>
              <w:lang w:val="en-US"/>
            </w:rPr>
            <w:fldChar w:fldCharType="end"/>
          </w:r>
        </w:p>
      </w:tc>
      <w:tc>
        <w:tcPr>
          <w:tcW w:w="3285" w:type="dxa"/>
          <w:shd w:val="clear" w:color="auto" w:fill="auto"/>
        </w:tcPr>
        <w:p w14:paraId="27D8AD49" w14:textId="77777777" w:rsidR="00B37D3B" w:rsidRDefault="00B37D3B">
          <w:pPr>
            <w:pStyle w:val="Footer"/>
            <w:jc w:val="center"/>
            <w:rPr>
              <w:szCs w:val="16"/>
            </w:rPr>
          </w:pPr>
        </w:p>
      </w:tc>
      <w:tc>
        <w:tcPr>
          <w:tcW w:w="3285" w:type="dxa"/>
          <w:shd w:val="clear" w:color="auto" w:fill="auto"/>
        </w:tcPr>
        <w:p w14:paraId="3E7C8397" w14:textId="77777777" w:rsidR="00B37D3B" w:rsidRDefault="00B37D3B">
          <w:pPr>
            <w:pStyle w:val="Footer"/>
            <w:jc w:val="right"/>
            <w:rPr>
              <w:szCs w:val="16"/>
            </w:rPr>
          </w:pPr>
          <w:r>
            <w:rPr>
              <w:szCs w:val="16"/>
            </w:rPr>
            <w:t>© Norton Rose Fulbright Australia</w:t>
          </w:r>
        </w:p>
      </w:tc>
    </w:tr>
  </w:tbl>
  <w:p w14:paraId="73505A77" w14:textId="77777777" w:rsidR="00A2314B" w:rsidRDefault="00A23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CC01B" w14:textId="77777777" w:rsidR="008D6C0B" w:rsidRDefault="008D6C0B">
      <w:r>
        <w:separator/>
      </w:r>
    </w:p>
  </w:footnote>
  <w:footnote w:type="continuationSeparator" w:id="0">
    <w:p w14:paraId="77FE8B11" w14:textId="77777777" w:rsidR="008D6C0B" w:rsidRDefault="008D6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B7A6" w14:textId="77777777" w:rsidR="00B37D3B" w:rsidRDefault="00B37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E3785" w14:textId="77777777" w:rsidR="00B37D3B" w:rsidRDefault="00B37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B46C" w14:textId="77777777" w:rsidR="00B37D3B" w:rsidRDefault="00B37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E7A"/>
    <w:multiLevelType w:val="multilevel"/>
    <w:tmpl w:val="D36A47AA"/>
    <w:lvl w:ilvl="0">
      <w:start w:val="1"/>
      <w:numFmt w:val="decimal"/>
      <w:pStyle w:val="BilingualScheduleNumbering1"/>
      <w:lvlText w:val="%1"/>
      <w:lvlJc w:val="left"/>
      <w:pPr>
        <w:ind w:left="709" w:hanging="709"/>
      </w:pPr>
      <w:rPr>
        <w:rFonts w:ascii="Arial Bold" w:hAnsi="Arial Bold" w:hint="default"/>
        <w:b/>
        <w:i w:val="0"/>
        <w:sz w:val="20"/>
      </w:rPr>
    </w:lvl>
    <w:lvl w:ilvl="1">
      <w:start w:val="1"/>
      <w:numFmt w:val="decimal"/>
      <w:pStyle w:val="BilingualScheduleNumbering2"/>
      <w:lvlText w:val="%1.%2"/>
      <w:lvlJc w:val="left"/>
      <w:pPr>
        <w:ind w:left="709" w:hanging="709"/>
      </w:pPr>
      <w:rPr>
        <w:rFonts w:ascii="Arial" w:hAnsi="Arial" w:hint="default"/>
        <w:b w:val="0"/>
        <w:i w:val="0"/>
        <w:sz w:val="20"/>
      </w:rPr>
    </w:lvl>
    <w:lvl w:ilvl="2">
      <w:start w:val="1"/>
      <w:numFmt w:val="decimal"/>
      <w:pStyle w:val="BilingualScheduleNumbering3"/>
      <w:lvlText w:val="(%3)"/>
      <w:lvlJc w:val="right"/>
      <w:pPr>
        <w:ind w:left="1418" w:hanging="709"/>
      </w:pPr>
      <w:rPr>
        <w:rFonts w:hint="default"/>
      </w:rPr>
    </w:lvl>
    <w:lvl w:ilvl="3">
      <w:start w:val="1"/>
      <w:numFmt w:val="lowerLetter"/>
      <w:pStyle w:val="BilingualScheduleNumbering4"/>
      <w:lvlText w:val="(%4)"/>
      <w:lvlJc w:val="left"/>
      <w:pPr>
        <w:ind w:left="2126" w:hanging="708"/>
      </w:pPr>
      <w:rPr>
        <w:rFonts w:hint="default"/>
      </w:rPr>
    </w:lvl>
    <w:lvl w:ilvl="4">
      <w:start w:val="1"/>
      <w:numFmt w:val="lowerRoman"/>
      <w:pStyle w:val="BilingualScheduleNumbering5"/>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1" w15:restartNumberingAfterBreak="0">
    <w:nsid w:val="05026036"/>
    <w:multiLevelType w:val="multilevel"/>
    <w:tmpl w:val="434AC19E"/>
    <w:lvl w:ilvl="0">
      <w:start w:val="1"/>
      <w:numFmt w:val="decimal"/>
      <w:pStyle w:val="BilingualSchedule"/>
      <w:suff w:val="nothing"/>
      <w:lvlText w:val="Schedule %1"/>
      <w:lvlJc w:val="left"/>
      <w:pPr>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2" w15:restartNumberingAfterBreak="0">
    <w:nsid w:val="06576DDF"/>
    <w:multiLevelType w:val="hybridMultilevel"/>
    <w:tmpl w:val="901043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3A5B0F"/>
    <w:multiLevelType w:val="multilevel"/>
    <w:tmpl w:val="445C0742"/>
    <w:lvl w:ilvl="0">
      <w:start w:val="1"/>
      <w:numFmt w:val="decimal"/>
      <w:pStyle w:val="Heading1"/>
      <w:lvlText w:val="%1"/>
      <w:lvlJc w:val="left"/>
      <w:pPr>
        <w:tabs>
          <w:tab w:val="num" w:pos="709"/>
        </w:tabs>
        <w:ind w:left="709" w:hanging="709"/>
      </w:pPr>
      <w:rPr>
        <w:rFonts w:ascii="Arial" w:hAnsi="Arial" w:hint="default"/>
        <w:b/>
        <w:i w:val="0"/>
        <w:sz w:val="24"/>
      </w:rPr>
    </w:lvl>
    <w:lvl w:ilvl="1">
      <w:start w:val="1"/>
      <w:numFmt w:val="decimal"/>
      <w:pStyle w:val="Heading2"/>
      <w:lvlText w:val="%1.%2"/>
      <w:lvlJc w:val="left"/>
      <w:pPr>
        <w:tabs>
          <w:tab w:val="num" w:pos="709"/>
        </w:tabs>
        <w:ind w:left="709" w:hanging="709"/>
      </w:pPr>
      <w:rPr>
        <w:rFonts w:ascii="Arial" w:hAnsi="Arial" w:hint="default"/>
        <w:b w:val="0"/>
        <w:i w:val="0"/>
        <w:sz w:val="20"/>
      </w:rPr>
    </w:lvl>
    <w:lvl w:ilvl="2">
      <w:start w:val="1"/>
      <w:numFmt w:val="decimal"/>
      <w:pStyle w:val="Heading3"/>
      <w:lvlText w:val="(%3)"/>
      <w:lvlJc w:val="left"/>
      <w:pPr>
        <w:tabs>
          <w:tab w:val="num" w:pos="1418"/>
        </w:tabs>
        <w:ind w:left="1418" w:hanging="709"/>
      </w:pPr>
      <w:rPr>
        <w:rFonts w:ascii="Arial" w:hAnsi="Arial" w:hint="default"/>
        <w:b w:val="0"/>
        <w:i w:val="0"/>
        <w:sz w:val="20"/>
      </w:rPr>
    </w:lvl>
    <w:lvl w:ilvl="3">
      <w:start w:val="1"/>
      <w:numFmt w:val="lowerLetter"/>
      <w:pStyle w:val="Heading4"/>
      <w:lvlText w:val="(%4)"/>
      <w:lvlJc w:val="left"/>
      <w:pPr>
        <w:tabs>
          <w:tab w:val="num" w:pos="2126"/>
        </w:tabs>
        <w:ind w:left="2126" w:hanging="708"/>
      </w:pPr>
      <w:rPr>
        <w:rFonts w:ascii="Arial" w:hAnsi="Arial" w:hint="default"/>
        <w:b w:val="0"/>
        <w:i w:val="0"/>
        <w:sz w:val="20"/>
      </w:rPr>
    </w:lvl>
    <w:lvl w:ilvl="4">
      <w:start w:val="1"/>
      <w:numFmt w:val="lowerRoman"/>
      <w:pStyle w:val="Heading5"/>
      <w:lvlText w:val="(%5)"/>
      <w:lvlJc w:val="left"/>
      <w:pPr>
        <w:tabs>
          <w:tab w:val="num" w:pos="2835"/>
        </w:tabs>
        <w:ind w:left="2835" w:hanging="709"/>
      </w:pPr>
      <w:rPr>
        <w:rFonts w:ascii="Arial" w:hAnsi="Arial" w:hint="default"/>
        <w:b w:val="0"/>
        <w:i w:val="0"/>
        <w:sz w:val="20"/>
      </w:rPr>
    </w:lvl>
    <w:lvl w:ilvl="5">
      <w:start w:val="1"/>
      <w:numFmt w:val="upperLetter"/>
      <w:pStyle w:val="Heading6"/>
      <w:lvlText w:val="(%6)"/>
      <w:lvlJc w:val="left"/>
      <w:pPr>
        <w:tabs>
          <w:tab w:val="num" w:pos="3544"/>
        </w:tabs>
        <w:ind w:left="3544" w:hanging="709"/>
      </w:pPr>
      <w:rPr>
        <w:rFonts w:ascii="Arial" w:hAnsi="Arial" w:hint="default"/>
        <w:b w:val="0"/>
        <w:i w:val="0"/>
        <w:sz w:val="2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0A225F39"/>
    <w:multiLevelType w:val="multilevel"/>
    <w:tmpl w:val="8E7818E6"/>
    <w:lvl w:ilvl="0">
      <w:start w:val="1"/>
      <w:numFmt w:val="upperLetter"/>
      <w:pStyle w:val="BilingualAnnexure"/>
      <w:suff w:val="nothing"/>
      <w:lvlText w:val="Annexure %1"/>
      <w:lvlJc w:val="left"/>
      <w:pPr>
        <w:ind w:left="431" w:hanging="431"/>
      </w:pPr>
      <w:rPr>
        <w:rFonts w:ascii="Arial Bold" w:hAnsi="Arial Bold" w:hint="default"/>
        <w:b/>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5" w15:restartNumberingAfterBreak="0">
    <w:nsid w:val="0D8E328D"/>
    <w:multiLevelType w:val="hybridMultilevel"/>
    <w:tmpl w:val="2EEEA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EF6324"/>
    <w:multiLevelType w:val="multilevel"/>
    <w:tmpl w:val="E99EE40C"/>
    <w:lvl w:ilvl="0">
      <w:start w:val="1"/>
      <w:numFmt w:val="decimal"/>
      <w:pStyle w:val="ScheduleNumbering1"/>
      <w:lvlText w:val="%1"/>
      <w:lvlJc w:val="left"/>
      <w:pPr>
        <w:ind w:left="709" w:hanging="709"/>
      </w:pPr>
      <w:rPr>
        <w:rFonts w:ascii="Arial Bold" w:hAnsi="Arial Bold" w:hint="default"/>
        <w:b/>
        <w:i w:val="0"/>
        <w:sz w:val="20"/>
      </w:rPr>
    </w:lvl>
    <w:lvl w:ilvl="1">
      <w:start w:val="1"/>
      <w:numFmt w:val="decimal"/>
      <w:pStyle w:val="ScheduleNumbering2"/>
      <w:lvlText w:val="%1.%2"/>
      <w:lvlJc w:val="left"/>
      <w:pPr>
        <w:ind w:left="709" w:hanging="709"/>
      </w:pPr>
      <w:rPr>
        <w:rFonts w:hint="default"/>
      </w:rPr>
    </w:lvl>
    <w:lvl w:ilvl="2">
      <w:start w:val="1"/>
      <w:numFmt w:val="decimal"/>
      <w:pStyle w:val="ScheduleNumbering3"/>
      <w:lvlText w:val="(%3)"/>
      <w:lvlJc w:val="left"/>
      <w:pPr>
        <w:ind w:left="1418" w:hanging="709"/>
      </w:pPr>
      <w:rPr>
        <w:rFonts w:hint="default"/>
      </w:rPr>
    </w:lvl>
    <w:lvl w:ilvl="3">
      <w:start w:val="1"/>
      <w:numFmt w:val="lowerLetter"/>
      <w:pStyle w:val="ScheduleNumbering4"/>
      <w:lvlText w:val="(%4)"/>
      <w:lvlJc w:val="left"/>
      <w:pPr>
        <w:ind w:left="2126" w:hanging="708"/>
      </w:pPr>
      <w:rPr>
        <w:rFonts w:hint="default"/>
      </w:rPr>
    </w:lvl>
    <w:lvl w:ilvl="4">
      <w:start w:val="1"/>
      <w:numFmt w:val="lowerRoman"/>
      <w:pStyle w:val="ScheduleNumbering5"/>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1C356454"/>
    <w:multiLevelType w:val="multilevel"/>
    <w:tmpl w:val="3FCCDA5A"/>
    <w:lvl w:ilvl="0">
      <w:start w:val="1"/>
      <w:numFmt w:val="upperLetter"/>
      <w:pStyle w:val="Recital"/>
      <w:lvlText w:val="%1"/>
      <w:lvlJc w:val="left"/>
      <w:pPr>
        <w:tabs>
          <w:tab w:val="num" w:pos="709"/>
        </w:tabs>
        <w:ind w:left="709" w:hanging="709"/>
      </w:pPr>
      <w:rPr>
        <w:rFonts w:hint="default"/>
        <w:b/>
        <w:i w:val="0"/>
        <w:sz w:val="2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27325D0E"/>
    <w:multiLevelType w:val="multilevel"/>
    <w:tmpl w:val="73AAAAE0"/>
    <w:lvl w:ilvl="0">
      <w:start w:val="1"/>
      <w:numFmt w:val="upperLetter"/>
      <w:pStyle w:val="BilingualRecital"/>
      <w:lvlText w:val="%1"/>
      <w:lvlJc w:val="left"/>
      <w:pPr>
        <w:tabs>
          <w:tab w:val="num" w:pos="709"/>
        </w:tabs>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9" w15:restartNumberingAfterBreak="0">
    <w:nsid w:val="2B3B2A8A"/>
    <w:multiLevelType w:val="multilevel"/>
    <w:tmpl w:val="4D400834"/>
    <w:lvl w:ilvl="0">
      <w:start w:val="1"/>
      <w:numFmt w:val="decimal"/>
      <w:pStyle w:val="Item"/>
      <w:lvlText w:val="Item %1"/>
      <w:lvlJc w:val="left"/>
      <w:pPr>
        <w:tabs>
          <w:tab w:val="num" w:pos="1418"/>
        </w:tabs>
        <w:ind w:left="1418" w:hanging="1418"/>
      </w:pPr>
      <w:rPr>
        <w:rFonts w:ascii="Arial" w:hAnsi="Arial" w:hint="default"/>
        <w:b w:val="0"/>
        <w:i w:val="0"/>
        <w:sz w:val="2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32465C0D"/>
    <w:multiLevelType w:val="multilevel"/>
    <w:tmpl w:val="07A6B95A"/>
    <w:lvl w:ilvl="0">
      <w:start w:val="1"/>
      <w:numFmt w:val="decimal"/>
      <w:pStyle w:val="Schedule"/>
      <w:suff w:val="nothing"/>
      <w:lvlText w:val="Schedule %1"/>
      <w:lvlJc w:val="left"/>
      <w:pPr>
        <w:ind w:left="432" w:hanging="432"/>
      </w:pPr>
      <w:rPr>
        <w:rFonts w:ascii="Arial" w:hAnsi="Arial"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28A036A"/>
    <w:multiLevelType w:val="hybridMultilevel"/>
    <w:tmpl w:val="843ED5AE"/>
    <w:lvl w:ilvl="0" w:tplc="C9544E98">
      <w:start w:val="15"/>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391028F"/>
    <w:multiLevelType w:val="multilevel"/>
    <w:tmpl w:val="B210C0A8"/>
    <w:lvl w:ilvl="0">
      <w:start w:val="1"/>
      <w:numFmt w:val="decimal"/>
      <w:pStyle w:val="BilingualHeading1"/>
      <w:lvlText w:val="%1"/>
      <w:lvlJc w:val="left"/>
      <w:pPr>
        <w:tabs>
          <w:tab w:val="num" w:pos="709"/>
        </w:tabs>
        <w:ind w:left="709" w:hanging="709"/>
      </w:pPr>
      <w:rPr>
        <w:rFonts w:ascii="Arial" w:hAnsi="Arial" w:hint="default"/>
        <w:b/>
        <w:i w:val="0"/>
        <w:sz w:val="24"/>
        <w:szCs w:val="24"/>
      </w:rPr>
    </w:lvl>
    <w:lvl w:ilvl="1">
      <w:start w:val="1"/>
      <w:numFmt w:val="decimal"/>
      <w:pStyle w:val="BilingualHeading2"/>
      <w:lvlText w:val="%1.%2"/>
      <w:lvlJc w:val="left"/>
      <w:pPr>
        <w:tabs>
          <w:tab w:val="num" w:pos="709"/>
        </w:tabs>
        <w:ind w:left="709" w:hanging="709"/>
      </w:pPr>
      <w:rPr>
        <w:rFonts w:ascii="Arial" w:hAnsi="Arial" w:hint="default"/>
        <w:b w:val="0"/>
        <w:i w:val="0"/>
        <w:sz w:val="20"/>
      </w:rPr>
    </w:lvl>
    <w:lvl w:ilvl="2">
      <w:start w:val="1"/>
      <w:numFmt w:val="decimal"/>
      <w:pStyle w:val="BilingualHeading3"/>
      <w:lvlText w:val="(%3)"/>
      <w:lvlJc w:val="left"/>
      <w:pPr>
        <w:tabs>
          <w:tab w:val="num" w:pos="1418"/>
        </w:tabs>
        <w:ind w:left="1418" w:hanging="709"/>
      </w:pPr>
      <w:rPr>
        <w:rFonts w:ascii="Arial" w:hAnsi="Arial" w:hint="default"/>
        <w:b w:val="0"/>
        <w:i w:val="0"/>
        <w:sz w:val="20"/>
      </w:rPr>
    </w:lvl>
    <w:lvl w:ilvl="3">
      <w:start w:val="1"/>
      <w:numFmt w:val="lowerLetter"/>
      <w:pStyle w:val="BilingualHeading4"/>
      <w:lvlText w:val="(%4)"/>
      <w:lvlJc w:val="left"/>
      <w:pPr>
        <w:tabs>
          <w:tab w:val="num" w:pos="2126"/>
        </w:tabs>
        <w:ind w:left="2126" w:hanging="708"/>
      </w:pPr>
      <w:rPr>
        <w:rFonts w:ascii="Arial" w:hAnsi="Arial" w:hint="default"/>
        <w:b w:val="0"/>
        <w:i w:val="0"/>
        <w:sz w:val="20"/>
      </w:rPr>
    </w:lvl>
    <w:lvl w:ilvl="4">
      <w:start w:val="1"/>
      <w:numFmt w:val="lowerRoman"/>
      <w:pStyle w:val="BilingualHeading5"/>
      <w:lvlText w:val="(%5)"/>
      <w:lvlJc w:val="left"/>
      <w:pPr>
        <w:tabs>
          <w:tab w:val="num" w:pos="2835"/>
        </w:tabs>
        <w:ind w:left="2835" w:hanging="709"/>
      </w:pPr>
      <w:rPr>
        <w:rFonts w:ascii="Arial" w:hAnsi="Arial" w:hint="default"/>
        <w:b w:val="0"/>
        <w:i w:val="0"/>
        <w:sz w:val="20"/>
      </w:rPr>
    </w:lvl>
    <w:lvl w:ilvl="5">
      <w:start w:val="1"/>
      <w:numFmt w:val="upperLetter"/>
      <w:pStyle w:val="BilingualHeading6"/>
      <w:lvlText w:val="(%6)"/>
      <w:lvlJc w:val="left"/>
      <w:pPr>
        <w:tabs>
          <w:tab w:val="num" w:pos="3544"/>
        </w:tabs>
        <w:ind w:left="3544" w:hanging="709"/>
      </w:pPr>
      <w:rPr>
        <w:rFonts w:ascii="Arial" w:hAnsi="Arial" w:hint="default"/>
        <w:b w:val="0"/>
        <w:i w:val="0"/>
        <w:sz w:val="2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39327EA9"/>
    <w:multiLevelType w:val="hybridMultilevel"/>
    <w:tmpl w:val="6A78F930"/>
    <w:lvl w:ilvl="0" w:tplc="04250001">
      <w:start w:val="15"/>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7AB2690"/>
    <w:multiLevelType w:val="hybridMultilevel"/>
    <w:tmpl w:val="58F8B7CC"/>
    <w:lvl w:ilvl="0" w:tplc="0C090015">
      <w:start w:val="1"/>
      <w:numFmt w:val="upp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FDF3DC8"/>
    <w:multiLevelType w:val="multilevel"/>
    <w:tmpl w:val="9F004F4C"/>
    <w:lvl w:ilvl="0">
      <w:start w:val="1"/>
      <w:numFmt w:val="upperLetter"/>
      <w:pStyle w:val="Annexure"/>
      <w:suff w:val="nothing"/>
      <w:lvlText w:val="Annexure %1"/>
      <w:lvlJc w:val="left"/>
      <w:pPr>
        <w:ind w:left="431" w:hanging="431"/>
      </w:pPr>
      <w:rPr>
        <w:rFonts w:ascii="Arial" w:hAnsi="Arial" w:hint="default"/>
        <w:b/>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62483434"/>
    <w:multiLevelType w:val="multilevel"/>
    <w:tmpl w:val="C72679B4"/>
    <w:lvl w:ilvl="0">
      <w:start w:val="1"/>
      <w:numFmt w:val="bullet"/>
      <w:pStyle w:val="NRFABullet1"/>
      <w:lvlText w:val=""/>
      <w:lvlJc w:val="left"/>
      <w:pPr>
        <w:ind w:left="709" w:hanging="709"/>
      </w:pPr>
      <w:rPr>
        <w:rFonts w:ascii="Symbol" w:hAnsi="Symbol" w:hint="default"/>
      </w:rPr>
    </w:lvl>
    <w:lvl w:ilvl="1">
      <w:start w:val="1"/>
      <w:numFmt w:val="bullet"/>
      <w:pStyle w:val="NRFABullet2"/>
      <w:lvlText w:val="-"/>
      <w:lvlJc w:val="left"/>
      <w:pPr>
        <w:ind w:left="1418" w:hanging="709"/>
      </w:pPr>
      <w:rPr>
        <w:rFonts w:ascii="Courier New" w:hAnsi="Courier New" w:hint="default"/>
      </w:rPr>
    </w:lvl>
    <w:lvl w:ilvl="2">
      <w:start w:val="1"/>
      <w:numFmt w:val="none"/>
      <w:lvlText w:val=""/>
      <w:lvlJc w:val="left"/>
      <w:pPr>
        <w:ind w:left="2126" w:hanging="708"/>
      </w:pPr>
      <w:rPr>
        <w:rFonts w:hint="default"/>
      </w:rPr>
    </w:lvl>
    <w:lvl w:ilvl="3">
      <w:start w:val="1"/>
      <w:numFmt w:val="none"/>
      <w:lvlText w:val=""/>
      <w:lvlJc w:val="left"/>
      <w:pPr>
        <w:ind w:left="2835" w:hanging="709"/>
      </w:pPr>
      <w:rPr>
        <w:rFonts w:hint="default"/>
      </w:rPr>
    </w:lvl>
    <w:lvl w:ilvl="4">
      <w:start w:val="1"/>
      <w:numFmt w:val="none"/>
      <w:lvlText w:val=""/>
      <w:lvlJc w:val="left"/>
      <w:pPr>
        <w:ind w:left="3544" w:hanging="709"/>
      </w:pPr>
      <w:rPr>
        <w:rFonts w:hint="default"/>
      </w:rPr>
    </w:lvl>
    <w:lvl w:ilvl="5">
      <w:start w:val="1"/>
      <w:numFmt w:val="none"/>
      <w:lvlText w:val=""/>
      <w:lvlJc w:val="left"/>
      <w:pPr>
        <w:ind w:left="4253" w:hanging="709"/>
      </w:pPr>
      <w:rPr>
        <w:rFonts w:hint="default"/>
      </w:rPr>
    </w:lvl>
    <w:lvl w:ilvl="6">
      <w:start w:val="1"/>
      <w:numFmt w:val="none"/>
      <w:lvlText w:val="%7"/>
      <w:lvlJc w:val="left"/>
      <w:pPr>
        <w:ind w:left="4820" w:hanging="709"/>
      </w:pPr>
      <w:rPr>
        <w:rFonts w:hint="default"/>
      </w:rPr>
    </w:lvl>
    <w:lvl w:ilvl="7">
      <w:start w:val="1"/>
      <w:numFmt w:val="none"/>
      <w:lvlText w:val=""/>
      <w:lvlJc w:val="left"/>
      <w:pPr>
        <w:ind w:left="5528" w:hanging="708"/>
      </w:pPr>
      <w:rPr>
        <w:rFonts w:hint="default"/>
      </w:rPr>
    </w:lvl>
    <w:lvl w:ilvl="8">
      <w:start w:val="1"/>
      <w:numFmt w:val="none"/>
      <w:lvlText w:val=""/>
      <w:lvlJc w:val="left"/>
      <w:pPr>
        <w:ind w:left="6237" w:hanging="709"/>
      </w:pPr>
      <w:rPr>
        <w:rFonts w:hint="default"/>
      </w:rPr>
    </w:lvl>
  </w:abstractNum>
  <w:abstractNum w:abstractNumId="17" w15:restartNumberingAfterBreak="0">
    <w:nsid w:val="6471022D"/>
    <w:multiLevelType w:val="hybridMultilevel"/>
    <w:tmpl w:val="6E82D220"/>
    <w:lvl w:ilvl="0" w:tplc="ABF686EE">
      <w:start w:val="1"/>
      <w:numFmt w:val="decimal"/>
      <w:pStyle w:val="BilingualItem"/>
      <w:lvlText w:val="Item %1"/>
      <w:lvlJc w:val="left"/>
      <w:pPr>
        <w:ind w:left="720" w:hanging="360"/>
      </w:pPr>
      <w:rPr>
        <w:rFonts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90406C9"/>
    <w:multiLevelType w:val="hybridMultilevel"/>
    <w:tmpl w:val="AF084D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B086400"/>
    <w:multiLevelType w:val="hybridMultilevel"/>
    <w:tmpl w:val="02E66A1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30D7A69"/>
    <w:multiLevelType w:val="hybridMultilevel"/>
    <w:tmpl w:val="50CE61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98942D7"/>
    <w:multiLevelType w:val="hybridMultilevel"/>
    <w:tmpl w:val="971233BA"/>
    <w:lvl w:ilvl="0" w:tplc="0C090015">
      <w:start w:val="1"/>
      <w:numFmt w:val="upp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B861024"/>
    <w:multiLevelType w:val="hybridMultilevel"/>
    <w:tmpl w:val="DFB0EB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5"/>
  </w:num>
  <w:num w:numId="2">
    <w:abstractNumId w:val="4"/>
  </w:num>
  <w:num w:numId="3">
    <w:abstractNumId w:val="12"/>
  </w:num>
  <w:num w:numId="4">
    <w:abstractNumId w:val="17"/>
  </w:num>
  <w:num w:numId="5">
    <w:abstractNumId w:val="8"/>
  </w:num>
  <w:num w:numId="6">
    <w:abstractNumId w:val="1"/>
  </w:num>
  <w:num w:numId="7">
    <w:abstractNumId w:val="0"/>
  </w:num>
  <w:num w:numId="8">
    <w:abstractNumId w:val="3"/>
  </w:num>
  <w:num w:numId="9">
    <w:abstractNumId w:val="9"/>
  </w:num>
  <w:num w:numId="10">
    <w:abstractNumId w:val="16"/>
  </w:num>
  <w:num w:numId="11">
    <w:abstractNumId w:val="7"/>
  </w:num>
  <w:num w:numId="12">
    <w:abstractNumId w:val="10"/>
  </w:num>
  <w:num w:numId="13">
    <w:abstractNumId w:val="6"/>
  </w:num>
  <w:num w:numId="14">
    <w:abstractNumId w:val="22"/>
  </w:num>
  <w:num w:numId="15">
    <w:abstractNumId w:val="2"/>
  </w:num>
  <w:num w:numId="16">
    <w:abstractNumId w:val="19"/>
  </w:num>
  <w:num w:numId="17">
    <w:abstractNumId w:val="21"/>
  </w:num>
  <w:num w:numId="18">
    <w:abstractNumId w:val="14"/>
  </w:num>
  <w:num w:numId="19">
    <w:abstractNumId w:val="5"/>
  </w:num>
  <w:num w:numId="20">
    <w:abstractNumId w:val="11"/>
  </w:num>
  <w:num w:numId="21">
    <w:abstractNumId w:val="13"/>
  </w:num>
  <w:num w:numId="22">
    <w:abstractNumId w:val="18"/>
  </w:num>
  <w:num w:numId="23">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7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314B"/>
    <w:rsid w:val="000007EA"/>
    <w:rsid w:val="00062A2F"/>
    <w:rsid w:val="0006346F"/>
    <w:rsid w:val="00067F8D"/>
    <w:rsid w:val="00080AA8"/>
    <w:rsid w:val="000A4E8D"/>
    <w:rsid w:val="000A7B91"/>
    <w:rsid w:val="001320E0"/>
    <w:rsid w:val="00141779"/>
    <w:rsid w:val="0014488D"/>
    <w:rsid w:val="00151B86"/>
    <w:rsid w:val="001727D2"/>
    <w:rsid w:val="001D2860"/>
    <w:rsid w:val="001D3913"/>
    <w:rsid w:val="0021521F"/>
    <w:rsid w:val="00262A69"/>
    <w:rsid w:val="0026452F"/>
    <w:rsid w:val="00281EFF"/>
    <w:rsid w:val="002B0F3F"/>
    <w:rsid w:val="002B6651"/>
    <w:rsid w:val="002E198A"/>
    <w:rsid w:val="00300864"/>
    <w:rsid w:val="0032577C"/>
    <w:rsid w:val="00377A66"/>
    <w:rsid w:val="00391C48"/>
    <w:rsid w:val="003F273D"/>
    <w:rsid w:val="003F6B52"/>
    <w:rsid w:val="00433474"/>
    <w:rsid w:val="0043705D"/>
    <w:rsid w:val="00470FA0"/>
    <w:rsid w:val="00487EA7"/>
    <w:rsid w:val="004A1911"/>
    <w:rsid w:val="004D2E8A"/>
    <w:rsid w:val="004E0604"/>
    <w:rsid w:val="00557228"/>
    <w:rsid w:val="00573007"/>
    <w:rsid w:val="005D1F22"/>
    <w:rsid w:val="005D4363"/>
    <w:rsid w:val="00611D20"/>
    <w:rsid w:val="00621C46"/>
    <w:rsid w:val="00650E75"/>
    <w:rsid w:val="006575A5"/>
    <w:rsid w:val="006B0556"/>
    <w:rsid w:val="006B37DC"/>
    <w:rsid w:val="006E6D24"/>
    <w:rsid w:val="0070749E"/>
    <w:rsid w:val="00761277"/>
    <w:rsid w:val="00795BDA"/>
    <w:rsid w:val="007C72A9"/>
    <w:rsid w:val="00844489"/>
    <w:rsid w:val="00865DA3"/>
    <w:rsid w:val="00894334"/>
    <w:rsid w:val="00894E00"/>
    <w:rsid w:val="008D17AE"/>
    <w:rsid w:val="008D6C0B"/>
    <w:rsid w:val="008E5168"/>
    <w:rsid w:val="00902AE9"/>
    <w:rsid w:val="00902ED5"/>
    <w:rsid w:val="00914068"/>
    <w:rsid w:val="00916C12"/>
    <w:rsid w:val="00921577"/>
    <w:rsid w:val="0092715D"/>
    <w:rsid w:val="009772ED"/>
    <w:rsid w:val="009A55B8"/>
    <w:rsid w:val="009B5510"/>
    <w:rsid w:val="00A2314B"/>
    <w:rsid w:val="00A5239F"/>
    <w:rsid w:val="00A61C68"/>
    <w:rsid w:val="00A95B8B"/>
    <w:rsid w:val="00AA5AAB"/>
    <w:rsid w:val="00AB15A2"/>
    <w:rsid w:val="00AC222D"/>
    <w:rsid w:val="00AD2333"/>
    <w:rsid w:val="00B37D3B"/>
    <w:rsid w:val="00B6740F"/>
    <w:rsid w:val="00B91826"/>
    <w:rsid w:val="00BA0185"/>
    <w:rsid w:val="00BA5E95"/>
    <w:rsid w:val="00BE1D23"/>
    <w:rsid w:val="00BE312E"/>
    <w:rsid w:val="00C1387F"/>
    <w:rsid w:val="00C56655"/>
    <w:rsid w:val="00C80611"/>
    <w:rsid w:val="00C925DE"/>
    <w:rsid w:val="00CA14EC"/>
    <w:rsid w:val="00CF2224"/>
    <w:rsid w:val="00D13912"/>
    <w:rsid w:val="00DC75FE"/>
    <w:rsid w:val="00E11A69"/>
    <w:rsid w:val="00E1761D"/>
    <w:rsid w:val="00E32C5C"/>
    <w:rsid w:val="00E72269"/>
    <w:rsid w:val="00E86609"/>
    <w:rsid w:val="00F070F7"/>
    <w:rsid w:val="00F10310"/>
    <w:rsid w:val="00F65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D77F2"/>
  <w15:docId w15:val="{15023F70-D859-45DB-947F-B6F203D0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D3B"/>
    <w:rPr>
      <w:rFonts w:ascii="Arial" w:hAnsi="Arial"/>
      <w:lang w:val="en-AU"/>
    </w:rPr>
  </w:style>
  <w:style w:type="paragraph" w:styleId="Heading1">
    <w:name w:val="heading 1"/>
    <w:basedOn w:val="Normal"/>
    <w:next w:val="Heading2"/>
    <w:qFormat/>
    <w:rsid w:val="00B37D3B"/>
    <w:pPr>
      <w:keepNext/>
      <w:numPr>
        <w:numId w:val="8"/>
      </w:numPr>
      <w:spacing w:before="360"/>
      <w:outlineLvl w:val="0"/>
    </w:pPr>
    <w:rPr>
      <w:b/>
      <w:sz w:val="24"/>
    </w:rPr>
  </w:style>
  <w:style w:type="paragraph" w:styleId="Heading2">
    <w:name w:val="heading 2"/>
    <w:basedOn w:val="Normal"/>
    <w:next w:val="BodyText2"/>
    <w:qFormat/>
    <w:rsid w:val="00B37D3B"/>
    <w:pPr>
      <w:numPr>
        <w:ilvl w:val="1"/>
        <w:numId w:val="8"/>
      </w:numPr>
      <w:spacing w:before="240"/>
      <w:outlineLvl w:val="1"/>
    </w:pPr>
  </w:style>
  <w:style w:type="paragraph" w:styleId="Heading3">
    <w:name w:val="heading 3"/>
    <w:basedOn w:val="Normal"/>
    <w:qFormat/>
    <w:rsid w:val="00B37D3B"/>
    <w:pPr>
      <w:numPr>
        <w:ilvl w:val="2"/>
        <w:numId w:val="8"/>
      </w:numPr>
      <w:spacing w:before="240"/>
      <w:outlineLvl w:val="2"/>
    </w:pPr>
  </w:style>
  <w:style w:type="paragraph" w:styleId="Heading4">
    <w:name w:val="heading 4"/>
    <w:basedOn w:val="Normal"/>
    <w:qFormat/>
    <w:rsid w:val="00B37D3B"/>
    <w:pPr>
      <w:numPr>
        <w:ilvl w:val="3"/>
        <w:numId w:val="8"/>
      </w:numPr>
      <w:spacing w:before="240"/>
      <w:outlineLvl w:val="3"/>
    </w:pPr>
  </w:style>
  <w:style w:type="paragraph" w:styleId="Heading5">
    <w:name w:val="heading 5"/>
    <w:basedOn w:val="Normal"/>
    <w:qFormat/>
    <w:rsid w:val="00B37D3B"/>
    <w:pPr>
      <w:numPr>
        <w:ilvl w:val="4"/>
        <w:numId w:val="8"/>
      </w:numPr>
      <w:spacing w:before="240"/>
      <w:outlineLvl w:val="4"/>
    </w:pPr>
  </w:style>
  <w:style w:type="paragraph" w:styleId="Heading6">
    <w:name w:val="heading 6"/>
    <w:basedOn w:val="Normal"/>
    <w:qFormat/>
    <w:rsid w:val="00B37D3B"/>
    <w:pPr>
      <w:numPr>
        <w:ilvl w:val="5"/>
        <w:numId w:val="8"/>
      </w:numPr>
      <w:spacing w:before="240"/>
      <w:outlineLvl w:val="5"/>
    </w:pPr>
  </w:style>
  <w:style w:type="paragraph" w:styleId="Heading7">
    <w:name w:val="heading 7"/>
    <w:basedOn w:val="Normal"/>
    <w:next w:val="Normal"/>
    <w:qFormat/>
    <w:rsid w:val="00B37D3B"/>
    <w:pPr>
      <w:outlineLvl w:val="6"/>
    </w:pPr>
  </w:style>
  <w:style w:type="paragraph" w:styleId="Heading8">
    <w:name w:val="heading 8"/>
    <w:basedOn w:val="Normal"/>
    <w:next w:val="Normal"/>
    <w:qFormat/>
    <w:rsid w:val="00B37D3B"/>
    <w:pPr>
      <w:outlineLvl w:val="7"/>
    </w:pPr>
  </w:style>
  <w:style w:type="paragraph" w:styleId="Heading9">
    <w:name w:val="heading 9"/>
    <w:basedOn w:val="Normal"/>
    <w:next w:val="Normal"/>
    <w:qFormat/>
    <w:rsid w:val="00B37D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
    <w:name w:val="Annexure"/>
    <w:basedOn w:val="Normal"/>
    <w:next w:val="BodyText1"/>
    <w:rsid w:val="00B37D3B"/>
    <w:pPr>
      <w:numPr>
        <w:numId w:val="1"/>
      </w:numPr>
      <w:spacing w:before="240"/>
      <w:outlineLvl w:val="0"/>
    </w:pPr>
    <w:rPr>
      <w:b/>
      <w:sz w:val="24"/>
    </w:rPr>
  </w:style>
  <w:style w:type="paragraph" w:customStyle="1" w:styleId="AText">
    <w:name w:val="AText"/>
    <w:basedOn w:val="Normal"/>
    <w:rsid w:val="00B37D3B"/>
    <w:pPr>
      <w:keepLines/>
    </w:pPr>
  </w:style>
  <w:style w:type="paragraph" w:customStyle="1" w:styleId="AuthorPageDate1">
    <w:name w:val="Author  Page #  Date1"/>
    <w:rsid w:val="00B37D3B"/>
    <w:rPr>
      <w:sz w:val="24"/>
      <w:szCs w:val="24"/>
      <w:lang w:val="en-AU"/>
    </w:rPr>
  </w:style>
  <w:style w:type="paragraph" w:styleId="BodyText">
    <w:name w:val="Body Text"/>
    <w:basedOn w:val="Normal"/>
    <w:link w:val="BodyTextChar"/>
    <w:rsid w:val="00B37D3B"/>
    <w:pPr>
      <w:tabs>
        <w:tab w:val="left" w:pos="1701"/>
      </w:tabs>
    </w:pPr>
  </w:style>
  <w:style w:type="paragraph" w:customStyle="1" w:styleId="BodyText1">
    <w:name w:val="Body Text 1"/>
    <w:basedOn w:val="Normal"/>
    <w:rsid w:val="00B37D3B"/>
    <w:pPr>
      <w:spacing w:before="240"/>
    </w:pPr>
  </w:style>
  <w:style w:type="paragraph" w:styleId="BodyText2">
    <w:name w:val="Body Text 2"/>
    <w:basedOn w:val="Normal"/>
    <w:rsid w:val="00B37D3B"/>
    <w:pPr>
      <w:spacing w:before="240"/>
      <w:ind w:left="709"/>
    </w:pPr>
  </w:style>
  <w:style w:type="paragraph" w:styleId="BodyText3">
    <w:name w:val="Body Text 3"/>
    <w:basedOn w:val="Normal"/>
    <w:rsid w:val="00B37D3B"/>
    <w:pPr>
      <w:spacing w:before="240"/>
      <w:ind w:left="1418"/>
    </w:pPr>
  </w:style>
  <w:style w:type="paragraph" w:customStyle="1" w:styleId="BodyText4">
    <w:name w:val="Body Text 4"/>
    <w:basedOn w:val="Normal"/>
    <w:rsid w:val="00B37D3B"/>
    <w:pPr>
      <w:spacing w:before="240"/>
      <w:ind w:left="2126"/>
    </w:pPr>
  </w:style>
  <w:style w:type="paragraph" w:customStyle="1" w:styleId="BodyText5">
    <w:name w:val="Body Text 5"/>
    <w:basedOn w:val="Normal"/>
    <w:rsid w:val="00B37D3B"/>
    <w:pPr>
      <w:spacing w:before="240"/>
      <w:ind w:left="2835"/>
    </w:pPr>
  </w:style>
  <w:style w:type="paragraph" w:customStyle="1" w:styleId="BodyText6">
    <w:name w:val="Body Text 6"/>
    <w:basedOn w:val="Normal"/>
    <w:rsid w:val="00B37D3B"/>
    <w:pPr>
      <w:spacing w:before="240"/>
      <w:ind w:left="3544"/>
    </w:pPr>
  </w:style>
  <w:style w:type="paragraph" w:styleId="Caption">
    <w:name w:val="caption"/>
    <w:basedOn w:val="Normal"/>
    <w:next w:val="Normal"/>
    <w:rsid w:val="00B37D3B"/>
    <w:pPr>
      <w:spacing w:before="120" w:after="120"/>
    </w:pPr>
    <w:rPr>
      <w:b/>
    </w:rPr>
  </w:style>
  <w:style w:type="paragraph" w:customStyle="1" w:styleId="CommentBox">
    <w:name w:val="Comment Box"/>
    <w:basedOn w:val="Normal"/>
    <w:rsid w:val="00B37D3B"/>
    <w:pPr>
      <w:pBdr>
        <w:top w:val="single" w:sz="4" w:space="1" w:color="auto"/>
        <w:left w:val="single" w:sz="4" w:space="4" w:color="auto"/>
        <w:bottom w:val="single" w:sz="4" w:space="1" w:color="auto"/>
        <w:right w:val="single" w:sz="4" w:space="4" w:color="auto"/>
      </w:pBdr>
      <w:shd w:val="pct12" w:color="auto" w:fill="FFFFFF"/>
    </w:pPr>
  </w:style>
  <w:style w:type="paragraph" w:customStyle="1" w:styleId="DefaultParagraphFont1">
    <w:name w:val="Default Paragraph Font1"/>
    <w:basedOn w:val="Normal"/>
    <w:pPr>
      <w:spacing w:before="240"/>
    </w:pPr>
  </w:style>
  <w:style w:type="paragraph" w:styleId="Footer">
    <w:name w:val="footer"/>
    <w:basedOn w:val="Normal"/>
    <w:link w:val="FooterChar"/>
    <w:rsid w:val="00B37D3B"/>
    <w:rPr>
      <w:sz w:val="16"/>
    </w:rPr>
  </w:style>
  <w:style w:type="paragraph" w:customStyle="1" w:styleId="Disclaimer">
    <w:name w:val="Disclaimer"/>
    <w:basedOn w:val="Footer"/>
    <w:rsid w:val="00B37D3B"/>
    <w:pPr>
      <w:jc w:val="center"/>
    </w:pPr>
    <w:rPr>
      <w:rFonts w:ascii="Times New Roman" w:hAnsi="Times New Roman"/>
      <w:b/>
      <w:i/>
      <w:sz w:val="18"/>
    </w:rPr>
  </w:style>
  <w:style w:type="paragraph" w:customStyle="1" w:styleId="Fax">
    <w:name w:val="Fax"/>
    <w:basedOn w:val="Normal"/>
    <w:rsid w:val="00B37D3B"/>
    <w:pPr>
      <w:tabs>
        <w:tab w:val="left" w:pos="2694"/>
      </w:tabs>
      <w:spacing w:line="360" w:lineRule="auto"/>
      <w:ind w:left="2693" w:hanging="2693"/>
    </w:pPr>
    <w:rPr>
      <w:b/>
    </w:rPr>
  </w:style>
  <w:style w:type="paragraph" w:customStyle="1" w:styleId="FaxHeader">
    <w:name w:val="FaxHeader"/>
    <w:basedOn w:val="Normal"/>
    <w:rsid w:val="00B37D3B"/>
    <w:pPr>
      <w:tabs>
        <w:tab w:val="left" w:pos="2693"/>
      </w:tabs>
      <w:ind w:left="2693" w:hanging="2693"/>
    </w:pPr>
  </w:style>
  <w:style w:type="paragraph" w:styleId="Header">
    <w:name w:val="header"/>
    <w:basedOn w:val="Normal"/>
    <w:rsid w:val="00B37D3B"/>
  </w:style>
  <w:style w:type="character" w:styleId="Hyperlink">
    <w:name w:val="Hyperlink"/>
    <w:basedOn w:val="DefaultParagraphFont"/>
    <w:rsid w:val="00B37D3B"/>
    <w:rPr>
      <w:color w:val="0000FF"/>
      <w:u w:val="single"/>
    </w:rPr>
  </w:style>
  <w:style w:type="paragraph" w:customStyle="1" w:styleId="Item">
    <w:name w:val="Item"/>
    <w:next w:val="BodyText3"/>
    <w:rsid w:val="00B37D3B"/>
    <w:pPr>
      <w:keepNext/>
      <w:numPr>
        <w:numId w:val="9"/>
      </w:numPr>
      <w:spacing w:before="240"/>
    </w:pPr>
    <w:rPr>
      <w:rFonts w:ascii="Arial" w:hAnsi="Arial"/>
      <w:b/>
      <w:lang w:val="en-AU"/>
    </w:rPr>
  </w:style>
  <w:style w:type="character" w:styleId="PageNumber">
    <w:name w:val="page number"/>
    <w:basedOn w:val="DefaultParagraphFont"/>
    <w:rsid w:val="00B37D3B"/>
    <w:rPr>
      <w:sz w:val="20"/>
    </w:rPr>
  </w:style>
  <w:style w:type="paragraph" w:customStyle="1" w:styleId="Recital">
    <w:name w:val="Recital"/>
    <w:basedOn w:val="Normal"/>
    <w:rsid w:val="00B37D3B"/>
    <w:pPr>
      <w:numPr>
        <w:numId w:val="11"/>
      </w:numPr>
      <w:spacing w:before="240"/>
    </w:pPr>
  </w:style>
  <w:style w:type="paragraph" w:customStyle="1" w:styleId="Schedule">
    <w:name w:val="Schedule"/>
    <w:basedOn w:val="Normal"/>
    <w:next w:val="BodyText1"/>
    <w:rsid w:val="00B37D3B"/>
    <w:pPr>
      <w:keepNext/>
      <w:numPr>
        <w:numId w:val="12"/>
      </w:numPr>
      <w:spacing w:before="480"/>
      <w:outlineLvl w:val="0"/>
    </w:pPr>
    <w:rPr>
      <w:b/>
      <w:sz w:val="24"/>
    </w:rPr>
  </w:style>
  <w:style w:type="paragraph" w:styleId="Subtitle">
    <w:name w:val="Subtitle"/>
    <w:basedOn w:val="Normal"/>
    <w:next w:val="BodyText1"/>
    <w:qFormat/>
    <w:rsid w:val="00B37D3B"/>
    <w:pPr>
      <w:keepNext/>
      <w:spacing w:before="480"/>
    </w:pPr>
    <w:rPr>
      <w:b/>
      <w:sz w:val="24"/>
    </w:rPr>
  </w:style>
  <w:style w:type="paragraph" w:customStyle="1" w:styleId="TableText">
    <w:name w:val="Table Text"/>
    <w:basedOn w:val="Normal"/>
    <w:rsid w:val="00B37D3B"/>
    <w:pPr>
      <w:spacing w:before="60" w:after="60"/>
    </w:pPr>
  </w:style>
  <w:style w:type="paragraph" w:styleId="Title">
    <w:name w:val="Title"/>
    <w:basedOn w:val="Normal"/>
    <w:next w:val="Normal"/>
    <w:qFormat/>
    <w:rsid w:val="00B37D3B"/>
    <w:pPr>
      <w:spacing w:after="360"/>
    </w:pPr>
    <w:rPr>
      <w:b/>
      <w:sz w:val="40"/>
    </w:rPr>
  </w:style>
  <w:style w:type="paragraph" w:styleId="TOC1">
    <w:name w:val="toc 1"/>
    <w:basedOn w:val="Normal"/>
    <w:next w:val="Normal"/>
    <w:semiHidden/>
    <w:rsid w:val="00B37D3B"/>
    <w:pPr>
      <w:tabs>
        <w:tab w:val="right" w:leader="dot" w:pos="8789"/>
      </w:tabs>
      <w:spacing w:before="60" w:after="60"/>
      <w:ind w:left="709" w:right="425" w:hanging="709"/>
      <w:outlineLvl w:val="0"/>
    </w:pPr>
  </w:style>
  <w:style w:type="paragraph" w:styleId="TOC2">
    <w:name w:val="toc 2"/>
    <w:basedOn w:val="Normal"/>
    <w:next w:val="Normal"/>
    <w:semiHidden/>
    <w:rsid w:val="00B37D3B"/>
    <w:pPr>
      <w:tabs>
        <w:tab w:val="right" w:leader="dot" w:pos="8789"/>
      </w:tabs>
      <w:spacing w:before="60" w:after="60"/>
      <w:ind w:left="1418" w:right="425" w:hanging="709"/>
      <w:outlineLvl w:val="0"/>
    </w:pPr>
  </w:style>
  <w:style w:type="paragraph" w:styleId="TOC3">
    <w:name w:val="toc 3"/>
    <w:basedOn w:val="Normal"/>
    <w:next w:val="Normal"/>
    <w:semiHidden/>
    <w:rsid w:val="00B37D3B"/>
    <w:pPr>
      <w:tabs>
        <w:tab w:val="right" w:pos="7938"/>
      </w:tabs>
      <w:spacing w:before="60" w:after="60"/>
      <w:ind w:left="442"/>
    </w:pPr>
  </w:style>
  <w:style w:type="paragraph" w:styleId="TOC4">
    <w:name w:val="toc 4"/>
    <w:basedOn w:val="Normal"/>
    <w:next w:val="Normal"/>
    <w:semiHidden/>
    <w:rsid w:val="00B37D3B"/>
    <w:pPr>
      <w:tabs>
        <w:tab w:val="right" w:leader="dot" w:pos="8789"/>
      </w:tabs>
      <w:spacing w:before="60" w:after="60"/>
      <w:ind w:left="709" w:right="425" w:hanging="709"/>
    </w:pPr>
  </w:style>
  <w:style w:type="paragraph" w:styleId="TOC5">
    <w:name w:val="toc 5"/>
    <w:basedOn w:val="Normal"/>
    <w:next w:val="Normal"/>
    <w:semiHidden/>
    <w:rsid w:val="00B37D3B"/>
    <w:pPr>
      <w:tabs>
        <w:tab w:val="right" w:leader="dot" w:pos="8789"/>
      </w:tabs>
      <w:spacing w:before="60" w:after="60"/>
      <w:ind w:left="709" w:right="425" w:hanging="709"/>
    </w:pPr>
  </w:style>
  <w:style w:type="paragraph" w:styleId="TOC6">
    <w:name w:val="toc 6"/>
    <w:basedOn w:val="Normal"/>
    <w:next w:val="Normal"/>
    <w:semiHidden/>
    <w:rsid w:val="00B37D3B"/>
    <w:pPr>
      <w:tabs>
        <w:tab w:val="right" w:leader="dot" w:pos="8789"/>
      </w:tabs>
      <w:spacing w:before="60" w:after="60"/>
      <w:ind w:left="709" w:right="425" w:hanging="709"/>
    </w:pPr>
  </w:style>
  <w:style w:type="paragraph" w:styleId="TOC7">
    <w:name w:val="toc 7"/>
    <w:basedOn w:val="Normal"/>
    <w:next w:val="Normal"/>
    <w:semiHidden/>
    <w:rsid w:val="00B37D3B"/>
    <w:pPr>
      <w:tabs>
        <w:tab w:val="right" w:pos="8789"/>
      </w:tabs>
      <w:spacing w:before="60" w:after="60"/>
      <w:ind w:left="709" w:right="425" w:hanging="709"/>
    </w:pPr>
  </w:style>
  <w:style w:type="paragraph" w:styleId="TOC8">
    <w:name w:val="toc 8"/>
    <w:basedOn w:val="Normal"/>
    <w:next w:val="Normal"/>
    <w:semiHidden/>
    <w:rsid w:val="00B37D3B"/>
    <w:pPr>
      <w:tabs>
        <w:tab w:val="right" w:leader="dot" w:pos="8789"/>
      </w:tabs>
      <w:spacing w:before="60" w:after="60"/>
      <w:ind w:left="709" w:right="425" w:hanging="709"/>
      <w:outlineLvl w:val="0"/>
    </w:pPr>
  </w:style>
  <w:style w:type="paragraph" w:styleId="TOC9">
    <w:name w:val="toc 9"/>
    <w:basedOn w:val="Normal"/>
    <w:next w:val="Normal"/>
    <w:semiHidden/>
    <w:rsid w:val="00B37D3B"/>
    <w:pPr>
      <w:tabs>
        <w:tab w:val="right" w:leader="dot" w:pos="8789"/>
      </w:tabs>
      <w:spacing w:before="60" w:after="60"/>
      <w:ind w:left="709" w:right="425" w:hanging="709"/>
      <w:outlineLvl w:val="0"/>
    </w:pPr>
  </w:style>
  <w:style w:type="character" w:customStyle="1" w:styleId="BodyTextChar">
    <w:name w:val="Body Text Char"/>
    <w:basedOn w:val="DefaultParagraphFont"/>
    <w:link w:val="BodyText"/>
    <w:rsid w:val="00B37D3B"/>
    <w:rPr>
      <w:rFonts w:ascii="Arial" w:hAnsi="Arial"/>
      <w:lang w:val="en-AU"/>
    </w:rPr>
  </w:style>
  <w:style w:type="paragraph" w:styleId="FootnoteText">
    <w:name w:val="footnote text"/>
    <w:basedOn w:val="Normal"/>
    <w:link w:val="FootnoteTextChar"/>
    <w:rsid w:val="00B37D3B"/>
    <w:rPr>
      <w:sz w:val="18"/>
    </w:rPr>
  </w:style>
  <w:style w:type="character" w:customStyle="1" w:styleId="FootnoteTextChar">
    <w:name w:val="Footnote Text Char"/>
    <w:basedOn w:val="DefaultParagraphFont"/>
    <w:link w:val="FootnoteText"/>
    <w:rsid w:val="00B37D3B"/>
    <w:rPr>
      <w:rFonts w:ascii="Arial" w:hAnsi="Arial"/>
      <w:sz w:val="18"/>
      <w:lang w:val="en-AU"/>
    </w:rPr>
  </w:style>
  <w:style w:type="paragraph" w:customStyle="1" w:styleId="NRFABullet1">
    <w:name w:val="NRFA Bullet 1"/>
    <w:basedOn w:val="BodyText2"/>
    <w:qFormat/>
    <w:rsid w:val="00B37D3B"/>
    <w:pPr>
      <w:numPr>
        <w:numId w:val="10"/>
      </w:numPr>
      <w:tabs>
        <w:tab w:val="left" w:pos="709"/>
      </w:tabs>
      <w:outlineLvl w:val="0"/>
    </w:pPr>
  </w:style>
  <w:style w:type="paragraph" w:customStyle="1" w:styleId="NRFABullet2">
    <w:name w:val="NRFA Bullet 2"/>
    <w:basedOn w:val="NRFABullet1"/>
    <w:qFormat/>
    <w:rsid w:val="00B37D3B"/>
    <w:pPr>
      <w:numPr>
        <w:ilvl w:val="1"/>
      </w:numPr>
      <w:outlineLvl w:val="1"/>
    </w:pPr>
  </w:style>
  <w:style w:type="table" w:customStyle="1" w:styleId="NRFATable">
    <w:name w:val="NRFA Table"/>
    <w:basedOn w:val="TableNormal"/>
    <w:rsid w:val="00B37D3B"/>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rPr>
        <w:tblHeader/>
      </w:trPr>
      <w:tcPr>
        <w:shd w:val="clear" w:color="auto" w:fill="E6E6E6"/>
      </w:tcPr>
    </w:tblStylePr>
  </w:style>
  <w:style w:type="paragraph" w:customStyle="1" w:styleId="ScheduleNumbering1">
    <w:name w:val="Schedule Numbering 1"/>
    <w:basedOn w:val="Normal"/>
    <w:next w:val="ScheduleNumbering2"/>
    <w:rsid w:val="00B37D3B"/>
    <w:pPr>
      <w:keepNext/>
      <w:widowControl w:val="0"/>
      <w:numPr>
        <w:numId w:val="13"/>
      </w:numPr>
      <w:spacing w:before="240"/>
      <w:outlineLvl w:val="0"/>
    </w:pPr>
    <w:rPr>
      <w:b/>
    </w:rPr>
  </w:style>
  <w:style w:type="paragraph" w:customStyle="1" w:styleId="ScheduleNumbering2">
    <w:name w:val="Schedule Numbering 2"/>
    <w:basedOn w:val="Normal"/>
    <w:rsid w:val="00B37D3B"/>
    <w:pPr>
      <w:numPr>
        <w:ilvl w:val="1"/>
        <w:numId w:val="13"/>
      </w:numPr>
      <w:spacing w:before="240"/>
      <w:outlineLvl w:val="1"/>
    </w:pPr>
  </w:style>
  <w:style w:type="paragraph" w:customStyle="1" w:styleId="ScheduleNumbering3">
    <w:name w:val="Schedule Numbering 3"/>
    <w:basedOn w:val="Normal"/>
    <w:rsid w:val="00B37D3B"/>
    <w:pPr>
      <w:numPr>
        <w:ilvl w:val="2"/>
        <w:numId w:val="13"/>
      </w:numPr>
      <w:spacing w:before="240"/>
      <w:outlineLvl w:val="2"/>
    </w:pPr>
  </w:style>
  <w:style w:type="paragraph" w:customStyle="1" w:styleId="ScheduleNumbering4">
    <w:name w:val="Schedule Numbering 4"/>
    <w:basedOn w:val="Normal"/>
    <w:rsid w:val="00B37D3B"/>
    <w:pPr>
      <w:numPr>
        <w:ilvl w:val="3"/>
        <w:numId w:val="13"/>
      </w:numPr>
      <w:spacing w:before="240"/>
      <w:outlineLvl w:val="3"/>
    </w:pPr>
  </w:style>
  <w:style w:type="paragraph" w:customStyle="1" w:styleId="ScheduleNumbering5">
    <w:name w:val="Schedule Numbering 5"/>
    <w:basedOn w:val="Normal"/>
    <w:rsid w:val="00B37D3B"/>
    <w:pPr>
      <w:numPr>
        <w:ilvl w:val="4"/>
        <w:numId w:val="13"/>
      </w:numPr>
      <w:spacing w:before="240"/>
      <w:outlineLvl w:val="4"/>
    </w:pPr>
  </w:style>
  <w:style w:type="character" w:customStyle="1" w:styleId="FooterChar">
    <w:name w:val="Footer Char"/>
    <w:link w:val="Footer"/>
    <w:rPr>
      <w:rFonts w:ascii="Arial" w:hAnsi="Arial"/>
      <w:sz w:val="16"/>
      <w:lang w:val="en-AU"/>
    </w:rPr>
  </w:style>
  <w:style w:type="paragraph" w:customStyle="1" w:styleId="BilingualHeading1">
    <w:name w:val="Bilingual Heading 1"/>
    <w:basedOn w:val="Normal"/>
    <w:next w:val="BilingualHeading2"/>
    <w:unhideWhenUsed/>
    <w:rsid w:val="00B37D3B"/>
    <w:pPr>
      <w:keepNext/>
      <w:numPr>
        <w:numId w:val="3"/>
      </w:numPr>
      <w:spacing w:before="360"/>
    </w:pPr>
    <w:rPr>
      <w:b/>
      <w:sz w:val="24"/>
    </w:rPr>
  </w:style>
  <w:style w:type="paragraph" w:customStyle="1" w:styleId="BilingualHeading2">
    <w:name w:val="Bilingual Heading 2"/>
    <w:basedOn w:val="Normal"/>
    <w:next w:val="BodyText2"/>
    <w:unhideWhenUsed/>
    <w:rsid w:val="00B37D3B"/>
    <w:pPr>
      <w:numPr>
        <w:ilvl w:val="1"/>
        <w:numId w:val="3"/>
      </w:numPr>
      <w:spacing w:before="240"/>
    </w:pPr>
  </w:style>
  <w:style w:type="paragraph" w:customStyle="1" w:styleId="BilingualHeading3">
    <w:name w:val="Bilingual Heading 3"/>
    <w:basedOn w:val="Normal"/>
    <w:unhideWhenUsed/>
    <w:rsid w:val="00B37D3B"/>
    <w:pPr>
      <w:numPr>
        <w:ilvl w:val="2"/>
        <w:numId w:val="3"/>
      </w:numPr>
      <w:spacing w:before="240"/>
    </w:pPr>
  </w:style>
  <w:style w:type="paragraph" w:customStyle="1" w:styleId="BilingualHeading4">
    <w:name w:val="Bilingual Heading 4"/>
    <w:basedOn w:val="Normal"/>
    <w:unhideWhenUsed/>
    <w:rsid w:val="00B37D3B"/>
    <w:pPr>
      <w:numPr>
        <w:ilvl w:val="3"/>
        <w:numId w:val="3"/>
      </w:numPr>
      <w:spacing w:before="240"/>
    </w:pPr>
  </w:style>
  <w:style w:type="paragraph" w:customStyle="1" w:styleId="BilingualHeading5">
    <w:name w:val="Bilingual Heading 5"/>
    <w:basedOn w:val="Normal"/>
    <w:unhideWhenUsed/>
    <w:rsid w:val="00B37D3B"/>
    <w:pPr>
      <w:numPr>
        <w:ilvl w:val="4"/>
        <w:numId w:val="3"/>
      </w:numPr>
      <w:spacing w:before="240"/>
    </w:pPr>
  </w:style>
  <w:style w:type="paragraph" w:customStyle="1" w:styleId="BilingualHeading6">
    <w:name w:val="Bilingual Heading 6"/>
    <w:basedOn w:val="Normal"/>
    <w:unhideWhenUsed/>
    <w:rsid w:val="00B37D3B"/>
    <w:pPr>
      <w:numPr>
        <w:ilvl w:val="5"/>
        <w:numId w:val="3"/>
      </w:numPr>
      <w:spacing w:before="240"/>
    </w:pPr>
  </w:style>
  <w:style w:type="table" w:customStyle="1" w:styleId="BilingualTable">
    <w:name w:val="Bilingual Table"/>
    <w:basedOn w:val="TableNormal"/>
    <w:uiPriority w:val="99"/>
    <w:rsid w:val="00B37D3B"/>
    <w:rPr>
      <w:rFonts w:ascii="Arial" w:hAnsi="Arial"/>
    </w:rPr>
    <w:tblPr/>
  </w:style>
  <w:style w:type="paragraph" w:customStyle="1" w:styleId="BilingualAnnexure">
    <w:name w:val="Bilingual Annexure"/>
    <w:basedOn w:val="Normal"/>
    <w:next w:val="BodyText1"/>
    <w:rsid w:val="00B37D3B"/>
    <w:pPr>
      <w:numPr>
        <w:numId w:val="2"/>
      </w:numPr>
      <w:spacing w:before="240"/>
      <w:outlineLvl w:val="0"/>
    </w:pPr>
    <w:rPr>
      <w:b/>
      <w:sz w:val="24"/>
    </w:rPr>
  </w:style>
  <w:style w:type="table" w:styleId="TableGrid">
    <w:name w:val="Table Grid"/>
    <w:basedOn w:val="TableNormal"/>
    <w:rsid w:val="00B37D3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ingualItem">
    <w:name w:val="Bilingual Item"/>
    <w:next w:val="BodyText3"/>
    <w:rsid w:val="00B37D3B"/>
    <w:pPr>
      <w:keepNext/>
      <w:numPr>
        <w:numId w:val="4"/>
      </w:numPr>
      <w:spacing w:before="240"/>
    </w:pPr>
    <w:rPr>
      <w:rFonts w:ascii="Arial" w:hAnsi="Arial"/>
      <w:b/>
      <w:lang w:val="en-AU"/>
    </w:rPr>
  </w:style>
  <w:style w:type="paragraph" w:customStyle="1" w:styleId="BilingualRecital">
    <w:name w:val="Bilingual Recital"/>
    <w:basedOn w:val="Normal"/>
    <w:rsid w:val="00B37D3B"/>
    <w:pPr>
      <w:numPr>
        <w:numId w:val="5"/>
      </w:numPr>
      <w:spacing w:before="240"/>
    </w:pPr>
  </w:style>
  <w:style w:type="paragraph" w:customStyle="1" w:styleId="BilingualSchedule">
    <w:name w:val="Bilingual Schedule"/>
    <w:basedOn w:val="Normal"/>
    <w:next w:val="BodyText1"/>
    <w:rsid w:val="00B37D3B"/>
    <w:pPr>
      <w:keepNext/>
      <w:numPr>
        <w:numId w:val="6"/>
      </w:numPr>
      <w:spacing w:before="480"/>
      <w:outlineLvl w:val="0"/>
    </w:pPr>
    <w:rPr>
      <w:b/>
      <w:sz w:val="24"/>
    </w:rPr>
  </w:style>
  <w:style w:type="paragraph" w:customStyle="1" w:styleId="BilingualScheduleNumbering1">
    <w:name w:val="Bilingual Schedule Numbering 1"/>
    <w:basedOn w:val="Normal"/>
    <w:next w:val="Normal"/>
    <w:rsid w:val="00B37D3B"/>
    <w:pPr>
      <w:keepNext/>
      <w:widowControl w:val="0"/>
      <w:numPr>
        <w:numId w:val="7"/>
      </w:numPr>
      <w:spacing w:before="240"/>
      <w:outlineLvl w:val="0"/>
    </w:pPr>
    <w:rPr>
      <w:b/>
    </w:rPr>
  </w:style>
  <w:style w:type="paragraph" w:customStyle="1" w:styleId="BilingualScheduleNumbering2">
    <w:name w:val="Bilingual Schedule Numbering 2"/>
    <w:basedOn w:val="Normal"/>
    <w:rsid w:val="00B37D3B"/>
    <w:pPr>
      <w:numPr>
        <w:ilvl w:val="1"/>
        <w:numId w:val="7"/>
      </w:numPr>
      <w:spacing w:before="240"/>
      <w:outlineLvl w:val="1"/>
    </w:pPr>
  </w:style>
  <w:style w:type="paragraph" w:customStyle="1" w:styleId="BilingualScheduleNumbering3">
    <w:name w:val="Bilingual Schedule Numbering 3"/>
    <w:basedOn w:val="Normal"/>
    <w:rsid w:val="00B37D3B"/>
    <w:pPr>
      <w:numPr>
        <w:ilvl w:val="2"/>
        <w:numId w:val="7"/>
      </w:numPr>
      <w:spacing w:before="240"/>
      <w:outlineLvl w:val="2"/>
    </w:pPr>
  </w:style>
  <w:style w:type="paragraph" w:customStyle="1" w:styleId="BilingualScheduleNumbering4">
    <w:name w:val="Bilingual Schedule Numbering 4"/>
    <w:basedOn w:val="Normal"/>
    <w:rsid w:val="00B37D3B"/>
    <w:pPr>
      <w:numPr>
        <w:ilvl w:val="3"/>
        <w:numId w:val="7"/>
      </w:numPr>
      <w:spacing w:before="240"/>
      <w:outlineLvl w:val="3"/>
    </w:pPr>
  </w:style>
  <w:style w:type="paragraph" w:customStyle="1" w:styleId="BilingualScheduleNumbering5">
    <w:name w:val="Bilingual Schedule Numbering 5"/>
    <w:basedOn w:val="Normal"/>
    <w:rsid w:val="00B37D3B"/>
    <w:pPr>
      <w:numPr>
        <w:ilvl w:val="4"/>
        <w:numId w:val="7"/>
      </w:numPr>
      <w:spacing w:before="240"/>
      <w:outlineLvl w:val="4"/>
    </w:pPr>
  </w:style>
  <w:style w:type="paragraph" w:styleId="ListParagraph">
    <w:name w:val="List Paragraph"/>
    <w:basedOn w:val="Normal"/>
    <w:uiPriority w:val="34"/>
    <w:qFormat/>
    <w:rsid w:val="003F6B52"/>
    <w:pPr>
      <w:ind w:left="720"/>
      <w:contextualSpacing/>
    </w:pPr>
  </w:style>
  <w:style w:type="character" w:styleId="FollowedHyperlink">
    <w:name w:val="FollowedHyperlink"/>
    <w:basedOn w:val="DefaultParagraphFont"/>
    <w:semiHidden/>
    <w:unhideWhenUsed/>
    <w:rsid w:val="00377A66"/>
    <w:rPr>
      <w:color w:val="800080" w:themeColor="followedHyperlink"/>
      <w:u w:val="single"/>
    </w:rPr>
  </w:style>
  <w:style w:type="character" w:styleId="CommentReference">
    <w:name w:val="annotation reference"/>
    <w:basedOn w:val="DefaultParagraphFont"/>
    <w:semiHidden/>
    <w:unhideWhenUsed/>
    <w:rsid w:val="0026452F"/>
    <w:rPr>
      <w:sz w:val="16"/>
      <w:szCs w:val="16"/>
    </w:rPr>
  </w:style>
  <w:style w:type="paragraph" w:styleId="CommentText">
    <w:name w:val="annotation text"/>
    <w:basedOn w:val="Normal"/>
    <w:link w:val="CommentTextChar"/>
    <w:unhideWhenUsed/>
    <w:rsid w:val="0026452F"/>
  </w:style>
  <w:style w:type="character" w:customStyle="1" w:styleId="CommentTextChar">
    <w:name w:val="Comment Text Char"/>
    <w:basedOn w:val="DefaultParagraphFont"/>
    <w:link w:val="CommentText"/>
    <w:rsid w:val="0026452F"/>
    <w:rPr>
      <w:rFonts w:ascii="Arial" w:hAnsi="Arial"/>
      <w:lang w:val="en-AU"/>
    </w:rPr>
  </w:style>
  <w:style w:type="paragraph" w:styleId="CommentSubject">
    <w:name w:val="annotation subject"/>
    <w:basedOn w:val="CommentText"/>
    <w:next w:val="CommentText"/>
    <w:link w:val="CommentSubjectChar"/>
    <w:semiHidden/>
    <w:unhideWhenUsed/>
    <w:rsid w:val="0026452F"/>
    <w:rPr>
      <w:b/>
      <w:bCs/>
    </w:rPr>
  </w:style>
  <w:style w:type="character" w:customStyle="1" w:styleId="CommentSubjectChar">
    <w:name w:val="Comment Subject Char"/>
    <w:basedOn w:val="CommentTextChar"/>
    <w:link w:val="CommentSubject"/>
    <w:semiHidden/>
    <w:rsid w:val="0026452F"/>
    <w:rPr>
      <w:rFonts w:ascii="Arial" w:hAnsi="Arial"/>
      <w:b/>
      <w:bCs/>
      <w:lang w:val="en-AU"/>
    </w:rPr>
  </w:style>
  <w:style w:type="paragraph" w:styleId="BalloonText">
    <w:name w:val="Balloon Text"/>
    <w:basedOn w:val="Normal"/>
    <w:link w:val="BalloonTextChar"/>
    <w:semiHidden/>
    <w:unhideWhenUsed/>
    <w:rsid w:val="0026452F"/>
    <w:rPr>
      <w:rFonts w:ascii="Segoe UI" w:hAnsi="Segoe UI" w:cs="Segoe UI"/>
      <w:sz w:val="18"/>
      <w:szCs w:val="18"/>
    </w:rPr>
  </w:style>
  <w:style w:type="character" w:customStyle="1" w:styleId="BalloonTextChar">
    <w:name w:val="Balloon Text Char"/>
    <w:basedOn w:val="DefaultParagraphFont"/>
    <w:link w:val="BalloonText"/>
    <w:semiHidden/>
    <w:rsid w:val="0026452F"/>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7183">
      <w:bodyDiv w:val="1"/>
      <w:marLeft w:val="0"/>
      <w:marRight w:val="0"/>
      <w:marTop w:val="0"/>
      <w:marBottom w:val="0"/>
      <w:divBdr>
        <w:top w:val="none" w:sz="0" w:space="0" w:color="auto"/>
        <w:left w:val="none" w:sz="0" w:space="0" w:color="auto"/>
        <w:bottom w:val="none" w:sz="0" w:space="0" w:color="auto"/>
        <w:right w:val="none" w:sz="0" w:space="0" w:color="auto"/>
      </w:divBdr>
    </w:div>
    <w:div w:id="211323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Norton%20Rose\NR%20OfficeAddins\Templates\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6D5A2CC9-0E29-481C-9B00-C3EABAF37AF2}">
  <ds:schemaRefs>
    <ds:schemaRef ds:uri="http://schemas.openxmlformats.org/officeDocument/2006/bibliography"/>
  </ds:schemaRefs>
</ds:datastoreItem>
</file>

<file path=customXml/itemProps2.xml><?xml version="1.0" encoding="utf-8"?>
<ds:datastoreItem xmlns:ds="http://schemas.openxmlformats.org/officeDocument/2006/customXml" ds:itemID="{DDF4DC71-A48A-4FCC-B596-59B21F40979A}">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Doc</Template>
  <TotalTime>58</TotalTime>
  <Pages>3</Pages>
  <Words>884</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2651381/116771128_1</Manager>
  <Company>Norton Rose Fulbright</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2651381</dc:subject>
  <dc:creator>Ketriin Laumets | TGS Baltic</dc:creator>
  <cp:lastModifiedBy>Ketriin Laumets | TGS Baltic</cp:lastModifiedBy>
  <cp:revision>6</cp:revision>
  <dcterms:created xsi:type="dcterms:W3CDTF">2021-04-16T12:46:00Z</dcterms:created>
  <dcterms:modified xsi:type="dcterms:W3CDTF">2021-04-19T12:40:00Z</dcterms:modified>
  <cp:category>116771128_1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Style">
    <vt:lpwstr>Style3</vt:lpwstr>
  </property>
  <property fmtid="{D5CDD505-2E9C-101B-9397-08002B2CF9AE}" pid="3" name="DocumentDatabase">
    <vt:lpwstr>APAC</vt:lpwstr>
  </property>
  <property fmtid="{D5CDD505-2E9C-101B-9397-08002B2CF9AE}" pid="4" name="DocumentVersion">
    <vt:lpwstr>1</vt:lpwstr>
  </property>
  <property fmtid="{D5CDD505-2E9C-101B-9397-08002B2CF9AE}" pid="5" name="DocumentNumber">
    <vt:lpwstr>116771128</vt:lpwstr>
  </property>
  <property fmtid="{D5CDD505-2E9C-101B-9397-08002B2CF9AE}" pid="6" name="DocumentCreationDate">
    <vt:filetime>2021-03-15T13:00:00Z</vt:filetime>
  </property>
  <property fmtid="{D5CDD505-2E9C-101B-9397-08002B2CF9AE}" pid="7" name="ShowGUI">
    <vt:bool>true</vt:bool>
  </property>
  <property fmtid="{D5CDD505-2E9C-101B-9397-08002B2CF9AE}" pid="8" name="DocumentOperator">
    <vt:lpwstr>DEBORAH.TSAI</vt:lpwstr>
  </property>
  <property fmtid="{D5CDD505-2E9C-101B-9397-08002B2CF9AE}" pid="9" name="DocumentAuthor">
    <vt:lpwstr>Tsai, Deborah</vt:lpwstr>
  </property>
  <property fmtid="{D5CDD505-2E9C-101B-9397-08002B2CF9AE}" pid="10" name="ClientCode">
    <vt:lpwstr>1043614</vt:lpwstr>
  </property>
  <property fmtid="{D5CDD505-2E9C-101B-9397-08002B2CF9AE}" pid="11" name="MatterNumber">
    <vt:lpwstr>2651381</vt:lpwstr>
  </property>
  <property fmtid="{D5CDD505-2E9C-101B-9397-08002B2CF9AE}" pid="12" name="Locale">
    <vt:lpwstr>Australia</vt:lpwstr>
  </property>
  <property fmtid="{D5CDD505-2E9C-101B-9397-08002B2CF9AE}" pid="13" name="ShowVBADialog">
    <vt:bool>true</vt:bool>
  </property>
  <property fmtid="{D5CDD505-2E9C-101B-9397-08002B2CF9AE}" pid="14" name="DocumentTitle">
    <vt:lpwstr>Template - INSOL Case Register</vt:lpwstr>
  </property>
</Properties>
</file>