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71D5" w14:textId="77F3D948" w:rsidR="00A2314B" w:rsidRPr="00DF7C99" w:rsidRDefault="00F10310" w:rsidP="00F10310">
      <w:pPr>
        <w:jc w:val="center"/>
        <w:rPr>
          <w:rFonts w:cs="Arial"/>
          <w:b/>
        </w:rPr>
      </w:pPr>
      <w:r w:rsidRPr="00DF7C99">
        <w:rPr>
          <w:rFonts w:cs="Arial"/>
          <w:b/>
        </w:rPr>
        <w:t xml:space="preserve">INSOL EUROPE </w:t>
      </w:r>
    </w:p>
    <w:p w14:paraId="316C9813" w14:textId="77777777" w:rsidR="00F10310" w:rsidRPr="00DF7C99" w:rsidRDefault="00F10310" w:rsidP="00F10310">
      <w:pPr>
        <w:jc w:val="center"/>
        <w:rPr>
          <w:rFonts w:cs="Arial"/>
          <w:b/>
        </w:rPr>
      </w:pPr>
    </w:p>
    <w:p w14:paraId="2E12E460" w14:textId="32F5E063" w:rsidR="00F10310" w:rsidRPr="00DF7C99" w:rsidRDefault="00A5239F" w:rsidP="00F10310">
      <w:pPr>
        <w:jc w:val="center"/>
        <w:rPr>
          <w:rFonts w:cs="Arial"/>
          <w:b/>
        </w:rPr>
      </w:pPr>
      <w:r w:rsidRPr="00DF7C99">
        <w:rPr>
          <w:rFonts w:cs="Arial"/>
          <w:b/>
        </w:rPr>
        <w:t xml:space="preserve">DIGITAL ASSETS </w:t>
      </w:r>
      <w:r w:rsidR="00F10310" w:rsidRPr="00DF7C99">
        <w:rPr>
          <w:rFonts w:cs="Arial"/>
          <w:b/>
        </w:rPr>
        <w:t>CASE SUMMARIES</w:t>
      </w:r>
    </w:p>
    <w:p w14:paraId="25CFF7B1" w14:textId="77777777" w:rsidR="00F10310" w:rsidRPr="00DF7C99" w:rsidRDefault="00F10310" w:rsidP="00F10310">
      <w:pPr>
        <w:jc w:val="center"/>
        <w:rPr>
          <w:rFonts w:cs="Arial"/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8"/>
        <w:gridCol w:w="5800"/>
      </w:tblGrid>
      <w:tr w:rsidR="00F10310" w:rsidRPr="00DF7C99" w14:paraId="4E33A013" w14:textId="77777777" w:rsidTr="00F10310">
        <w:tc>
          <w:tcPr>
            <w:tcW w:w="9004" w:type="dxa"/>
            <w:gridSpan w:val="2"/>
            <w:shd w:val="clear" w:color="auto" w:fill="D9D9D9" w:themeFill="background1" w:themeFillShade="D9"/>
          </w:tcPr>
          <w:p w14:paraId="365DF959" w14:textId="77777777" w:rsidR="00F10310" w:rsidRPr="00DF7C99" w:rsidRDefault="00F10310" w:rsidP="00C925DE">
            <w:pPr>
              <w:spacing w:after="240"/>
              <w:jc w:val="center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t>Overview</w:t>
            </w:r>
          </w:p>
        </w:tc>
      </w:tr>
      <w:tr w:rsidR="00F10310" w:rsidRPr="00DF7C99" w14:paraId="093887AD" w14:textId="77777777" w:rsidTr="00F10310">
        <w:tc>
          <w:tcPr>
            <w:tcW w:w="3085" w:type="dxa"/>
          </w:tcPr>
          <w:p w14:paraId="2D90E374" w14:textId="1660C36B" w:rsidR="00F10310" w:rsidRPr="00DF7C99" w:rsidRDefault="00F10310" w:rsidP="00C925DE">
            <w:pPr>
              <w:spacing w:after="240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t>Case</w:t>
            </w:r>
            <w:r w:rsidR="00A5239F" w:rsidRPr="00DF7C99">
              <w:rPr>
                <w:rFonts w:cs="Arial"/>
                <w:b/>
              </w:rPr>
              <w:t xml:space="preserve"> Citation</w:t>
            </w:r>
          </w:p>
        </w:tc>
        <w:tc>
          <w:tcPr>
            <w:tcW w:w="5919" w:type="dxa"/>
          </w:tcPr>
          <w:p w14:paraId="2A7297DB" w14:textId="1658D2C5" w:rsidR="00F10310" w:rsidRPr="00DF7C99" w:rsidRDefault="00C64626" w:rsidP="00C925DE">
            <w:pPr>
              <w:spacing w:after="240"/>
              <w:rPr>
                <w:rFonts w:cs="Arial"/>
              </w:rPr>
            </w:pPr>
            <w:r w:rsidRPr="00DF7C99">
              <w:rPr>
                <w:rFonts w:cs="Arial"/>
              </w:rPr>
              <w:t>XIX GU 989/1</w:t>
            </w:r>
          </w:p>
        </w:tc>
      </w:tr>
      <w:tr w:rsidR="00F10310" w:rsidRPr="00DF7C99" w14:paraId="736ADF09" w14:textId="77777777" w:rsidTr="00F10310">
        <w:tc>
          <w:tcPr>
            <w:tcW w:w="3085" w:type="dxa"/>
          </w:tcPr>
          <w:p w14:paraId="58B9A687" w14:textId="77777777" w:rsidR="00F10310" w:rsidRPr="00DF7C99" w:rsidRDefault="00F10310" w:rsidP="00C925DE">
            <w:pPr>
              <w:spacing w:after="240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t>Date</w:t>
            </w:r>
            <w:r w:rsidR="0026452F" w:rsidRPr="00DF7C99">
              <w:rPr>
                <w:rFonts w:cs="Arial"/>
                <w:b/>
              </w:rPr>
              <w:t xml:space="preserve"> of judgment</w:t>
            </w:r>
          </w:p>
        </w:tc>
        <w:tc>
          <w:tcPr>
            <w:tcW w:w="5919" w:type="dxa"/>
          </w:tcPr>
          <w:p w14:paraId="65366919" w14:textId="4F163D81" w:rsidR="00F10310" w:rsidRPr="00DF7C99" w:rsidRDefault="00C64626" w:rsidP="00C925DE">
            <w:pPr>
              <w:spacing w:after="240"/>
              <w:rPr>
                <w:rFonts w:cs="Arial"/>
              </w:rPr>
            </w:pPr>
            <w:r w:rsidRPr="00DF7C99">
              <w:rPr>
                <w:rFonts w:cs="Arial"/>
              </w:rPr>
              <w:t xml:space="preserve">10 </w:t>
            </w:r>
            <w:r w:rsidR="001B060B">
              <w:rPr>
                <w:rFonts w:cs="Arial"/>
              </w:rPr>
              <w:t>March</w:t>
            </w:r>
            <w:r w:rsidRPr="00DF7C99">
              <w:rPr>
                <w:rFonts w:cs="Arial"/>
              </w:rPr>
              <w:t xml:space="preserve"> 2020</w:t>
            </w:r>
          </w:p>
        </w:tc>
      </w:tr>
      <w:tr w:rsidR="00F10310" w:rsidRPr="00DF7C99" w14:paraId="46E9CAD5" w14:textId="77777777" w:rsidTr="00F10310">
        <w:tc>
          <w:tcPr>
            <w:tcW w:w="3085" w:type="dxa"/>
          </w:tcPr>
          <w:p w14:paraId="65FB5F3E" w14:textId="59C7267B" w:rsidR="00F10310" w:rsidRPr="00DF7C99" w:rsidRDefault="00844489" w:rsidP="00C925DE">
            <w:pPr>
              <w:spacing w:after="240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t>Country</w:t>
            </w:r>
          </w:p>
        </w:tc>
        <w:tc>
          <w:tcPr>
            <w:tcW w:w="5919" w:type="dxa"/>
          </w:tcPr>
          <w:p w14:paraId="7781BAD7" w14:textId="278DE6A3" w:rsidR="00F10310" w:rsidRPr="00DF7C99" w:rsidRDefault="00E9612B" w:rsidP="00C925DE">
            <w:pPr>
              <w:spacing w:after="240"/>
              <w:rPr>
                <w:rFonts w:cs="Arial"/>
              </w:rPr>
            </w:pPr>
            <w:r w:rsidRPr="00DF7C99">
              <w:rPr>
                <w:rFonts w:cs="Arial"/>
              </w:rPr>
              <w:t xml:space="preserve">Poland </w:t>
            </w:r>
          </w:p>
        </w:tc>
      </w:tr>
      <w:tr w:rsidR="00A5239F" w:rsidRPr="00DF7C99" w14:paraId="1C14BBE3" w14:textId="77777777" w:rsidTr="00F10310">
        <w:tc>
          <w:tcPr>
            <w:tcW w:w="3085" w:type="dxa"/>
          </w:tcPr>
          <w:p w14:paraId="31FAEEBB" w14:textId="0C37B117" w:rsidR="00A5239F" w:rsidRPr="00DF7C99" w:rsidRDefault="00A5239F" w:rsidP="00C925DE">
            <w:pPr>
              <w:spacing w:after="240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t>Original Language of Judgment</w:t>
            </w:r>
          </w:p>
        </w:tc>
        <w:tc>
          <w:tcPr>
            <w:tcW w:w="5919" w:type="dxa"/>
          </w:tcPr>
          <w:p w14:paraId="02A5575A" w14:textId="4FA97971" w:rsidR="00A5239F" w:rsidRPr="00DF7C99" w:rsidRDefault="001776D7" w:rsidP="00C925DE">
            <w:pPr>
              <w:spacing w:after="240"/>
              <w:rPr>
                <w:rFonts w:cs="Arial"/>
              </w:rPr>
            </w:pPr>
            <w:r w:rsidRPr="00DF7C99">
              <w:rPr>
                <w:rFonts w:cs="Arial"/>
              </w:rPr>
              <w:t xml:space="preserve">Polish </w:t>
            </w:r>
          </w:p>
        </w:tc>
      </w:tr>
      <w:tr w:rsidR="00C925DE" w:rsidRPr="00DF7C99" w14:paraId="458BEC58" w14:textId="77777777" w:rsidTr="00F10310">
        <w:tc>
          <w:tcPr>
            <w:tcW w:w="3085" w:type="dxa"/>
          </w:tcPr>
          <w:p w14:paraId="1217299E" w14:textId="27519B3C" w:rsidR="00C925DE" w:rsidRPr="00DF7C99" w:rsidRDefault="00C925DE" w:rsidP="00844489">
            <w:pPr>
              <w:spacing w:after="240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t>Court</w:t>
            </w:r>
          </w:p>
        </w:tc>
        <w:tc>
          <w:tcPr>
            <w:tcW w:w="5919" w:type="dxa"/>
          </w:tcPr>
          <w:p w14:paraId="1DA45CE1" w14:textId="12D76A96" w:rsidR="00C925DE" w:rsidRPr="00DF7C99" w:rsidRDefault="001B060B" w:rsidP="00C925DE">
            <w:pPr>
              <w:spacing w:after="240"/>
              <w:rPr>
                <w:rFonts w:cs="Arial"/>
              </w:rPr>
            </w:pPr>
            <w:r w:rsidRPr="001B060B">
              <w:rPr>
                <w:rFonts w:cs="Arial"/>
              </w:rPr>
              <w:t>District Court for the Capital City of Warsaw in Warsaw, XIX Commercial Insolvency and Restructuring Division</w:t>
            </w:r>
          </w:p>
        </w:tc>
      </w:tr>
      <w:tr w:rsidR="00C925DE" w:rsidRPr="00DF7C99" w14:paraId="0A70C0DC" w14:textId="77777777" w:rsidTr="00F10310">
        <w:tc>
          <w:tcPr>
            <w:tcW w:w="3085" w:type="dxa"/>
          </w:tcPr>
          <w:p w14:paraId="23F6C62F" w14:textId="77777777" w:rsidR="00C925DE" w:rsidRPr="00DF7C99" w:rsidRDefault="00C925DE" w:rsidP="00C925DE">
            <w:pPr>
              <w:spacing w:after="240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t>Subject matter/catchwords</w:t>
            </w:r>
          </w:p>
        </w:tc>
        <w:tc>
          <w:tcPr>
            <w:tcW w:w="5919" w:type="dxa"/>
          </w:tcPr>
          <w:p w14:paraId="4D1DC739" w14:textId="3B1246C0" w:rsidR="00C925DE" w:rsidRPr="00DF7C99" w:rsidRDefault="001776D7" w:rsidP="00C925DE">
            <w:pPr>
              <w:spacing w:after="240"/>
              <w:rPr>
                <w:rFonts w:cs="Arial"/>
              </w:rPr>
            </w:pPr>
            <w:r w:rsidRPr="00DF7C99">
              <w:rPr>
                <w:rFonts w:cs="Arial"/>
              </w:rPr>
              <w:t xml:space="preserve">cryptocurrency exchange </w:t>
            </w:r>
            <w:r w:rsidR="00A464DD" w:rsidRPr="00DF7C99">
              <w:rPr>
                <w:rFonts w:cs="Arial"/>
              </w:rPr>
              <w:t>—</w:t>
            </w:r>
            <w:r w:rsidR="00A464DD">
              <w:rPr>
                <w:rFonts w:cs="Arial"/>
              </w:rPr>
              <w:t xml:space="preserve"> </w:t>
            </w:r>
            <w:r w:rsidRPr="00DF7C99">
              <w:rPr>
                <w:rFonts w:cs="Arial"/>
              </w:rPr>
              <w:t>cryptocurrency — users of the platform — stakeholders — bankruptcy — debt recovery</w:t>
            </w:r>
          </w:p>
        </w:tc>
      </w:tr>
      <w:tr w:rsidR="0032577C" w:rsidRPr="00DF7C99" w14:paraId="4DC6682C" w14:textId="77777777" w:rsidTr="00F10310">
        <w:tc>
          <w:tcPr>
            <w:tcW w:w="3085" w:type="dxa"/>
          </w:tcPr>
          <w:p w14:paraId="22A361A9" w14:textId="77777777" w:rsidR="0032577C" w:rsidRPr="00DF7C99" w:rsidRDefault="0032577C" w:rsidP="00C925DE">
            <w:pPr>
              <w:spacing w:after="240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t xml:space="preserve">Decision </w:t>
            </w:r>
            <w:r w:rsidR="00C925DE" w:rsidRPr="00DF7C99">
              <w:rPr>
                <w:rFonts w:cs="Arial"/>
                <w:b/>
              </w:rPr>
              <w:t>summary</w:t>
            </w:r>
          </w:p>
        </w:tc>
        <w:tc>
          <w:tcPr>
            <w:tcW w:w="5919" w:type="dxa"/>
          </w:tcPr>
          <w:p w14:paraId="70E64A89" w14:textId="5B5B0494" w:rsidR="0032577C" w:rsidRPr="00DF7C99" w:rsidRDefault="001B060B" w:rsidP="00C925DE">
            <w:pPr>
              <w:spacing w:after="240"/>
              <w:rPr>
                <w:rFonts w:cs="Arial"/>
              </w:rPr>
            </w:pPr>
            <w:r w:rsidRPr="001B060B">
              <w:rPr>
                <w:rFonts w:cs="Arial"/>
              </w:rPr>
              <w:t>Bankruptcy of cryptocurrency exchange announced</w:t>
            </w:r>
          </w:p>
        </w:tc>
      </w:tr>
      <w:tr w:rsidR="00F10310" w:rsidRPr="00DF7C99" w14:paraId="0131BA7E" w14:textId="77777777" w:rsidTr="00F10310">
        <w:tc>
          <w:tcPr>
            <w:tcW w:w="3085" w:type="dxa"/>
          </w:tcPr>
          <w:p w14:paraId="4F974A4F" w14:textId="77777777" w:rsidR="00F10310" w:rsidRPr="00DF7C99" w:rsidRDefault="00F10310" w:rsidP="009772ED">
            <w:pPr>
              <w:spacing w:after="240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t xml:space="preserve">Digital asset involved </w:t>
            </w:r>
            <w:r w:rsidR="00C925DE" w:rsidRPr="00DF7C99">
              <w:rPr>
                <w:rFonts w:cs="Arial"/>
                <w:b/>
              </w:rPr>
              <w:t>(e.g. Bit</w:t>
            </w:r>
            <w:r w:rsidR="009772ED" w:rsidRPr="00DF7C99">
              <w:rPr>
                <w:rFonts w:cs="Arial"/>
                <w:b/>
              </w:rPr>
              <w:t>c</w:t>
            </w:r>
            <w:r w:rsidR="00C925DE" w:rsidRPr="00DF7C99">
              <w:rPr>
                <w:rFonts w:cs="Arial"/>
                <w:b/>
              </w:rPr>
              <w:t>oin, Ethereum, Ripple etc.)</w:t>
            </w:r>
          </w:p>
        </w:tc>
        <w:tc>
          <w:tcPr>
            <w:tcW w:w="5919" w:type="dxa"/>
          </w:tcPr>
          <w:p w14:paraId="038AB152" w14:textId="77777777" w:rsidR="00C0261F" w:rsidRPr="00DF7C99" w:rsidRDefault="00C0261F" w:rsidP="00C0261F">
            <w:pPr>
              <w:rPr>
                <w:rFonts w:cs="Arial"/>
              </w:rPr>
            </w:pPr>
            <w:r w:rsidRPr="00DF7C99">
              <w:rPr>
                <w:rFonts w:cs="Arial"/>
              </w:rPr>
              <w:t>Various cryptocurrencies</w:t>
            </w:r>
          </w:p>
          <w:p w14:paraId="7A0A88DF" w14:textId="77777777" w:rsidR="00BE312E" w:rsidRPr="00DF7C99" w:rsidRDefault="00BE312E" w:rsidP="00C925DE">
            <w:pPr>
              <w:spacing w:after="240"/>
              <w:rPr>
                <w:rFonts w:cs="Arial"/>
              </w:rPr>
            </w:pPr>
          </w:p>
        </w:tc>
      </w:tr>
      <w:tr w:rsidR="00BE312E" w:rsidRPr="00DF7C99" w14:paraId="21656631" w14:textId="77777777" w:rsidTr="00F10310">
        <w:tc>
          <w:tcPr>
            <w:tcW w:w="3085" w:type="dxa"/>
          </w:tcPr>
          <w:p w14:paraId="6BCC2167" w14:textId="77777777" w:rsidR="00BE312E" w:rsidRPr="00DF7C99" w:rsidRDefault="00BE312E" w:rsidP="00C925DE">
            <w:pPr>
              <w:spacing w:after="240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t>Valuation issues</w:t>
            </w:r>
          </w:p>
        </w:tc>
        <w:tc>
          <w:tcPr>
            <w:tcW w:w="5919" w:type="dxa"/>
          </w:tcPr>
          <w:p w14:paraId="112A5E03" w14:textId="45C8187C" w:rsidR="00BE312E" w:rsidRPr="00DF7C99" w:rsidRDefault="00BB5148" w:rsidP="00C925DE">
            <w:pPr>
              <w:spacing w:after="240"/>
              <w:rPr>
                <w:rFonts w:cs="Arial"/>
              </w:rPr>
            </w:pPr>
            <w:r w:rsidRPr="00DF7C99">
              <w:rPr>
                <w:rFonts w:cs="Arial"/>
              </w:rPr>
              <w:t>N/A</w:t>
            </w:r>
          </w:p>
        </w:tc>
      </w:tr>
      <w:tr w:rsidR="00BE312E" w:rsidRPr="00DF7C99" w14:paraId="1F252E55" w14:textId="77777777" w:rsidTr="000F680D">
        <w:tc>
          <w:tcPr>
            <w:tcW w:w="9004" w:type="dxa"/>
            <w:gridSpan w:val="2"/>
            <w:shd w:val="clear" w:color="auto" w:fill="D9D9D9" w:themeFill="background1" w:themeFillShade="D9"/>
          </w:tcPr>
          <w:p w14:paraId="4A0E3C1E" w14:textId="77777777" w:rsidR="00BE312E" w:rsidRPr="00DF7C99" w:rsidRDefault="00BE312E" w:rsidP="00AA5AAB">
            <w:pPr>
              <w:spacing w:after="240"/>
              <w:jc w:val="center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t xml:space="preserve">Expanded </w:t>
            </w:r>
            <w:r w:rsidR="00AA5AAB" w:rsidRPr="00DF7C99">
              <w:rPr>
                <w:rFonts w:cs="Arial"/>
                <w:b/>
              </w:rPr>
              <w:t>Case D</w:t>
            </w:r>
            <w:r w:rsidRPr="00DF7C99">
              <w:rPr>
                <w:rFonts w:cs="Arial"/>
                <w:b/>
              </w:rPr>
              <w:t>escription</w:t>
            </w:r>
          </w:p>
        </w:tc>
      </w:tr>
      <w:tr w:rsidR="00BE312E" w:rsidRPr="00DF7C99" w14:paraId="4089B552" w14:textId="77777777" w:rsidTr="00F10310">
        <w:tc>
          <w:tcPr>
            <w:tcW w:w="3085" w:type="dxa"/>
          </w:tcPr>
          <w:p w14:paraId="706F27C7" w14:textId="77777777" w:rsidR="00BE312E" w:rsidRPr="00DF7C99" w:rsidRDefault="00BE312E" w:rsidP="00C925DE">
            <w:pPr>
              <w:spacing w:after="240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t>Debtor</w:t>
            </w:r>
          </w:p>
        </w:tc>
        <w:tc>
          <w:tcPr>
            <w:tcW w:w="5919" w:type="dxa"/>
          </w:tcPr>
          <w:p w14:paraId="7355E045" w14:textId="6F317037" w:rsidR="00BE312E" w:rsidRPr="00DF7C99" w:rsidRDefault="00E9612B" w:rsidP="00C925DE">
            <w:pPr>
              <w:spacing w:after="240"/>
              <w:rPr>
                <w:rFonts w:cs="Arial"/>
              </w:rPr>
            </w:pPr>
            <w:r w:rsidRPr="00DF7C99">
              <w:rPr>
                <w:rFonts w:cs="Arial"/>
              </w:rPr>
              <w:t>COINROOM SPÓŁKA Z OGRANICZONĄ ODPOWIEDZIALNOŚCIĄ</w:t>
            </w:r>
          </w:p>
        </w:tc>
      </w:tr>
      <w:tr w:rsidR="00A5239F" w:rsidRPr="00DF7C99" w14:paraId="1244D0A4" w14:textId="77777777" w:rsidTr="00F10310">
        <w:tc>
          <w:tcPr>
            <w:tcW w:w="3085" w:type="dxa"/>
          </w:tcPr>
          <w:p w14:paraId="7047F3CF" w14:textId="261AB707" w:rsidR="00A5239F" w:rsidRPr="00DF7C99" w:rsidRDefault="00A5239F" w:rsidP="00C925DE">
            <w:pPr>
              <w:spacing w:after="240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t>Identity of Insolvency Practitioner (if applicable)</w:t>
            </w:r>
          </w:p>
        </w:tc>
        <w:tc>
          <w:tcPr>
            <w:tcW w:w="5919" w:type="dxa"/>
          </w:tcPr>
          <w:p w14:paraId="13612E95" w14:textId="63F755CE" w:rsidR="00A5239F" w:rsidRPr="00DF7C99" w:rsidRDefault="00BB5148" w:rsidP="00C925DE">
            <w:pPr>
              <w:spacing w:after="240"/>
              <w:rPr>
                <w:rFonts w:cs="Arial"/>
              </w:rPr>
            </w:pPr>
            <w:r w:rsidRPr="00DF7C99">
              <w:rPr>
                <w:rFonts w:cs="Arial"/>
              </w:rPr>
              <w:t xml:space="preserve">Maciej </w:t>
            </w:r>
            <w:proofErr w:type="spellStart"/>
            <w:r w:rsidRPr="00DF7C99">
              <w:rPr>
                <w:rFonts w:cs="Arial"/>
              </w:rPr>
              <w:t>Gieromin</w:t>
            </w:r>
            <w:proofErr w:type="spellEnd"/>
            <w:r w:rsidRPr="00DF7C99">
              <w:rPr>
                <w:rFonts w:cs="Arial"/>
              </w:rPr>
              <w:t xml:space="preserve">, </w:t>
            </w:r>
            <w:r w:rsidR="001B060B" w:rsidRPr="001B060B">
              <w:rPr>
                <w:rStyle w:val="content"/>
                <w:rFonts w:cs="Arial"/>
              </w:rPr>
              <w:t>license number 1091.</w:t>
            </w:r>
          </w:p>
        </w:tc>
      </w:tr>
      <w:tr w:rsidR="00C925DE" w:rsidRPr="00DF7C99" w14:paraId="1270FC92" w14:textId="77777777" w:rsidTr="00F10310">
        <w:tc>
          <w:tcPr>
            <w:tcW w:w="3085" w:type="dxa"/>
          </w:tcPr>
          <w:p w14:paraId="7DFDE72C" w14:textId="77777777" w:rsidR="00C925DE" w:rsidRPr="00DF7C99" w:rsidRDefault="00C925DE" w:rsidP="00C925DE">
            <w:pPr>
              <w:spacing w:after="240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t>Authorities considered by this case (categorised by country)</w:t>
            </w:r>
          </w:p>
        </w:tc>
        <w:tc>
          <w:tcPr>
            <w:tcW w:w="5919" w:type="dxa"/>
          </w:tcPr>
          <w:p w14:paraId="305BC0D1" w14:textId="77777777" w:rsidR="00C925DE" w:rsidRPr="00DF7C99" w:rsidRDefault="004F421D" w:rsidP="00C925DE">
            <w:pPr>
              <w:spacing w:after="240"/>
              <w:rPr>
                <w:rFonts w:cs="Arial"/>
              </w:rPr>
            </w:pPr>
            <w:r w:rsidRPr="00DF7C99">
              <w:rPr>
                <w:rFonts w:cs="Arial"/>
              </w:rPr>
              <w:t>District Prosecutor's Office in Warsaw</w:t>
            </w:r>
          </w:p>
          <w:p w14:paraId="109A81C4" w14:textId="00A9C228" w:rsidR="00BB5148" w:rsidRPr="00DF7C99" w:rsidRDefault="00DF7C99" w:rsidP="00C925DE">
            <w:pPr>
              <w:spacing w:after="240"/>
              <w:rPr>
                <w:rFonts w:cs="Arial"/>
              </w:rPr>
            </w:pPr>
            <w:r w:rsidRPr="00DF7C99">
              <w:rPr>
                <w:rFonts w:cs="Arial"/>
              </w:rPr>
              <w:t>Polish Financial Supervision Authority</w:t>
            </w:r>
          </w:p>
        </w:tc>
      </w:tr>
      <w:tr w:rsidR="00BE312E" w:rsidRPr="00DF7C99" w14:paraId="5951BCE0" w14:textId="77777777" w:rsidTr="00F10310">
        <w:tc>
          <w:tcPr>
            <w:tcW w:w="3085" w:type="dxa"/>
          </w:tcPr>
          <w:p w14:paraId="139621A4" w14:textId="77777777" w:rsidR="00BE312E" w:rsidRPr="00DF7C99" w:rsidRDefault="00C925DE" w:rsidP="00C925DE">
            <w:pPr>
              <w:spacing w:after="240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t>Domestic l</w:t>
            </w:r>
            <w:r w:rsidR="00BE312E" w:rsidRPr="00DF7C99">
              <w:rPr>
                <w:rFonts w:cs="Arial"/>
                <w:b/>
              </w:rPr>
              <w:t xml:space="preserve">egislation </w:t>
            </w:r>
            <w:r w:rsidRPr="00DF7C99">
              <w:rPr>
                <w:rFonts w:cs="Arial"/>
                <w:b/>
              </w:rPr>
              <w:t>a</w:t>
            </w:r>
            <w:r w:rsidR="00BE312E" w:rsidRPr="00DF7C99">
              <w:rPr>
                <w:rFonts w:cs="Arial"/>
                <w:b/>
              </w:rPr>
              <w:t>pplied</w:t>
            </w:r>
          </w:p>
        </w:tc>
        <w:tc>
          <w:tcPr>
            <w:tcW w:w="5919" w:type="dxa"/>
          </w:tcPr>
          <w:p w14:paraId="019557B0" w14:textId="75181529" w:rsidR="00BE312E" w:rsidRPr="00DF7C99" w:rsidRDefault="00DF7C99" w:rsidP="00E76948">
            <w:pPr>
              <w:spacing w:after="240"/>
              <w:rPr>
                <w:rFonts w:cs="Arial"/>
              </w:rPr>
            </w:pPr>
            <w:r w:rsidRPr="00DF7C99">
              <w:rPr>
                <w:rFonts w:cs="Arial"/>
              </w:rPr>
              <w:t xml:space="preserve">Bankruptcy Law </w:t>
            </w:r>
            <w:r w:rsidR="001B060B" w:rsidRPr="00DF7C99">
              <w:rPr>
                <w:rFonts w:cs="Arial"/>
              </w:rPr>
              <w:t xml:space="preserve">Journal of Laws of </w:t>
            </w:r>
            <w:r w:rsidRPr="00DF7C99">
              <w:rPr>
                <w:rFonts w:cs="Arial"/>
              </w:rPr>
              <w:t xml:space="preserve">2003 No. 60, item 535 </w:t>
            </w:r>
            <w:r w:rsidR="001B060B">
              <w:rPr>
                <w:rFonts w:cs="Arial"/>
              </w:rPr>
              <w:t xml:space="preserve">as amended </w:t>
            </w:r>
            <w:r w:rsidRPr="00DF7C99">
              <w:rPr>
                <w:rFonts w:cs="Arial"/>
              </w:rPr>
              <w:t>Journal of Laws of 2020, item 1228</w:t>
            </w:r>
          </w:p>
        </w:tc>
      </w:tr>
      <w:tr w:rsidR="00BE312E" w:rsidRPr="00DF7C99" w14:paraId="1CA6B705" w14:textId="77777777" w:rsidTr="00F10310">
        <w:tc>
          <w:tcPr>
            <w:tcW w:w="3085" w:type="dxa"/>
          </w:tcPr>
          <w:p w14:paraId="2FC7B139" w14:textId="77777777" w:rsidR="00BE312E" w:rsidRPr="00DF7C99" w:rsidRDefault="00C925DE" w:rsidP="00C925DE">
            <w:pPr>
              <w:spacing w:after="240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t>Factual b</w:t>
            </w:r>
            <w:r w:rsidR="00557228" w:rsidRPr="00DF7C99">
              <w:rPr>
                <w:rFonts w:cs="Arial"/>
                <w:b/>
              </w:rPr>
              <w:t xml:space="preserve">ackground </w:t>
            </w:r>
          </w:p>
        </w:tc>
        <w:tc>
          <w:tcPr>
            <w:tcW w:w="5919" w:type="dxa"/>
          </w:tcPr>
          <w:p w14:paraId="4FEA2B61" w14:textId="695B1E47" w:rsidR="001B060B" w:rsidRPr="001B060B" w:rsidRDefault="001B060B" w:rsidP="001B060B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Coinroom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another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Polish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exchange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started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operations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April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2017. It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ended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it</w:t>
            </w:r>
            <w:r w:rsidR="006E2109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006E21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E2109">
              <w:rPr>
                <w:rFonts w:ascii="Arial" w:hAnsi="Arial" w:cs="Arial"/>
                <w:sz w:val="20"/>
                <w:szCs w:val="20"/>
              </w:rPr>
              <w:t>activity</w:t>
            </w:r>
            <w:proofErr w:type="spellEnd"/>
            <w:r w:rsidR="006E21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two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years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on 2</w:t>
            </w:r>
            <w:r w:rsidR="006E21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E2109">
              <w:rPr>
                <w:rFonts w:ascii="Arial" w:hAnsi="Arial" w:cs="Arial"/>
                <w:sz w:val="20"/>
                <w:szCs w:val="20"/>
              </w:rPr>
              <w:t>April</w:t>
            </w:r>
            <w:proofErr w:type="spellEnd"/>
            <w:r w:rsidR="006E2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60B">
              <w:rPr>
                <w:rFonts w:ascii="Arial" w:hAnsi="Arial" w:cs="Arial"/>
                <w:sz w:val="20"/>
                <w:szCs w:val="20"/>
              </w:rPr>
              <w:t xml:space="preserve">2019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due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inclusion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Polish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Financial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Supervision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Authority 's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warning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list (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official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announcement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). It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terminated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customers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giving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6E210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B060B">
              <w:rPr>
                <w:rFonts w:ascii="Arial" w:hAnsi="Arial" w:cs="Arial"/>
                <w:sz w:val="20"/>
                <w:szCs w:val="20"/>
              </w:rPr>
              <w:t>!</w:t>
            </w:r>
            <w:r w:rsidR="006E2109">
              <w:rPr>
                <w:rFonts w:ascii="Arial" w:hAnsi="Arial" w:cs="Arial"/>
                <w:sz w:val="20"/>
                <w:szCs w:val="20"/>
              </w:rPr>
              <w:t>)</w:t>
            </w:r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E2109">
              <w:rPr>
                <w:rFonts w:ascii="Arial" w:hAnsi="Arial" w:cs="Arial"/>
                <w:sz w:val="20"/>
                <w:szCs w:val="20"/>
              </w:rPr>
              <w:t>d</w:t>
            </w:r>
            <w:r w:rsidRPr="001B060B">
              <w:rPr>
                <w:rFonts w:ascii="Arial" w:hAnsi="Arial" w:cs="Arial"/>
                <w:sz w:val="20"/>
                <w:szCs w:val="20"/>
              </w:rPr>
              <w:t>ay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withdraw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funds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Nevertheless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many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customers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reported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problems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recovering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deposits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. It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hard to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determine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how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many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eventually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received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E6A077" w14:textId="1E8153C3" w:rsidR="00E11A69" w:rsidRPr="00DF7C99" w:rsidRDefault="001B060B" w:rsidP="001B060B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Interestingly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two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months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the exchange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reported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one of the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reasons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closure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was a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loss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due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error in the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exchange's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security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system.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Eventually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Coinroom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Ltd. went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liquidation</w:t>
            </w:r>
            <w:proofErr w:type="spellEnd"/>
            <w:r w:rsidR="00DE43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60B">
              <w:rPr>
                <w:rFonts w:ascii="Arial" w:hAnsi="Arial" w:cs="Arial"/>
                <w:sz w:val="20"/>
                <w:szCs w:val="20"/>
              </w:rPr>
              <w:t xml:space="preserve">and the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remaining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creditors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were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to be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paid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60B">
              <w:rPr>
                <w:rFonts w:ascii="Arial" w:hAnsi="Arial" w:cs="Arial"/>
                <w:sz w:val="20"/>
                <w:szCs w:val="20"/>
              </w:rPr>
              <w:lastRenderedPageBreak/>
              <w:t xml:space="preserve">from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funds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E4306">
              <w:rPr>
                <w:rFonts w:ascii="Arial" w:hAnsi="Arial" w:cs="Arial"/>
                <w:sz w:val="20"/>
                <w:szCs w:val="20"/>
              </w:rPr>
              <w:t>received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from the </w:t>
            </w:r>
            <w:proofErr w:type="spellStart"/>
            <w:r w:rsidR="00DE4306">
              <w:rPr>
                <w:rFonts w:ascii="Arial" w:hAnsi="Arial" w:cs="Arial"/>
                <w:sz w:val="20"/>
                <w:szCs w:val="20"/>
              </w:rPr>
              <w:t>liquidation</w:t>
            </w:r>
            <w:proofErr w:type="spellEnd"/>
            <w:r w:rsidR="00DE43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60B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company's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60B">
              <w:rPr>
                <w:rFonts w:ascii="Arial" w:hAnsi="Arial" w:cs="Arial"/>
                <w:sz w:val="20"/>
                <w:szCs w:val="20"/>
              </w:rPr>
              <w:t>assets</w:t>
            </w:r>
            <w:proofErr w:type="spellEnd"/>
            <w:r w:rsidRPr="001B06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312E" w:rsidRPr="00DF7C99" w14:paraId="185AC5DE" w14:textId="77777777" w:rsidTr="00F10310">
        <w:tc>
          <w:tcPr>
            <w:tcW w:w="3085" w:type="dxa"/>
          </w:tcPr>
          <w:p w14:paraId="42C800BA" w14:textId="77777777" w:rsidR="00BE312E" w:rsidRPr="00DF7C99" w:rsidRDefault="00BE312E" w:rsidP="00C925DE">
            <w:pPr>
              <w:spacing w:after="240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lastRenderedPageBreak/>
              <w:t xml:space="preserve">Legal </w:t>
            </w:r>
            <w:r w:rsidR="00C925DE" w:rsidRPr="00DF7C99">
              <w:rPr>
                <w:rFonts w:cs="Arial"/>
                <w:b/>
              </w:rPr>
              <w:t>issues</w:t>
            </w:r>
            <w:r w:rsidRPr="00DF7C99">
              <w:rPr>
                <w:rFonts w:cs="Arial"/>
                <w:b/>
              </w:rPr>
              <w:t xml:space="preserve"> </w:t>
            </w:r>
          </w:p>
        </w:tc>
        <w:tc>
          <w:tcPr>
            <w:tcW w:w="5919" w:type="dxa"/>
          </w:tcPr>
          <w:p w14:paraId="6FC113F5" w14:textId="6277199C" w:rsidR="001B060B" w:rsidRPr="001B060B" w:rsidRDefault="001B060B" w:rsidP="001B060B">
            <w:pPr>
              <w:spacing w:after="240"/>
              <w:rPr>
                <w:rFonts w:cs="Arial"/>
              </w:rPr>
            </w:pPr>
            <w:r w:rsidRPr="001B060B">
              <w:rPr>
                <w:rFonts w:cs="Arial"/>
              </w:rPr>
              <w:t xml:space="preserve">In Poland there are currently several bankruptcy proceedings of companies involved in trading cryptocurrencies, the so-called cryptocurrency exchanges. The main problem is the recovery of receivables from the debtor (from the bankrupt cryptocurrency exchanges). </w:t>
            </w:r>
          </w:p>
          <w:p w14:paraId="5D278075" w14:textId="5090F74C" w:rsidR="001B060B" w:rsidRPr="001B060B" w:rsidRDefault="00DE4306" w:rsidP="001B060B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1B060B" w:rsidRPr="001B060B">
              <w:rPr>
                <w:rFonts w:cs="Arial"/>
              </w:rPr>
              <w:t xml:space="preserve">ccording to professor Krzysztof Piech, an expert on cryptocurrencies, victims have little chance </w:t>
            </w:r>
            <w:r>
              <w:rPr>
                <w:rFonts w:cs="Arial"/>
              </w:rPr>
              <w:t xml:space="preserve">to </w:t>
            </w:r>
            <w:r w:rsidR="001B060B" w:rsidRPr="001B060B">
              <w:rPr>
                <w:rFonts w:cs="Arial"/>
              </w:rPr>
              <w:t xml:space="preserve">recover their money. </w:t>
            </w:r>
            <w:r>
              <w:rPr>
                <w:rFonts w:cs="Arial"/>
              </w:rPr>
              <w:t>He says “</w:t>
            </w:r>
            <w:r w:rsidR="001B060B" w:rsidRPr="001B060B">
              <w:rPr>
                <w:rFonts w:cs="Arial"/>
              </w:rPr>
              <w:t>In such a situation, clients may file a motion to the prosecutor's office, but it should be remembered that such funds are very difficult to recover</w:t>
            </w:r>
            <w:r>
              <w:rPr>
                <w:rFonts w:cs="Arial"/>
              </w:rPr>
              <w:t xml:space="preserve"> </w:t>
            </w:r>
            <w:r w:rsidR="001B060B" w:rsidRPr="001B060B">
              <w:rPr>
                <w:rFonts w:cs="Arial"/>
              </w:rPr>
              <w:t xml:space="preserve">and the prosecutor's office is not very </w:t>
            </w:r>
            <w:r>
              <w:rPr>
                <w:rFonts w:cs="Arial"/>
              </w:rPr>
              <w:t>efficient as long as such situations are concerned</w:t>
            </w:r>
            <w:r w:rsidR="001B060B" w:rsidRPr="001B060B">
              <w:rPr>
                <w:rFonts w:cs="Arial"/>
              </w:rPr>
              <w:t xml:space="preserve">. Not to mention the technical difficulties involved. Just as </w:t>
            </w:r>
            <w:proofErr w:type="spellStart"/>
            <w:r w:rsidR="001B060B" w:rsidRPr="001B060B">
              <w:rPr>
                <w:rFonts w:cs="Arial"/>
              </w:rPr>
              <w:t>Bitcurex</w:t>
            </w:r>
            <w:proofErr w:type="spellEnd"/>
            <w:r w:rsidR="001B060B" w:rsidRPr="001B060B">
              <w:rPr>
                <w:rFonts w:cs="Arial"/>
              </w:rPr>
              <w:t xml:space="preserve"> clients have not been able to recover their money, this will probably be the case with </w:t>
            </w:r>
            <w:proofErr w:type="spellStart"/>
            <w:r w:rsidR="001B060B" w:rsidRPr="001B060B">
              <w:rPr>
                <w:rFonts w:cs="Arial"/>
              </w:rPr>
              <w:t>BitMarket</w:t>
            </w:r>
            <w:proofErr w:type="spellEnd"/>
            <w:r w:rsidR="001B060B" w:rsidRPr="001B060B">
              <w:rPr>
                <w:rFonts w:cs="Arial"/>
              </w:rPr>
              <w:t xml:space="preserve"> and </w:t>
            </w:r>
            <w:proofErr w:type="spellStart"/>
            <w:r w:rsidR="001B060B" w:rsidRPr="001B060B">
              <w:rPr>
                <w:rFonts w:cs="Arial"/>
              </w:rPr>
              <w:t>Coinroom</w:t>
            </w:r>
            <w:proofErr w:type="spellEnd"/>
            <w:r w:rsidR="001B060B" w:rsidRPr="001B060B">
              <w:rPr>
                <w:rFonts w:cs="Arial"/>
              </w:rPr>
              <w:t xml:space="preserve">. There is a principle that the entire cryptocurrency community has been promoting for years: do not keep money on exchanges, but only </w:t>
            </w:r>
            <w:r>
              <w:rPr>
                <w:rFonts w:cs="Arial"/>
              </w:rPr>
              <w:t xml:space="preserve">keep </w:t>
            </w:r>
            <w:r w:rsidR="001B060B" w:rsidRPr="001B060B">
              <w:rPr>
                <w:rFonts w:cs="Arial"/>
              </w:rPr>
              <w:t>enough funds to make the current transaction. This is because it is the weakest link in the entire digital currency system".</w:t>
            </w:r>
          </w:p>
          <w:p w14:paraId="0DD0A51B" w14:textId="12109834" w:rsidR="000F3F21" w:rsidRPr="00DF7C99" w:rsidRDefault="001B060B" w:rsidP="001B060B">
            <w:pPr>
              <w:spacing w:after="240"/>
              <w:rPr>
                <w:rFonts w:cs="Arial"/>
              </w:rPr>
            </w:pPr>
            <w:r w:rsidRPr="001B060B">
              <w:rPr>
                <w:rFonts w:cs="Arial"/>
              </w:rPr>
              <w:t xml:space="preserve">The fact is that companies in Poland that run cryptocurrency exchanges have </w:t>
            </w:r>
            <w:r w:rsidR="003F0E45">
              <w:rPr>
                <w:rFonts w:cs="Arial"/>
              </w:rPr>
              <w:t>little</w:t>
            </w:r>
            <w:r w:rsidRPr="001B060B">
              <w:rPr>
                <w:rFonts w:cs="Arial"/>
              </w:rPr>
              <w:t xml:space="preserve"> assets from which </w:t>
            </w:r>
            <w:r w:rsidR="003F0E45">
              <w:rPr>
                <w:rFonts w:cs="Arial"/>
              </w:rPr>
              <w:t>its</w:t>
            </w:r>
            <w:r w:rsidRPr="001B060B">
              <w:rPr>
                <w:rFonts w:cs="Arial"/>
              </w:rPr>
              <w:t xml:space="preserve"> creditors</w:t>
            </w:r>
            <w:r w:rsidR="003F0E45">
              <w:rPr>
                <w:rFonts w:cs="Arial"/>
              </w:rPr>
              <w:t xml:space="preserve"> may be </w:t>
            </w:r>
            <w:r w:rsidR="002B3E72">
              <w:rPr>
                <w:rFonts w:cs="Arial"/>
              </w:rPr>
              <w:t>satisfied</w:t>
            </w:r>
            <w:r w:rsidRPr="001B060B">
              <w:rPr>
                <w:rFonts w:cs="Arial"/>
              </w:rPr>
              <w:t xml:space="preserve">. </w:t>
            </w:r>
          </w:p>
        </w:tc>
      </w:tr>
      <w:tr w:rsidR="00BE312E" w:rsidRPr="00DF7C99" w14:paraId="17B0EF80" w14:textId="77777777" w:rsidTr="00F10310">
        <w:tc>
          <w:tcPr>
            <w:tcW w:w="3085" w:type="dxa"/>
          </w:tcPr>
          <w:p w14:paraId="6D658CF1" w14:textId="77777777" w:rsidR="00BE312E" w:rsidRPr="00DF7C99" w:rsidRDefault="00BE312E" w:rsidP="00C925DE">
            <w:pPr>
              <w:spacing w:after="240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t>Reasoning</w:t>
            </w:r>
          </w:p>
        </w:tc>
        <w:tc>
          <w:tcPr>
            <w:tcW w:w="5919" w:type="dxa"/>
          </w:tcPr>
          <w:p w14:paraId="603C4955" w14:textId="483C0B73" w:rsidR="00DF7C99" w:rsidRPr="00DF7C99" w:rsidRDefault="00DF7C99" w:rsidP="00DF7C99">
            <w:pPr>
              <w:spacing w:after="240"/>
              <w:rPr>
                <w:rFonts w:cs="Arial"/>
              </w:rPr>
            </w:pPr>
            <w:r w:rsidRPr="00DF7C99">
              <w:rPr>
                <w:rFonts w:cs="Arial"/>
              </w:rPr>
              <w:t xml:space="preserve">Currently, </w:t>
            </w:r>
            <w:r w:rsidR="002B3E72">
              <w:rPr>
                <w:rFonts w:cs="Arial"/>
              </w:rPr>
              <w:t xml:space="preserve">all bankruptcy </w:t>
            </w:r>
            <w:r w:rsidRPr="00DF7C99">
              <w:rPr>
                <w:rFonts w:cs="Arial"/>
              </w:rPr>
              <w:t xml:space="preserve">proceedings </w:t>
            </w:r>
            <w:r w:rsidR="002B3E72">
              <w:rPr>
                <w:rFonts w:cs="Arial"/>
              </w:rPr>
              <w:t>conducted with regard to</w:t>
            </w:r>
            <w:r w:rsidRPr="00DF7C99">
              <w:rPr>
                <w:rFonts w:cs="Arial"/>
              </w:rPr>
              <w:t xml:space="preserve"> cryptocurrency exchanges in Poland</w:t>
            </w:r>
            <w:r w:rsidR="002B3E72">
              <w:rPr>
                <w:rFonts w:cs="Arial"/>
              </w:rPr>
              <w:t xml:space="preserve"> are at the stage of filing </w:t>
            </w:r>
            <w:r w:rsidRPr="00DF7C99">
              <w:rPr>
                <w:rFonts w:cs="Arial"/>
              </w:rPr>
              <w:t>claims by creditors</w:t>
            </w:r>
            <w:r w:rsidR="002B3E72">
              <w:rPr>
                <w:rFonts w:cs="Arial"/>
              </w:rPr>
              <w:t xml:space="preserve"> to the relevant bankruptcy trustees</w:t>
            </w:r>
            <w:r w:rsidRPr="00DF7C99">
              <w:rPr>
                <w:rFonts w:cs="Arial"/>
              </w:rPr>
              <w:t xml:space="preserve">. Due to the </w:t>
            </w:r>
            <w:r w:rsidR="00F67AD8">
              <w:rPr>
                <w:rFonts w:cs="Arial"/>
              </w:rPr>
              <w:t xml:space="preserve">common </w:t>
            </w:r>
            <w:r w:rsidRPr="00DF7C99">
              <w:rPr>
                <w:rFonts w:cs="Arial"/>
              </w:rPr>
              <w:t xml:space="preserve">issue of </w:t>
            </w:r>
            <w:r w:rsidR="00F67AD8">
              <w:rPr>
                <w:rFonts w:cs="Arial"/>
              </w:rPr>
              <w:t xml:space="preserve">the </w:t>
            </w:r>
            <w:r w:rsidRPr="00DF7C99">
              <w:rPr>
                <w:rFonts w:cs="Arial"/>
              </w:rPr>
              <w:t xml:space="preserve">lack of assets, the Polish Financial Supervision Authority regularly issues warnings about investing in cryptocurrencies. The Polish Financial Supervision Authority </w:t>
            </w:r>
            <w:r w:rsidR="00F67AD8">
              <w:rPr>
                <w:rFonts w:cs="Arial"/>
              </w:rPr>
              <w:t xml:space="preserve">Warning </w:t>
            </w:r>
            <w:r>
              <w:rPr>
                <w:rFonts w:cs="Arial"/>
              </w:rPr>
              <w:t>about</w:t>
            </w:r>
            <w:r w:rsidRPr="00DF7C99">
              <w:rPr>
                <w:rFonts w:cs="Arial"/>
              </w:rPr>
              <w:t xml:space="preserve"> risks associated with the acquisition and trading of cryptocurrencies (including virtual currencies and cryptocurrencies) dated</w:t>
            </w:r>
            <w:r w:rsidR="00E05DCD">
              <w:rPr>
                <w:rFonts w:cs="Arial"/>
              </w:rPr>
              <w:t xml:space="preserve"> 12</w:t>
            </w:r>
            <w:r w:rsidRPr="00DF7C99">
              <w:rPr>
                <w:rFonts w:cs="Arial"/>
              </w:rPr>
              <w:t xml:space="preserve"> January 2021 very strongly indicates the risks associated with the enforceability of cryptocurrencies and the Supervision Authority asks for caution in investing in cryptocurrencies. </w:t>
            </w:r>
          </w:p>
          <w:p w14:paraId="6BDCFBB3" w14:textId="2FA4B5AC" w:rsidR="00625B51" w:rsidRPr="00DF7C99" w:rsidRDefault="00DF7C99" w:rsidP="00DF7C99">
            <w:pPr>
              <w:spacing w:after="240"/>
              <w:rPr>
                <w:rFonts w:cs="Arial"/>
              </w:rPr>
            </w:pPr>
            <w:r w:rsidRPr="00DF7C99">
              <w:rPr>
                <w:rFonts w:cs="Arial"/>
              </w:rPr>
              <w:t xml:space="preserve">In Poland, for the moment, recovering assets from cryptocurrency exchanges is very </w:t>
            </w:r>
            <w:r w:rsidR="00F67AD8">
              <w:rPr>
                <w:rFonts w:cs="Arial"/>
              </w:rPr>
              <w:t>difficult</w:t>
            </w:r>
            <w:r w:rsidRPr="00DF7C99">
              <w:rPr>
                <w:rFonts w:cs="Arial"/>
              </w:rPr>
              <w:t>.</w:t>
            </w:r>
          </w:p>
        </w:tc>
      </w:tr>
      <w:tr w:rsidR="00BE312E" w:rsidRPr="00DF7C99" w14:paraId="66C175F3" w14:textId="77777777" w:rsidTr="00F10310">
        <w:tc>
          <w:tcPr>
            <w:tcW w:w="3085" w:type="dxa"/>
          </w:tcPr>
          <w:p w14:paraId="79E0C382" w14:textId="77777777" w:rsidR="00BE312E" w:rsidRPr="00DF7C99" w:rsidRDefault="00BE312E" w:rsidP="00C925DE">
            <w:pPr>
              <w:spacing w:after="240"/>
              <w:rPr>
                <w:rFonts w:cs="Arial"/>
                <w:b/>
              </w:rPr>
            </w:pPr>
            <w:r w:rsidRPr="00DF7C99">
              <w:rPr>
                <w:rFonts w:cs="Arial"/>
                <w:b/>
              </w:rPr>
              <w:t>Further information</w:t>
            </w:r>
            <w:r w:rsidR="00C925DE" w:rsidRPr="00DF7C99">
              <w:rPr>
                <w:rFonts w:cs="Arial"/>
                <w:b/>
              </w:rPr>
              <w:t xml:space="preserve"> (e.g. liquidator’s website)</w:t>
            </w:r>
          </w:p>
        </w:tc>
        <w:tc>
          <w:tcPr>
            <w:tcW w:w="5919" w:type="dxa"/>
          </w:tcPr>
          <w:p w14:paraId="3EB95367" w14:textId="09070B88" w:rsidR="009B7FB1" w:rsidRPr="00DF7C99" w:rsidRDefault="00F66485" w:rsidP="00C925DE">
            <w:pPr>
              <w:spacing w:after="240"/>
              <w:rPr>
                <w:rFonts w:cs="Arial"/>
              </w:rPr>
            </w:pPr>
            <w:r w:rsidRPr="00DF7C99">
              <w:rPr>
                <w:rFonts w:cs="Arial"/>
              </w:rPr>
              <w:t xml:space="preserve">Further information regarding the status of the liquidation of </w:t>
            </w:r>
            <w:proofErr w:type="spellStart"/>
            <w:r w:rsidR="000F3F21" w:rsidRPr="00DF7C99">
              <w:rPr>
                <w:rFonts w:cs="Arial"/>
              </w:rPr>
              <w:t>Coinroom</w:t>
            </w:r>
            <w:proofErr w:type="spellEnd"/>
            <w:r w:rsidRPr="00DF7C99">
              <w:rPr>
                <w:rFonts w:cs="Arial"/>
              </w:rPr>
              <w:t xml:space="preserve"> is available at:</w:t>
            </w:r>
            <w:r w:rsidR="009B7FB1">
              <w:t xml:space="preserve"> </w:t>
            </w:r>
            <w:r w:rsidR="009B7FB1" w:rsidRPr="009B7FB1">
              <w:rPr>
                <w:rFonts w:cs="Arial"/>
              </w:rPr>
              <w:t>https://ems.ms.gov.pl/msig/przegladaniemonitorow</w:t>
            </w:r>
          </w:p>
        </w:tc>
      </w:tr>
    </w:tbl>
    <w:p w14:paraId="26D6DBD2" w14:textId="77777777" w:rsidR="00F10310" w:rsidRPr="00DF7C99" w:rsidRDefault="00F10310" w:rsidP="00F10310">
      <w:pPr>
        <w:jc w:val="center"/>
        <w:rPr>
          <w:rFonts w:cs="Arial"/>
          <w:b/>
          <w:i/>
        </w:rPr>
      </w:pPr>
    </w:p>
    <w:sectPr w:rsidR="00F10310" w:rsidRPr="00DF7C99" w:rsidSect="00B37D3B">
      <w:footerReference w:type="even" r:id="rId9"/>
      <w:footerReference w:type="default" r:id="rId10"/>
      <w:footerReference w:type="first" r:id="rId11"/>
      <w:pgSz w:w="11907" w:h="16840" w:code="9"/>
      <w:pgMar w:top="1985" w:right="1418" w:bottom="1134" w:left="1701" w:header="680" w:footer="425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3EC6D" w14:textId="77777777" w:rsidR="00554CA1" w:rsidRDefault="00554CA1">
      <w:r>
        <w:separator/>
      </w:r>
    </w:p>
  </w:endnote>
  <w:endnote w:type="continuationSeparator" w:id="0">
    <w:p w14:paraId="49498B69" w14:textId="77777777" w:rsidR="00554CA1" w:rsidRDefault="0055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27A9" w14:textId="77777777" w:rsidR="00B37D3B" w:rsidRDefault="00B37D3B" w:rsidP="00BA305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2B6651">
      <w:rPr>
        <w:rStyle w:val="Numerstrony"/>
        <w:noProof/>
      </w:rPr>
      <w:t>2</w:t>
    </w:r>
    <w:r>
      <w:rPr>
        <w:rStyle w:val="Numerstrony"/>
      </w:rPr>
      <w:fldChar w:fldCharType="end"/>
    </w:r>
  </w:p>
  <w:tbl>
    <w:tblPr>
      <w:tblW w:w="5000" w:type="pct"/>
      <w:tblLook w:val="04A0" w:firstRow="1" w:lastRow="0" w:firstColumn="1" w:lastColumn="0" w:noHBand="0" w:noVBand="1"/>
    </w:tblPr>
    <w:tblGrid>
      <w:gridCol w:w="2988"/>
      <w:gridCol w:w="2857"/>
      <w:gridCol w:w="2943"/>
    </w:tblGrid>
    <w:tr w:rsidR="00B37D3B" w14:paraId="12121B2D" w14:textId="77777777">
      <w:tc>
        <w:tcPr>
          <w:tcW w:w="3284" w:type="dxa"/>
          <w:shd w:val="clear" w:color="auto" w:fill="auto"/>
        </w:tcPr>
        <w:p w14:paraId="6EF47CB9" w14:textId="77777777" w:rsidR="00B37D3B" w:rsidRDefault="00B37D3B" w:rsidP="00B37D3B">
          <w:pPr>
            <w:pStyle w:val="Stopka"/>
            <w:framePr w:wrap="around" w:vAnchor="text" w:hAnchor="margin" w:xAlign="center" w:y="1"/>
            <w:rPr>
              <w:szCs w:val="16"/>
            </w:rPr>
          </w:pPr>
          <w:r>
            <w:rPr>
              <w:szCs w:val="16"/>
            </w:rPr>
            <w:fldChar w:fldCharType="begin"/>
          </w:r>
          <w:r>
            <w:rPr>
              <w:szCs w:val="16"/>
            </w:rPr>
            <w:instrText xml:space="preserve"> DOCPROPERTY DocumentDatabase  \* MERGEFORMAT</w:instrText>
          </w:r>
          <w:r>
            <w:rPr>
              <w:szCs w:val="16"/>
            </w:rPr>
            <w:fldChar w:fldCharType="separate"/>
          </w:r>
          <w:r w:rsidR="002B6651">
            <w:rPr>
              <w:szCs w:val="16"/>
            </w:rPr>
            <w:t>APAC</w:t>
          </w:r>
          <w:r>
            <w:rPr>
              <w:szCs w:val="16"/>
            </w:rPr>
            <w:fldChar w:fldCharType="end"/>
          </w:r>
          <w:r>
            <w:rPr>
              <w:szCs w:val="16"/>
            </w:rPr>
            <w:t>-#</w:t>
          </w:r>
          <w:r>
            <w:rPr>
              <w:szCs w:val="16"/>
            </w:rPr>
            <w:fldChar w:fldCharType="begin"/>
          </w:r>
          <w:r>
            <w:rPr>
              <w:szCs w:val="16"/>
            </w:rPr>
            <w:instrText xml:space="preserve"> DOCPROPERTY DocumentNumber  \* MERGEFORMAT</w:instrText>
          </w:r>
          <w:r>
            <w:rPr>
              <w:szCs w:val="16"/>
            </w:rPr>
            <w:fldChar w:fldCharType="separate"/>
          </w:r>
          <w:r w:rsidR="002B6651">
            <w:rPr>
              <w:szCs w:val="16"/>
            </w:rPr>
            <w:t>116771128</w:t>
          </w:r>
          <w:r>
            <w:rPr>
              <w:bCs/>
              <w:szCs w:val="16"/>
              <w:lang w:val="en-US"/>
            </w:rPr>
            <w:fldChar w:fldCharType="end"/>
          </w:r>
          <w:r>
            <w:rPr>
              <w:szCs w:val="16"/>
            </w:rPr>
            <w:t>-v</w:t>
          </w:r>
          <w:r>
            <w:rPr>
              <w:szCs w:val="16"/>
            </w:rPr>
            <w:fldChar w:fldCharType="begin"/>
          </w:r>
          <w:r>
            <w:rPr>
              <w:szCs w:val="16"/>
            </w:rPr>
            <w:instrText xml:space="preserve"> DOCPROPERTY DocumentVersion  \* MERGEFORMAT</w:instrText>
          </w:r>
          <w:r>
            <w:rPr>
              <w:szCs w:val="16"/>
            </w:rPr>
            <w:fldChar w:fldCharType="separate"/>
          </w:r>
          <w:r w:rsidR="002B6651">
            <w:rPr>
              <w:szCs w:val="16"/>
            </w:rPr>
            <w:t>1</w:t>
          </w:r>
          <w:r>
            <w:rPr>
              <w:bCs/>
              <w:szCs w:val="16"/>
              <w:lang w:val="en-US"/>
            </w:rPr>
            <w:fldChar w:fldCharType="end"/>
          </w:r>
        </w:p>
      </w:tc>
      <w:tc>
        <w:tcPr>
          <w:tcW w:w="3285" w:type="dxa"/>
          <w:shd w:val="clear" w:color="auto" w:fill="auto"/>
        </w:tcPr>
        <w:p w14:paraId="3461A8A3" w14:textId="77777777" w:rsidR="00B37D3B" w:rsidRDefault="00B37D3B" w:rsidP="00B37D3B">
          <w:pPr>
            <w:pStyle w:val="Stopka"/>
            <w:framePr w:wrap="around" w:vAnchor="text" w:hAnchor="margin" w:xAlign="center" w:y="1"/>
            <w:jc w:val="center"/>
            <w:rPr>
              <w:szCs w:val="16"/>
            </w:rPr>
          </w:pPr>
        </w:p>
      </w:tc>
      <w:tc>
        <w:tcPr>
          <w:tcW w:w="3285" w:type="dxa"/>
          <w:shd w:val="clear" w:color="auto" w:fill="auto"/>
        </w:tcPr>
        <w:p w14:paraId="218F508E" w14:textId="77777777" w:rsidR="00B37D3B" w:rsidRDefault="00B37D3B" w:rsidP="00B37D3B">
          <w:pPr>
            <w:pStyle w:val="Stopka"/>
            <w:framePr w:wrap="around" w:vAnchor="text" w:hAnchor="margin" w:xAlign="center" w:y="1"/>
            <w:jc w:val="right"/>
            <w:rPr>
              <w:szCs w:val="16"/>
            </w:rPr>
          </w:pPr>
          <w:r>
            <w:rPr>
              <w:szCs w:val="16"/>
            </w:rPr>
            <w:t>© Norton Rose Fulbright Australia</w:t>
          </w:r>
        </w:p>
      </w:tc>
    </w:tr>
  </w:tbl>
  <w:p w14:paraId="5BA93AAE" w14:textId="77777777" w:rsidR="00A2314B" w:rsidRDefault="00A23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4E81" w14:textId="26CD0779" w:rsidR="00B37D3B" w:rsidRDefault="00B37D3B" w:rsidP="00BA3057">
    <w:pPr>
      <w:pStyle w:val="Stopka"/>
      <w:framePr w:wrap="around" w:vAnchor="text" w:hAnchor="margin" w:xAlign="center" w:y="1"/>
      <w:rPr>
        <w:rStyle w:val="Numerstrony"/>
      </w:rPr>
    </w:pPr>
    <w:r w:rsidRPr="00B37D3B">
      <w:rPr>
        <w:rStyle w:val="Numerstrony"/>
      </w:rPr>
      <w:fldChar w:fldCharType="begin"/>
    </w:r>
    <w:r w:rsidRPr="00B37D3B">
      <w:rPr>
        <w:rStyle w:val="Numerstrony"/>
      </w:rPr>
      <w:instrText xml:space="preserve"> PAGE </w:instrText>
    </w:r>
    <w:r w:rsidRPr="00B37D3B">
      <w:rPr>
        <w:rStyle w:val="Numerstrony"/>
      </w:rPr>
      <w:fldChar w:fldCharType="separate"/>
    </w:r>
    <w:r w:rsidR="00A5239F">
      <w:rPr>
        <w:rStyle w:val="Numerstrony"/>
        <w:noProof/>
      </w:rPr>
      <w:t>1</w:t>
    </w:r>
    <w:r w:rsidRPr="00B37D3B">
      <w:rPr>
        <w:rStyle w:val="Numerstrony"/>
      </w:rPr>
      <w:fldChar w:fldCharType="end"/>
    </w:r>
  </w:p>
  <w:tbl>
    <w:tblPr>
      <w:tblW w:w="5000" w:type="pct"/>
      <w:tblLook w:val="04A0" w:firstRow="1" w:lastRow="0" w:firstColumn="1" w:lastColumn="0" w:noHBand="0" w:noVBand="1"/>
    </w:tblPr>
    <w:tblGrid>
      <w:gridCol w:w="2896"/>
      <w:gridCol w:w="2896"/>
      <w:gridCol w:w="2996"/>
    </w:tblGrid>
    <w:tr w:rsidR="00B37D3B" w14:paraId="658C13F7" w14:textId="77777777">
      <w:tc>
        <w:tcPr>
          <w:tcW w:w="3284" w:type="dxa"/>
          <w:shd w:val="clear" w:color="auto" w:fill="auto"/>
        </w:tcPr>
        <w:p w14:paraId="1E97A719" w14:textId="7F696003" w:rsidR="00B37D3B" w:rsidRDefault="00B37D3B">
          <w:pPr>
            <w:pStyle w:val="Stopka"/>
            <w:rPr>
              <w:szCs w:val="16"/>
            </w:rPr>
          </w:pPr>
        </w:p>
      </w:tc>
      <w:tc>
        <w:tcPr>
          <w:tcW w:w="3285" w:type="dxa"/>
          <w:shd w:val="clear" w:color="auto" w:fill="auto"/>
        </w:tcPr>
        <w:p w14:paraId="3AF223DA" w14:textId="77777777" w:rsidR="00B37D3B" w:rsidRDefault="00B37D3B">
          <w:pPr>
            <w:pStyle w:val="Stopka"/>
            <w:jc w:val="center"/>
            <w:rPr>
              <w:szCs w:val="16"/>
            </w:rPr>
          </w:pPr>
        </w:p>
      </w:tc>
      <w:tc>
        <w:tcPr>
          <w:tcW w:w="3285" w:type="dxa"/>
          <w:shd w:val="clear" w:color="auto" w:fill="auto"/>
        </w:tcPr>
        <w:p w14:paraId="76563DC1" w14:textId="68577D28" w:rsidR="00B37D3B" w:rsidRDefault="00B37D3B">
          <w:pPr>
            <w:pStyle w:val="Stopka"/>
            <w:jc w:val="right"/>
            <w:rPr>
              <w:szCs w:val="16"/>
            </w:rPr>
          </w:pPr>
          <w:r>
            <w:rPr>
              <w:szCs w:val="16"/>
            </w:rPr>
            <w:t xml:space="preserve">© </w:t>
          </w:r>
          <w:r w:rsidR="009B7FB1" w:rsidRPr="009B7FB1">
            <w:rPr>
              <w:szCs w:val="16"/>
            </w:rPr>
            <w:t xml:space="preserve">WKB Wierciński, Kwieciński, Baehr </w:t>
          </w:r>
          <w:proofErr w:type="spellStart"/>
          <w:r w:rsidR="009B7FB1" w:rsidRPr="009B7FB1">
            <w:rPr>
              <w:szCs w:val="16"/>
            </w:rPr>
            <w:t>sp.</w:t>
          </w:r>
          <w:r w:rsidR="009B7FB1">
            <w:rPr>
              <w:szCs w:val="16"/>
            </w:rPr>
            <w:t>j</w:t>
          </w:r>
          <w:proofErr w:type="spellEnd"/>
          <w:r w:rsidR="009B7FB1">
            <w:rPr>
              <w:szCs w:val="16"/>
            </w:rPr>
            <w:t xml:space="preserve">. </w:t>
          </w:r>
        </w:p>
      </w:tc>
    </w:tr>
  </w:tbl>
  <w:p w14:paraId="49E6D880" w14:textId="77777777" w:rsidR="00A2314B" w:rsidRPr="00B37D3B" w:rsidRDefault="00A2314B" w:rsidP="00B37D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2988"/>
      <w:gridCol w:w="2857"/>
      <w:gridCol w:w="2943"/>
    </w:tblGrid>
    <w:tr w:rsidR="00B37D3B" w14:paraId="49D108ED" w14:textId="77777777">
      <w:tc>
        <w:tcPr>
          <w:tcW w:w="3284" w:type="dxa"/>
          <w:shd w:val="clear" w:color="auto" w:fill="auto"/>
        </w:tcPr>
        <w:p w14:paraId="3D31500C" w14:textId="77777777" w:rsidR="00B37D3B" w:rsidRDefault="00B37D3B">
          <w:pPr>
            <w:pStyle w:val="Stopka"/>
            <w:rPr>
              <w:szCs w:val="16"/>
            </w:rPr>
          </w:pPr>
          <w:r>
            <w:rPr>
              <w:szCs w:val="16"/>
            </w:rPr>
            <w:fldChar w:fldCharType="begin"/>
          </w:r>
          <w:r>
            <w:rPr>
              <w:szCs w:val="16"/>
            </w:rPr>
            <w:instrText xml:space="preserve"> DOCPROPERTY DocumentDatabase  \* MERGEFORMAT</w:instrText>
          </w:r>
          <w:r>
            <w:rPr>
              <w:szCs w:val="16"/>
            </w:rPr>
            <w:fldChar w:fldCharType="separate"/>
          </w:r>
          <w:r w:rsidR="002B6651">
            <w:rPr>
              <w:szCs w:val="16"/>
            </w:rPr>
            <w:t>APAC</w:t>
          </w:r>
          <w:r>
            <w:rPr>
              <w:szCs w:val="16"/>
            </w:rPr>
            <w:fldChar w:fldCharType="end"/>
          </w:r>
          <w:r>
            <w:rPr>
              <w:szCs w:val="16"/>
            </w:rPr>
            <w:t>-#</w:t>
          </w:r>
          <w:r>
            <w:rPr>
              <w:szCs w:val="16"/>
            </w:rPr>
            <w:fldChar w:fldCharType="begin"/>
          </w:r>
          <w:r>
            <w:rPr>
              <w:szCs w:val="16"/>
            </w:rPr>
            <w:instrText xml:space="preserve"> DOCPROPERTY DocumentNumber  \* MERGEFORMAT</w:instrText>
          </w:r>
          <w:r>
            <w:rPr>
              <w:szCs w:val="16"/>
            </w:rPr>
            <w:fldChar w:fldCharType="separate"/>
          </w:r>
          <w:r w:rsidR="002B6651">
            <w:rPr>
              <w:szCs w:val="16"/>
            </w:rPr>
            <w:t>116771128</w:t>
          </w:r>
          <w:r>
            <w:rPr>
              <w:bCs/>
              <w:szCs w:val="16"/>
              <w:lang w:val="en-US"/>
            </w:rPr>
            <w:fldChar w:fldCharType="end"/>
          </w:r>
          <w:r>
            <w:rPr>
              <w:szCs w:val="16"/>
            </w:rPr>
            <w:t>-v</w:t>
          </w:r>
          <w:r>
            <w:rPr>
              <w:szCs w:val="16"/>
            </w:rPr>
            <w:fldChar w:fldCharType="begin"/>
          </w:r>
          <w:r>
            <w:rPr>
              <w:szCs w:val="16"/>
            </w:rPr>
            <w:instrText xml:space="preserve"> DOCPROPERTY DocumentVersion  \* MERGEFORMAT</w:instrText>
          </w:r>
          <w:r>
            <w:rPr>
              <w:szCs w:val="16"/>
            </w:rPr>
            <w:fldChar w:fldCharType="separate"/>
          </w:r>
          <w:r w:rsidR="002B6651">
            <w:rPr>
              <w:szCs w:val="16"/>
            </w:rPr>
            <w:t>1</w:t>
          </w:r>
          <w:r>
            <w:rPr>
              <w:bCs/>
              <w:szCs w:val="16"/>
              <w:lang w:val="en-US"/>
            </w:rPr>
            <w:fldChar w:fldCharType="end"/>
          </w:r>
        </w:p>
      </w:tc>
      <w:tc>
        <w:tcPr>
          <w:tcW w:w="3285" w:type="dxa"/>
          <w:shd w:val="clear" w:color="auto" w:fill="auto"/>
        </w:tcPr>
        <w:p w14:paraId="27D8AD49" w14:textId="77777777" w:rsidR="00B37D3B" w:rsidRDefault="00B37D3B">
          <w:pPr>
            <w:pStyle w:val="Stopka"/>
            <w:jc w:val="center"/>
            <w:rPr>
              <w:szCs w:val="16"/>
            </w:rPr>
          </w:pPr>
        </w:p>
      </w:tc>
      <w:tc>
        <w:tcPr>
          <w:tcW w:w="3285" w:type="dxa"/>
          <w:shd w:val="clear" w:color="auto" w:fill="auto"/>
        </w:tcPr>
        <w:p w14:paraId="3E7C8397" w14:textId="77777777" w:rsidR="00B37D3B" w:rsidRDefault="00B37D3B">
          <w:pPr>
            <w:pStyle w:val="Stopka"/>
            <w:jc w:val="right"/>
            <w:rPr>
              <w:szCs w:val="16"/>
            </w:rPr>
          </w:pPr>
          <w:r>
            <w:rPr>
              <w:szCs w:val="16"/>
            </w:rPr>
            <w:t>© Norton Rose Fulbright Australia</w:t>
          </w:r>
        </w:p>
      </w:tc>
    </w:tr>
  </w:tbl>
  <w:p w14:paraId="73505A77" w14:textId="77777777" w:rsidR="00A2314B" w:rsidRDefault="00A23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CBB92" w14:textId="77777777" w:rsidR="00554CA1" w:rsidRDefault="00554CA1">
      <w:r>
        <w:separator/>
      </w:r>
    </w:p>
  </w:footnote>
  <w:footnote w:type="continuationSeparator" w:id="0">
    <w:p w14:paraId="6733F27D" w14:textId="77777777" w:rsidR="00554CA1" w:rsidRDefault="00554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E7A"/>
    <w:multiLevelType w:val="multilevel"/>
    <w:tmpl w:val="D36A47AA"/>
    <w:lvl w:ilvl="0">
      <w:start w:val="1"/>
      <w:numFmt w:val="decimal"/>
      <w:pStyle w:val="BilingualScheduleNumbering1"/>
      <w:lvlText w:val="%1"/>
      <w:lvlJc w:val="left"/>
      <w:pPr>
        <w:ind w:left="709" w:hanging="709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pStyle w:val="BilingualScheduleNumbering2"/>
      <w:lvlText w:val="%1.%2"/>
      <w:lvlJc w:val="left"/>
      <w:pPr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ilingualScheduleNumbering3"/>
      <w:lvlText w:val="(%3)"/>
      <w:lvlJc w:val="right"/>
      <w:pPr>
        <w:ind w:left="1418" w:hanging="709"/>
      </w:pPr>
      <w:rPr>
        <w:rFonts w:hint="default"/>
      </w:rPr>
    </w:lvl>
    <w:lvl w:ilvl="3">
      <w:start w:val="1"/>
      <w:numFmt w:val="lowerLetter"/>
      <w:pStyle w:val="BilingualScheduleNumbering4"/>
      <w:lvlText w:val="(%4)"/>
      <w:lvlJc w:val="left"/>
      <w:pPr>
        <w:ind w:left="2126" w:hanging="708"/>
      </w:pPr>
      <w:rPr>
        <w:rFonts w:hint="default"/>
      </w:rPr>
    </w:lvl>
    <w:lvl w:ilvl="4">
      <w:start w:val="1"/>
      <w:numFmt w:val="lowerRoman"/>
      <w:pStyle w:val="BilingualScheduleNumbering5"/>
      <w:lvlText w:val="(%5)"/>
      <w:lvlJc w:val="left"/>
      <w:pPr>
        <w:ind w:left="2835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" w15:restartNumberingAfterBreak="0">
    <w:nsid w:val="05026036"/>
    <w:multiLevelType w:val="multilevel"/>
    <w:tmpl w:val="434AC19E"/>
    <w:lvl w:ilvl="0">
      <w:start w:val="1"/>
      <w:numFmt w:val="decimal"/>
      <w:pStyle w:val="BilingualSchedule"/>
      <w:suff w:val="nothing"/>
      <w:lvlText w:val="Schedule %1"/>
      <w:lvlJc w:val="left"/>
      <w:pPr>
        <w:ind w:left="709" w:hanging="709"/>
      </w:pPr>
      <w:rPr>
        <w:rFonts w:hint="default"/>
        <w:b/>
        <w:i w:val="0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6576DDF"/>
    <w:multiLevelType w:val="hybridMultilevel"/>
    <w:tmpl w:val="901043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3A5B0F"/>
    <w:multiLevelType w:val="multilevel"/>
    <w:tmpl w:val="445C0742"/>
    <w:lvl w:ilvl="0">
      <w:start w:val="1"/>
      <w:numFmt w:val="decimal"/>
      <w:pStyle w:val="Nagwek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agwek3"/>
      <w:lvlText w:val="(%3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225F39"/>
    <w:multiLevelType w:val="multilevel"/>
    <w:tmpl w:val="8E7818E6"/>
    <w:lvl w:ilvl="0">
      <w:start w:val="1"/>
      <w:numFmt w:val="upperLetter"/>
      <w:pStyle w:val="BilingualAnnexure"/>
      <w:suff w:val="nothing"/>
      <w:lvlText w:val="Annexure %1"/>
      <w:lvlJc w:val="left"/>
      <w:pPr>
        <w:ind w:left="431" w:hanging="431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0D8E328D"/>
    <w:multiLevelType w:val="hybridMultilevel"/>
    <w:tmpl w:val="2EEEA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F6324"/>
    <w:multiLevelType w:val="multilevel"/>
    <w:tmpl w:val="E99EE40C"/>
    <w:lvl w:ilvl="0">
      <w:start w:val="1"/>
      <w:numFmt w:val="decimal"/>
      <w:pStyle w:val="ScheduleNumbering1"/>
      <w:lvlText w:val="%1"/>
      <w:lvlJc w:val="left"/>
      <w:pPr>
        <w:ind w:left="709" w:hanging="709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pStyle w:val="ScheduleNumber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ScheduleNumbering3"/>
      <w:lvlText w:val="(%3)"/>
      <w:lvlJc w:val="left"/>
      <w:pPr>
        <w:ind w:left="1418" w:hanging="709"/>
      </w:pPr>
      <w:rPr>
        <w:rFonts w:hint="default"/>
      </w:rPr>
    </w:lvl>
    <w:lvl w:ilvl="3">
      <w:start w:val="1"/>
      <w:numFmt w:val="lowerLetter"/>
      <w:pStyle w:val="ScheduleNumbering4"/>
      <w:lvlText w:val="(%4)"/>
      <w:lvlJc w:val="left"/>
      <w:pPr>
        <w:ind w:left="2126" w:hanging="708"/>
      </w:pPr>
      <w:rPr>
        <w:rFonts w:hint="default"/>
      </w:rPr>
    </w:lvl>
    <w:lvl w:ilvl="4">
      <w:start w:val="1"/>
      <w:numFmt w:val="lowerRoman"/>
      <w:pStyle w:val="ScheduleNumbering5"/>
      <w:lvlText w:val="(%5)"/>
      <w:lvlJc w:val="left"/>
      <w:pPr>
        <w:ind w:left="2835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C356454"/>
    <w:multiLevelType w:val="multilevel"/>
    <w:tmpl w:val="3FCCDA5A"/>
    <w:lvl w:ilvl="0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0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7325D0E"/>
    <w:multiLevelType w:val="multilevel"/>
    <w:tmpl w:val="73AAAAE0"/>
    <w:lvl w:ilvl="0">
      <w:start w:val="1"/>
      <w:numFmt w:val="upperLetter"/>
      <w:pStyle w:val="Bilingual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2B3B2A8A"/>
    <w:multiLevelType w:val="multilevel"/>
    <w:tmpl w:val="4D400834"/>
    <w:lvl w:ilvl="0">
      <w:start w:val="1"/>
      <w:numFmt w:val="decimal"/>
      <w:pStyle w:val="Item"/>
      <w:lvlText w:val="Item %1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2465C0D"/>
    <w:multiLevelType w:val="multilevel"/>
    <w:tmpl w:val="07A6B95A"/>
    <w:lvl w:ilvl="0">
      <w:start w:val="1"/>
      <w:numFmt w:val="decimal"/>
      <w:pStyle w:val="Schedule"/>
      <w:suff w:val="nothing"/>
      <w:lvlText w:val="Schedule %1"/>
      <w:lvlJc w:val="left"/>
      <w:pPr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391028F"/>
    <w:multiLevelType w:val="multilevel"/>
    <w:tmpl w:val="B210C0A8"/>
    <w:lvl w:ilvl="0">
      <w:start w:val="1"/>
      <w:numFmt w:val="decimal"/>
      <w:pStyle w:val="BilingualHeading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BilingualHeading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ilingualHeading3"/>
      <w:lvlText w:val="(%3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BilingualHeading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BilingualHeading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BilingualHeading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7AB2690"/>
    <w:multiLevelType w:val="hybridMultilevel"/>
    <w:tmpl w:val="58F8B7CC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DF3DC8"/>
    <w:multiLevelType w:val="multilevel"/>
    <w:tmpl w:val="9F004F4C"/>
    <w:lvl w:ilvl="0">
      <w:start w:val="1"/>
      <w:numFmt w:val="upperLetter"/>
      <w:pStyle w:val="Annexure"/>
      <w:suff w:val="nothing"/>
      <w:lvlText w:val="Annexure %1"/>
      <w:lvlJc w:val="left"/>
      <w:pPr>
        <w:ind w:left="431" w:hanging="431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2483434"/>
    <w:multiLevelType w:val="multilevel"/>
    <w:tmpl w:val="C72679B4"/>
    <w:lvl w:ilvl="0">
      <w:start w:val="1"/>
      <w:numFmt w:val="bullet"/>
      <w:pStyle w:val="NRFABullet1"/>
      <w:lvlText w:val=""/>
      <w:lvlJc w:val="left"/>
      <w:pPr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NRFABullet2"/>
      <w:lvlText w:val="-"/>
      <w:lvlJc w:val="left"/>
      <w:pPr>
        <w:ind w:left="1418" w:hanging="709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2126" w:hanging="708"/>
      </w:pPr>
      <w:rPr>
        <w:rFonts w:hint="default"/>
      </w:rPr>
    </w:lvl>
    <w:lvl w:ilvl="3">
      <w:start w:val="1"/>
      <w:numFmt w:val="none"/>
      <w:lvlText w:val=""/>
      <w:lvlJc w:val="left"/>
      <w:pPr>
        <w:ind w:left="283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354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3" w:hanging="709"/>
      </w:pPr>
      <w:rPr>
        <w:rFonts w:hint="default"/>
      </w:rPr>
    </w:lvl>
    <w:lvl w:ilvl="6">
      <w:start w:val="1"/>
      <w:numFmt w:val="none"/>
      <w:lvlText w:val="%7"/>
      <w:lvlJc w:val="left"/>
      <w:pPr>
        <w:ind w:left="4820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5528" w:hanging="708"/>
      </w:pPr>
      <w:rPr>
        <w:rFonts w:hint="default"/>
      </w:rPr>
    </w:lvl>
    <w:lvl w:ilvl="8">
      <w:start w:val="1"/>
      <w:numFmt w:val="none"/>
      <w:lvlText w:val=""/>
      <w:lvlJc w:val="left"/>
      <w:pPr>
        <w:ind w:left="6237" w:hanging="709"/>
      </w:pPr>
      <w:rPr>
        <w:rFonts w:hint="default"/>
      </w:rPr>
    </w:lvl>
  </w:abstractNum>
  <w:abstractNum w:abstractNumId="15" w15:restartNumberingAfterBreak="0">
    <w:nsid w:val="6471022D"/>
    <w:multiLevelType w:val="hybridMultilevel"/>
    <w:tmpl w:val="6E82D220"/>
    <w:lvl w:ilvl="0" w:tplc="ABF686EE">
      <w:start w:val="1"/>
      <w:numFmt w:val="decimal"/>
      <w:pStyle w:val="BilingualItem"/>
      <w:lvlText w:val="Item %1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86400"/>
    <w:multiLevelType w:val="hybridMultilevel"/>
    <w:tmpl w:val="02E66A1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8942D7"/>
    <w:multiLevelType w:val="hybridMultilevel"/>
    <w:tmpl w:val="971233BA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861024"/>
    <w:multiLevelType w:val="hybridMultilevel"/>
    <w:tmpl w:val="DFB0EB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5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9"/>
  </w:num>
  <w:num w:numId="10">
    <w:abstractNumId w:val="14"/>
  </w:num>
  <w:num w:numId="11">
    <w:abstractNumId w:val="7"/>
  </w:num>
  <w:num w:numId="12">
    <w:abstractNumId w:val="10"/>
  </w:num>
  <w:num w:numId="13">
    <w:abstractNumId w:val="6"/>
  </w:num>
  <w:num w:numId="14">
    <w:abstractNumId w:val="18"/>
  </w:num>
  <w:num w:numId="15">
    <w:abstractNumId w:val="2"/>
  </w:num>
  <w:num w:numId="16">
    <w:abstractNumId w:val="16"/>
  </w:num>
  <w:num w:numId="17">
    <w:abstractNumId w:val="17"/>
  </w:num>
  <w:num w:numId="18">
    <w:abstractNumId w:val="12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4B"/>
    <w:rsid w:val="00062A2F"/>
    <w:rsid w:val="0006346F"/>
    <w:rsid w:val="000A4E8D"/>
    <w:rsid w:val="000A7B91"/>
    <w:rsid w:val="000F3F21"/>
    <w:rsid w:val="00141779"/>
    <w:rsid w:val="0014488D"/>
    <w:rsid w:val="00151B86"/>
    <w:rsid w:val="001776D7"/>
    <w:rsid w:val="001B060B"/>
    <w:rsid w:val="0021521F"/>
    <w:rsid w:val="00262A69"/>
    <w:rsid w:val="0026452F"/>
    <w:rsid w:val="00281EFF"/>
    <w:rsid w:val="002B0F3F"/>
    <w:rsid w:val="002B3E72"/>
    <w:rsid w:val="002B6651"/>
    <w:rsid w:val="002C50E7"/>
    <w:rsid w:val="00300864"/>
    <w:rsid w:val="0032577C"/>
    <w:rsid w:val="00377A66"/>
    <w:rsid w:val="003F0E45"/>
    <w:rsid w:val="003F273D"/>
    <w:rsid w:val="003F6B52"/>
    <w:rsid w:val="00433474"/>
    <w:rsid w:val="0043705D"/>
    <w:rsid w:val="00487EA7"/>
    <w:rsid w:val="00496E30"/>
    <w:rsid w:val="004A1911"/>
    <w:rsid w:val="004D2E8A"/>
    <w:rsid w:val="004E0604"/>
    <w:rsid w:val="004F421D"/>
    <w:rsid w:val="00554CA1"/>
    <w:rsid w:val="00557228"/>
    <w:rsid w:val="00573007"/>
    <w:rsid w:val="005D4363"/>
    <w:rsid w:val="00611D20"/>
    <w:rsid w:val="00625B51"/>
    <w:rsid w:val="006575A5"/>
    <w:rsid w:val="006B0556"/>
    <w:rsid w:val="006E2109"/>
    <w:rsid w:val="006E6D24"/>
    <w:rsid w:val="0070749E"/>
    <w:rsid w:val="00761277"/>
    <w:rsid w:val="00795BDA"/>
    <w:rsid w:val="007A6AE2"/>
    <w:rsid w:val="007C72A9"/>
    <w:rsid w:val="00844489"/>
    <w:rsid w:val="00865DA3"/>
    <w:rsid w:val="00894334"/>
    <w:rsid w:val="00894E00"/>
    <w:rsid w:val="00914068"/>
    <w:rsid w:val="00921577"/>
    <w:rsid w:val="0092715D"/>
    <w:rsid w:val="009772ED"/>
    <w:rsid w:val="009A55B8"/>
    <w:rsid w:val="009B5510"/>
    <w:rsid w:val="009B7FB1"/>
    <w:rsid w:val="00A2314B"/>
    <w:rsid w:val="00A464DD"/>
    <w:rsid w:val="00A5239F"/>
    <w:rsid w:val="00A61C68"/>
    <w:rsid w:val="00AA5AAB"/>
    <w:rsid w:val="00AC222D"/>
    <w:rsid w:val="00B37D3B"/>
    <w:rsid w:val="00B6740F"/>
    <w:rsid w:val="00B91826"/>
    <w:rsid w:val="00BB5148"/>
    <w:rsid w:val="00BE1D23"/>
    <w:rsid w:val="00BE312E"/>
    <w:rsid w:val="00C0261F"/>
    <w:rsid w:val="00C1387F"/>
    <w:rsid w:val="00C56655"/>
    <w:rsid w:val="00C64626"/>
    <w:rsid w:val="00C80611"/>
    <w:rsid w:val="00C925DE"/>
    <w:rsid w:val="00CF2224"/>
    <w:rsid w:val="00D13912"/>
    <w:rsid w:val="00DC75FE"/>
    <w:rsid w:val="00DE4306"/>
    <w:rsid w:val="00DF7C99"/>
    <w:rsid w:val="00E05DCD"/>
    <w:rsid w:val="00E11A69"/>
    <w:rsid w:val="00E32C5C"/>
    <w:rsid w:val="00E72269"/>
    <w:rsid w:val="00E76948"/>
    <w:rsid w:val="00E9612B"/>
    <w:rsid w:val="00F070F7"/>
    <w:rsid w:val="00F10310"/>
    <w:rsid w:val="00F55F38"/>
    <w:rsid w:val="00F65C1A"/>
    <w:rsid w:val="00F66485"/>
    <w:rsid w:val="00F6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CD77F2"/>
  <w15:docId w15:val="{15023F70-D859-45DB-947F-B6F203D0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37D3B"/>
    <w:rPr>
      <w:rFonts w:ascii="Arial" w:hAnsi="Arial"/>
      <w:lang w:val="en-AU"/>
    </w:rPr>
  </w:style>
  <w:style w:type="paragraph" w:styleId="Nagwek1">
    <w:name w:val="heading 1"/>
    <w:basedOn w:val="Normalny"/>
    <w:next w:val="Nagwek2"/>
    <w:qFormat/>
    <w:rsid w:val="00B37D3B"/>
    <w:pPr>
      <w:keepNext/>
      <w:numPr>
        <w:numId w:val="8"/>
      </w:numPr>
      <w:spacing w:before="360"/>
      <w:outlineLvl w:val="0"/>
    </w:pPr>
    <w:rPr>
      <w:b/>
      <w:sz w:val="24"/>
    </w:rPr>
  </w:style>
  <w:style w:type="paragraph" w:styleId="Nagwek2">
    <w:name w:val="heading 2"/>
    <w:basedOn w:val="Normalny"/>
    <w:next w:val="Tekstpodstawowy2"/>
    <w:qFormat/>
    <w:rsid w:val="00B37D3B"/>
    <w:pPr>
      <w:numPr>
        <w:ilvl w:val="1"/>
        <w:numId w:val="8"/>
      </w:numPr>
      <w:spacing w:before="240"/>
      <w:outlineLvl w:val="1"/>
    </w:pPr>
  </w:style>
  <w:style w:type="paragraph" w:styleId="Nagwek3">
    <w:name w:val="heading 3"/>
    <w:basedOn w:val="Normalny"/>
    <w:qFormat/>
    <w:rsid w:val="00B37D3B"/>
    <w:pPr>
      <w:numPr>
        <w:ilvl w:val="2"/>
        <w:numId w:val="8"/>
      </w:numPr>
      <w:spacing w:before="240"/>
      <w:outlineLvl w:val="2"/>
    </w:pPr>
  </w:style>
  <w:style w:type="paragraph" w:styleId="Nagwek4">
    <w:name w:val="heading 4"/>
    <w:basedOn w:val="Normalny"/>
    <w:qFormat/>
    <w:rsid w:val="00B37D3B"/>
    <w:pPr>
      <w:numPr>
        <w:ilvl w:val="3"/>
        <w:numId w:val="8"/>
      </w:numPr>
      <w:spacing w:before="240"/>
      <w:outlineLvl w:val="3"/>
    </w:pPr>
  </w:style>
  <w:style w:type="paragraph" w:styleId="Nagwek5">
    <w:name w:val="heading 5"/>
    <w:basedOn w:val="Normalny"/>
    <w:qFormat/>
    <w:rsid w:val="00B37D3B"/>
    <w:pPr>
      <w:numPr>
        <w:ilvl w:val="4"/>
        <w:numId w:val="8"/>
      </w:numPr>
      <w:spacing w:before="240"/>
      <w:outlineLvl w:val="4"/>
    </w:pPr>
  </w:style>
  <w:style w:type="paragraph" w:styleId="Nagwek6">
    <w:name w:val="heading 6"/>
    <w:basedOn w:val="Normalny"/>
    <w:qFormat/>
    <w:rsid w:val="00B37D3B"/>
    <w:pPr>
      <w:numPr>
        <w:ilvl w:val="5"/>
        <w:numId w:val="8"/>
      </w:numPr>
      <w:spacing w:before="240"/>
      <w:outlineLvl w:val="5"/>
    </w:pPr>
  </w:style>
  <w:style w:type="paragraph" w:styleId="Nagwek7">
    <w:name w:val="heading 7"/>
    <w:basedOn w:val="Normalny"/>
    <w:next w:val="Normalny"/>
    <w:qFormat/>
    <w:rsid w:val="00B37D3B"/>
    <w:pPr>
      <w:outlineLvl w:val="6"/>
    </w:pPr>
  </w:style>
  <w:style w:type="paragraph" w:styleId="Nagwek8">
    <w:name w:val="heading 8"/>
    <w:basedOn w:val="Normalny"/>
    <w:next w:val="Normalny"/>
    <w:qFormat/>
    <w:rsid w:val="00B37D3B"/>
    <w:pPr>
      <w:outlineLvl w:val="7"/>
    </w:pPr>
  </w:style>
  <w:style w:type="paragraph" w:styleId="Nagwek9">
    <w:name w:val="heading 9"/>
    <w:basedOn w:val="Normalny"/>
    <w:next w:val="Normalny"/>
    <w:qFormat/>
    <w:rsid w:val="00B37D3B"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nnexure">
    <w:name w:val="Annexure"/>
    <w:basedOn w:val="Normalny"/>
    <w:next w:val="BodyText1"/>
    <w:rsid w:val="00B37D3B"/>
    <w:pPr>
      <w:numPr>
        <w:numId w:val="1"/>
      </w:numPr>
      <w:spacing w:before="240"/>
      <w:outlineLvl w:val="0"/>
    </w:pPr>
    <w:rPr>
      <w:b/>
      <w:sz w:val="24"/>
    </w:rPr>
  </w:style>
  <w:style w:type="paragraph" w:customStyle="1" w:styleId="AText">
    <w:name w:val="AText"/>
    <w:basedOn w:val="Normalny"/>
    <w:rsid w:val="00B37D3B"/>
    <w:pPr>
      <w:keepLines/>
    </w:pPr>
  </w:style>
  <w:style w:type="paragraph" w:customStyle="1" w:styleId="AuthorPageDate1">
    <w:name w:val="Author  Page #  Date1"/>
    <w:rsid w:val="00B37D3B"/>
    <w:rPr>
      <w:sz w:val="24"/>
      <w:szCs w:val="24"/>
      <w:lang w:val="en-AU"/>
    </w:rPr>
  </w:style>
  <w:style w:type="paragraph" w:styleId="Tekstpodstawowy">
    <w:name w:val="Body Text"/>
    <w:basedOn w:val="Normalny"/>
    <w:link w:val="TekstpodstawowyZnak"/>
    <w:rsid w:val="00B37D3B"/>
    <w:pPr>
      <w:tabs>
        <w:tab w:val="left" w:pos="1701"/>
      </w:tabs>
    </w:pPr>
  </w:style>
  <w:style w:type="paragraph" w:customStyle="1" w:styleId="BodyText1">
    <w:name w:val="Body Text 1"/>
    <w:basedOn w:val="Normalny"/>
    <w:rsid w:val="00B37D3B"/>
    <w:pPr>
      <w:spacing w:before="240"/>
    </w:pPr>
  </w:style>
  <w:style w:type="paragraph" w:styleId="Tekstpodstawowy2">
    <w:name w:val="Body Text 2"/>
    <w:basedOn w:val="Normalny"/>
    <w:rsid w:val="00B37D3B"/>
    <w:pPr>
      <w:spacing w:before="240"/>
      <w:ind w:left="709"/>
    </w:pPr>
  </w:style>
  <w:style w:type="paragraph" w:styleId="Tekstpodstawowy3">
    <w:name w:val="Body Text 3"/>
    <w:basedOn w:val="Normalny"/>
    <w:rsid w:val="00B37D3B"/>
    <w:pPr>
      <w:spacing w:before="240"/>
      <w:ind w:left="1418"/>
    </w:pPr>
  </w:style>
  <w:style w:type="paragraph" w:customStyle="1" w:styleId="BodyText4">
    <w:name w:val="Body Text 4"/>
    <w:basedOn w:val="Normalny"/>
    <w:rsid w:val="00B37D3B"/>
    <w:pPr>
      <w:spacing w:before="240"/>
      <w:ind w:left="2126"/>
    </w:pPr>
  </w:style>
  <w:style w:type="paragraph" w:customStyle="1" w:styleId="BodyText5">
    <w:name w:val="Body Text 5"/>
    <w:basedOn w:val="Normalny"/>
    <w:rsid w:val="00B37D3B"/>
    <w:pPr>
      <w:spacing w:before="240"/>
      <w:ind w:left="2835"/>
    </w:pPr>
  </w:style>
  <w:style w:type="paragraph" w:customStyle="1" w:styleId="BodyText6">
    <w:name w:val="Body Text 6"/>
    <w:basedOn w:val="Normalny"/>
    <w:rsid w:val="00B37D3B"/>
    <w:pPr>
      <w:spacing w:before="240"/>
      <w:ind w:left="3544"/>
    </w:pPr>
  </w:style>
  <w:style w:type="paragraph" w:styleId="Legenda">
    <w:name w:val="caption"/>
    <w:basedOn w:val="Normalny"/>
    <w:next w:val="Normalny"/>
    <w:rsid w:val="00B37D3B"/>
    <w:pPr>
      <w:spacing w:before="120" w:after="120"/>
    </w:pPr>
    <w:rPr>
      <w:b/>
    </w:rPr>
  </w:style>
  <w:style w:type="paragraph" w:customStyle="1" w:styleId="CommentBox">
    <w:name w:val="Comment Box"/>
    <w:basedOn w:val="Normalny"/>
    <w:rsid w:val="00B37D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</w:pPr>
  </w:style>
  <w:style w:type="paragraph" w:customStyle="1" w:styleId="DefaultParagraphFont1">
    <w:name w:val="Default Paragraph Font1"/>
    <w:basedOn w:val="Normalny"/>
    <w:pPr>
      <w:spacing w:before="240"/>
    </w:pPr>
  </w:style>
  <w:style w:type="paragraph" w:styleId="Stopka">
    <w:name w:val="footer"/>
    <w:basedOn w:val="Normalny"/>
    <w:link w:val="StopkaZnak"/>
    <w:rsid w:val="00B37D3B"/>
    <w:rPr>
      <w:sz w:val="16"/>
    </w:rPr>
  </w:style>
  <w:style w:type="paragraph" w:customStyle="1" w:styleId="Disclaimer">
    <w:name w:val="Disclaimer"/>
    <w:basedOn w:val="Stopka"/>
    <w:rsid w:val="00B37D3B"/>
    <w:pPr>
      <w:jc w:val="center"/>
    </w:pPr>
    <w:rPr>
      <w:rFonts w:ascii="Times New Roman" w:hAnsi="Times New Roman"/>
      <w:b/>
      <w:i/>
      <w:sz w:val="18"/>
    </w:rPr>
  </w:style>
  <w:style w:type="paragraph" w:customStyle="1" w:styleId="Fax">
    <w:name w:val="Fax"/>
    <w:basedOn w:val="Normalny"/>
    <w:rsid w:val="00B37D3B"/>
    <w:pPr>
      <w:tabs>
        <w:tab w:val="left" w:pos="2694"/>
      </w:tabs>
      <w:spacing w:line="360" w:lineRule="auto"/>
      <w:ind w:left="2693" w:hanging="2693"/>
    </w:pPr>
    <w:rPr>
      <w:b/>
    </w:rPr>
  </w:style>
  <w:style w:type="paragraph" w:customStyle="1" w:styleId="FaxHeader">
    <w:name w:val="FaxHeader"/>
    <w:basedOn w:val="Normalny"/>
    <w:rsid w:val="00B37D3B"/>
    <w:pPr>
      <w:tabs>
        <w:tab w:val="left" w:pos="2693"/>
      </w:tabs>
      <w:ind w:left="2693" w:hanging="2693"/>
    </w:pPr>
  </w:style>
  <w:style w:type="paragraph" w:styleId="Nagwek">
    <w:name w:val="header"/>
    <w:basedOn w:val="Normalny"/>
    <w:rsid w:val="00B37D3B"/>
  </w:style>
  <w:style w:type="character" w:styleId="Hipercze">
    <w:name w:val="Hyperlink"/>
    <w:basedOn w:val="Domylnaczcionkaakapitu"/>
    <w:rsid w:val="00B37D3B"/>
    <w:rPr>
      <w:color w:val="0000FF"/>
      <w:u w:val="single"/>
    </w:rPr>
  </w:style>
  <w:style w:type="paragraph" w:customStyle="1" w:styleId="Item">
    <w:name w:val="Item"/>
    <w:next w:val="Tekstpodstawowy3"/>
    <w:rsid w:val="00B37D3B"/>
    <w:pPr>
      <w:keepNext/>
      <w:numPr>
        <w:numId w:val="9"/>
      </w:numPr>
      <w:spacing w:before="240"/>
    </w:pPr>
    <w:rPr>
      <w:rFonts w:ascii="Arial" w:hAnsi="Arial"/>
      <w:b/>
      <w:lang w:val="en-AU"/>
    </w:rPr>
  </w:style>
  <w:style w:type="character" w:styleId="Numerstrony">
    <w:name w:val="page number"/>
    <w:basedOn w:val="Domylnaczcionkaakapitu"/>
    <w:rsid w:val="00B37D3B"/>
    <w:rPr>
      <w:sz w:val="20"/>
    </w:rPr>
  </w:style>
  <w:style w:type="paragraph" w:customStyle="1" w:styleId="Recital">
    <w:name w:val="Recital"/>
    <w:basedOn w:val="Normalny"/>
    <w:rsid w:val="00B37D3B"/>
    <w:pPr>
      <w:numPr>
        <w:numId w:val="11"/>
      </w:numPr>
      <w:spacing w:before="240"/>
    </w:pPr>
  </w:style>
  <w:style w:type="paragraph" w:customStyle="1" w:styleId="Schedule">
    <w:name w:val="Schedule"/>
    <w:basedOn w:val="Normalny"/>
    <w:next w:val="BodyText1"/>
    <w:rsid w:val="00B37D3B"/>
    <w:pPr>
      <w:keepNext/>
      <w:numPr>
        <w:numId w:val="12"/>
      </w:numPr>
      <w:spacing w:before="480"/>
      <w:outlineLvl w:val="0"/>
    </w:pPr>
    <w:rPr>
      <w:b/>
      <w:sz w:val="24"/>
    </w:rPr>
  </w:style>
  <w:style w:type="paragraph" w:styleId="Podtytu">
    <w:name w:val="Subtitle"/>
    <w:basedOn w:val="Normalny"/>
    <w:next w:val="BodyText1"/>
    <w:qFormat/>
    <w:rsid w:val="00B37D3B"/>
    <w:pPr>
      <w:keepNext/>
      <w:spacing w:before="480"/>
    </w:pPr>
    <w:rPr>
      <w:b/>
      <w:sz w:val="24"/>
    </w:rPr>
  </w:style>
  <w:style w:type="paragraph" w:customStyle="1" w:styleId="TableText">
    <w:name w:val="Table Text"/>
    <w:basedOn w:val="Normalny"/>
    <w:rsid w:val="00B37D3B"/>
    <w:pPr>
      <w:spacing w:before="60" w:after="60"/>
    </w:pPr>
  </w:style>
  <w:style w:type="paragraph" w:styleId="Tytu">
    <w:name w:val="Title"/>
    <w:basedOn w:val="Normalny"/>
    <w:next w:val="Normalny"/>
    <w:qFormat/>
    <w:rsid w:val="00B37D3B"/>
    <w:pPr>
      <w:spacing w:after="360"/>
    </w:pPr>
    <w:rPr>
      <w:b/>
      <w:sz w:val="40"/>
    </w:rPr>
  </w:style>
  <w:style w:type="paragraph" w:styleId="Spistreci1">
    <w:name w:val="toc 1"/>
    <w:basedOn w:val="Normalny"/>
    <w:next w:val="Normalny"/>
    <w:semiHidden/>
    <w:rsid w:val="00B37D3B"/>
    <w:pPr>
      <w:tabs>
        <w:tab w:val="right" w:leader="dot" w:pos="8789"/>
      </w:tabs>
      <w:spacing w:before="60" w:after="60"/>
      <w:ind w:left="709" w:right="425" w:hanging="709"/>
      <w:outlineLvl w:val="0"/>
    </w:pPr>
  </w:style>
  <w:style w:type="paragraph" w:styleId="Spistreci2">
    <w:name w:val="toc 2"/>
    <w:basedOn w:val="Normalny"/>
    <w:next w:val="Normalny"/>
    <w:semiHidden/>
    <w:rsid w:val="00B37D3B"/>
    <w:pPr>
      <w:tabs>
        <w:tab w:val="right" w:leader="dot" w:pos="8789"/>
      </w:tabs>
      <w:spacing w:before="60" w:after="60"/>
      <w:ind w:left="1418" w:right="425" w:hanging="709"/>
      <w:outlineLvl w:val="0"/>
    </w:pPr>
  </w:style>
  <w:style w:type="paragraph" w:styleId="Spistreci3">
    <w:name w:val="toc 3"/>
    <w:basedOn w:val="Normalny"/>
    <w:next w:val="Normalny"/>
    <w:semiHidden/>
    <w:rsid w:val="00B37D3B"/>
    <w:pPr>
      <w:tabs>
        <w:tab w:val="right" w:pos="7938"/>
      </w:tabs>
      <w:spacing w:before="60" w:after="60"/>
      <w:ind w:left="442"/>
    </w:pPr>
  </w:style>
  <w:style w:type="paragraph" w:styleId="Spistreci4">
    <w:name w:val="toc 4"/>
    <w:basedOn w:val="Normalny"/>
    <w:next w:val="Normalny"/>
    <w:semiHidden/>
    <w:rsid w:val="00B37D3B"/>
    <w:pPr>
      <w:tabs>
        <w:tab w:val="right" w:leader="dot" w:pos="8789"/>
      </w:tabs>
      <w:spacing w:before="60" w:after="60"/>
      <w:ind w:left="709" w:right="425" w:hanging="709"/>
    </w:pPr>
  </w:style>
  <w:style w:type="paragraph" w:styleId="Spistreci5">
    <w:name w:val="toc 5"/>
    <w:basedOn w:val="Normalny"/>
    <w:next w:val="Normalny"/>
    <w:semiHidden/>
    <w:rsid w:val="00B37D3B"/>
    <w:pPr>
      <w:tabs>
        <w:tab w:val="right" w:leader="dot" w:pos="8789"/>
      </w:tabs>
      <w:spacing w:before="60" w:after="60"/>
      <w:ind w:left="709" w:right="425" w:hanging="709"/>
    </w:pPr>
  </w:style>
  <w:style w:type="paragraph" w:styleId="Spistreci6">
    <w:name w:val="toc 6"/>
    <w:basedOn w:val="Normalny"/>
    <w:next w:val="Normalny"/>
    <w:semiHidden/>
    <w:rsid w:val="00B37D3B"/>
    <w:pPr>
      <w:tabs>
        <w:tab w:val="right" w:leader="dot" w:pos="8789"/>
      </w:tabs>
      <w:spacing w:before="60" w:after="60"/>
      <w:ind w:left="709" w:right="425" w:hanging="709"/>
    </w:pPr>
  </w:style>
  <w:style w:type="paragraph" w:styleId="Spistreci7">
    <w:name w:val="toc 7"/>
    <w:basedOn w:val="Normalny"/>
    <w:next w:val="Normalny"/>
    <w:semiHidden/>
    <w:rsid w:val="00B37D3B"/>
    <w:pPr>
      <w:tabs>
        <w:tab w:val="right" w:pos="8789"/>
      </w:tabs>
      <w:spacing w:before="60" w:after="60"/>
      <w:ind w:left="709" w:right="425" w:hanging="709"/>
    </w:pPr>
  </w:style>
  <w:style w:type="paragraph" w:styleId="Spistreci8">
    <w:name w:val="toc 8"/>
    <w:basedOn w:val="Normalny"/>
    <w:next w:val="Normalny"/>
    <w:semiHidden/>
    <w:rsid w:val="00B37D3B"/>
    <w:pPr>
      <w:tabs>
        <w:tab w:val="right" w:leader="dot" w:pos="8789"/>
      </w:tabs>
      <w:spacing w:before="60" w:after="60"/>
      <w:ind w:left="709" w:right="425" w:hanging="709"/>
      <w:outlineLvl w:val="0"/>
    </w:pPr>
  </w:style>
  <w:style w:type="paragraph" w:styleId="Spistreci9">
    <w:name w:val="toc 9"/>
    <w:basedOn w:val="Normalny"/>
    <w:next w:val="Normalny"/>
    <w:semiHidden/>
    <w:rsid w:val="00B37D3B"/>
    <w:pPr>
      <w:tabs>
        <w:tab w:val="right" w:leader="dot" w:pos="8789"/>
      </w:tabs>
      <w:spacing w:before="60" w:after="60"/>
      <w:ind w:left="709" w:right="425" w:hanging="709"/>
      <w:outlineLvl w:val="0"/>
    </w:pPr>
  </w:style>
  <w:style w:type="character" w:customStyle="1" w:styleId="TekstpodstawowyZnak">
    <w:name w:val="Tekst podstawowy Znak"/>
    <w:basedOn w:val="Domylnaczcionkaakapitu"/>
    <w:link w:val="Tekstpodstawowy"/>
    <w:rsid w:val="00B37D3B"/>
    <w:rPr>
      <w:rFonts w:ascii="Arial" w:hAnsi="Arial"/>
      <w:lang w:val="en-AU"/>
    </w:rPr>
  </w:style>
  <w:style w:type="paragraph" w:styleId="Tekstprzypisudolnego">
    <w:name w:val="footnote text"/>
    <w:basedOn w:val="Normalny"/>
    <w:link w:val="TekstprzypisudolnegoZnak"/>
    <w:rsid w:val="00B37D3B"/>
    <w:rPr>
      <w:sz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7D3B"/>
    <w:rPr>
      <w:rFonts w:ascii="Arial" w:hAnsi="Arial"/>
      <w:sz w:val="18"/>
      <w:lang w:val="en-AU"/>
    </w:rPr>
  </w:style>
  <w:style w:type="paragraph" w:customStyle="1" w:styleId="NRFABullet1">
    <w:name w:val="NRFA Bullet 1"/>
    <w:basedOn w:val="Tekstpodstawowy2"/>
    <w:qFormat/>
    <w:rsid w:val="00B37D3B"/>
    <w:pPr>
      <w:numPr>
        <w:numId w:val="10"/>
      </w:numPr>
      <w:tabs>
        <w:tab w:val="left" w:pos="709"/>
      </w:tabs>
      <w:outlineLvl w:val="0"/>
    </w:pPr>
  </w:style>
  <w:style w:type="paragraph" w:customStyle="1" w:styleId="NRFABullet2">
    <w:name w:val="NRFA Bullet 2"/>
    <w:basedOn w:val="NRFABullet1"/>
    <w:qFormat/>
    <w:rsid w:val="00B37D3B"/>
    <w:pPr>
      <w:numPr>
        <w:ilvl w:val="1"/>
      </w:numPr>
      <w:outlineLvl w:val="1"/>
    </w:pPr>
  </w:style>
  <w:style w:type="table" w:customStyle="1" w:styleId="NRFATable">
    <w:name w:val="NRFA Table"/>
    <w:basedOn w:val="Standardowy"/>
    <w:rsid w:val="00B37D3B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b/>
      </w:rPr>
      <w:tblPr/>
      <w:trPr>
        <w:tblHeader/>
      </w:trPr>
      <w:tcPr>
        <w:shd w:val="clear" w:color="auto" w:fill="E6E6E6"/>
      </w:tcPr>
    </w:tblStylePr>
  </w:style>
  <w:style w:type="paragraph" w:customStyle="1" w:styleId="ScheduleNumbering1">
    <w:name w:val="Schedule Numbering 1"/>
    <w:basedOn w:val="Normalny"/>
    <w:next w:val="ScheduleNumbering2"/>
    <w:rsid w:val="00B37D3B"/>
    <w:pPr>
      <w:keepNext/>
      <w:widowControl w:val="0"/>
      <w:numPr>
        <w:numId w:val="13"/>
      </w:numPr>
      <w:spacing w:before="240"/>
      <w:outlineLvl w:val="0"/>
    </w:pPr>
    <w:rPr>
      <w:b/>
    </w:rPr>
  </w:style>
  <w:style w:type="paragraph" w:customStyle="1" w:styleId="ScheduleNumbering2">
    <w:name w:val="Schedule Numbering 2"/>
    <w:basedOn w:val="Normalny"/>
    <w:rsid w:val="00B37D3B"/>
    <w:pPr>
      <w:numPr>
        <w:ilvl w:val="1"/>
        <w:numId w:val="13"/>
      </w:numPr>
      <w:spacing w:before="240"/>
      <w:outlineLvl w:val="1"/>
    </w:pPr>
  </w:style>
  <w:style w:type="paragraph" w:customStyle="1" w:styleId="ScheduleNumbering3">
    <w:name w:val="Schedule Numbering 3"/>
    <w:basedOn w:val="Normalny"/>
    <w:rsid w:val="00B37D3B"/>
    <w:pPr>
      <w:numPr>
        <w:ilvl w:val="2"/>
        <w:numId w:val="13"/>
      </w:numPr>
      <w:spacing w:before="240"/>
      <w:outlineLvl w:val="2"/>
    </w:pPr>
  </w:style>
  <w:style w:type="paragraph" w:customStyle="1" w:styleId="ScheduleNumbering4">
    <w:name w:val="Schedule Numbering 4"/>
    <w:basedOn w:val="Normalny"/>
    <w:rsid w:val="00B37D3B"/>
    <w:pPr>
      <w:numPr>
        <w:ilvl w:val="3"/>
        <w:numId w:val="13"/>
      </w:numPr>
      <w:spacing w:before="240"/>
      <w:outlineLvl w:val="3"/>
    </w:pPr>
  </w:style>
  <w:style w:type="paragraph" w:customStyle="1" w:styleId="ScheduleNumbering5">
    <w:name w:val="Schedule Numbering 5"/>
    <w:basedOn w:val="Normalny"/>
    <w:rsid w:val="00B37D3B"/>
    <w:pPr>
      <w:numPr>
        <w:ilvl w:val="4"/>
        <w:numId w:val="13"/>
      </w:numPr>
      <w:spacing w:before="240"/>
      <w:outlineLvl w:val="4"/>
    </w:pPr>
  </w:style>
  <w:style w:type="character" w:customStyle="1" w:styleId="StopkaZnak">
    <w:name w:val="Stopka Znak"/>
    <w:link w:val="Stopka"/>
    <w:rPr>
      <w:rFonts w:ascii="Arial" w:hAnsi="Arial"/>
      <w:sz w:val="16"/>
      <w:lang w:val="en-AU"/>
    </w:rPr>
  </w:style>
  <w:style w:type="paragraph" w:customStyle="1" w:styleId="BilingualHeading1">
    <w:name w:val="Bilingual Heading 1"/>
    <w:basedOn w:val="Normalny"/>
    <w:next w:val="BilingualHeading2"/>
    <w:unhideWhenUsed/>
    <w:rsid w:val="00B37D3B"/>
    <w:pPr>
      <w:keepNext/>
      <w:numPr>
        <w:numId w:val="3"/>
      </w:numPr>
      <w:spacing w:before="360"/>
    </w:pPr>
    <w:rPr>
      <w:b/>
      <w:sz w:val="24"/>
    </w:rPr>
  </w:style>
  <w:style w:type="paragraph" w:customStyle="1" w:styleId="BilingualHeading2">
    <w:name w:val="Bilingual Heading 2"/>
    <w:basedOn w:val="Normalny"/>
    <w:next w:val="Tekstpodstawowy2"/>
    <w:unhideWhenUsed/>
    <w:rsid w:val="00B37D3B"/>
    <w:pPr>
      <w:numPr>
        <w:ilvl w:val="1"/>
        <w:numId w:val="3"/>
      </w:numPr>
      <w:spacing w:before="240"/>
    </w:pPr>
  </w:style>
  <w:style w:type="paragraph" w:customStyle="1" w:styleId="BilingualHeading3">
    <w:name w:val="Bilingual Heading 3"/>
    <w:basedOn w:val="Normalny"/>
    <w:unhideWhenUsed/>
    <w:rsid w:val="00B37D3B"/>
    <w:pPr>
      <w:numPr>
        <w:ilvl w:val="2"/>
        <w:numId w:val="3"/>
      </w:numPr>
      <w:spacing w:before="240"/>
    </w:pPr>
  </w:style>
  <w:style w:type="paragraph" w:customStyle="1" w:styleId="BilingualHeading4">
    <w:name w:val="Bilingual Heading 4"/>
    <w:basedOn w:val="Normalny"/>
    <w:unhideWhenUsed/>
    <w:rsid w:val="00B37D3B"/>
    <w:pPr>
      <w:numPr>
        <w:ilvl w:val="3"/>
        <w:numId w:val="3"/>
      </w:numPr>
      <w:spacing w:before="240"/>
    </w:pPr>
  </w:style>
  <w:style w:type="paragraph" w:customStyle="1" w:styleId="BilingualHeading5">
    <w:name w:val="Bilingual Heading 5"/>
    <w:basedOn w:val="Normalny"/>
    <w:unhideWhenUsed/>
    <w:rsid w:val="00B37D3B"/>
    <w:pPr>
      <w:numPr>
        <w:ilvl w:val="4"/>
        <w:numId w:val="3"/>
      </w:numPr>
      <w:spacing w:before="240"/>
    </w:pPr>
  </w:style>
  <w:style w:type="paragraph" w:customStyle="1" w:styleId="BilingualHeading6">
    <w:name w:val="Bilingual Heading 6"/>
    <w:basedOn w:val="Normalny"/>
    <w:unhideWhenUsed/>
    <w:rsid w:val="00B37D3B"/>
    <w:pPr>
      <w:numPr>
        <w:ilvl w:val="5"/>
        <w:numId w:val="3"/>
      </w:numPr>
      <w:spacing w:before="240"/>
    </w:pPr>
  </w:style>
  <w:style w:type="table" w:customStyle="1" w:styleId="BilingualTable">
    <w:name w:val="Bilingual Table"/>
    <w:basedOn w:val="Standardowy"/>
    <w:uiPriority w:val="99"/>
    <w:rsid w:val="00B37D3B"/>
    <w:rPr>
      <w:rFonts w:ascii="Arial" w:hAnsi="Arial"/>
    </w:rPr>
    <w:tblPr/>
  </w:style>
  <w:style w:type="paragraph" w:customStyle="1" w:styleId="BilingualAnnexure">
    <w:name w:val="Bilingual Annexure"/>
    <w:basedOn w:val="Normalny"/>
    <w:next w:val="BodyText1"/>
    <w:rsid w:val="00B37D3B"/>
    <w:pPr>
      <w:numPr>
        <w:numId w:val="2"/>
      </w:numPr>
      <w:spacing w:before="240"/>
      <w:outlineLvl w:val="0"/>
    </w:pPr>
    <w:rPr>
      <w:b/>
      <w:sz w:val="24"/>
    </w:rPr>
  </w:style>
  <w:style w:type="table" w:styleId="Tabela-Siatka">
    <w:name w:val="Table Grid"/>
    <w:basedOn w:val="Standardowy"/>
    <w:rsid w:val="00B37D3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ingualItem">
    <w:name w:val="Bilingual Item"/>
    <w:next w:val="Tekstpodstawowy3"/>
    <w:rsid w:val="00B37D3B"/>
    <w:pPr>
      <w:keepNext/>
      <w:numPr>
        <w:numId w:val="4"/>
      </w:numPr>
      <w:spacing w:before="240"/>
    </w:pPr>
    <w:rPr>
      <w:rFonts w:ascii="Arial" w:hAnsi="Arial"/>
      <w:b/>
      <w:lang w:val="en-AU"/>
    </w:rPr>
  </w:style>
  <w:style w:type="paragraph" w:customStyle="1" w:styleId="BilingualRecital">
    <w:name w:val="Bilingual Recital"/>
    <w:basedOn w:val="Normalny"/>
    <w:rsid w:val="00B37D3B"/>
    <w:pPr>
      <w:numPr>
        <w:numId w:val="5"/>
      </w:numPr>
      <w:spacing w:before="240"/>
    </w:pPr>
  </w:style>
  <w:style w:type="paragraph" w:customStyle="1" w:styleId="BilingualSchedule">
    <w:name w:val="Bilingual Schedule"/>
    <w:basedOn w:val="Normalny"/>
    <w:next w:val="BodyText1"/>
    <w:rsid w:val="00B37D3B"/>
    <w:pPr>
      <w:keepNext/>
      <w:numPr>
        <w:numId w:val="6"/>
      </w:numPr>
      <w:spacing w:before="480"/>
      <w:outlineLvl w:val="0"/>
    </w:pPr>
    <w:rPr>
      <w:b/>
      <w:sz w:val="24"/>
    </w:rPr>
  </w:style>
  <w:style w:type="paragraph" w:customStyle="1" w:styleId="BilingualScheduleNumbering1">
    <w:name w:val="Bilingual Schedule Numbering 1"/>
    <w:basedOn w:val="Normalny"/>
    <w:next w:val="Normalny"/>
    <w:rsid w:val="00B37D3B"/>
    <w:pPr>
      <w:keepNext/>
      <w:widowControl w:val="0"/>
      <w:numPr>
        <w:numId w:val="7"/>
      </w:numPr>
      <w:spacing w:before="240"/>
      <w:outlineLvl w:val="0"/>
    </w:pPr>
    <w:rPr>
      <w:b/>
    </w:rPr>
  </w:style>
  <w:style w:type="paragraph" w:customStyle="1" w:styleId="BilingualScheduleNumbering2">
    <w:name w:val="Bilingual Schedule Numbering 2"/>
    <w:basedOn w:val="Normalny"/>
    <w:rsid w:val="00B37D3B"/>
    <w:pPr>
      <w:numPr>
        <w:ilvl w:val="1"/>
        <w:numId w:val="7"/>
      </w:numPr>
      <w:spacing w:before="240"/>
      <w:outlineLvl w:val="1"/>
    </w:pPr>
  </w:style>
  <w:style w:type="paragraph" w:customStyle="1" w:styleId="BilingualScheduleNumbering3">
    <w:name w:val="Bilingual Schedule Numbering 3"/>
    <w:basedOn w:val="Normalny"/>
    <w:rsid w:val="00B37D3B"/>
    <w:pPr>
      <w:numPr>
        <w:ilvl w:val="2"/>
        <w:numId w:val="7"/>
      </w:numPr>
      <w:spacing w:before="240"/>
      <w:outlineLvl w:val="2"/>
    </w:pPr>
  </w:style>
  <w:style w:type="paragraph" w:customStyle="1" w:styleId="BilingualScheduleNumbering4">
    <w:name w:val="Bilingual Schedule Numbering 4"/>
    <w:basedOn w:val="Normalny"/>
    <w:rsid w:val="00B37D3B"/>
    <w:pPr>
      <w:numPr>
        <w:ilvl w:val="3"/>
        <w:numId w:val="7"/>
      </w:numPr>
      <w:spacing w:before="240"/>
      <w:outlineLvl w:val="3"/>
    </w:pPr>
  </w:style>
  <w:style w:type="paragraph" w:customStyle="1" w:styleId="BilingualScheduleNumbering5">
    <w:name w:val="Bilingual Schedule Numbering 5"/>
    <w:basedOn w:val="Normalny"/>
    <w:rsid w:val="00B37D3B"/>
    <w:pPr>
      <w:numPr>
        <w:ilvl w:val="4"/>
        <w:numId w:val="7"/>
      </w:numPr>
      <w:spacing w:before="240"/>
      <w:outlineLvl w:val="4"/>
    </w:pPr>
  </w:style>
  <w:style w:type="paragraph" w:styleId="Akapitzlist">
    <w:name w:val="List Paragraph"/>
    <w:basedOn w:val="Normalny"/>
    <w:uiPriority w:val="34"/>
    <w:qFormat/>
    <w:rsid w:val="003F6B52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377A66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6452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6452F"/>
  </w:style>
  <w:style w:type="character" w:customStyle="1" w:styleId="TekstkomentarzaZnak">
    <w:name w:val="Tekst komentarza Znak"/>
    <w:basedOn w:val="Domylnaczcionkaakapitu"/>
    <w:link w:val="Tekstkomentarza"/>
    <w:rsid w:val="0026452F"/>
    <w:rPr>
      <w:rFonts w:ascii="Arial" w:hAnsi="Arial"/>
      <w:lang w:val="en-AU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64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452F"/>
    <w:rPr>
      <w:rFonts w:ascii="Arial" w:hAnsi="Arial"/>
      <w:b/>
      <w:bCs/>
      <w:lang w:val="en-AU"/>
    </w:rPr>
  </w:style>
  <w:style w:type="paragraph" w:styleId="Tekstdymka">
    <w:name w:val="Balloon Text"/>
    <w:basedOn w:val="Normalny"/>
    <w:link w:val="TekstdymkaZnak"/>
    <w:semiHidden/>
    <w:unhideWhenUsed/>
    <w:rsid w:val="002645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6452F"/>
    <w:rPr>
      <w:rFonts w:ascii="Segoe UI" w:hAnsi="Segoe UI" w:cs="Segoe UI"/>
      <w:sz w:val="18"/>
      <w:szCs w:val="18"/>
      <w:lang w:val="en-AU"/>
    </w:rPr>
  </w:style>
  <w:style w:type="character" w:customStyle="1" w:styleId="content">
    <w:name w:val="content"/>
    <w:basedOn w:val="Domylnaczcionkaakapitu"/>
    <w:rsid w:val="00BB5148"/>
  </w:style>
  <w:style w:type="character" w:styleId="Pogrubienie">
    <w:name w:val="Strong"/>
    <w:basedOn w:val="Domylnaczcionkaakapitu"/>
    <w:uiPriority w:val="22"/>
    <w:qFormat/>
    <w:rsid w:val="000F3F21"/>
    <w:rPr>
      <w:b/>
      <w:bCs/>
    </w:rPr>
  </w:style>
  <w:style w:type="paragraph" w:styleId="NormalnyWeb">
    <w:name w:val="Normal (Web)"/>
    <w:basedOn w:val="Normalny"/>
    <w:uiPriority w:val="99"/>
    <w:unhideWhenUsed/>
    <w:rsid w:val="00C6462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25B5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25B51"/>
    <w:rPr>
      <w:rFonts w:ascii="Arial" w:hAnsi="Arial"/>
      <w:lang w:val="en-AU"/>
    </w:rPr>
  </w:style>
  <w:style w:type="character" w:styleId="Odwoanieprzypisukocowego">
    <w:name w:val="endnote reference"/>
    <w:basedOn w:val="Domylnaczcionkaakapitu"/>
    <w:semiHidden/>
    <w:unhideWhenUsed/>
    <w:rsid w:val="00625B5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7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Norton%20Rose\NR%20OfficeAddins\Templates\Do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6D5A2CC9-0E29-481C-9B00-C3EABAF37A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4DC71-A48A-4FCC-B596-59B21F40979A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</Template>
  <TotalTime>20</TotalTime>
  <Pages>2</Pages>
  <Words>584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2651381/116771128_1</Manager>
  <Company>Norton Rose Fulbright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2651381</dc:subject>
  <dc:creator>Piotr Grabarczyk (WKB)</dc:creator>
  <cp:lastModifiedBy>Piotr Grabarczyk (WKB)</cp:lastModifiedBy>
  <cp:revision>3</cp:revision>
  <dcterms:created xsi:type="dcterms:W3CDTF">2021-05-17T15:26:00Z</dcterms:created>
  <dcterms:modified xsi:type="dcterms:W3CDTF">2021-05-17T15:45:00Z</dcterms:modified>
  <cp:category>116771128_1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RStyle">
    <vt:lpwstr>Style3</vt:lpwstr>
  </property>
  <property fmtid="{D5CDD505-2E9C-101B-9397-08002B2CF9AE}" pid="3" name="DocumentDatabase">
    <vt:lpwstr>APAC</vt:lpwstr>
  </property>
  <property fmtid="{D5CDD505-2E9C-101B-9397-08002B2CF9AE}" pid="4" name="DocumentVersion">
    <vt:lpwstr>1</vt:lpwstr>
  </property>
  <property fmtid="{D5CDD505-2E9C-101B-9397-08002B2CF9AE}" pid="5" name="DocumentNumber">
    <vt:lpwstr>116771128</vt:lpwstr>
  </property>
  <property fmtid="{D5CDD505-2E9C-101B-9397-08002B2CF9AE}" pid="6" name="DocumentCreationDate">
    <vt:filetime>2021-03-15T13:00:00Z</vt:filetime>
  </property>
  <property fmtid="{D5CDD505-2E9C-101B-9397-08002B2CF9AE}" pid="7" name="ShowGUI">
    <vt:bool>true</vt:bool>
  </property>
  <property fmtid="{D5CDD505-2E9C-101B-9397-08002B2CF9AE}" pid="8" name="DocumentOperator">
    <vt:lpwstr>DEBORAH.TSAI</vt:lpwstr>
  </property>
  <property fmtid="{D5CDD505-2E9C-101B-9397-08002B2CF9AE}" pid="9" name="DocumentAuthor">
    <vt:lpwstr>Tsai, Deborah</vt:lpwstr>
  </property>
  <property fmtid="{D5CDD505-2E9C-101B-9397-08002B2CF9AE}" pid="10" name="ClientCode">
    <vt:lpwstr>1043614</vt:lpwstr>
  </property>
  <property fmtid="{D5CDD505-2E9C-101B-9397-08002B2CF9AE}" pid="11" name="MatterNumber">
    <vt:lpwstr>2651381</vt:lpwstr>
  </property>
  <property fmtid="{D5CDD505-2E9C-101B-9397-08002B2CF9AE}" pid="12" name="Locale">
    <vt:lpwstr>Australia</vt:lpwstr>
  </property>
  <property fmtid="{D5CDD505-2E9C-101B-9397-08002B2CF9AE}" pid="13" name="ShowVBADialog">
    <vt:bool>true</vt:bool>
  </property>
  <property fmtid="{D5CDD505-2E9C-101B-9397-08002B2CF9AE}" pid="14" name="DocumentTitle">
    <vt:lpwstr>Template - INSOL Case Register</vt:lpwstr>
  </property>
</Properties>
</file>