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71D5" w14:textId="77F3D948" w:rsidR="00A2314B" w:rsidRPr="00433474" w:rsidRDefault="00CB34CD" w:rsidP="00F10310">
      <w:pPr>
        <w:jc w:val="center"/>
        <w:rPr>
          <w:b/>
          <w:sz w:val="24"/>
          <w:szCs w:val="24"/>
        </w:rPr>
      </w:pPr>
      <w:r w:rsidRPr="00433474">
        <w:rPr>
          <w:b/>
          <w:sz w:val="24"/>
          <w:szCs w:val="24"/>
        </w:rPr>
        <w:t xml:space="preserve">INSOL EUROPE </w:t>
      </w:r>
    </w:p>
    <w:p w14:paraId="316C9813" w14:textId="77777777" w:rsidR="00F10310" w:rsidRPr="00433474" w:rsidRDefault="00F10310" w:rsidP="00F10310">
      <w:pPr>
        <w:jc w:val="center"/>
        <w:rPr>
          <w:b/>
          <w:sz w:val="24"/>
          <w:szCs w:val="24"/>
        </w:rPr>
      </w:pPr>
    </w:p>
    <w:p w14:paraId="2E12E460" w14:textId="32F5E063" w:rsidR="00F10310" w:rsidRPr="00433474" w:rsidRDefault="00CB34CD" w:rsidP="00F10310">
      <w:pPr>
        <w:jc w:val="center"/>
        <w:rPr>
          <w:b/>
          <w:sz w:val="24"/>
          <w:szCs w:val="24"/>
        </w:rPr>
      </w:pPr>
      <w:r>
        <w:rPr>
          <w:b/>
          <w:sz w:val="24"/>
          <w:szCs w:val="24"/>
        </w:rPr>
        <w:t xml:space="preserve">DIGITAL ASSETS </w:t>
      </w:r>
      <w:r w:rsidRPr="00433474">
        <w:rPr>
          <w:b/>
          <w:sz w:val="24"/>
          <w:szCs w:val="24"/>
        </w:rPr>
        <w:t>CASE SUMMARIES</w:t>
      </w:r>
    </w:p>
    <w:p w14:paraId="25CFF7B1" w14:textId="77777777" w:rsidR="00F10310" w:rsidRPr="00F10310" w:rsidRDefault="00F10310" w:rsidP="00F10310">
      <w:pPr>
        <w:jc w:val="center"/>
        <w:rPr>
          <w:b/>
          <w:i/>
          <w:sz w:val="24"/>
          <w:szCs w:val="24"/>
        </w:rPr>
      </w:pPr>
    </w:p>
    <w:tbl>
      <w:tblPr>
        <w:tblStyle w:val="TabloKlavuzu"/>
        <w:tblW w:w="0" w:type="auto"/>
        <w:tblLook w:val="04A0" w:firstRow="1" w:lastRow="0" w:firstColumn="1" w:lastColumn="0" w:noHBand="0" w:noVBand="1"/>
      </w:tblPr>
      <w:tblGrid>
        <w:gridCol w:w="3039"/>
        <w:gridCol w:w="5739"/>
      </w:tblGrid>
      <w:tr w:rsidR="00DC3BD9" w14:paraId="4E33A013" w14:textId="77777777" w:rsidTr="00F10310">
        <w:tc>
          <w:tcPr>
            <w:tcW w:w="9004" w:type="dxa"/>
            <w:gridSpan w:val="2"/>
            <w:shd w:val="clear" w:color="auto" w:fill="D9D9D9" w:themeFill="background1" w:themeFillShade="D9"/>
          </w:tcPr>
          <w:p w14:paraId="365DF959" w14:textId="77777777" w:rsidR="00F10310" w:rsidRPr="00F10310" w:rsidRDefault="00CB34CD" w:rsidP="00C925DE">
            <w:pPr>
              <w:spacing w:after="240"/>
              <w:jc w:val="center"/>
              <w:rPr>
                <w:b/>
              </w:rPr>
            </w:pPr>
            <w:r>
              <w:rPr>
                <w:b/>
              </w:rPr>
              <w:t>Overview</w:t>
            </w:r>
          </w:p>
        </w:tc>
      </w:tr>
      <w:tr w:rsidR="00DC3BD9" w14:paraId="093887AD" w14:textId="77777777" w:rsidTr="00F10310">
        <w:tc>
          <w:tcPr>
            <w:tcW w:w="3085" w:type="dxa"/>
          </w:tcPr>
          <w:p w14:paraId="2D90E374" w14:textId="1660C36B" w:rsidR="00F10310" w:rsidRPr="0043705D" w:rsidRDefault="00CB34CD" w:rsidP="00C925DE">
            <w:pPr>
              <w:spacing w:after="240"/>
              <w:rPr>
                <w:b/>
              </w:rPr>
            </w:pPr>
            <w:r>
              <w:rPr>
                <w:b/>
              </w:rPr>
              <w:t>Case</w:t>
            </w:r>
            <w:r w:rsidR="00A5239F">
              <w:rPr>
                <w:b/>
              </w:rPr>
              <w:t xml:space="preserve"> Citation</w:t>
            </w:r>
          </w:p>
        </w:tc>
        <w:tc>
          <w:tcPr>
            <w:tcW w:w="5919" w:type="dxa"/>
          </w:tcPr>
          <w:p w14:paraId="2A7297DB" w14:textId="54EACD0B" w:rsidR="00F10310" w:rsidRDefault="00CB34CD" w:rsidP="00C925DE">
            <w:pPr>
              <w:spacing w:after="240"/>
            </w:pPr>
            <w:r>
              <w:t>N/A</w:t>
            </w:r>
          </w:p>
        </w:tc>
      </w:tr>
      <w:tr w:rsidR="00DC3BD9" w14:paraId="736ADF09" w14:textId="77777777" w:rsidTr="00F10310">
        <w:tc>
          <w:tcPr>
            <w:tcW w:w="3085" w:type="dxa"/>
          </w:tcPr>
          <w:p w14:paraId="58B9A687" w14:textId="77777777" w:rsidR="00F10310" w:rsidRPr="0043705D" w:rsidRDefault="00CB34CD" w:rsidP="00C925DE">
            <w:pPr>
              <w:spacing w:after="240"/>
              <w:rPr>
                <w:b/>
              </w:rPr>
            </w:pPr>
            <w:r>
              <w:rPr>
                <w:b/>
              </w:rPr>
              <w:t>Date</w:t>
            </w:r>
            <w:r w:rsidR="0026452F">
              <w:rPr>
                <w:b/>
              </w:rPr>
              <w:t xml:space="preserve"> of judgment</w:t>
            </w:r>
          </w:p>
        </w:tc>
        <w:tc>
          <w:tcPr>
            <w:tcW w:w="5919" w:type="dxa"/>
          </w:tcPr>
          <w:p w14:paraId="65366919" w14:textId="3CCAD198" w:rsidR="00F10310" w:rsidRDefault="00CB34CD" w:rsidP="00C925DE">
            <w:pPr>
              <w:spacing w:after="240"/>
            </w:pPr>
            <w:r>
              <w:t>19 April 2021</w:t>
            </w:r>
          </w:p>
        </w:tc>
      </w:tr>
      <w:tr w:rsidR="00DC3BD9" w14:paraId="46E9CAD5" w14:textId="77777777" w:rsidTr="00F10310">
        <w:tc>
          <w:tcPr>
            <w:tcW w:w="3085" w:type="dxa"/>
          </w:tcPr>
          <w:p w14:paraId="65FB5F3E" w14:textId="59C7267B" w:rsidR="00F10310" w:rsidRPr="0043705D" w:rsidRDefault="00CB34CD" w:rsidP="00C925DE">
            <w:pPr>
              <w:spacing w:after="240"/>
              <w:rPr>
                <w:b/>
              </w:rPr>
            </w:pPr>
            <w:r>
              <w:rPr>
                <w:b/>
              </w:rPr>
              <w:t>Country</w:t>
            </w:r>
          </w:p>
        </w:tc>
        <w:tc>
          <w:tcPr>
            <w:tcW w:w="5919" w:type="dxa"/>
          </w:tcPr>
          <w:p w14:paraId="7781BAD7" w14:textId="4D76F132" w:rsidR="00F10310" w:rsidRDefault="00CB34CD" w:rsidP="00C925DE">
            <w:pPr>
              <w:spacing w:after="240"/>
            </w:pPr>
            <w:r>
              <w:t xml:space="preserve">Turkey </w:t>
            </w:r>
          </w:p>
        </w:tc>
      </w:tr>
      <w:tr w:rsidR="00DC3BD9" w14:paraId="1C14BBE3" w14:textId="77777777" w:rsidTr="00F10310">
        <w:tc>
          <w:tcPr>
            <w:tcW w:w="3085" w:type="dxa"/>
          </w:tcPr>
          <w:p w14:paraId="31FAEEBB" w14:textId="0C37B117" w:rsidR="00A5239F" w:rsidRDefault="00CB34CD" w:rsidP="00C925DE">
            <w:pPr>
              <w:spacing w:after="240"/>
              <w:rPr>
                <w:b/>
              </w:rPr>
            </w:pPr>
            <w:r>
              <w:rPr>
                <w:b/>
              </w:rPr>
              <w:t>Original Language of Judgment</w:t>
            </w:r>
          </w:p>
        </w:tc>
        <w:tc>
          <w:tcPr>
            <w:tcW w:w="5919" w:type="dxa"/>
          </w:tcPr>
          <w:p w14:paraId="02A5575A" w14:textId="3973DA6A" w:rsidR="00A5239F" w:rsidRDefault="00CB34CD" w:rsidP="00C925DE">
            <w:pPr>
              <w:spacing w:after="240"/>
            </w:pPr>
            <w:r>
              <w:t xml:space="preserve">Turkish </w:t>
            </w:r>
          </w:p>
        </w:tc>
      </w:tr>
      <w:tr w:rsidR="00DC3BD9" w14:paraId="458BEC58" w14:textId="77777777" w:rsidTr="00F10310">
        <w:tc>
          <w:tcPr>
            <w:tcW w:w="3085" w:type="dxa"/>
          </w:tcPr>
          <w:p w14:paraId="1217299E" w14:textId="27519B3C" w:rsidR="00C925DE" w:rsidRDefault="00CB34CD" w:rsidP="00844489">
            <w:pPr>
              <w:spacing w:after="240"/>
              <w:rPr>
                <w:b/>
              </w:rPr>
            </w:pPr>
            <w:r>
              <w:rPr>
                <w:b/>
              </w:rPr>
              <w:t>Court</w:t>
            </w:r>
          </w:p>
        </w:tc>
        <w:tc>
          <w:tcPr>
            <w:tcW w:w="5919" w:type="dxa"/>
          </w:tcPr>
          <w:p w14:paraId="1DA45CE1" w14:textId="00AE81A9" w:rsidR="00C925DE" w:rsidRDefault="00CB34CD" w:rsidP="00C925DE">
            <w:pPr>
              <w:spacing w:after="240"/>
            </w:pPr>
            <w:r>
              <w:t xml:space="preserve">Istanbul [Confidential] Court of Execution  </w:t>
            </w:r>
          </w:p>
        </w:tc>
      </w:tr>
      <w:tr w:rsidR="00DC3BD9" w14:paraId="0A70C0DC" w14:textId="77777777" w:rsidTr="00F10310">
        <w:tc>
          <w:tcPr>
            <w:tcW w:w="3085" w:type="dxa"/>
          </w:tcPr>
          <w:p w14:paraId="23F6C62F" w14:textId="77777777" w:rsidR="00C925DE" w:rsidRDefault="00CB34CD" w:rsidP="00C925DE">
            <w:pPr>
              <w:spacing w:after="240"/>
              <w:rPr>
                <w:b/>
              </w:rPr>
            </w:pPr>
            <w:r>
              <w:rPr>
                <w:b/>
              </w:rPr>
              <w:t>Subject matter/catchwords</w:t>
            </w:r>
          </w:p>
        </w:tc>
        <w:tc>
          <w:tcPr>
            <w:tcW w:w="5919" w:type="dxa"/>
          </w:tcPr>
          <w:p w14:paraId="4D1DC739" w14:textId="521975AC" w:rsidR="00C925DE" w:rsidRDefault="00CB34CD" w:rsidP="00C925DE">
            <w:pPr>
              <w:spacing w:after="240"/>
            </w:pPr>
            <w:r>
              <w:t>Istanbul Court of Execution confirmed that crypto coins can be subject to attachment proceedings.</w:t>
            </w:r>
            <w:r w:rsidR="00850DCF">
              <w:t xml:space="preserve"> </w:t>
            </w:r>
          </w:p>
        </w:tc>
      </w:tr>
      <w:tr w:rsidR="00DC3BD9" w14:paraId="4DC6682C" w14:textId="77777777" w:rsidTr="00F10310">
        <w:tc>
          <w:tcPr>
            <w:tcW w:w="3085" w:type="dxa"/>
          </w:tcPr>
          <w:p w14:paraId="22A361A9" w14:textId="77777777" w:rsidR="0032577C" w:rsidRDefault="00CB34CD" w:rsidP="00C925DE">
            <w:pPr>
              <w:spacing w:after="240"/>
              <w:rPr>
                <w:b/>
              </w:rPr>
            </w:pPr>
            <w:r>
              <w:rPr>
                <w:b/>
              </w:rPr>
              <w:t xml:space="preserve">Decision </w:t>
            </w:r>
            <w:r w:rsidR="00C925DE">
              <w:rPr>
                <w:b/>
              </w:rPr>
              <w:t>summary</w:t>
            </w:r>
          </w:p>
        </w:tc>
        <w:tc>
          <w:tcPr>
            <w:tcW w:w="5919" w:type="dxa"/>
          </w:tcPr>
          <w:p w14:paraId="70E64A89" w14:textId="6D60F923" w:rsidR="00BC041D" w:rsidRDefault="00CB34CD" w:rsidP="000B7470">
            <w:pPr>
              <w:spacing w:after="240"/>
              <w:jc w:val="both"/>
            </w:pPr>
            <w:r>
              <w:t xml:space="preserve">The court of execution decided cryptocurrencies can be subject to the attachment on the ground that such assets must be </w:t>
            </w:r>
            <w:r w:rsidR="00F45890">
              <w:t xml:space="preserve">considered within the scope of </w:t>
            </w:r>
            <w:r>
              <w:t>commodit</w:t>
            </w:r>
            <w:r w:rsidR="00F45890">
              <w:t>ies</w:t>
            </w:r>
            <w:r>
              <w:t xml:space="preserve"> or securit</w:t>
            </w:r>
            <w:r w:rsidR="00F45890">
              <w:t>ies</w:t>
            </w:r>
            <w:r>
              <w:t xml:space="preserve"> as they can be </w:t>
            </w:r>
            <w:r w:rsidR="00F45890">
              <w:t>regarded</w:t>
            </w:r>
            <w:r>
              <w:t xml:space="preserve"> </w:t>
            </w:r>
            <w:r w:rsidR="00F45890">
              <w:t xml:space="preserve">as </w:t>
            </w:r>
            <w:r>
              <w:t>a digital foreign exchange or a digital currency.</w:t>
            </w:r>
          </w:p>
        </w:tc>
      </w:tr>
      <w:tr w:rsidR="00DC3BD9" w14:paraId="0131BA7E" w14:textId="77777777" w:rsidTr="00F10310">
        <w:tc>
          <w:tcPr>
            <w:tcW w:w="3085" w:type="dxa"/>
          </w:tcPr>
          <w:p w14:paraId="4F974A4F" w14:textId="77777777" w:rsidR="00F10310" w:rsidRPr="0043705D" w:rsidRDefault="00CB34CD" w:rsidP="009772ED">
            <w:pPr>
              <w:spacing w:after="240"/>
              <w:rPr>
                <w:b/>
              </w:rPr>
            </w:pPr>
            <w:r>
              <w:rPr>
                <w:b/>
              </w:rPr>
              <w:t xml:space="preserve">The digital asset involved </w:t>
            </w:r>
            <w:r w:rsidR="00C925DE">
              <w:rPr>
                <w:b/>
              </w:rPr>
              <w:t>(e.g. Bit</w:t>
            </w:r>
            <w:r w:rsidR="009772ED">
              <w:rPr>
                <w:b/>
              </w:rPr>
              <w:t>c</w:t>
            </w:r>
            <w:r w:rsidR="00C925DE">
              <w:rPr>
                <w:b/>
              </w:rPr>
              <w:t>oin, Ethereum, Ripple, etc.)</w:t>
            </w:r>
          </w:p>
        </w:tc>
        <w:tc>
          <w:tcPr>
            <w:tcW w:w="5919" w:type="dxa"/>
          </w:tcPr>
          <w:p w14:paraId="7A0A88DF" w14:textId="2D3224AA" w:rsidR="00BE312E" w:rsidRDefault="00CB34CD" w:rsidP="00C925DE">
            <w:pPr>
              <w:spacing w:after="240"/>
            </w:pPr>
            <w:r>
              <w:t>Not specified</w:t>
            </w:r>
          </w:p>
        </w:tc>
      </w:tr>
      <w:tr w:rsidR="00DC3BD9" w14:paraId="21656631" w14:textId="77777777" w:rsidTr="00F10310">
        <w:tc>
          <w:tcPr>
            <w:tcW w:w="3085" w:type="dxa"/>
          </w:tcPr>
          <w:p w14:paraId="6BCC2167" w14:textId="77777777" w:rsidR="00BE312E" w:rsidRPr="0043705D" w:rsidRDefault="00CB34CD" w:rsidP="00C925DE">
            <w:pPr>
              <w:spacing w:after="240"/>
              <w:rPr>
                <w:b/>
              </w:rPr>
            </w:pPr>
            <w:r>
              <w:rPr>
                <w:b/>
              </w:rPr>
              <w:t>Valuation issues</w:t>
            </w:r>
          </w:p>
        </w:tc>
        <w:tc>
          <w:tcPr>
            <w:tcW w:w="5919" w:type="dxa"/>
          </w:tcPr>
          <w:p w14:paraId="112A5E03" w14:textId="0ACCBD38" w:rsidR="00BE312E" w:rsidRDefault="00CB34CD" w:rsidP="00C925DE">
            <w:pPr>
              <w:spacing w:after="240"/>
            </w:pPr>
            <w:r>
              <w:t>N/A</w:t>
            </w:r>
          </w:p>
        </w:tc>
      </w:tr>
      <w:tr w:rsidR="00DC3BD9" w14:paraId="1F252E55" w14:textId="77777777" w:rsidTr="000F680D">
        <w:tc>
          <w:tcPr>
            <w:tcW w:w="9004" w:type="dxa"/>
            <w:gridSpan w:val="2"/>
            <w:shd w:val="clear" w:color="auto" w:fill="D9D9D9" w:themeFill="background1" w:themeFillShade="D9"/>
          </w:tcPr>
          <w:p w14:paraId="4A0E3C1E" w14:textId="77777777" w:rsidR="00BE312E" w:rsidRPr="00F10310" w:rsidRDefault="00CB34CD" w:rsidP="00AA5AAB">
            <w:pPr>
              <w:spacing w:after="240"/>
              <w:jc w:val="center"/>
              <w:rPr>
                <w:b/>
              </w:rPr>
            </w:pPr>
            <w:r>
              <w:rPr>
                <w:b/>
              </w:rPr>
              <w:t xml:space="preserve">Expanded </w:t>
            </w:r>
            <w:r w:rsidR="00AA5AAB">
              <w:rPr>
                <w:b/>
              </w:rPr>
              <w:t>Case D</w:t>
            </w:r>
            <w:r>
              <w:rPr>
                <w:b/>
              </w:rPr>
              <w:t>escription</w:t>
            </w:r>
          </w:p>
        </w:tc>
      </w:tr>
      <w:tr w:rsidR="00DC3BD9" w14:paraId="4089B552" w14:textId="77777777" w:rsidTr="00F10310">
        <w:tc>
          <w:tcPr>
            <w:tcW w:w="3085" w:type="dxa"/>
          </w:tcPr>
          <w:p w14:paraId="706F27C7" w14:textId="77777777" w:rsidR="00BE312E" w:rsidRPr="00F10310" w:rsidRDefault="00CB34CD" w:rsidP="00C925DE">
            <w:pPr>
              <w:spacing w:after="240"/>
              <w:rPr>
                <w:b/>
              </w:rPr>
            </w:pPr>
            <w:r>
              <w:rPr>
                <w:b/>
              </w:rPr>
              <w:t>Debtor</w:t>
            </w:r>
          </w:p>
        </w:tc>
        <w:tc>
          <w:tcPr>
            <w:tcW w:w="5919" w:type="dxa"/>
          </w:tcPr>
          <w:p w14:paraId="7355E045" w14:textId="4F29D508" w:rsidR="00BE312E" w:rsidRDefault="00CB34CD" w:rsidP="00C925DE">
            <w:pPr>
              <w:spacing w:after="240"/>
            </w:pPr>
            <w:r>
              <w:t>[Confidential]</w:t>
            </w:r>
          </w:p>
        </w:tc>
      </w:tr>
      <w:tr w:rsidR="00DC3BD9" w14:paraId="1244D0A4" w14:textId="77777777" w:rsidTr="00F10310">
        <w:tc>
          <w:tcPr>
            <w:tcW w:w="3085" w:type="dxa"/>
          </w:tcPr>
          <w:p w14:paraId="7047F3CF" w14:textId="261AB707" w:rsidR="00A5239F" w:rsidRDefault="00CB34CD" w:rsidP="00C925DE">
            <w:pPr>
              <w:spacing w:after="240"/>
              <w:rPr>
                <w:b/>
              </w:rPr>
            </w:pPr>
            <w:r>
              <w:rPr>
                <w:b/>
              </w:rPr>
              <w:t>Identity of Insolvency Practitioner (if applicable)</w:t>
            </w:r>
          </w:p>
        </w:tc>
        <w:tc>
          <w:tcPr>
            <w:tcW w:w="5919" w:type="dxa"/>
          </w:tcPr>
          <w:p w14:paraId="13612E95" w14:textId="785C29AF" w:rsidR="00A5239F" w:rsidRDefault="00CB34CD" w:rsidP="00C925DE">
            <w:pPr>
              <w:spacing w:after="240"/>
            </w:pPr>
            <w:r>
              <w:t>N/A</w:t>
            </w:r>
          </w:p>
        </w:tc>
      </w:tr>
      <w:tr w:rsidR="00DC3BD9" w14:paraId="1270FC92" w14:textId="77777777" w:rsidTr="00F10310">
        <w:tc>
          <w:tcPr>
            <w:tcW w:w="3085" w:type="dxa"/>
          </w:tcPr>
          <w:p w14:paraId="7DFDE72C" w14:textId="77777777" w:rsidR="00C925DE" w:rsidRDefault="00CB34CD" w:rsidP="00C925DE">
            <w:pPr>
              <w:spacing w:after="240"/>
              <w:rPr>
                <w:b/>
              </w:rPr>
            </w:pPr>
            <w:r>
              <w:rPr>
                <w:b/>
              </w:rPr>
              <w:t>Authorities considered by this case (categorized by country)</w:t>
            </w:r>
          </w:p>
        </w:tc>
        <w:tc>
          <w:tcPr>
            <w:tcW w:w="5919" w:type="dxa"/>
          </w:tcPr>
          <w:p w14:paraId="64837E82" w14:textId="25B40CFD" w:rsidR="00C925DE" w:rsidRDefault="00CB34CD" w:rsidP="00C925DE">
            <w:pPr>
              <w:spacing w:after="240"/>
            </w:pPr>
            <w:r>
              <w:t xml:space="preserve">Istanbul </w:t>
            </w:r>
            <w:r w:rsidR="005373A7">
              <w:t>14</w:t>
            </w:r>
            <w:r w:rsidR="005373A7" w:rsidRPr="005373A7">
              <w:rPr>
                <w:vertAlign w:val="superscript"/>
              </w:rPr>
              <w:t>th</w:t>
            </w:r>
            <w:r w:rsidR="005373A7">
              <w:t xml:space="preserve"> </w:t>
            </w:r>
            <w:r>
              <w:t>Execution Office</w:t>
            </w:r>
          </w:p>
          <w:p w14:paraId="109A81C4" w14:textId="4838EFA5" w:rsidR="005373A7" w:rsidRDefault="00CB34CD" w:rsidP="00C925DE">
            <w:pPr>
              <w:spacing w:after="240"/>
            </w:pPr>
            <w:r>
              <w:t xml:space="preserve">Istanbul </w:t>
            </w:r>
            <w:r w:rsidR="00EA1049">
              <w:t xml:space="preserve">[Confidential] </w:t>
            </w:r>
            <w:r>
              <w:t>Court of Execut</w:t>
            </w:r>
            <w:r w:rsidR="00EA1049">
              <w:t>i</w:t>
            </w:r>
            <w:r>
              <w:t xml:space="preserve">on </w:t>
            </w:r>
          </w:p>
        </w:tc>
      </w:tr>
      <w:tr w:rsidR="00DC3BD9" w14:paraId="5951BCE0" w14:textId="77777777" w:rsidTr="00F10310">
        <w:tc>
          <w:tcPr>
            <w:tcW w:w="3085" w:type="dxa"/>
          </w:tcPr>
          <w:p w14:paraId="139621A4" w14:textId="77777777" w:rsidR="00BE312E" w:rsidRDefault="00CB34CD" w:rsidP="00C925DE">
            <w:pPr>
              <w:spacing w:after="240"/>
              <w:rPr>
                <w:b/>
              </w:rPr>
            </w:pPr>
            <w:r>
              <w:rPr>
                <w:b/>
              </w:rPr>
              <w:t>Domestic legislation applied</w:t>
            </w:r>
          </w:p>
        </w:tc>
        <w:tc>
          <w:tcPr>
            <w:tcW w:w="5919" w:type="dxa"/>
          </w:tcPr>
          <w:p w14:paraId="019557B0" w14:textId="40645502" w:rsidR="00BE312E" w:rsidRDefault="00CB34CD" w:rsidP="00301996">
            <w:pPr>
              <w:spacing w:after="240"/>
              <w:jc w:val="both"/>
            </w:pPr>
            <w:r>
              <w:t>Article 89 of the Law No. 2004 on Execution and Insolvency</w:t>
            </w:r>
            <w:r w:rsidR="009F7203">
              <w:t xml:space="preserve"> (“</w:t>
            </w:r>
            <w:r w:rsidR="009F7203" w:rsidRPr="009F7203">
              <w:rPr>
                <w:b/>
                <w:bCs/>
              </w:rPr>
              <w:t>LEI</w:t>
            </w:r>
            <w:r w:rsidR="009F7203">
              <w:t>”)</w:t>
            </w:r>
            <w:r>
              <w:t xml:space="preserve"> </w:t>
            </w:r>
          </w:p>
        </w:tc>
      </w:tr>
      <w:tr w:rsidR="00DC3BD9" w14:paraId="1CA6B705" w14:textId="77777777" w:rsidTr="00F10310">
        <w:tc>
          <w:tcPr>
            <w:tcW w:w="3085" w:type="dxa"/>
          </w:tcPr>
          <w:p w14:paraId="2FC7B139" w14:textId="77777777" w:rsidR="00BE312E" w:rsidRDefault="00CB34CD" w:rsidP="00C925DE">
            <w:pPr>
              <w:spacing w:after="240"/>
              <w:rPr>
                <w:b/>
              </w:rPr>
            </w:pPr>
            <w:r>
              <w:rPr>
                <w:b/>
              </w:rPr>
              <w:t>Factual b</w:t>
            </w:r>
            <w:r w:rsidR="00557228">
              <w:rPr>
                <w:b/>
              </w:rPr>
              <w:t xml:space="preserve">ackground </w:t>
            </w:r>
          </w:p>
        </w:tc>
        <w:tc>
          <w:tcPr>
            <w:tcW w:w="5919" w:type="dxa"/>
          </w:tcPr>
          <w:p w14:paraId="59B38AD2" w14:textId="77777777" w:rsidR="00301996" w:rsidRDefault="00CB34CD" w:rsidP="00301996">
            <w:pPr>
              <w:spacing w:after="240"/>
              <w:jc w:val="both"/>
            </w:pPr>
            <w:r>
              <w:t>On 5 March 2021, Istanbul 14</w:t>
            </w:r>
            <w:r w:rsidRPr="00850DCF">
              <w:rPr>
                <w:vertAlign w:val="superscript"/>
              </w:rPr>
              <w:t>th</w:t>
            </w:r>
            <w:r>
              <w:t xml:space="preserve"> Execution Office attached the debtor's crypto coin accounts and sent a notification to the cryptocurrency exchange platform on which the debtor affected his cryptocurrency transactions, warning that any payments from that very moment must be made to the execution office instead of the debtor until the debt is fully paid. </w:t>
            </w:r>
          </w:p>
          <w:p w14:paraId="57E17746" w14:textId="77777777" w:rsidR="00301996" w:rsidRDefault="00CB34CD" w:rsidP="00301996">
            <w:pPr>
              <w:spacing w:after="240"/>
              <w:jc w:val="both"/>
            </w:pPr>
            <w:r>
              <w:t xml:space="preserve">The debtor objected execution office’s attachment claiming that cryptocurrency exchange platforms are neither a bank nor capital markets intermediary institutions. </w:t>
            </w:r>
          </w:p>
          <w:p w14:paraId="1AE6A077" w14:textId="7FA9A23A" w:rsidR="00E11A69" w:rsidRDefault="00CB34CD" w:rsidP="00301996">
            <w:pPr>
              <w:spacing w:after="240"/>
              <w:jc w:val="both"/>
            </w:pPr>
            <w:r>
              <w:lastRenderedPageBreak/>
              <w:t>The court overruled the debtor's objection regarding the attachment because such assets must be regarded as though they are a commodity or security as they can be considered a digital foreign exchange or a digital currency.</w:t>
            </w:r>
          </w:p>
        </w:tc>
      </w:tr>
      <w:tr w:rsidR="00DC3BD9" w14:paraId="185AC5DE" w14:textId="77777777" w:rsidTr="00F10310">
        <w:tc>
          <w:tcPr>
            <w:tcW w:w="3085" w:type="dxa"/>
          </w:tcPr>
          <w:p w14:paraId="42C800BA" w14:textId="77777777" w:rsidR="00BE312E" w:rsidRDefault="00CB34CD" w:rsidP="00C925DE">
            <w:pPr>
              <w:spacing w:after="240"/>
              <w:rPr>
                <w:b/>
              </w:rPr>
            </w:pPr>
            <w:r>
              <w:rPr>
                <w:b/>
              </w:rPr>
              <w:lastRenderedPageBreak/>
              <w:t xml:space="preserve">Legal </w:t>
            </w:r>
            <w:r w:rsidR="00C925DE">
              <w:rPr>
                <w:b/>
              </w:rPr>
              <w:t>issues</w:t>
            </w:r>
            <w:r>
              <w:rPr>
                <w:b/>
              </w:rPr>
              <w:t xml:space="preserve"> </w:t>
            </w:r>
          </w:p>
        </w:tc>
        <w:tc>
          <w:tcPr>
            <w:tcW w:w="5919" w:type="dxa"/>
          </w:tcPr>
          <w:p w14:paraId="7DFC714F" w14:textId="1019E56D" w:rsidR="00301996" w:rsidRDefault="00CB34CD" w:rsidP="00724083">
            <w:pPr>
              <w:spacing w:after="240"/>
              <w:jc w:val="both"/>
            </w:pPr>
            <w:r>
              <w:t xml:space="preserve">The main legal issue considered by the court was whether cryptocurrencies could be subject to attachment proceedings. </w:t>
            </w:r>
          </w:p>
          <w:p w14:paraId="6118E896" w14:textId="0E71C76F" w:rsidR="00724083" w:rsidRDefault="00CB34CD" w:rsidP="00301996">
            <w:pPr>
              <w:spacing w:after="240"/>
              <w:jc w:val="both"/>
            </w:pPr>
            <w:r>
              <w:t xml:space="preserve">In Turkish law, execution proceedings are separately determined for movable and immovable properties. According to Article 106 of the LEI, receivables of the debtor from third parties are also considered as though immovable properties with respect to execution proceedings. In this respect, movable and immovable properties and receivables from third parties can be attached. </w:t>
            </w:r>
          </w:p>
          <w:p w14:paraId="074535C3" w14:textId="77777777" w:rsidR="00301996" w:rsidRDefault="00CB34CD" w:rsidP="00724083">
            <w:pPr>
              <w:spacing w:after="240"/>
              <w:jc w:val="both"/>
            </w:pPr>
            <w:r>
              <w:t xml:space="preserve">The </w:t>
            </w:r>
            <w:r w:rsidR="009F7203">
              <w:t>qualification</w:t>
            </w:r>
            <w:r>
              <w:t xml:space="preserve"> of </w:t>
            </w:r>
            <w:r w:rsidR="009F7203">
              <w:t>cryptocurrencies is controversial in Turkish law and the legal framework yet to be drawn.</w:t>
            </w:r>
            <w:r w:rsidR="00724083">
              <w:t xml:space="preserve"> Various scholars suggest that they can be regarded as a commodity, movable property, money, or foreign exchange. </w:t>
            </w:r>
            <w:r w:rsidR="009F7203">
              <w:t xml:space="preserve"> </w:t>
            </w:r>
          </w:p>
          <w:p w14:paraId="0DD0A51B" w14:textId="1AD20279" w:rsidR="00724083" w:rsidRPr="00B91826" w:rsidRDefault="00CB34CD" w:rsidP="00724083">
            <w:pPr>
              <w:spacing w:after="240"/>
              <w:jc w:val="both"/>
            </w:pPr>
            <w:r>
              <w:t>By Turkish scholars, the assets that can be attached for the debtor’s debt is interpreted broadly to include any asset of the debtor that has a monetary value</w:t>
            </w:r>
            <w:r>
              <w:rPr>
                <w:rStyle w:val="DipnotBavurusu"/>
              </w:rPr>
              <w:footnoteReference w:id="1"/>
            </w:r>
            <w:r>
              <w:t>. As cryptocurrencies represent a monetary value, it is accepted that they can be subject to attachment proceedings</w:t>
            </w:r>
            <w:r>
              <w:rPr>
                <w:rStyle w:val="DipnotBavurusu"/>
              </w:rPr>
              <w:footnoteReference w:id="2"/>
            </w:r>
            <w:r>
              <w:t>. Their qualification is, however, controversial</w:t>
            </w:r>
            <w:r w:rsidR="00E30704">
              <w:t xml:space="preserve">. </w:t>
            </w:r>
          </w:p>
        </w:tc>
      </w:tr>
      <w:tr w:rsidR="00DC3BD9" w14:paraId="17B0EF80" w14:textId="77777777" w:rsidTr="00F10310">
        <w:tc>
          <w:tcPr>
            <w:tcW w:w="3085" w:type="dxa"/>
          </w:tcPr>
          <w:p w14:paraId="6D658CF1" w14:textId="77777777" w:rsidR="00BE312E" w:rsidRDefault="00CB34CD" w:rsidP="00C925DE">
            <w:pPr>
              <w:spacing w:after="240"/>
              <w:rPr>
                <w:b/>
              </w:rPr>
            </w:pPr>
            <w:r>
              <w:rPr>
                <w:b/>
              </w:rPr>
              <w:t>Reasoning</w:t>
            </w:r>
          </w:p>
        </w:tc>
        <w:tc>
          <w:tcPr>
            <w:tcW w:w="5919" w:type="dxa"/>
          </w:tcPr>
          <w:p w14:paraId="6BDCFBB3" w14:textId="5D774D07" w:rsidR="005373A7" w:rsidRPr="004A1911" w:rsidRDefault="00CB34CD" w:rsidP="00F45890">
            <w:pPr>
              <w:spacing w:after="240"/>
              <w:jc w:val="both"/>
            </w:pPr>
            <w:r>
              <w:t xml:space="preserve">The court based its decision on the ground that cryptocurrencies must be considered within the scope of commodities and securities as they can be regarded as a digital foreign exchange or digital currency. The court's qualification is limited to the scope of LEI and it should be noted that whether cryptocurrencies can be considered as a digital foreign exchange or a digital currency is controversial in Turkish law as they are not issued and guaranteed by governments. </w:t>
            </w:r>
          </w:p>
        </w:tc>
      </w:tr>
      <w:tr w:rsidR="00DC3BD9" w14:paraId="66C175F3" w14:textId="77777777" w:rsidTr="00F10310">
        <w:tc>
          <w:tcPr>
            <w:tcW w:w="3085" w:type="dxa"/>
          </w:tcPr>
          <w:p w14:paraId="79E0C382" w14:textId="77777777" w:rsidR="00BE312E" w:rsidRDefault="00CB34CD" w:rsidP="00C925DE">
            <w:pPr>
              <w:spacing w:after="240"/>
              <w:rPr>
                <w:b/>
              </w:rPr>
            </w:pPr>
            <w:r>
              <w:rPr>
                <w:b/>
              </w:rPr>
              <w:t>Further information</w:t>
            </w:r>
            <w:r w:rsidR="00C925DE">
              <w:rPr>
                <w:b/>
              </w:rPr>
              <w:t xml:space="preserve"> (e.g. liquidator’s website)</w:t>
            </w:r>
          </w:p>
        </w:tc>
        <w:tc>
          <w:tcPr>
            <w:tcW w:w="5919" w:type="dxa"/>
          </w:tcPr>
          <w:p w14:paraId="3EB95367" w14:textId="2865CA36" w:rsidR="00BE312E" w:rsidRDefault="002C47BF" w:rsidP="00C925DE">
            <w:pPr>
              <w:spacing w:after="240"/>
            </w:pPr>
            <w:r>
              <w:t>N/A</w:t>
            </w:r>
          </w:p>
        </w:tc>
      </w:tr>
    </w:tbl>
    <w:p w14:paraId="26D6DBD2" w14:textId="77777777" w:rsidR="00F10310" w:rsidRPr="00F10310" w:rsidRDefault="00F10310" w:rsidP="00F10310">
      <w:pPr>
        <w:jc w:val="center"/>
        <w:rPr>
          <w:b/>
          <w:i/>
          <w:sz w:val="28"/>
          <w:szCs w:val="28"/>
        </w:rPr>
      </w:pPr>
    </w:p>
    <w:sectPr w:rsidR="00F10310" w:rsidRPr="00F10310" w:rsidSect="00B37D3B">
      <w:footerReference w:type="even" r:id="rId9"/>
      <w:footerReference w:type="default" r:id="rId10"/>
      <w:footerReference w:type="first" r:id="rId11"/>
      <w:pgSz w:w="11907" w:h="16840" w:code="9"/>
      <w:pgMar w:top="1985" w:right="1418" w:bottom="1134" w:left="1701" w:header="680" w:footer="425"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D2B2" w14:textId="77777777" w:rsidR="008F478E" w:rsidRDefault="008F478E">
      <w:r>
        <w:separator/>
      </w:r>
    </w:p>
  </w:endnote>
  <w:endnote w:type="continuationSeparator" w:id="0">
    <w:p w14:paraId="32D12AA3" w14:textId="77777777" w:rsidR="008F478E" w:rsidRDefault="008F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27A9" w14:textId="77777777" w:rsidR="00B37D3B" w:rsidRDefault="00CB34CD" w:rsidP="00BA3057">
    <w:pPr>
      <w:pStyle w:val="AltBilgi"/>
      <w:framePr w:wrap="around"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2B6651">
      <w:rPr>
        <w:rStyle w:val="SayfaNumaras"/>
        <w:noProof/>
      </w:rPr>
      <w:t>2</w:t>
    </w:r>
    <w:r>
      <w:rPr>
        <w:rStyle w:val="SayfaNumaras"/>
      </w:rPr>
      <w:fldChar w:fldCharType="end"/>
    </w:r>
  </w:p>
  <w:tbl>
    <w:tblPr>
      <w:tblW w:w="5000" w:type="pct"/>
      <w:tblLook w:val="04A0" w:firstRow="1" w:lastRow="0" w:firstColumn="1" w:lastColumn="0" w:noHBand="0" w:noVBand="1"/>
    </w:tblPr>
    <w:tblGrid>
      <w:gridCol w:w="2988"/>
      <w:gridCol w:w="2857"/>
      <w:gridCol w:w="2943"/>
    </w:tblGrid>
    <w:tr w:rsidR="00DC3BD9" w14:paraId="12121B2D" w14:textId="77777777">
      <w:tc>
        <w:tcPr>
          <w:tcW w:w="3284" w:type="dxa"/>
          <w:shd w:val="clear" w:color="auto" w:fill="auto"/>
        </w:tcPr>
        <w:p w14:paraId="6EF47CB9" w14:textId="71F226A7" w:rsidR="00B37D3B" w:rsidRDefault="00CB34CD" w:rsidP="00B37D3B">
          <w:pPr>
            <w:pStyle w:val="AltBilgi"/>
            <w:framePr w:wrap="around" w:vAnchor="text" w:hAnchor="margin" w:xAlign="center" w:y="1"/>
            <w:rPr>
              <w:szCs w:val="16"/>
            </w:rPr>
          </w:pPr>
          <w:r>
            <w:rPr>
              <w:szCs w:val="16"/>
            </w:rPr>
            <w:fldChar w:fldCharType="begin"/>
          </w:r>
          <w:r>
            <w:rPr>
              <w:szCs w:val="16"/>
            </w:rPr>
            <w:instrText xml:space="preserve"> DOCPROPERTY DocumentDatabase  \* MERGEFORMAT</w:instrText>
          </w:r>
          <w:r>
            <w:rPr>
              <w:szCs w:val="16"/>
            </w:rPr>
            <w:fldChar w:fldCharType="separate"/>
          </w:r>
          <w:r w:rsidR="00E0719D">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E0719D">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E0719D">
            <w:rPr>
              <w:szCs w:val="16"/>
            </w:rPr>
            <w:t>1</w:t>
          </w:r>
          <w:r>
            <w:rPr>
              <w:bCs/>
              <w:szCs w:val="16"/>
              <w:lang w:val="en-US"/>
            </w:rPr>
            <w:fldChar w:fldCharType="end"/>
          </w:r>
        </w:p>
      </w:tc>
      <w:tc>
        <w:tcPr>
          <w:tcW w:w="3285" w:type="dxa"/>
          <w:shd w:val="clear" w:color="auto" w:fill="auto"/>
        </w:tcPr>
        <w:p w14:paraId="3461A8A3" w14:textId="77777777" w:rsidR="00B37D3B" w:rsidRDefault="00B37D3B" w:rsidP="00B37D3B">
          <w:pPr>
            <w:pStyle w:val="AltBilgi"/>
            <w:framePr w:wrap="around" w:vAnchor="text" w:hAnchor="margin" w:xAlign="center" w:y="1"/>
            <w:jc w:val="center"/>
            <w:rPr>
              <w:szCs w:val="16"/>
            </w:rPr>
          </w:pPr>
        </w:p>
      </w:tc>
      <w:tc>
        <w:tcPr>
          <w:tcW w:w="3285" w:type="dxa"/>
          <w:shd w:val="clear" w:color="auto" w:fill="auto"/>
        </w:tcPr>
        <w:p w14:paraId="218F508E" w14:textId="77777777" w:rsidR="00B37D3B" w:rsidRDefault="00CB34CD" w:rsidP="00B37D3B">
          <w:pPr>
            <w:pStyle w:val="AltBilgi"/>
            <w:framePr w:wrap="around" w:vAnchor="text" w:hAnchor="margin" w:xAlign="center" w:y="1"/>
            <w:jc w:val="right"/>
            <w:rPr>
              <w:szCs w:val="16"/>
            </w:rPr>
          </w:pPr>
          <w:r>
            <w:rPr>
              <w:szCs w:val="16"/>
            </w:rPr>
            <w:t>© Norton Rose Fulbright Australia</w:t>
          </w:r>
        </w:p>
      </w:tc>
    </w:tr>
  </w:tbl>
  <w:p w14:paraId="5BA93AAE" w14:textId="77777777" w:rsidR="00A2314B" w:rsidRDefault="00A231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4E81" w14:textId="26CD0779" w:rsidR="00B37D3B" w:rsidRDefault="00CB34CD" w:rsidP="00BA3057">
    <w:pPr>
      <w:pStyle w:val="AltBilgi"/>
      <w:framePr w:wrap="around" w:vAnchor="text" w:hAnchor="margin" w:xAlign="center" w:y="1"/>
      <w:rPr>
        <w:rStyle w:val="SayfaNumaras"/>
      </w:rPr>
    </w:pPr>
    <w:r w:rsidRPr="00B37D3B">
      <w:rPr>
        <w:rStyle w:val="SayfaNumaras"/>
      </w:rPr>
      <w:fldChar w:fldCharType="begin"/>
    </w:r>
    <w:r w:rsidRPr="00B37D3B">
      <w:rPr>
        <w:rStyle w:val="SayfaNumaras"/>
      </w:rPr>
      <w:instrText xml:space="preserve"> PAGE </w:instrText>
    </w:r>
    <w:r w:rsidRPr="00B37D3B">
      <w:rPr>
        <w:rStyle w:val="SayfaNumaras"/>
      </w:rPr>
      <w:fldChar w:fldCharType="separate"/>
    </w:r>
    <w:r w:rsidR="00A5239F">
      <w:rPr>
        <w:rStyle w:val="SayfaNumaras"/>
        <w:noProof/>
      </w:rPr>
      <w:t>1</w:t>
    </w:r>
    <w:r w:rsidRPr="00B37D3B">
      <w:rPr>
        <w:rStyle w:val="SayfaNumaras"/>
      </w:rPr>
      <w:fldChar w:fldCharType="end"/>
    </w:r>
  </w:p>
  <w:tbl>
    <w:tblPr>
      <w:tblW w:w="5000" w:type="pct"/>
      <w:tblLook w:val="04A0" w:firstRow="1" w:lastRow="0" w:firstColumn="1" w:lastColumn="0" w:noHBand="0" w:noVBand="1"/>
    </w:tblPr>
    <w:tblGrid>
      <w:gridCol w:w="2988"/>
      <w:gridCol w:w="2857"/>
      <w:gridCol w:w="2943"/>
    </w:tblGrid>
    <w:tr w:rsidR="00DC3BD9" w14:paraId="658C13F7" w14:textId="77777777">
      <w:tc>
        <w:tcPr>
          <w:tcW w:w="3284" w:type="dxa"/>
          <w:shd w:val="clear" w:color="auto" w:fill="auto"/>
        </w:tcPr>
        <w:p w14:paraId="1E97A719" w14:textId="06CA8B2C" w:rsidR="00B37D3B" w:rsidRDefault="00CB34CD">
          <w:pPr>
            <w:pStyle w:val="AltBilgi"/>
            <w:rPr>
              <w:szCs w:val="16"/>
            </w:rPr>
          </w:pPr>
          <w:r>
            <w:rPr>
              <w:szCs w:val="16"/>
            </w:rPr>
            <w:fldChar w:fldCharType="begin"/>
          </w:r>
          <w:r>
            <w:rPr>
              <w:szCs w:val="16"/>
            </w:rPr>
            <w:instrText xml:space="preserve"> DOCPROPERTY DocumentDatabase  \* MERGEFORMAT</w:instrText>
          </w:r>
          <w:r>
            <w:rPr>
              <w:szCs w:val="16"/>
            </w:rPr>
            <w:fldChar w:fldCharType="separate"/>
          </w:r>
          <w:r w:rsidR="00E0719D">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E0719D">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E0719D">
            <w:rPr>
              <w:szCs w:val="16"/>
            </w:rPr>
            <w:t>1</w:t>
          </w:r>
          <w:r>
            <w:rPr>
              <w:bCs/>
              <w:szCs w:val="16"/>
              <w:lang w:val="en-US"/>
            </w:rPr>
            <w:fldChar w:fldCharType="end"/>
          </w:r>
        </w:p>
      </w:tc>
      <w:tc>
        <w:tcPr>
          <w:tcW w:w="3285" w:type="dxa"/>
          <w:shd w:val="clear" w:color="auto" w:fill="auto"/>
        </w:tcPr>
        <w:p w14:paraId="3AF223DA" w14:textId="77777777" w:rsidR="00B37D3B" w:rsidRDefault="00B37D3B">
          <w:pPr>
            <w:pStyle w:val="AltBilgi"/>
            <w:jc w:val="center"/>
            <w:rPr>
              <w:szCs w:val="16"/>
            </w:rPr>
          </w:pPr>
        </w:p>
      </w:tc>
      <w:tc>
        <w:tcPr>
          <w:tcW w:w="3285" w:type="dxa"/>
          <w:shd w:val="clear" w:color="auto" w:fill="auto"/>
        </w:tcPr>
        <w:p w14:paraId="76563DC1" w14:textId="77777777" w:rsidR="00B37D3B" w:rsidRDefault="00CB34CD">
          <w:pPr>
            <w:pStyle w:val="AltBilgi"/>
            <w:jc w:val="right"/>
            <w:rPr>
              <w:szCs w:val="16"/>
            </w:rPr>
          </w:pPr>
          <w:r>
            <w:rPr>
              <w:szCs w:val="16"/>
            </w:rPr>
            <w:t>© Norton Rose Fulbright Australia</w:t>
          </w:r>
        </w:p>
      </w:tc>
    </w:tr>
  </w:tbl>
  <w:p w14:paraId="49E6D880" w14:textId="77777777" w:rsidR="00A2314B" w:rsidRPr="00B37D3B" w:rsidRDefault="00A2314B" w:rsidP="00B37D3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988"/>
      <w:gridCol w:w="2857"/>
      <w:gridCol w:w="2943"/>
    </w:tblGrid>
    <w:tr w:rsidR="00DC3BD9" w14:paraId="49D108ED" w14:textId="77777777">
      <w:tc>
        <w:tcPr>
          <w:tcW w:w="3284" w:type="dxa"/>
          <w:shd w:val="clear" w:color="auto" w:fill="auto"/>
        </w:tcPr>
        <w:p w14:paraId="3D31500C" w14:textId="0588CF0A" w:rsidR="00B37D3B" w:rsidRDefault="00CB34CD">
          <w:pPr>
            <w:pStyle w:val="AltBilgi"/>
            <w:rPr>
              <w:szCs w:val="16"/>
            </w:rPr>
          </w:pPr>
          <w:r>
            <w:rPr>
              <w:szCs w:val="16"/>
            </w:rPr>
            <w:fldChar w:fldCharType="begin"/>
          </w:r>
          <w:r>
            <w:rPr>
              <w:szCs w:val="16"/>
            </w:rPr>
            <w:instrText xml:space="preserve"> DOCPROPERTY DocumentDatabase  \* MERGEFORMAT</w:instrText>
          </w:r>
          <w:r>
            <w:rPr>
              <w:szCs w:val="16"/>
            </w:rPr>
            <w:fldChar w:fldCharType="separate"/>
          </w:r>
          <w:r w:rsidR="00E0719D">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E0719D">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E0719D">
            <w:rPr>
              <w:szCs w:val="16"/>
            </w:rPr>
            <w:t>1</w:t>
          </w:r>
          <w:r>
            <w:rPr>
              <w:bCs/>
              <w:szCs w:val="16"/>
              <w:lang w:val="en-US"/>
            </w:rPr>
            <w:fldChar w:fldCharType="end"/>
          </w:r>
        </w:p>
      </w:tc>
      <w:tc>
        <w:tcPr>
          <w:tcW w:w="3285" w:type="dxa"/>
          <w:shd w:val="clear" w:color="auto" w:fill="auto"/>
        </w:tcPr>
        <w:p w14:paraId="27D8AD49" w14:textId="77777777" w:rsidR="00B37D3B" w:rsidRDefault="00B37D3B">
          <w:pPr>
            <w:pStyle w:val="AltBilgi"/>
            <w:jc w:val="center"/>
            <w:rPr>
              <w:szCs w:val="16"/>
            </w:rPr>
          </w:pPr>
        </w:p>
      </w:tc>
      <w:tc>
        <w:tcPr>
          <w:tcW w:w="3285" w:type="dxa"/>
          <w:shd w:val="clear" w:color="auto" w:fill="auto"/>
        </w:tcPr>
        <w:p w14:paraId="3E7C8397" w14:textId="77777777" w:rsidR="00B37D3B" w:rsidRDefault="00CB34CD">
          <w:pPr>
            <w:pStyle w:val="AltBilgi"/>
            <w:jc w:val="right"/>
            <w:rPr>
              <w:szCs w:val="16"/>
            </w:rPr>
          </w:pPr>
          <w:r>
            <w:rPr>
              <w:szCs w:val="16"/>
            </w:rPr>
            <w:t>© Norton Rose Fulbright Australia</w:t>
          </w:r>
        </w:p>
      </w:tc>
    </w:tr>
  </w:tbl>
  <w:p w14:paraId="73505A77" w14:textId="77777777" w:rsidR="00A2314B" w:rsidRDefault="00A231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B0C5" w14:textId="77777777" w:rsidR="008F478E" w:rsidRDefault="008F478E">
      <w:r>
        <w:separator/>
      </w:r>
    </w:p>
  </w:footnote>
  <w:footnote w:type="continuationSeparator" w:id="0">
    <w:p w14:paraId="5B461556" w14:textId="77777777" w:rsidR="008F478E" w:rsidRDefault="008F478E">
      <w:r>
        <w:continuationSeparator/>
      </w:r>
    </w:p>
  </w:footnote>
  <w:footnote w:id="1">
    <w:p w14:paraId="091B81E3" w14:textId="77777777" w:rsidR="00724083" w:rsidRPr="005373A7" w:rsidRDefault="00CB34CD" w:rsidP="00724083">
      <w:pPr>
        <w:pStyle w:val="DipnotMetni"/>
        <w:rPr>
          <w:sz w:val="16"/>
          <w:szCs w:val="16"/>
          <w:lang w:val="tr-TR"/>
        </w:rPr>
      </w:pPr>
      <w:r w:rsidRPr="005373A7">
        <w:rPr>
          <w:rStyle w:val="DipnotBavurusu"/>
          <w:sz w:val="16"/>
          <w:szCs w:val="16"/>
        </w:rPr>
        <w:footnoteRef/>
      </w:r>
      <w:r w:rsidRPr="005373A7">
        <w:rPr>
          <w:sz w:val="16"/>
          <w:szCs w:val="16"/>
        </w:rPr>
        <w:t xml:space="preserve"> </w:t>
      </w:r>
      <w:r w:rsidRPr="005373A7">
        <w:rPr>
          <w:b/>
          <w:bCs/>
          <w:sz w:val="16"/>
          <w:szCs w:val="16"/>
          <w:lang w:val="tr-TR"/>
        </w:rPr>
        <w:t>KURU</w:t>
      </w:r>
      <w:r w:rsidRPr="005373A7">
        <w:rPr>
          <w:sz w:val="16"/>
          <w:szCs w:val="16"/>
          <w:lang w:val="tr-TR"/>
        </w:rPr>
        <w:t xml:space="preserve">, Baki; Haczi Caiz Olmayan Şeyler, AÜHFD, 1962. </w:t>
      </w:r>
    </w:p>
  </w:footnote>
  <w:footnote w:id="2">
    <w:p w14:paraId="7F52A532" w14:textId="77777777" w:rsidR="00724083" w:rsidRPr="005373A7" w:rsidRDefault="00CB34CD" w:rsidP="00724083">
      <w:pPr>
        <w:pStyle w:val="DipnotMetni"/>
        <w:rPr>
          <w:sz w:val="16"/>
          <w:szCs w:val="16"/>
          <w:lang w:val="tr-TR"/>
        </w:rPr>
      </w:pPr>
      <w:r w:rsidRPr="005373A7">
        <w:rPr>
          <w:rStyle w:val="DipnotBavurusu"/>
          <w:sz w:val="16"/>
          <w:szCs w:val="16"/>
        </w:rPr>
        <w:footnoteRef/>
      </w:r>
      <w:r w:rsidRPr="002C47BF">
        <w:rPr>
          <w:sz w:val="16"/>
          <w:szCs w:val="16"/>
          <w:lang w:val="tr-TR"/>
        </w:rPr>
        <w:t xml:space="preserve"> </w:t>
      </w:r>
      <w:r w:rsidRPr="005373A7">
        <w:rPr>
          <w:b/>
          <w:bCs/>
          <w:sz w:val="16"/>
          <w:szCs w:val="16"/>
          <w:lang w:val="tr-TR"/>
        </w:rPr>
        <w:t>ÖZSOY</w:t>
      </w:r>
      <w:r w:rsidRPr="005373A7">
        <w:rPr>
          <w:sz w:val="16"/>
          <w:szCs w:val="16"/>
          <w:lang w:val="tr-TR"/>
        </w:rPr>
        <w:t xml:space="preserve">, İlker Mete; Kripto Para Varlıklarının Cebrî İcra Yolu ile Haczi, Ankara,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 w15:restartNumberingAfterBreak="0">
    <w:nsid w:val="06576DDF"/>
    <w:multiLevelType w:val="hybridMultilevel"/>
    <w:tmpl w:val="90104300"/>
    <w:lvl w:ilvl="0" w:tplc="978EB754">
      <w:start w:val="1"/>
      <w:numFmt w:val="bullet"/>
      <w:lvlText w:val=""/>
      <w:lvlJc w:val="left"/>
      <w:pPr>
        <w:ind w:left="360" w:hanging="360"/>
      </w:pPr>
      <w:rPr>
        <w:rFonts w:ascii="Symbol" w:hAnsi="Symbol" w:hint="default"/>
      </w:rPr>
    </w:lvl>
    <w:lvl w:ilvl="1" w:tplc="A53C6BD4" w:tentative="1">
      <w:start w:val="1"/>
      <w:numFmt w:val="bullet"/>
      <w:lvlText w:val="o"/>
      <w:lvlJc w:val="left"/>
      <w:pPr>
        <w:ind w:left="1080" w:hanging="360"/>
      </w:pPr>
      <w:rPr>
        <w:rFonts w:ascii="Courier New" w:hAnsi="Courier New" w:cs="Courier New" w:hint="default"/>
      </w:rPr>
    </w:lvl>
    <w:lvl w:ilvl="2" w:tplc="0D283C82" w:tentative="1">
      <w:start w:val="1"/>
      <w:numFmt w:val="bullet"/>
      <w:lvlText w:val=""/>
      <w:lvlJc w:val="left"/>
      <w:pPr>
        <w:ind w:left="1800" w:hanging="360"/>
      </w:pPr>
      <w:rPr>
        <w:rFonts w:ascii="Wingdings" w:hAnsi="Wingdings" w:hint="default"/>
      </w:rPr>
    </w:lvl>
    <w:lvl w:ilvl="3" w:tplc="C338BF74" w:tentative="1">
      <w:start w:val="1"/>
      <w:numFmt w:val="bullet"/>
      <w:lvlText w:val=""/>
      <w:lvlJc w:val="left"/>
      <w:pPr>
        <w:ind w:left="2520" w:hanging="360"/>
      </w:pPr>
      <w:rPr>
        <w:rFonts w:ascii="Symbol" w:hAnsi="Symbol" w:hint="default"/>
      </w:rPr>
    </w:lvl>
    <w:lvl w:ilvl="4" w:tplc="3CC0EA70" w:tentative="1">
      <w:start w:val="1"/>
      <w:numFmt w:val="bullet"/>
      <w:lvlText w:val="o"/>
      <w:lvlJc w:val="left"/>
      <w:pPr>
        <w:ind w:left="3240" w:hanging="360"/>
      </w:pPr>
      <w:rPr>
        <w:rFonts w:ascii="Courier New" w:hAnsi="Courier New" w:cs="Courier New" w:hint="default"/>
      </w:rPr>
    </w:lvl>
    <w:lvl w:ilvl="5" w:tplc="8FC897E2" w:tentative="1">
      <w:start w:val="1"/>
      <w:numFmt w:val="bullet"/>
      <w:lvlText w:val=""/>
      <w:lvlJc w:val="left"/>
      <w:pPr>
        <w:ind w:left="3960" w:hanging="360"/>
      </w:pPr>
      <w:rPr>
        <w:rFonts w:ascii="Wingdings" w:hAnsi="Wingdings" w:hint="default"/>
      </w:rPr>
    </w:lvl>
    <w:lvl w:ilvl="6" w:tplc="53F8D780" w:tentative="1">
      <w:start w:val="1"/>
      <w:numFmt w:val="bullet"/>
      <w:lvlText w:val=""/>
      <w:lvlJc w:val="left"/>
      <w:pPr>
        <w:ind w:left="4680" w:hanging="360"/>
      </w:pPr>
      <w:rPr>
        <w:rFonts w:ascii="Symbol" w:hAnsi="Symbol" w:hint="default"/>
      </w:rPr>
    </w:lvl>
    <w:lvl w:ilvl="7" w:tplc="E2D81802" w:tentative="1">
      <w:start w:val="1"/>
      <w:numFmt w:val="bullet"/>
      <w:lvlText w:val="o"/>
      <w:lvlJc w:val="left"/>
      <w:pPr>
        <w:ind w:left="5400" w:hanging="360"/>
      </w:pPr>
      <w:rPr>
        <w:rFonts w:ascii="Courier New" w:hAnsi="Courier New" w:cs="Courier New" w:hint="default"/>
      </w:rPr>
    </w:lvl>
    <w:lvl w:ilvl="8" w:tplc="8B3AA15E" w:tentative="1">
      <w:start w:val="1"/>
      <w:numFmt w:val="bullet"/>
      <w:lvlText w:val=""/>
      <w:lvlJc w:val="left"/>
      <w:pPr>
        <w:ind w:left="6120" w:hanging="360"/>
      </w:pPr>
      <w:rPr>
        <w:rFonts w:ascii="Wingdings" w:hAnsi="Wingdings" w:hint="default"/>
      </w:rPr>
    </w:lvl>
  </w:abstractNum>
  <w:abstractNum w:abstractNumId="3" w15:restartNumberingAfterBreak="0">
    <w:nsid w:val="073A5B0F"/>
    <w:multiLevelType w:val="multilevel"/>
    <w:tmpl w:val="445C0742"/>
    <w:lvl w:ilvl="0">
      <w:start w:val="1"/>
      <w:numFmt w:val="decimal"/>
      <w:pStyle w:val="Balk1"/>
      <w:lvlText w:val="%1"/>
      <w:lvlJc w:val="left"/>
      <w:pPr>
        <w:tabs>
          <w:tab w:val="num" w:pos="709"/>
        </w:tabs>
        <w:ind w:left="709" w:hanging="709"/>
      </w:pPr>
      <w:rPr>
        <w:rFonts w:ascii="Arial" w:hAnsi="Arial" w:hint="default"/>
        <w:b/>
        <w:i w:val="0"/>
        <w:sz w:val="24"/>
      </w:rPr>
    </w:lvl>
    <w:lvl w:ilvl="1">
      <w:start w:val="1"/>
      <w:numFmt w:val="decimal"/>
      <w:pStyle w:val="Balk2"/>
      <w:lvlText w:val="%1.%2"/>
      <w:lvlJc w:val="left"/>
      <w:pPr>
        <w:tabs>
          <w:tab w:val="num" w:pos="709"/>
        </w:tabs>
        <w:ind w:left="709" w:hanging="709"/>
      </w:pPr>
      <w:rPr>
        <w:rFonts w:ascii="Arial" w:hAnsi="Arial" w:hint="default"/>
        <w:b w:val="0"/>
        <w:i w:val="0"/>
        <w:sz w:val="20"/>
      </w:rPr>
    </w:lvl>
    <w:lvl w:ilvl="2">
      <w:start w:val="1"/>
      <w:numFmt w:val="decimal"/>
      <w:pStyle w:val="Balk3"/>
      <w:lvlText w:val="(%3)"/>
      <w:lvlJc w:val="left"/>
      <w:pPr>
        <w:tabs>
          <w:tab w:val="num" w:pos="1418"/>
        </w:tabs>
        <w:ind w:left="1418" w:hanging="709"/>
      </w:pPr>
      <w:rPr>
        <w:rFonts w:ascii="Arial" w:hAnsi="Arial" w:hint="default"/>
        <w:b w:val="0"/>
        <w:i w:val="0"/>
        <w:sz w:val="20"/>
      </w:rPr>
    </w:lvl>
    <w:lvl w:ilvl="3">
      <w:start w:val="1"/>
      <w:numFmt w:val="lowerLetter"/>
      <w:pStyle w:val="Balk4"/>
      <w:lvlText w:val="(%4)"/>
      <w:lvlJc w:val="left"/>
      <w:pPr>
        <w:tabs>
          <w:tab w:val="num" w:pos="2126"/>
        </w:tabs>
        <w:ind w:left="2126" w:hanging="708"/>
      </w:pPr>
      <w:rPr>
        <w:rFonts w:ascii="Arial" w:hAnsi="Arial" w:hint="default"/>
        <w:b w:val="0"/>
        <w:i w:val="0"/>
        <w:sz w:val="20"/>
      </w:rPr>
    </w:lvl>
    <w:lvl w:ilvl="4">
      <w:start w:val="1"/>
      <w:numFmt w:val="lowerRoman"/>
      <w:pStyle w:val="Balk5"/>
      <w:lvlText w:val="(%5)"/>
      <w:lvlJc w:val="left"/>
      <w:pPr>
        <w:tabs>
          <w:tab w:val="num" w:pos="2835"/>
        </w:tabs>
        <w:ind w:left="2835" w:hanging="709"/>
      </w:pPr>
      <w:rPr>
        <w:rFonts w:ascii="Arial" w:hAnsi="Arial" w:hint="default"/>
        <w:b w:val="0"/>
        <w:i w:val="0"/>
        <w:sz w:val="20"/>
      </w:rPr>
    </w:lvl>
    <w:lvl w:ilvl="5">
      <w:start w:val="1"/>
      <w:numFmt w:val="upperLetter"/>
      <w:pStyle w:val="Balk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5" w15:restartNumberingAfterBreak="0">
    <w:nsid w:val="0D8E328D"/>
    <w:multiLevelType w:val="hybridMultilevel"/>
    <w:tmpl w:val="2EEEA6C2"/>
    <w:lvl w:ilvl="0" w:tplc="580ADE16">
      <w:start w:val="1"/>
      <w:numFmt w:val="bullet"/>
      <w:lvlText w:val=""/>
      <w:lvlJc w:val="left"/>
      <w:pPr>
        <w:ind w:left="720" w:hanging="360"/>
      </w:pPr>
      <w:rPr>
        <w:rFonts w:ascii="Symbol" w:hAnsi="Symbol" w:hint="default"/>
      </w:rPr>
    </w:lvl>
    <w:lvl w:ilvl="1" w:tplc="7F602C50" w:tentative="1">
      <w:start w:val="1"/>
      <w:numFmt w:val="bullet"/>
      <w:lvlText w:val="o"/>
      <w:lvlJc w:val="left"/>
      <w:pPr>
        <w:ind w:left="1440" w:hanging="360"/>
      </w:pPr>
      <w:rPr>
        <w:rFonts w:ascii="Courier New" w:hAnsi="Courier New" w:cs="Courier New" w:hint="default"/>
      </w:rPr>
    </w:lvl>
    <w:lvl w:ilvl="2" w:tplc="73920388" w:tentative="1">
      <w:start w:val="1"/>
      <w:numFmt w:val="bullet"/>
      <w:lvlText w:val=""/>
      <w:lvlJc w:val="left"/>
      <w:pPr>
        <w:ind w:left="2160" w:hanging="360"/>
      </w:pPr>
      <w:rPr>
        <w:rFonts w:ascii="Wingdings" w:hAnsi="Wingdings" w:hint="default"/>
      </w:rPr>
    </w:lvl>
    <w:lvl w:ilvl="3" w:tplc="B4C69B0C" w:tentative="1">
      <w:start w:val="1"/>
      <w:numFmt w:val="bullet"/>
      <w:lvlText w:val=""/>
      <w:lvlJc w:val="left"/>
      <w:pPr>
        <w:ind w:left="2880" w:hanging="360"/>
      </w:pPr>
      <w:rPr>
        <w:rFonts w:ascii="Symbol" w:hAnsi="Symbol" w:hint="default"/>
      </w:rPr>
    </w:lvl>
    <w:lvl w:ilvl="4" w:tplc="B744389C" w:tentative="1">
      <w:start w:val="1"/>
      <w:numFmt w:val="bullet"/>
      <w:lvlText w:val="o"/>
      <w:lvlJc w:val="left"/>
      <w:pPr>
        <w:ind w:left="3600" w:hanging="360"/>
      </w:pPr>
      <w:rPr>
        <w:rFonts w:ascii="Courier New" w:hAnsi="Courier New" w:cs="Courier New" w:hint="default"/>
      </w:rPr>
    </w:lvl>
    <w:lvl w:ilvl="5" w:tplc="12767A8E" w:tentative="1">
      <w:start w:val="1"/>
      <w:numFmt w:val="bullet"/>
      <w:lvlText w:val=""/>
      <w:lvlJc w:val="left"/>
      <w:pPr>
        <w:ind w:left="4320" w:hanging="360"/>
      </w:pPr>
      <w:rPr>
        <w:rFonts w:ascii="Wingdings" w:hAnsi="Wingdings" w:hint="default"/>
      </w:rPr>
    </w:lvl>
    <w:lvl w:ilvl="6" w:tplc="1CD46870" w:tentative="1">
      <w:start w:val="1"/>
      <w:numFmt w:val="bullet"/>
      <w:lvlText w:val=""/>
      <w:lvlJc w:val="left"/>
      <w:pPr>
        <w:ind w:left="5040" w:hanging="360"/>
      </w:pPr>
      <w:rPr>
        <w:rFonts w:ascii="Symbol" w:hAnsi="Symbol" w:hint="default"/>
      </w:rPr>
    </w:lvl>
    <w:lvl w:ilvl="7" w:tplc="E6ACE876" w:tentative="1">
      <w:start w:val="1"/>
      <w:numFmt w:val="bullet"/>
      <w:lvlText w:val="o"/>
      <w:lvlJc w:val="left"/>
      <w:pPr>
        <w:ind w:left="5760" w:hanging="360"/>
      </w:pPr>
      <w:rPr>
        <w:rFonts w:ascii="Courier New" w:hAnsi="Courier New" w:cs="Courier New" w:hint="default"/>
      </w:rPr>
    </w:lvl>
    <w:lvl w:ilvl="8" w:tplc="8A1CDD62" w:tentative="1">
      <w:start w:val="1"/>
      <w:numFmt w:val="bullet"/>
      <w:lvlText w:val=""/>
      <w:lvlJc w:val="left"/>
      <w:pPr>
        <w:ind w:left="6480" w:hanging="360"/>
      </w:pPr>
      <w:rPr>
        <w:rFonts w:ascii="Wingdings" w:hAnsi="Wingdings" w:hint="default"/>
      </w:rPr>
    </w:lvl>
  </w:abstractNum>
  <w:abstractNum w:abstractNumId="6" w15:restartNumberingAfterBreak="0">
    <w:nsid w:val="1BEF6324"/>
    <w:multiLevelType w:val="multilevel"/>
    <w:tmpl w:val="E99EE40C"/>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C356454"/>
    <w:multiLevelType w:val="multilevel"/>
    <w:tmpl w:val="3FCCDA5A"/>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9"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7AB2690"/>
    <w:multiLevelType w:val="hybridMultilevel"/>
    <w:tmpl w:val="58F8B7CC"/>
    <w:lvl w:ilvl="0" w:tplc="8B9A23B4">
      <w:start w:val="1"/>
      <w:numFmt w:val="upperLetter"/>
      <w:lvlText w:val="%1."/>
      <w:lvlJc w:val="left"/>
      <w:pPr>
        <w:ind w:left="360" w:hanging="360"/>
      </w:pPr>
      <w:rPr>
        <w:rFonts w:hint="default"/>
        <w:b/>
      </w:rPr>
    </w:lvl>
    <w:lvl w:ilvl="1" w:tplc="FC503F74" w:tentative="1">
      <w:start w:val="1"/>
      <w:numFmt w:val="lowerLetter"/>
      <w:lvlText w:val="%2."/>
      <w:lvlJc w:val="left"/>
      <w:pPr>
        <w:ind w:left="1080" w:hanging="360"/>
      </w:pPr>
    </w:lvl>
    <w:lvl w:ilvl="2" w:tplc="ACE07772" w:tentative="1">
      <w:start w:val="1"/>
      <w:numFmt w:val="lowerRoman"/>
      <w:lvlText w:val="%3."/>
      <w:lvlJc w:val="right"/>
      <w:pPr>
        <w:ind w:left="1800" w:hanging="180"/>
      </w:pPr>
    </w:lvl>
    <w:lvl w:ilvl="3" w:tplc="F5660078" w:tentative="1">
      <w:start w:val="1"/>
      <w:numFmt w:val="decimal"/>
      <w:lvlText w:val="%4."/>
      <w:lvlJc w:val="left"/>
      <w:pPr>
        <w:ind w:left="2520" w:hanging="360"/>
      </w:pPr>
    </w:lvl>
    <w:lvl w:ilvl="4" w:tplc="6576FBC0" w:tentative="1">
      <w:start w:val="1"/>
      <w:numFmt w:val="lowerLetter"/>
      <w:lvlText w:val="%5."/>
      <w:lvlJc w:val="left"/>
      <w:pPr>
        <w:ind w:left="3240" w:hanging="360"/>
      </w:pPr>
    </w:lvl>
    <w:lvl w:ilvl="5" w:tplc="94947FFC" w:tentative="1">
      <w:start w:val="1"/>
      <w:numFmt w:val="lowerRoman"/>
      <w:lvlText w:val="%6."/>
      <w:lvlJc w:val="right"/>
      <w:pPr>
        <w:ind w:left="3960" w:hanging="180"/>
      </w:pPr>
    </w:lvl>
    <w:lvl w:ilvl="6" w:tplc="684E0768" w:tentative="1">
      <w:start w:val="1"/>
      <w:numFmt w:val="decimal"/>
      <w:lvlText w:val="%7."/>
      <w:lvlJc w:val="left"/>
      <w:pPr>
        <w:ind w:left="4680" w:hanging="360"/>
      </w:pPr>
    </w:lvl>
    <w:lvl w:ilvl="7" w:tplc="793C5F02" w:tentative="1">
      <w:start w:val="1"/>
      <w:numFmt w:val="lowerLetter"/>
      <w:lvlText w:val="%8."/>
      <w:lvlJc w:val="left"/>
      <w:pPr>
        <w:ind w:left="5400" w:hanging="360"/>
      </w:pPr>
    </w:lvl>
    <w:lvl w:ilvl="8" w:tplc="6B06624A" w:tentative="1">
      <w:start w:val="1"/>
      <w:numFmt w:val="lowerRoman"/>
      <w:lvlText w:val="%9."/>
      <w:lvlJc w:val="right"/>
      <w:pPr>
        <w:ind w:left="6120" w:hanging="180"/>
      </w:pPr>
    </w:lvl>
  </w:abstractNum>
  <w:abstractNum w:abstractNumId="13" w15:restartNumberingAfterBreak="0">
    <w:nsid w:val="5FDF3DC8"/>
    <w:multiLevelType w:val="multilevel"/>
    <w:tmpl w:val="9F004F4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15" w15:restartNumberingAfterBreak="0">
    <w:nsid w:val="6471022D"/>
    <w:multiLevelType w:val="hybridMultilevel"/>
    <w:tmpl w:val="6E82D220"/>
    <w:lvl w:ilvl="0" w:tplc="610EB5CC">
      <w:start w:val="1"/>
      <w:numFmt w:val="decimal"/>
      <w:pStyle w:val="BilingualItem"/>
      <w:lvlText w:val="Item %1"/>
      <w:lvlJc w:val="left"/>
      <w:pPr>
        <w:ind w:left="720" w:hanging="360"/>
      </w:pPr>
      <w:rPr>
        <w:rFonts w:hint="default"/>
        <w:b w:val="0"/>
        <w:i w:val="0"/>
        <w:sz w:val="20"/>
      </w:rPr>
    </w:lvl>
    <w:lvl w:ilvl="1" w:tplc="E9CAA9BC" w:tentative="1">
      <w:start w:val="1"/>
      <w:numFmt w:val="lowerLetter"/>
      <w:lvlText w:val="%2."/>
      <w:lvlJc w:val="left"/>
      <w:pPr>
        <w:ind w:left="1440" w:hanging="360"/>
      </w:pPr>
    </w:lvl>
    <w:lvl w:ilvl="2" w:tplc="32820E92" w:tentative="1">
      <w:start w:val="1"/>
      <w:numFmt w:val="lowerRoman"/>
      <w:lvlText w:val="%3."/>
      <w:lvlJc w:val="right"/>
      <w:pPr>
        <w:ind w:left="2160" w:hanging="180"/>
      </w:pPr>
    </w:lvl>
    <w:lvl w:ilvl="3" w:tplc="454035FA" w:tentative="1">
      <w:start w:val="1"/>
      <w:numFmt w:val="decimal"/>
      <w:lvlText w:val="%4."/>
      <w:lvlJc w:val="left"/>
      <w:pPr>
        <w:ind w:left="2880" w:hanging="360"/>
      </w:pPr>
    </w:lvl>
    <w:lvl w:ilvl="4" w:tplc="FECEAEE6" w:tentative="1">
      <w:start w:val="1"/>
      <w:numFmt w:val="lowerLetter"/>
      <w:lvlText w:val="%5."/>
      <w:lvlJc w:val="left"/>
      <w:pPr>
        <w:ind w:left="3600" w:hanging="360"/>
      </w:pPr>
    </w:lvl>
    <w:lvl w:ilvl="5" w:tplc="5E428994" w:tentative="1">
      <w:start w:val="1"/>
      <w:numFmt w:val="lowerRoman"/>
      <w:lvlText w:val="%6."/>
      <w:lvlJc w:val="right"/>
      <w:pPr>
        <w:ind w:left="4320" w:hanging="180"/>
      </w:pPr>
    </w:lvl>
    <w:lvl w:ilvl="6" w:tplc="956843BE" w:tentative="1">
      <w:start w:val="1"/>
      <w:numFmt w:val="decimal"/>
      <w:lvlText w:val="%7."/>
      <w:lvlJc w:val="left"/>
      <w:pPr>
        <w:ind w:left="5040" w:hanging="360"/>
      </w:pPr>
    </w:lvl>
    <w:lvl w:ilvl="7" w:tplc="3872DC46" w:tentative="1">
      <w:start w:val="1"/>
      <w:numFmt w:val="lowerLetter"/>
      <w:lvlText w:val="%8."/>
      <w:lvlJc w:val="left"/>
      <w:pPr>
        <w:ind w:left="5760" w:hanging="360"/>
      </w:pPr>
    </w:lvl>
    <w:lvl w:ilvl="8" w:tplc="FB98B73C" w:tentative="1">
      <w:start w:val="1"/>
      <w:numFmt w:val="lowerRoman"/>
      <w:lvlText w:val="%9."/>
      <w:lvlJc w:val="right"/>
      <w:pPr>
        <w:ind w:left="6480" w:hanging="180"/>
      </w:pPr>
    </w:lvl>
  </w:abstractNum>
  <w:abstractNum w:abstractNumId="16" w15:restartNumberingAfterBreak="0">
    <w:nsid w:val="6B086400"/>
    <w:multiLevelType w:val="hybridMultilevel"/>
    <w:tmpl w:val="02E66A14"/>
    <w:lvl w:ilvl="0" w:tplc="929CEF50">
      <w:start w:val="1"/>
      <w:numFmt w:val="decimal"/>
      <w:lvlText w:val="%1."/>
      <w:lvlJc w:val="left"/>
      <w:pPr>
        <w:ind w:left="360" w:hanging="360"/>
      </w:pPr>
      <w:rPr>
        <w:rFonts w:hint="default"/>
      </w:rPr>
    </w:lvl>
    <w:lvl w:ilvl="1" w:tplc="6C6A8512" w:tentative="1">
      <w:start w:val="1"/>
      <w:numFmt w:val="lowerLetter"/>
      <w:lvlText w:val="%2."/>
      <w:lvlJc w:val="left"/>
      <w:pPr>
        <w:ind w:left="1080" w:hanging="360"/>
      </w:pPr>
    </w:lvl>
    <w:lvl w:ilvl="2" w:tplc="8BCC8D76" w:tentative="1">
      <w:start w:val="1"/>
      <w:numFmt w:val="lowerRoman"/>
      <w:lvlText w:val="%3."/>
      <w:lvlJc w:val="right"/>
      <w:pPr>
        <w:ind w:left="1800" w:hanging="180"/>
      </w:pPr>
    </w:lvl>
    <w:lvl w:ilvl="3" w:tplc="4B4AC12E" w:tentative="1">
      <w:start w:val="1"/>
      <w:numFmt w:val="decimal"/>
      <w:lvlText w:val="%4."/>
      <w:lvlJc w:val="left"/>
      <w:pPr>
        <w:ind w:left="2520" w:hanging="360"/>
      </w:pPr>
    </w:lvl>
    <w:lvl w:ilvl="4" w:tplc="749869B0" w:tentative="1">
      <w:start w:val="1"/>
      <w:numFmt w:val="lowerLetter"/>
      <w:lvlText w:val="%5."/>
      <w:lvlJc w:val="left"/>
      <w:pPr>
        <w:ind w:left="3240" w:hanging="360"/>
      </w:pPr>
    </w:lvl>
    <w:lvl w:ilvl="5" w:tplc="23DAED7A" w:tentative="1">
      <w:start w:val="1"/>
      <w:numFmt w:val="lowerRoman"/>
      <w:lvlText w:val="%6."/>
      <w:lvlJc w:val="right"/>
      <w:pPr>
        <w:ind w:left="3960" w:hanging="180"/>
      </w:pPr>
    </w:lvl>
    <w:lvl w:ilvl="6" w:tplc="ED383278" w:tentative="1">
      <w:start w:val="1"/>
      <w:numFmt w:val="decimal"/>
      <w:lvlText w:val="%7."/>
      <w:lvlJc w:val="left"/>
      <w:pPr>
        <w:ind w:left="4680" w:hanging="360"/>
      </w:pPr>
    </w:lvl>
    <w:lvl w:ilvl="7" w:tplc="A8704E0C" w:tentative="1">
      <w:start w:val="1"/>
      <w:numFmt w:val="lowerLetter"/>
      <w:lvlText w:val="%8."/>
      <w:lvlJc w:val="left"/>
      <w:pPr>
        <w:ind w:left="5400" w:hanging="360"/>
      </w:pPr>
    </w:lvl>
    <w:lvl w:ilvl="8" w:tplc="A99C50DA" w:tentative="1">
      <w:start w:val="1"/>
      <w:numFmt w:val="lowerRoman"/>
      <w:lvlText w:val="%9."/>
      <w:lvlJc w:val="right"/>
      <w:pPr>
        <w:ind w:left="6120" w:hanging="180"/>
      </w:pPr>
    </w:lvl>
  </w:abstractNum>
  <w:abstractNum w:abstractNumId="17" w15:restartNumberingAfterBreak="0">
    <w:nsid w:val="798942D7"/>
    <w:multiLevelType w:val="hybridMultilevel"/>
    <w:tmpl w:val="971233BA"/>
    <w:lvl w:ilvl="0" w:tplc="2E5835FE">
      <w:start w:val="1"/>
      <w:numFmt w:val="upperLetter"/>
      <w:lvlText w:val="%1."/>
      <w:lvlJc w:val="left"/>
      <w:pPr>
        <w:ind w:left="360" w:hanging="360"/>
      </w:pPr>
      <w:rPr>
        <w:rFonts w:hint="default"/>
        <w:b/>
      </w:rPr>
    </w:lvl>
    <w:lvl w:ilvl="1" w:tplc="C108C652" w:tentative="1">
      <w:start w:val="1"/>
      <w:numFmt w:val="lowerLetter"/>
      <w:lvlText w:val="%2."/>
      <w:lvlJc w:val="left"/>
      <w:pPr>
        <w:ind w:left="1080" w:hanging="360"/>
      </w:pPr>
    </w:lvl>
    <w:lvl w:ilvl="2" w:tplc="ACD857C6" w:tentative="1">
      <w:start w:val="1"/>
      <w:numFmt w:val="lowerRoman"/>
      <w:lvlText w:val="%3."/>
      <w:lvlJc w:val="right"/>
      <w:pPr>
        <w:ind w:left="1800" w:hanging="180"/>
      </w:pPr>
    </w:lvl>
    <w:lvl w:ilvl="3" w:tplc="D8609448" w:tentative="1">
      <w:start w:val="1"/>
      <w:numFmt w:val="decimal"/>
      <w:lvlText w:val="%4."/>
      <w:lvlJc w:val="left"/>
      <w:pPr>
        <w:ind w:left="2520" w:hanging="360"/>
      </w:pPr>
    </w:lvl>
    <w:lvl w:ilvl="4" w:tplc="29A8A0AA" w:tentative="1">
      <w:start w:val="1"/>
      <w:numFmt w:val="lowerLetter"/>
      <w:lvlText w:val="%5."/>
      <w:lvlJc w:val="left"/>
      <w:pPr>
        <w:ind w:left="3240" w:hanging="360"/>
      </w:pPr>
    </w:lvl>
    <w:lvl w:ilvl="5" w:tplc="3D6A5832" w:tentative="1">
      <w:start w:val="1"/>
      <w:numFmt w:val="lowerRoman"/>
      <w:lvlText w:val="%6."/>
      <w:lvlJc w:val="right"/>
      <w:pPr>
        <w:ind w:left="3960" w:hanging="180"/>
      </w:pPr>
    </w:lvl>
    <w:lvl w:ilvl="6" w:tplc="E3AE2ADA" w:tentative="1">
      <w:start w:val="1"/>
      <w:numFmt w:val="decimal"/>
      <w:lvlText w:val="%7."/>
      <w:lvlJc w:val="left"/>
      <w:pPr>
        <w:ind w:left="4680" w:hanging="360"/>
      </w:pPr>
    </w:lvl>
    <w:lvl w:ilvl="7" w:tplc="5B68073A" w:tentative="1">
      <w:start w:val="1"/>
      <w:numFmt w:val="lowerLetter"/>
      <w:lvlText w:val="%8."/>
      <w:lvlJc w:val="left"/>
      <w:pPr>
        <w:ind w:left="5400" w:hanging="360"/>
      </w:pPr>
    </w:lvl>
    <w:lvl w:ilvl="8" w:tplc="C02E3972" w:tentative="1">
      <w:start w:val="1"/>
      <w:numFmt w:val="lowerRoman"/>
      <w:lvlText w:val="%9."/>
      <w:lvlJc w:val="right"/>
      <w:pPr>
        <w:ind w:left="6120" w:hanging="180"/>
      </w:pPr>
    </w:lvl>
  </w:abstractNum>
  <w:abstractNum w:abstractNumId="18" w15:restartNumberingAfterBreak="0">
    <w:nsid w:val="7B861024"/>
    <w:multiLevelType w:val="hybridMultilevel"/>
    <w:tmpl w:val="DFB0EB3A"/>
    <w:lvl w:ilvl="0" w:tplc="2F843456">
      <w:start w:val="1"/>
      <w:numFmt w:val="bullet"/>
      <w:lvlText w:val=""/>
      <w:lvlJc w:val="left"/>
      <w:pPr>
        <w:ind w:left="360" w:hanging="360"/>
      </w:pPr>
      <w:rPr>
        <w:rFonts w:ascii="Symbol" w:hAnsi="Symbol" w:hint="default"/>
      </w:rPr>
    </w:lvl>
    <w:lvl w:ilvl="1" w:tplc="5562E658" w:tentative="1">
      <w:start w:val="1"/>
      <w:numFmt w:val="bullet"/>
      <w:lvlText w:val="o"/>
      <w:lvlJc w:val="left"/>
      <w:pPr>
        <w:ind w:left="1080" w:hanging="360"/>
      </w:pPr>
      <w:rPr>
        <w:rFonts w:ascii="Courier New" w:hAnsi="Courier New" w:cs="Courier New" w:hint="default"/>
      </w:rPr>
    </w:lvl>
    <w:lvl w:ilvl="2" w:tplc="4D0C1E62" w:tentative="1">
      <w:start w:val="1"/>
      <w:numFmt w:val="bullet"/>
      <w:lvlText w:val=""/>
      <w:lvlJc w:val="left"/>
      <w:pPr>
        <w:ind w:left="1800" w:hanging="360"/>
      </w:pPr>
      <w:rPr>
        <w:rFonts w:ascii="Wingdings" w:hAnsi="Wingdings" w:hint="default"/>
      </w:rPr>
    </w:lvl>
    <w:lvl w:ilvl="3" w:tplc="02B2E3DA" w:tentative="1">
      <w:start w:val="1"/>
      <w:numFmt w:val="bullet"/>
      <w:lvlText w:val=""/>
      <w:lvlJc w:val="left"/>
      <w:pPr>
        <w:ind w:left="2520" w:hanging="360"/>
      </w:pPr>
      <w:rPr>
        <w:rFonts w:ascii="Symbol" w:hAnsi="Symbol" w:hint="default"/>
      </w:rPr>
    </w:lvl>
    <w:lvl w:ilvl="4" w:tplc="AD44A8E6" w:tentative="1">
      <w:start w:val="1"/>
      <w:numFmt w:val="bullet"/>
      <w:lvlText w:val="o"/>
      <w:lvlJc w:val="left"/>
      <w:pPr>
        <w:ind w:left="3240" w:hanging="360"/>
      </w:pPr>
      <w:rPr>
        <w:rFonts w:ascii="Courier New" w:hAnsi="Courier New" w:cs="Courier New" w:hint="default"/>
      </w:rPr>
    </w:lvl>
    <w:lvl w:ilvl="5" w:tplc="283E5136" w:tentative="1">
      <w:start w:val="1"/>
      <w:numFmt w:val="bullet"/>
      <w:lvlText w:val=""/>
      <w:lvlJc w:val="left"/>
      <w:pPr>
        <w:ind w:left="3960" w:hanging="360"/>
      </w:pPr>
      <w:rPr>
        <w:rFonts w:ascii="Wingdings" w:hAnsi="Wingdings" w:hint="default"/>
      </w:rPr>
    </w:lvl>
    <w:lvl w:ilvl="6" w:tplc="DBD4F52A" w:tentative="1">
      <w:start w:val="1"/>
      <w:numFmt w:val="bullet"/>
      <w:lvlText w:val=""/>
      <w:lvlJc w:val="left"/>
      <w:pPr>
        <w:ind w:left="4680" w:hanging="360"/>
      </w:pPr>
      <w:rPr>
        <w:rFonts w:ascii="Symbol" w:hAnsi="Symbol" w:hint="default"/>
      </w:rPr>
    </w:lvl>
    <w:lvl w:ilvl="7" w:tplc="0D56F0F2" w:tentative="1">
      <w:start w:val="1"/>
      <w:numFmt w:val="bullet"/>
      <w:lvlText w:val="o"/>
      <w:lvlJc w:val="left"/>
      <w:pPr>
        <w:ind w:left="5400" w:hanging="360"/>
      </w:pPr>
      <w:rPr>
        <w:rFonts w:ascii="Courier New" w:hAnsi="Courier New" w:cs="Courier New" w:hint="default"/>
      </w:rPr>
    </w:lvl>
    <w:lvl w:ilvl="8" w:tplc="059ECDB4"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11"/>
  </w:num>
  <w:num w:numId="4">
    <w:abstractNumId w:val="15"/>
  </w:num>
  <w:num w:numId="5">
    <w:abstractNumId w:val="8"/>
  </w:num>
  <w:num w:numId="6">
    <w:abstractNumId w:val="1"/>
  </w:num>
  <w:num w:numId="7">
    <w:abstractNumId w:val="0"/>
  </w:num>
  <w:num w:numId="8">
    <w:abstractNumId w:val="3"/>
  </w:num>
  <w:num w:numId="9">
    <w:abstractNumId w:val="9"/>
  </w:num>
  <w:num w:numId="10">
    <w:abstractNumId w:val="14"/>
  </w:num>
  <w:num w:numId="11">
    <w:abstractNumId w:val="7"/>
  </w:num>
  <w:num w:numId="12">
    <w:abstractNumId w:val="10"/>
  </w:num>
  <w:num w:numId="13">
    <w:abstractNumId w:val="6"/>
  </w:num>
  <w:num w:numId="14">
    <w:abstractNumId w:val="18"/>
  </w:num>
  <w:num w:numId="15">
    <w:abstractNumId w:val="2"/>
  </w:num>
  <w:num w:numId="16">
    <w:abstractNumId w:val="16"/>
  </w:num>
  <w:num w:numId="17">
    <w:abstractNumId w:val="17"/>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4B"/>
    <w:rsid w:val="00062A2F"/>
    <w:rsid w:val="0006346F"/>
    <w:rsid w:val="000A4E8D"/>
    <w:rsid w:val="000A7B91"/>
    <w:rsid w:val="000B7470"/>
    <w:rsid w:val="00141779"/>
    <w:rsid w:val="0014488D"/>
    <w:rsid w:val="00151B86"/>
    <w:rsid w:val="002115CE"/>
    <w:rsid w:val="0021521F"/>
    <w:rsid w:val="00262A69"/>
    <w:rsid w:val="0026452F"/>
    <w:rsid w:val="00281EFF"/>
    <w:rsid w:val="002B0F3F"/>
    <w:rsid w:val="002B6651"/>
    <w:rsid w:val="002C47BF"/>
    <w:rsid w:val="00300864"/>
    <w:rsid w:val="00301996"/>
    <w:rsid w:val="0032577C"/>
    <w:rsid w:val="00377A66"/>
    <w:rsid w:val="003F273D"/>
    <w:rsid w:val="003F6B52"/>
    <w:rsid w:val="00433474"/>
    <w:rsid w:val="0043705D"/>
    <w:rsid w:val="00487EA7"/>
    <w:rsid w:val="004A1911"/>
    <w:rsid w:val="004D2E8A"/>
    <w:rsid w:val="004E0604"/>
    <w:rsid w:val="005373A7"/>
    <w:rsid w:val="00557228"/>
    <w:rsid w:val="00573007"/>
    <w:rsid w:val="005D4363"/>
    <w:rsid w:val="00611D20"/>
    <w:rsid w:val="0061352A"/>
    <w:rsid w:val="006575A5"/>
    <w:rsid w:val="006B0556"/>
    <w:rsid w:val="006E6D24"/>
    <w:rsid w:val="0070749E"/>
    <w:rsid w:val="00724083"/>
    <w:rsid w:val="00761277"/>
    <w:rsid w:val="00795BDA"/>
    <w:rsid w:val="007C72A9"/>
    <w:rsid w:val="00844489"/>
    <w:rsid w:val="00850DCF"/>
    <w:rsid w:val="00865DA3"/>
    <w:rsid w:val="00894334"/>
    <w:rsid w:val="00894E00"/>
    <w:rsid w:val="008F478E"/>
    <w:rsid w:val="00914068"/>
    <w:rsid w:val="00921577"/>
    <w:rsid w:val="0092715D"/>
    <w:rsid w:val="009772ED"/>
    <w:rsid w:val="009A55B8"/>
    <w:rsid w:val="009B5510"/>
    <w:rsid w:val="009C35FC"/>
    <w:rsid w:val="009F7203"/>
    <w:rsid w:val="00A2314B"/>
    <w:rsid w:val="00A5239F"/>
    <w:rsid w:val="00A61C68"/>
    <w:rsid w:val="00AA5AAB"/>
    <w:rsid w:val="00AC222D"/>
    <w:rsid w:val="00AE3231"/>
    <w:rsid w:val="00B37D3B"/>
    <w:rsid w:val="00B6740F"/>
    <w:rsid w:val="00B91826"/>
    <w:rsid w:val="00BA3057"/>
    <w:rsid w:val="00BC041D"/>
    <w:rsid w:val="00BE1D23"/>
    <w:rsid w:val="00BE312E"/>
    <w:rsid w:val="00C1387F"/>
    <w:rsid w:val="00C56655"/>
    <w:rsid w:val="00C80611"/>
    <w:rsid w:val="00C925DE"/>
    <w:rsid w:val="00CB34CD"/>
    <w:rsid w:val="00CF2224"/>
    <w:rsid w:val="00D13912"/>
    <w:rsid w:val="00DC3BD9"/>
    <w:rsid w:val="00DC75FE"/>
    <w:rsid w:val="00E0719D"/>
    <w:rsid w:val="00E11A69"/>
    <w:rsid w:val="00E30704"/>
    <w:rsid w:val="00E32C5C"/>
    <w:rsid w:val="00E72269"/>
    <w:rsid w:val="00EA1049"/>
    <w:rsid w:val="00F070F7"/>
    <w:rsid w:val="00F10310"/>
    <w:rsid w:val="00F45890"/>
    <w:rsid w:val="00F6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D77F2"/>
  <w15:docId w15:val="{15023F70-D859-45DB-947F-B6F203D0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3B"/>
    <w:rPr>
      <w:rFonts w:ascii="Arial" w:hAnsi="Arial"/>
      <w:lang w:val="en-AU"/>
    </w:rPr>
  </w:style>
  <w:style w:type="paragraph" w:styleId="Balk1">
    <w:name w:val="heading 1"/>
    <w:basedOn w:val="Normal"/>
    <w:next w:val="Balk2"/>
    <w:qFormat/>
    <w:rsid w:val="00B37D3B"/>
    <w:pPr>
      <w:keepNext/>
      <w:numPr>
        <w:numId w:val="8"/>
      </w:numPr>
      <w:spacing w:before="360"/>
      <w:outlineLvl w:val="0"/>
    </w:pPr>
    <w:rPr>
      <w:b/>
      <w:sz w:val="24"/>
    </w:rPr>
  </w:style>
  <w:style w:type="paragraph" w:styleId="Balk2">
    <w:name w:val="heading 2"/>
    <w:basedOn w:val="Normal"/>
    <w:next w:val="GvdeMetni2"/>
    <w:qFormat/>
    <w:rsid w:val="00B37D3B"/>
    <w:pPr>
      <w:numPr>
        <w:ilvl w:val="1"/>
        <w:numId w:val="8"/>
      </w:numPr>
      <w:spacing w:before="240"/>
      <w:outlineLvl w:val="1"/>
    </w:pPr>
  </w:style>
  <w:style w:type="paragraph" w:styleId="Balk3">
    <w:name w:val="heading 3"/>
    <w:basedOn w:val="Normal"/>
    <w:qFormat/>
    <w:rsid w:val="00B37D3B"/>
    <w:pPr>
      <w:numPr>
        <w:ilvl w:val="2"/>
        <w:numId w:val="8"/>
      </w:numPr>
      <w:spacing w:before="240"/>
      <w:outlineLvl w:val="2"/>
    </w:pPr>
  </w:style>
  <w:style w:type="paragraph" w:styleId="Balk4">
    <w:name w:val="heading 4"/>
    <w:basedOn w:val="Normal"/>
    <w:qFormat/>
    <w:rsid w:val="00B37D3B"/>
    <w:pPr>
      <w:numPr>
        <w:ilvl w:val="3"/>
        <w:numId w:val="8"/>
      </w:numPr>
      <w:spacing w:before="240"/>
      <w:outlineLvl w:val="3"/>
    </w:pPr>
  </w:style>
  <w:style w:type="paragraph" w:styleId="Balk5">
    <w:name w:val="heading 5"/>
    <w:basedOn w:val="Normal"/>
    <w:qFormat/>
    <w:rsid w:val="00B37D3B"/>
    <w:pPr>
      <w:numPr>
        <w:ilvl w:val="4"/>
        <w:numId w:val="8"/>
      </w:numPr>
      <w:spacing w:before="240"/>
      <w:outlineLvl w:val="4"/>
    </w:pPr>
  </w:style>
  <w:style w:type="paragraph" w:styleId="Balk6">
    <w:name w:val="heading 6"/>
    <w:basedOn w:val="Normal"/>
    <w:qFormat/>
    <w:rsid w:val="00B37D3B"/>
    <w:pPr>
      <w:numPr>
        <w:ilvl w:val="5"/>
        <w:numId w:val="8"/>
      </w:numPr>
      <w:spacing w:before="240"/>
      <w:outlineLvl w:val="5"/>
    </w:pPr>
  </w:style>
  <w:style w:type="paragraph" w:styleId="Balk7">
    <w:name w:val="heading 7"/>
    <w:basedOn w:val="Normal"/>
    <w:next w:val="Normal"/>
    <w:qFormat/>
    <w:rsid w:val="00B37D3B"/>
    <w:pPr>
      <w:outlineLvl w:val="6"/>
    </w:pPr>
  </w:style>
  <w:style w:type="paragraph" w:styleId="Balk8">
    <w:name w:val="heading 8"/>
    <w:basedOn w:val="Normal"/>
    <w:next w:val="Normal"/>
    <w:qFormat/>
    <w:rsid w:val="00B37D3B"/>
    <w:pPr>
      <w:outlineLvl w:val="7"/>
    </w:pPr>
  </w:style>
  <w:style w:type="paragraph" w:styleId="Balk9">
    <w:name w:val="heading 9"/>
    <w:basedOn w:val="Normal"/>
    <w:next w:val="Normal"/>
    <w:qFormat/>
    <w:rsid w:val="00B37D3B"/>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nexure">
    <w:name w:val="Annexure"/>
    <w:basedOn w:val="Normal"/>
    <w:next w:val="BodyText1"/>
    <w:rsid w:val="00B37D3B"/>
    <w:pPr>
      <w:numPr>
        <w:numId w:val="1"/>
      </w:numPr>
      <w:spacing w:before="240"/>
      <w:outlineLvl w:val="0"/>
    </w:pPr>
    <w:rPr>
      <w:b/>
      <w:sz w:val="24"/>
    </w:rPr>
  </w:style>
  <w:style w:type="paragraph" w:customStyle="1" w:styleId="AText">
    <w:name w:val="AText"/>
    <w:basedOn w:val="Normal"/>
    <w:rsid w:val="00B37D3B"/>
    <w:pPr>
      <w:keepLines/>
    </w:pPr>
  </w:style>
  <w:style w:type="paragraph" w:customStyle="1" w:styleId="AuthorPageDate1">
    <w:name w:val="Author  Page #  Date1"/>
    <w:rsid w:val="00B37D3B"/>
    <w:rPr>
      <w:sz w:val="24"/>
      <w:szCs w:val="24"/>
      <w:lang w:val="en-AU"/>
    </w:rPr>
  </w:style>
  <w:style w:type="paragraph" w:styleId="GvdeMetni">
    <w:name w:val="Body Text"/>
    <w:basedOn w:val="Normal"/>
    <w:link w:val="GvdeMetniChar"/>
    <w:rsid w:val="00B37D3B"/>
    <w:pPr>
      <w:tabs>
        <w:tab w:val="left" w:pos="1701"/>
      </w:tabs>
    </w:pPr>
  </w:style>
  <w:style w:type="paragraph" w:customStyle="1" w:styleId="BodyText1">
    <w:name w:val="Body Text 1"/>
    <w:basedOn w:val="Normal"/>
    <w:rsid w:val="00B37D3B"/>
    <w:pPr>
      <w:spacing w:before="240"/>
    </w:pPr>
  </w:style>
  <w:style w:type="paragraph" w:styleId="GvdeMetni2">
    <w:name w:val="Body Text 2"/>
    <w:basedOn w:val="Normal"/>
    <w:rsid w:val="00B37D3B"/>
    <w:pPr>
      <w:spacing w:before="240"/>
      <w:ind w:left="709"/>
    </w:pPr>
  </w:style>
  <w:style w:type="paragraph" w:styleId="GvdeMetni3">
    <w:name w:val="Body Text 3"/>
    <w:basedOn w:val="Normal"/>
    <w:rsid w:val="00B37D3B"/>
    <w:pPr>
      <w:spacing w:before="240"/>
      <w:ind w:left="1418"/>
    </w:pPr>
  </w:style>
  <w:style w:type="paragraph" w:customStyle="1" w:styleId="BodyText4">
    <w:name w:val="Body Text 4"/>
    <w:basedOn w:val="Normal"/>
    <w:rsid w:val="00B37D3B"/>
    <w:pPr>
      <w:spacing w:before="240"/>
      <w:ind w:left="2126"/>
    </w:pPr>
  </w:style>
  <w:style w:type="paragraph" w:customStyle="1" w:styleId="BodyText5">
    <w:name w:val="Body Text 5"/>
    <w:basedOn w:val="Normal"/>
    <w:rsid w:val="00B37D3B"/>
    <w:pPr>
      <w:spacing w:before="240"/>
      <w:ind w:left="2835"/>
    </w:pPr>
  </w:style>
  <w:style w:type="paragraph" w:customStyle="1" w:styleId="BodyText6">
    <w:name w:val="Body Text 6"/>
    <w:basedOn w:val="Normal"/>
    <w:rsid w:val="00B37D3B"/>
    <w:pPr>
      <w:spacing w:before="240"/>
      <w:ind w:left="3544"/>
    </w:pPr>
  </w:style>
  <w:style w:type="paragraph" w:styleId="ResimYazs">
    <w:name w:val="caption"/>
    <w:basedOn w:val="Normal"/>
    <w:next w:val="Normal"/>
    <w:rsid w:val="00B37D3B"/>
    <w:pPr>
      <w:spacing w:before="120" w:after="120"/>
    </w:pPr>
    <w:rPr>
      <w:b/>
    </w:rPr>
  </w:style>
  <w:style w:type="paragraph" w:customStyle="1" w:styleId="CommentBox">
    <w:name w:val="Comment Box"/>
    <w:basedOn w:val="Normal"/>
    <w:rsid w:val="00B37D3B"/>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AltBilgi">
    <w:name w:val="footer"/>
    <w:basedOn w:val="Normal"/>
    <w:link w:val="AltBilgiChar"/>
    <w:rsid w:val="00B37D3B"/>
    <w:rPr>
      <w:sz w:val="16"/>
    </w:rPr>
  </w:style>
  <w:style w:type="paragraph" w:customStyle="1" w:styleId="Disclaimer">
    <w:name w:val="Disclaimer"/>
    <w:basedOn w:val="AltBilgi"/>
    <w:rsid w:val="00B37D3B"/>
    <w:pPr>
      <w:jc w:val="center"/>
    </w:pPr>
    <w:rPr>
      <w:rFonts w:ascii="Times New Roman" w:hAnsi="Times New Roman"/>
      <w:b/>
      <w:i/>
      <w:sz w:val="18"/>
    </w:rPr>
  </w:style>
  <w:style w:type="paragraph" w:customStyle="1" w:styleId="Fax">
    <w:name w:val="Fax"/>
    <w:basedOn w:val="Normal"/>
    <w:rsid w:val="00B37D3B"/>
    <w:pPr>
      <w:tabs>
        <w:tab w:val="left" w:pos="2694"/>
      </w:tabs>
      <w:spacing w:line="360" w:lineRule="auto"/>
      <w:ind w:left="2693" w:hanging="2693"/>
    </w:pPr>
    <w:rPr>
      <w:b/>
    </w:rPr>
  </w:style>
  <w:style w:type="paragraph" w:customStyle="1" w:styleId="FaxHeader">
    <w:name w:val="FaxHeader"/>
    <w:basedOn w:val="Normal"/>
    <w:rsid w:val="00B37D3B"/>
    <w:pPr>
      <w:tabs>
        <w:tab w:val="left" w:pos="2693"/>
      </w:tabs>
      <w:ind w:left="2693" w:hanging="2693"/>
    </w:pPr>
  </w:style>
  <w:style w:type="paragraph" w:styleId="stBilgi">
    <w:name w:val="header"/>
    <w:basedOn w:val="Normal"/>
    <w:rsid w:val="00B37D3B"/>
  </w:style>
  <w:style w:type="character" w:styleId="Kpr">
    <w:name w:val="Hyperlink"/>
    <w:basedOn w:val="VarsaylanParagrafYazTipi"/>
    <w:rsid w:val="00B37D3B"/>
    <w:rPr>
      <w:color w:val="0000FF"/>
      <w:u w:val="single"/>
    </w:rPr>
  </w:style>
  <w:style w:type="paragraph" w:customStyle="1" w:styleId="Item">
    <w:name w:val="Item"/>
    <w:next w:val="GvdeMetni3"/>
    <w:rsid w:val="00B37D3B"/>
    <w:pPr>
      <w:keepNext/>
      <w:numPr>
        <w:numId w:val="9"/>
      </w:numPr>
      <w:spacing w:before="240"/>
    </w:pPr>
    <w:rPr>
      <w:rFonts w:ascii="Arial" w:hAnsi="Arial"/>
      <w:b/>
      <w:lang w:val="en-AU"/>
    </w:rPr>
  </w:style>
  <w:style w:type="character" w:styleId="SayfaNumaras">
    <w:name w:val="page number"/>
    <w:basedOn w:val="VarsaylanParagrafYazTipi"/>
    <w:rsid w:val="00B37D3B"/>
    <w:rPr>
      <w:sz w:val="20"/>
    </w:rPr>
  </w:style>
  <w:style w:type="paragraph" w:customStyle="1" w:styleId="Recital">
    <w:name w:val="Recital"/>
    <w:basedOn w:val="Normal"/>
    <w:rsid w:val="00B37D3B"/>
    <w:pPr>
      <w:numPr>
        <w:numId w:val="11"/>
      </w:numPr>
      <w:spacing w:before="240"/>
    </w:pPr>
  </w:style>
  <w:style w:type="paragraph" w:customStyle="1" w:styleId="Schedule">
    <w:name w:val="Schedule"/>
    <w:basedOn w:val="Normal"/>
    <w:next w:val="BodyText1"/>
    <w:rsid w:val="00B37D3B"/>
    <w:pPr>
      <w:keepNext/>
      <w:numPr>
        <w:numId w:val="12"/>
      </w:numPr>
      <w:spacing w:before="480"/>
      <w:outlineLvl w:val="0"/>
    </w:pPr>
    <w:rPr>
      <w:b/>
      <w:sz w:val="24"/>
    </w:rPr>
  </w:style>
  <w:style w:type="paragraph" w:styleId="Altyaz">
    <w:name w:val="Subtitle"/>
    <w:basedOn w:val="Normal"/>
    <w:next w:val="BodyText1"/>
    <w:qFormat/>
    <w:rsid w:val="00B37D3B"/>
    <w:pPr>
      <w:keepNext/>
      <w:spacing w:before="480"/>
    </w:pPr>
    <w:rPr>
      <w:b/>
      <w:sz w:val="24"/>
    </w:rPr>
  </w:style>
  <w:style w:type="paragraph" w:customStyle="1" w:styleId="TableText">
    <w:name w:val="Table Text"/>
    <w:basedOn w:val="Normal"/>
    <w:rsid w:val="00B37D3B"/>
    <w:pPr>
      <w:spacing w:before="60" w:after="60"/>
    </w:pPr>
  </w:style>
  <w:style w:type="paragraph" w:styleId="KonuBal">
    <w:name w:val="Title"/>
    <w:basedOn w:val="Normal"/>
    <w:next w:val="Normal"/>
    <w:qFormat/>
    <w:rsid w:val="00B37D3B"/>
    <w:pPr>
      <w:spacing w:after="360"/>
    </w:pPr>
    <w:rPr>
      <w:b/>
      <w:sz w:val="40"/>
    </w:rPr>
  </w:style>
  <w:style w:type="paragraph" w:styleId="T1">
    <w:name w:val="toc 1"/>
    <w:basedOn w:val="Normal"/>
    <w:next w:val="Normal"/>
    <w:semiHidden/>
    <w:rsid w:val="00B37D3B"/>
    <w:pPr>
      <w:tabs>
        <w:tab w:val="right" w:leader="dot" w:pos="8789"/>
      </w:tabs>
      <w:spacing w:before="60" w:after="60"/>
      <w:ind w:left="709" w:right="425" w:hanging="709"/>
      <w:outlineLvl w:val="0"/>
    </w:pPr>
  </w:style>
  <w:style w:type="paragraph" w:styleId="T2">
    <w:name w:val="toc 2"/>
    <w:basedOn w:val="Normal"/>
    <w:next w:val="Normal"/>
    <w:semiHidden/>
    <w:rsid w:val="00B37D3B"/>
    <w:pPr>
      <w:tabs>
        <w:tab w:val="right" w:leader="dot" w:pos="8789"/>
      </w:tabs>
      <w:spacing w:before="60" w:after="60"/>
      <w:ind w:left="1418" w:right="425" w:hanging="709"/>
      <w:outlineLvl w:val="0"/>
    </w:pPr>
  </w:style>
  <w:style w:type="paragraph" w:styleId="T3">
    <w:name w:val="toc 3"/>
    <w:basedOn w:val="Normal"/>
    <w:next w:val="Normal"/>
    <w:semiHidden/>
    <w:rsid w:val="00B37D3B"/>
    <w:pPr>
      <w:tabs>
        <w:tab w:val="right" w:pos="7938"/>
      </w:tabs>
      <w:spacing w:before="60" w:after="60"/>
      <w:ind w:left="442"/>
    </w:pPr>
  </w:style>
  <w:style w:type="paragraph" w:styleId="T4">
    <w:name w:val="toc 4"/>
    <w:basedOn w:val="Normal"/>
    <w:next w:val="Normal"/>
    <w:semiHidden/>
    <w:rsid w:val="00B37D3B"/>
    <w:pPr>
      <w:tabs>
        <w:tab w:val="right" w:leader="dot" w:pos="8789"/>
      </w:tabs>
      <w:spacing w:before="60" w:after="60"/>
      <w:ind w:left="709" w:right="425" w:hanging="709"/>
    </w:pPr>
  </w:style>
  <w:style w:type="paragraph" w:styleId="T5">
    <w:name w:val="toc 5"/>
    <w:basedOn w:val="Normal"/>
    <w:next w:val="Normal"/>
    <w:semiHidden/>
    <w:rsid w:val="00B37D3B"/>
    <w:pPr>
      <w:tabs>
        <w:tab w:val="right" w:leader="dot" w:pos="8789"/>
      </w:tabs>
      <w:spacing w:before="60" w:after="60"/>
      <w:ind w:left="709" w:right="425" w:hanging="709"/>
    </w:pPr>
  </w:style>
  <w:style w:type="paragraph" w:styleId="T6">
    <w:name w:val="toc 6"/>
    <w:basedOn w:val="Normal"/>
    <w:next w:val="Normal"/>
    <w:semiHidden/>
    <w:rsid w:val="00B37D3B"/>
    <w:pPr>
      <w:tabs>
        <w:tab w:val="right" w:leader="dot" w:pos="8789"/>
      </w:tabs>
      <w:spacing w:before="60" w:after="60"/>
      <w:ind w:left="709" w:right="425" w:hanging="709"/>
    </w:pPr>
  </w:style>
  <w:style w:type="paragraph" w:styleId="T7">
    <w:name w:val="toc 7"/>
    <w:basedOn w:val="Normal"/>
    <w:next w:val="Normal"/>
    <w:semiHidden/>
    <w:rsid w:val="00B37D3B"/>
    <w:pPr>
      <w:tabs>
        <w:tab w:val="right" w:pos="8789"/>
      </w:tabs>
      <w:spacing w:before="60" w:after="60"/>
      <w:ind w:left="709" w:right="425" w:hanging="709"/>
    </w:pPr>
  </w:style>
  <w:style w:type="paragraph" w:styleId="T8">
    <w:name w:val="toc 8"/>
    <w:basedOn w:val="Normal"/>
    <w:next w:val="Normal"/>
    <w:semiHidden/>
    <w:rsid w:val="00B37D3B"/>
    <w:pPr>
      <w:tabs>
        <w:tab w:val="right" w:leader="dot" w:pos="8789"/>
      </w:tabs>
      <w:spacing w:before="60" w:after="60"/>
      <w:ind w:left="709" w:right="425" w:hanging="709"/>
      <w:outlineLvl w:val="0"/>
    </w:pPr>
  </w:style>
  <w:style w:type="paragraph" w:styleId="T9">
    <w:name w:val="toc 9"/>
    <w:basedOn w:val="Normal"/>
    <w:next w:val="Normal"/>
    <w:semiHidden/>
    <w:rsid w:val="00B37D3B"/>
    <w:pPr>
      <w:tabs>
        <w:tab w:val="right" w:leader="dot" w:pos="8789"/>
      </w:tabs>
      <w:spacing w:before="60" w:after="60"/>
      <w:ind w:left="709" w:right="425" w:hanging="709"/>
      <w:outlineLvl w:val="0"/>
    </w:pPr>
  </w:style>
  <w:style w:type="character" w:customStyle="1" w:styleId="GvdeMetniChar">
    <w:name w:val="Gövde Metni Char"/>
    <w:basedOn w:val="VarsaylanParagrafYazTipi"/>
    <w:link w:val="GvdeMetni"/>
    <w:rsid w:val="00B37D3B"/>
    <w:rPr>
      <w:rFonts w:ascii="Arial" w:hAnsi="Arial"/>
      <w:lang w:val="en-AU"/>
    </w:rPr>
  </w:style>
  <w:style w:type="paragraph" w:styleId="DipnotMetni">
    <w:name w:val="footnote text"/>
    <w:basedOn w:val="Normal"/>
    <w:link w:val="DipnotMetniChar"/>
    <w:rsid w:val="00B37D3B"/>
    <w:rPr>
      <w:sz w:val="18"/>
    </w:rPr>
  </w:style>
  <w:style w:type="character" w:customStyle="1" w:styleId="DipnotMetniChar">
    <w:name w:val="Dipnot Metni Char"/>
    <w:basedOn w:val="VarsaylanParagrafYazTipi"/>
    <w:link w:val="DipnotMetni"/>
    <w:rsid w:val="00B37D3B"/>
    <w:rPr>
      <w:rFonts w:ascii="Arial" w:hAnsi="Arial"/>
      <w:sz w:val="18"/>
      <w:lang w:val="en-AU"/>
    </w:rPr>
  </w:style>
  <w:style w:type="paragraph" w:customStyle="1" w:styleId="NRFABullet1">
    <w:name w:val="NRFA Bullet 1"/>
    <w:basedOn w:val="GvdeMetni2"/>
    <w:qFormat/>
    <w:rsid w:val="00B37D3B"/>
    <w:pPr>
      <w:numPr>
        <w:numId w:val="10"/>
      </w:numPr>
      <w:tabs>
        <w:tab w:val="left" w:pos="709"/>
      </w:tabs>
      <w:outlineLvl w:val="0"/>
    </w:pPr>
  </w:style>
  <w:style w:type="paragraph" w:customStyle="1" w:styleId="NRFABullet2">
    <w:name w:val="NRFA Bullet 2"/>
    <w:basedOn w:val="NRFABullet1"/>
    <w:qFormat/>
    <w:rsid w:val="00B37D3B"/>
    <w:pPr>
      <w:numPr>
        <w:ilvl w:val="1"/>
      </w:numPr>
      <w:outlineLvl w:val="1"/>
    </w:pPr>
  </w:style>
  <w:style w:type="table" w:customStyle="1" w:styleId="NRFATable">
    <w:name w:val="NRFA Table"/>
    <w:basedOn w:val="NormalTablo"/>
    <w:rsid w:val="00B37D3B"/>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B37D3B"/>
    <w:pPr>
      <w:keepNext/>
      <w:widowControl w:val="0"/>
      <w:numPr>
        <w:numId w:val="13"/>
      </w:numPr>
      <w:spacing w:before="240"/>
      <w:outlineLvl w:val="0"/>
    </w:pPr>
    <w:rPr>
      <w:b/>
    </w:rPr>
  </w:style>
  <w:style w:type="paragraph" w:customStyle="1" w:styleId="ScheduleNumbering2">
    <w:name w:val="Schedule Numbering 2"/>
    <w:basedOn w:val="Normal"/>
    <w:rsid w:val="00B37D3B"/>
    <w:pPr>
      <w:numPr>
        <w:ilvl w:val="1"/>
        <w:numId w:val="13"/>
      </w:numPr>
      <w:spacing w:before="240"/>
      <w:outlineLvl w:val="1"/>
    </w:pPr>
  </w:style>
  <w:style w:type="paragraph" w:customStyle="1" w:styleId="ScheduleNumbering3">
    <w:name w:val="Schedule Numbering 3"/>
    <w:basedOn w:val="Normal"/>
    <w:rsid w:val="00B37D3B"/>
    <w:pPr>
      <w:numPr>
        <w:ilvl w:val="2"/>
        <w:numId w:val="13"/>
      </w:numPr>
      <w:spacing w:before="240"/>
      <w:outlineLvl w:val="2"/>
    </w:pPr>
  </w:style>
  <w:style w:type="paragraph" w:customStyle="1" w:styleId="ScheduleNumbering4">
    <w:name w:val="Schedule Numbering 4"/>
    <w:basedOn w:val="Normal"/>
    <w:rsid w:val="00B37D3B"/>
    <w:pPr>
      <w:numPr>
        <w:ilvl w:val="3"/>
        <w:numId w:val="13"/>
      </w:numPr>
      <w:spacing w:before="240"/>
      <w:outlineLvl w:val="3"/>
    </w:pPr>
  </w:style>
  <w:style w:type="paragraph" w:customStyle="1" w:styleId="ScheduleNumbering5">
    <w:name w:val="Schedule Numbering 5"/>
    <w:basedOn w:val="Normal"/>
    <w:rsid w:val="00B37D3B"/>
    <w:pPr>
      <w:numPr>
        <w:ilvl w:val="4"/>
        <w:numId w:val="13"/>
      </w:numPr>
      <w:spacing w:before="240"/>
      <w:outlineLvl w:val="4"/>
    </w:pPr>
  </w:style>
  <w:style w:type="character" w:customStyle="1" w:styleId="AltBilgiChar">
    <w:name w:val="Alt Bilgi Char"/>
    <w:link w:val="AltBilgi"/>
    <w:rPr>
      <w:rFonts w:ascii="Arial" w:hAnsi="Arial"/>
      <w:sz w:val="16"/>
      <w:lang w:val="en-AU"/>
    </w:rPr>
  </w:style>
  <w:style w:type="paragraph" w:customStyle="1" w:styleId="BilingualHeading1">
    <w:name w:val="Bilingual Heading 1"/>
    <w:basedOn w:val="Normal"/>
    <w:next w:val="BilingualHeading2"/>
    <w:unhideWhenUsed/>
    <w:rsid w:val="00B37D3B"/>
    <w:pPr>
      <w:keepNext/>
      <w:numPr>
        <w:numId w:val="3"/>
      </w:numPr>
      <w:spacing w:before="360"/>
    </w:pPr>
    <w:rPr>
      <w:b/>
      <w:sz w:val="24"/>
    </w:rPr>
  </w:style>
  <w:style w:type="paragraph" w:customStyle="1" w:styleId="BilingualHeading2">
    <w:name w:val="Bilingual Heading 2"/>
    <w:basedOn w:val="Normal"/>
    <w:next w:val="GvdeMetni2"/>
    <w:unhideWhenUsed/>
    <w:rsid w:val="00B37D3B"/>
    <w:pPr>
      <w:numPr>
        <w:ilvl w:val="1"/>
        <w:numId w:val="3"/>
      </w:numPr>
      <w:spacing w:before="240"/>
    </w:pPr>
  </w:style>
  <w:style w:type="paragraph" w:customStyle="1" w:styleId="BilingualHeading3">
    <w:name w:val="Bilingual Heading 3"/>
    <w:basedOn w:val="Normal"/>
    <w:unhideWhenUsed/>
    <w:rsid w:val="00B37D3B"/>
    <w:pPr>
      <w:numPr>
        <w:ilvl w:val="2"/>
        <w:numId w:val="3"/>
      </w:numPr>
      <w:spacing w:before="240"/>
    </w:pPr>
  </w:style>
  <w:style w:type="paragraph" w:customStyle="1" w:styleId="BilingualHeading4">
    <w:name w:val="Bilingual Heading 4"/>
    <w:basedOn w:val="Normal"/>
    <w:unhideWhenUsed/>
    <w:rsid w:val="00B37D3B"/>
    <w:pPr>
      <w:numPr>
        <w:ilvl w:val="3"/>
        <w:numId w:val="3"/>
      </w:numPr>
      <w:spacing w:before="240"/>
    </w:pPr>
  </w:style>
  <w:style w:type="paragraph" w:customStyle="1" w:styleId="BilingualHeading5">
    <w:name w:val="Bilingual Heading 5"/>
    <w:basedOn w:val="Normal"/>
    <w:unhideWhenUsed/>
    <w:rsid w:val="00B37D3B"/>
    <w:pPr>
      <w:numPr>
        <w:ilvl w:val="4"/>
        <w:numId w:val="3"/>
      </w:numPr>
      <w:spacing w:before="240"/>
    </w:pPr>
  </w:style>
  <w:style w:type="paragraph" w:customStyle="1" w:styleId="BilingualHeading6">
    <w:name w:val="Bilingual Heading 6"/>
    <w:basedOn w:val="Normal"/>
    <w:unhideWhenUsed/>
    <w:rsid w:val="00B37D3B"/>
    <w:pPr>
      <w:numPr>
        <w:ilvl w:val="5"/>
        <w:numId w:val="3"/>
      </w:numPr>
      <w:spacing w:before="240"/>
    </w:pPr>
  </w:style>
  <w:style w:type="table" w:customStyle="1" w:styleId="BilingualTable">
    <w:name w:val="Bilingual Table"/>
    <w:basedOn w:val="NormalTablo"/>
    <w:uiPriority w:val="99"/>
    <w:rsid w:val="00B37D3B"/>
    <w:rPr>
      <w:rFonts w:ascii="Arial" w:hAnsi="Arial"/>
    </w:rPr>
    <w:tblPr/>
  </w:style>
  <w:style w:type="paragraph" w:customStyle="1" w:styleId="BilingualAnnexure">
    <w:name w:val="Bilingual Annexure"/>
    <w:basedOn w:val="Normal"/>
    <w:next w:val="BodyText1"/>
    <w:rsid w:val="00B37D3B"/>
    <w:pPr>
      <w:numPr>
        <w:numId w:val="2"/>
      </w:numPr>
      <w:spacing w:before="240"/>
      <w:outlineLvl w:val="0"/>
    </w:pPr>
    <w:rPr>
      <w:b/>
      <w:sz w:val="24"/>
    </w:rPr>
  </w:style>
  <w:style w:type="table" w:styleId="TabloKlavuzu">
    <w:name w:val="Table Grid"/>
    <w:basedOn w:val="NormalTablo"/>
    <w:rsid w:val="00B37D3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GvdeMetni3"/>
    <w:rsid w:val="00B37D3B"/>
    <w:pPr>
      <w:keepNext/>
      <w:numPr>
        <w:numId w:val="4"/>
      </w:numPr>
      <w:spacing w:before="240"/>
    </w:pPr>
    <w:rPr>
      <w:rFonts w:ascii="Arial" w:hAnsi="Arial"/>
      <w:b/>
      <w:lang w:val="en-AU"/>
    </w:rPr>
  </w:style>
  <w:style w:type="paragraph" w:customStyle="1" w:styleId="BilingualRecital">
    <w:name w:val="Bilingual Recital"/>
    <w:basedOn w:val="Normal"/>
    <w:rsid w:val="00B37D3B"/>
    <w:pPr>
      <w:numPr>
        <w:numId w:val="5"/>
      </w:numPr>
      <w:spacing w:before="240"/>
    </w:pPr>
  </w:style>
  <w:style w:type="paragraph" w:customStyle="1" w:styleId="BilingualSchedule">
    <w:name w:val="Bilingual Schedule"/>
    <w:basedOn w:val="Normal"/>
    <w:next w:val="BodyText1"/>
    <w:rsid w:val="00B37D3B"/>
    <w:pPr>
      <w:keepNext/>
      <w:numPr>
        <w:numId w:val="6"/>
      </w:numPr>
      <w:spacing w:before="480"/>
      <w:outlineLvl w:val="0"/>
    </w:pPr>
    <w:rPr>
      <w:b/>
      <w:sz w:val="24"/>
    </w:rPr>
  </w:style>
  <w:style w:type="paragraph" w:customStyle="1" w:styleId="BilingualScheduleNumbering1">
    <w:name w:val="Bilingual Schedule Numbering 1"/>
    <w:basedOn w:val="Normal"/>
    <w:next w:val="Normal"/>
    <w:rsid w:val="00B37D3B"/>
    <w:pPr>
      <w:keepNext/>
      <w:widowControl w:val="0"/>
      <w:numPr>
        <w:numId w:val="7"/>
      </w:numPr>
      <w:spacing w:before="240"/>
      <w:outlineLvl w:val="0"/>
    </w:pPr>
    <w:rPr>
      <w:b/>
    </w:rPr>
  </w:style>
  <w:style w:type="paragraph" w:customStyle="1" w:styleId="BilingualScheduleNumbering2">
    <w:name w:val="Bilingual Schedule Numbering 2"/>
    <w:basedOn w:val="Normal"/>
    <w:rsid w:val="00B37D3B"/>
    <w:pPr>
      <w:numPr>
        <w:ilvl w:val="1"/>
        <w:numId w:val="7"/>
      </w:numPr>
      <w:spacing w:before="240"/>
      <w:outlineLvl w:val="1"/>
    </w:pPr>
  </w:style>
  <w:style w:type="paragraph" w:customStyle="1" w:styleId="BilingualScheduleNumbering3">
    <w:name w:val="Bilingual Schedule Numbering 3"/>
    <w:basedOn w:val="Normal"/>
    <w:rsid w:val="00B37D3B"/>
    <w:pPr>
      <w:numPr>
        <w:ilvl w:val="2"/>
        <w:numId w:val="7"/>
      </w:numPr>
      <w:spacing w:before="240"/>
      <w:outlineLvl w:val="2"/>
    </w:pPr>
  </w:style>
  <w:style w:type="paragraph" w:customStyle="1" w:styleId="BilingualScheduleNumbering4">
    <w:name w:val="Bilingual Schedule Numbering 4"/>
    <w:basedOn w:val="Normal"/>
    <w:rsid w:val="00B37D3B"/>
    <w:pPr>
      <w:numPr>
        <w:ilvl w:val="3"/>
        <w:numId w:val="7"/>
      </w:numPr>
      <w:spacing w:before="240"/>
      <w:outlineLvl w:val="3"/>
    </w:pPr>
  </w:style>
  <w:style w:type="paragraph" w:customStyle="1" w:styleId="BilingualScheduleNumbering5">
    <w:name w:val="Bilingual Schedule Numbering 5"/>
    <w:basedOn w:val="Normal"/>
    <w:rsid w:val="00B37D3B"/>
    <w:pPr>
      <w:numPr>
        <w:ilvl w:val="4"/>
        <w:numId w:val="7"/>
      </w:numPr>
      <w:spacing w:before="240"/>
      <w:outlineLvl w:val="4"/>
    </w:pPr>
  </w:style>
  <w:style w:type="paragraph" w:styleId="ListeParagraf">
    <w:name w:val="List Paragraph"/>
    <w:basedOn w:val="Normal"/>
    <w:uiPriority w:val="34"/>
    <w:qFormat/>
    <w:rsid w:val="003F6B52"/>
    <w:pPr>
      <w:ind w:left="720"/>
      <w:contextualSpacing/>
    </w:pPr>
  </w:style>
  <w:style w:type="character" w:styleId="zlenenKpr">
    <w:name w:val="FollowedHyperlink"/>
    <w:basedOn w:val="VarsaylanParagrafYazTipi"/>
    <w:semiHidden/>
    <w:unhideWhenUsed/>
    <w:rsid w:val="00377A66"/>
    <w:rPr>
      <w:color w:val="800080" w:themeColor="followedHyperlink"/>
      <w:u w:val="single"/>
    </w:rPr>
  </w:style>
  <w:style w:type="character" w:styleId="AklamaBavurusu">
    <w:name w:val="annotation reference"/>
    <w:basedOn w:val="VarsaylanParagrafYazTipi"/>
    <w:semiHidden/>
    <w:unhideWhenUsed/>
    <w:rsid w:val="0026452F"/>
    <w:rPr>
      <w:sz w:val="16"/>
      <w:szCs w:val="16"/>
    </w:rPr>
  </w:style>
  <w:style w:type="paragraph" w:styleId="AklamaMetni">
    <w:name w:val="annotation text"/>
    <w:basedOn w:val="Normal"/>
    <w:link w:val="AklamaMetniChar"/>
    <w:unhideWhenUsed/>
    <w:rsid w:val="0026452F"/>
  </w:style>
  <w:style w:type="character" w:customStyle="1" w:styleId="AklamaMetniChar">
    <w:name w:val="Açıklama Metni Char"/>
    <w:basedOn w:val="VarsaylanParagrafYazTipi"/>
    <w:link w:val="AklamaMetni"/>
    <w:rsid w:val="0026452F"/>
    <w:rPr>
      <w:rFonts w:ascii="Arial" w:hAnsi="Arial"/>
      <w:lang w:val="en-AU"/>
    </w:rPr>
  </w:style>
  <w:style w:type="paragraph" w:styleId="AklamaKonusu">
    <w:name w:val="annotation subject"/>
    <w:basedOn w:val="AklamaMetni"/>
    <w:next w:val="AklamaMetni"/>
    <w:link w:val="AklamaKonusuChar"/>
    <w:semiHidden/>
    <w:unhideWhenUsed/>
    <w:rsid w:val="0026452F"/>
    <w:rPr>
      <w:b/>
      <w:bCs/>
    </w:rPr>
  </w:style>
  <w:style w:type="character" w:customStyle="1" w:styleId="AklamaKonusuChar">
    <w:name w:val="Açıklama Konusu Char"/>
    <w:basedOn w:val="AklamaMetniChar"/>
    <w:link w:val="AklamaKonusu"/>
    <w:semiHidden/>
    <w:rsid w:val="0026452F"/>
    <w:rPr>
      <w:rFonts w:ascii="Arial" w:hAnsi="Arial"/>
      <w:b/>
      <w:bCs/>
      <w:lang w:val="en-AU"/>
    </w:rPr>
  </w:style>
  <w:style w:type="paragraph" w:styleId="BalonMetni">
    <w:name w:val="Balloon Text"/>
    <w:basedOn w:val="Normal"/>
    <w:link w:val="BalonMetniChar"/>
    <w:semiHidden/>
    <w:unhideWhenUsed/>
    <w:rsid w:val="0026452F"/>
    <w:rPr>
      <w:rFonts w:ascii="Segoe UI" w:hAnsi="Segoe UI" w:cs="Segoe UI"/>
      <w:sz w:val="18"/>
      <w:szCs w:val="18"/>
    </w:rPr>
  </w:style>
  <w:style w:type="character" w:customStyle="1" w:styleId="BalonMetniChar">
    <w:name w:val="Balon Metni Char"/>
    <w:basedOn w:val="VarsaylanParagrafYazTipi"/>
    <w:link w:val="BalonMetni"/>
    <w:semiHidden/>
    <w:rsid w:val="0026452F"/>
    <w:rPr>
      <w:rFonts w:ascii="Segoe UI" w:hAnsi="Segoe UI" w:cs="Segoe UI"/>
      <w:sz w:val="18"/>
      <w:szCs w:val="18"/>
      <w:lang w:val="en-AU"/>
    </w:rPr>
  </w:style>
  <w:style w:type="character" w:styleId="DipnotBavurusu">
    <w:name w:val="footnote reference"/>
    <w:basedOn w:val="VarsaylanParagrafYazTipi"/>
    <w:semiHidden/>
    <w:unhideWhenUsed/>
    <w:rsid w:val="00301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orton%20Rose\NR%20OfficeAddins\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6D5A2CC9-0E29-481C-9B00-C3EABAF37AF2}">
  <ds:schemaRefs>
    <ds:schemaRef ds:uri="http://schemas.openxmlformats.org/officeDocument/2006/bibliography"/>
  </ds:schemaRefs>
</ds:datastoreItem>
</file>

<file path=customXml/itemProps2.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Doc</Template>
  <TotalTime>1</TotalTime>
  <Pages>2</Pages>
  <Words>511</Words>
  <Characters>2914</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2651381/116771128_1</Manager>
  <Company>Norton Rose Fulbright</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2651381</dc:subject>
  <dc:creator>Ekrem Batuhan Akcay</dc:creator>
  <cp:lastModifiedBy>Burak Baydar</cp:lastModifiedBy>
  <cp:revision>3</cp:revision>
  <dcterms:created xsi:type="dcterms:W3CDTF">2021-04-26T12:59:00Z</dcterms:created>
  <dcterms:modified xsi:type="dcterms:W3CDTF">2021-04-27T10:10:00Z</dcterms:modified>
  <cp:category>116771128_1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Code">
    <vt:lpwstr>1043614</vt:lpwstr>
  </property>
  <property fmtid="{D5CDD505-2E9C-101B-9397-08002B2CF9AE}" pid="3" name="DocumentAuthor">
    <vt:lpwstr>Tsai, Deborah</vt:lpwstr>
  </property>
  <property fmtid="{D5CDD505-2E9C-101B-9397-08002B2CF9AE}" pid="4" name="DocumentCreationDate">
    <vt:filetime>2021-03-15T13:00:00Z</vt:filetime>
  </property>
  <property fmtid="{D5CDD505-2E9C-101B-9397-08002B2CF9AE}" pid="5" name="DocumentDatabase">
    <vt:lpwstr>APAC</vt:lpwstr>
  </property>
  <property fmtid="{D5CDD505-2E9C-101B-9397-08002B2CF9AE}" pid="6" name="DocumentNumber">
    <vt:lpwstr>116771128</vt:lpwstr>
  </property>
  <property fmtid="{D5CDD505-2E9C-101B-9397-08002B2CF9AE}" pid="7" name="DocumentOperator">
    <vt:lpwstr>DEBORAH.TSAI</vt:lpwstr>
  </property>
  <property fmtid="{D5CDD505-2E9C-101B-9397-08002B2CF9AE}" pid="8" name="DocumentTitle">
    <vt:lpwstr>Template - INSOL Case Register</vt:lpwstr>
  </property>
  <property fmtid="{D5CDD505-2E9C-101B-9397-08002B2CF9AE}" pid="9" name="DocumentVersion">
    <vt:lpwstr>1</vt:lpwstr>
  </property>
  <property fmtid="{D5CDD505-2E9C-101B-9397-08002B2CF9AE}" pid="10" name="Locale">
    <vt:lpwstr>Australia</vt:lpwstr>
  </property>
  <property fmtid="{D5CDD505-2E9C-101B-9397-08002B2CF9AE}" pid="11" name="MatterNumber">
    <vt:lpwstr>2651381</vt:lpwstr>
  </property>
  <property fmtid="{D5CDD505-2E9C-101B-9397-08002B2CF9AE}" pid="12" name="NRStyle">
    <vt:lpwstr>Style3</vt:lpwstr>
  </property>
  <property fmtid="{D5CDD505-2E9C-101B-9397-08002B2CF9AE}" pid="13" name="ShowGUI">
    <vt:bool>true</vt:bool>
  </property>
  <property fmtid="{D5CDD505-2E9C-101B-9397-08002B2CF9AE}" pid="14" name="ShowVBADialog">
    <vt:bool>true</vt:bool>
  </property>
</Properties>
</file>