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571D5" w14:textId="77F3D948" w:rsidR="00A2314B" w:rsidRPr="00433474" w:rsidRDefault="00F10310" w:rsidP="00F10310">
      <w:pPr>
        <w:jc w:val="center"/>
        <w:rPr>
          <w:b/>
          <w:sz w:val="24"/>
          <w:szCs w:val="24"/>
        </w:rPr>
      </w:pPr>
      <w:r w:rsidRPr="00433474">
        <w:rPr>
          <w:b/>
          <w:sz w:val="24"/>
          <w:szCs w:val="24"/>
        </w:rPr>
        <w:t xml:space="preserve">INSOL EUROPE </w:t>
      </w:r>
    </w:p>
    <w:p w14:paraId="316C9813" w14:textId="77777777" w:rsidR="00F10310" w:rsidRPr="00433474" w:rsidRDefault="00F10310" w:rsidP="00F10310">
      <w:pPr>
        <w:jc w:val="center"/>
        <w:rPr>
          <w:b/>
          <w:sz w:val="24"/>
          <w:szCs w:val="24"/>
        </w:rPr>
      </w:pPr>
    </w:p>
    <w:p w14:paraId="2E12E460" w14:textId="32F5E063" w:rsidR="00F10310" w:rsidRPr="00433474" w:rsidRDefault="00A5239F" w:rsidP="00F10310">
      <w:pPr>
        <w:jc w:val="center"/>
        <w:rPr>
          <w:b/>
          <w:sz w:val="24"/>
          <w:szCs w:val="24"/>
        </w:rPr>
      </w:pPr>
      <w:r>
        <w:rPr>
          <w:b/>
          <w:sz w:val="24"/>
          <w:szCs w:val="24"/>
        </w:rPr>
        <w:t xml:space="preserve">DIGITAL ASSETS </w:t>
      </w:r>
      <w:r w:rsidR="00F10310" w:rsidRPr="00433474">
        <w:rPr>
          <w:b/>
          <w:sz w:val="24"/>
          <w:szCs w:val="24"/>
        </w:rPr>
        <w:t>CASE SUMMARIES</w:t>
      </w:r>
    </w:p>
    <w:p w14:paraId="25CFF7B1" w14:textId="77777777" w:rsidR="00F10310" w:rsidRPr="00F10310" w:rsidRDefault="00F10310" w:rsidP="00F10310">
      <w:pPr>
        <w:jc w:val="center"/>
        <w:rPr>
          <w:b/>
          <w:i/>
          <w:sz w:val="24"/>
          <w:szCs w:val="24"/>
        </w:rPr>
      </w:pPr>
    </w:p>
    <w:tbl>
      <w:tblPr>
        <w:tblStyle w:val="TableGrid"/>
        <w:tblW w:w="0" w:type="auto"/>
        <w:tblLook w:val="04A0" w:firstRow="1" w:lastRow="0" w:firstColumn="1" w:lastColumn="0" w:noHBand="0" w:noVBand="1"/>
      </w:tblPr>
      <w:tblGrid>
        <w:gridCol w:w="3085"/>
        <w:gridCol w:w="5919"/>
      </w:tblGrid>
      <w:tr w:rsidR="00F10310" w14:paraId="4E33A013" w14:textId="77777777" w:rsidTr="00F10310">
        <w:tc>
          <w:tcPr>
            <w:tcW w:w="9004" w:type="dxa"/>
            <w:gridSpan w:val="2"/>
            <w:shd w:val="clear" w:color="auto" w:fill="D9D9D9" w:themeFill="background1" w:themeFillShade="D9"/>
          </w:tcPr>
          <w:p w14:paraId="365DF959" w14:textId="77777777" w:rsidR="00F10310" w:rsidRPr="00F10310" w:rsidRDefault="00F10310" w:rsidP="00C925DE">
            <w:pPr>
              <w:spacing w:after="240"/>
              <w:jc w:val="center"/>
              <w:rPr>
                <w:b/>
              </w:rPr>
            </w:pPr>
            <w:r>
              <w:rPr>
                <w:b/>
              </w:rPr>
              <w:t>Overview</w:t>
            </w:r>
          </w:p>
        </w:tc>
      </w:tr>
      <w:tr w:rsidR="00F10310" w14:paraId="093887AD" w14:textId="77777777" w:rsidTr="00F10310">
        <w:tc>
          <w:tcPr>
            <w:tcW w:w="3085" w:type="dxa"/>
          </w:tcPr>
          <w:p w14:paraId="2D90E374" w14:textId="1660C36B" w:rsidR="00F10310" w:rsidRPr="0043705D" w:rsidRDefault="00F10310" w:rsidP="00C925DE">
            <w:pPr>
              <w:spacing w:after="240"/>
              <w:rPr>
                <w:b/>
              </w:rPr>
            </w:pPr>
            <w:r>
              <w:rPr>
                <w:b/>
              </w:rPr>
              <w:t>Case</w:t>
            </w:r>
            <w:r w:rsidR="00A5239F">
              <w:rPr>
                <w:b/>
              </w:rPr>
              <w:t xml:space="preserve"> Citation</w:t>
            </w:r>
          </w:p>
        </w:tc>
        <w:tc>
          <w:tcPr>
            <w:tcW w:w="5919" w:type="dxa"/>
          </w:tcPr>
          <w:p w14:paraId="2A7297DB" w14:textId="39CE308D" w:rsidR="00F10310" w:rsidRDefault="00C15B03" w:rsidP="00C925DE">
            <w:pPr>
              <w:spacing w:after="240"/>
            </w:pPr>
            <w:r>
              <w:rPr>
                <w:rFonts w:cs="Arial"/>
                <w:i/>
                <w:iCs/>
              </w:rPr>
              <w:t xml:space="preserve">AA v Persons Unknown </w:t>
            </w:r>
            <w:r>
              <w:rPr>
                <w:rFonts w:cs="Arial"/>
              </w:rPr>
              <w:t>[2019] EWHC 3556 (Comm)</w:t>
            </w:r>
            <w:r w:rsidR="00C875C8">
              <w:rPr>
                <w:rFonts w:cs="Arial"/>
              </w:rPr>
              <w:t>; [2020] 1 CLC 64</w:t>
            </w:r>
          </w:p>
        </w:tc>
      </w:tr>
      <w:tr w:rsidR="00F10310" w14:paraId="736ADF09" w14:textId="77777777" w:rsidTr="00F10310">
        <w:tc>
          <w:tcPr>
            <w:tcW w:w="3085" w:type="dxa"/>
          </w:tcPr>
          <w:p w14:paraId="58B9A687" w14:textId="77777777" w:rsidR="00F10310" w:rsidRPr="0043705D" w:rsidRDefault="00F10310" w:rsidP="00C925DE">
            <w:pPr>
              <w:spacing w:after="240"/>
              <w:rPr>
                <w:b/>
              </w:rPr>
            </w:pPr>
            <w:r>
              <w:rPr>
                <w:b/>
              </w:rPr>
              <w:t>Date</w:t>
            </w:r>
            <w:r w:rsidR="0026452F">
              <w:rPr>
                <w:b/>
              </w:rPr>
              <w:t xml:space="preserve"> of judgment</w:t>
            </w:r>
          </w:p>
        </w:tc>
        <w:tc>
          <w:tcPr>
            <w:tcW w:w="5919" w:type="dxa"/>
          </w:tcPr>
          <w:p w14:paraId="65366919" w14:textId="2C5AC0AA" w:rsidR="00F10310" w:rsidRDefault="000E3341" w:rsidP="00C925DE">
            <w:pPr>
              <w:spacing w:after="240"/>
            </w:pPr>
            <w:r>
              <w:t>13 December 2019</w:t>
            </w:r>
          </w:p>
        </w:tc>
      </w:tr>
      <w:tr w:rsidR="00F10310" w14:paraId="46E9CAD5" w14:textId="77777777" w:rsidTr="00F10310">
        <w:tc>
          <w:tcPr>
            <w:tcW w:w="3085" w:type="dxa"/>
          </w:tcPr>
          <w:p w14:paraId="65FB5F3E" w14:textId="59C7267B" w:rsidR="00F10310" w:rsidRPr="0043705D" w:rsidRDefault="00844489" w:rsidP="00C925DE">
            <w:pPr>
              <w:spacing w:after="240"/>
              <w:rPr>
                <w:b/>
              </w:rPr>
            </w:pPr>
            <w:r>
              <w:rPr>
                <w:b/>
              </w:rPr>
              <w:t>Country</w:t>
            </w:r>
          </w:p>
        </w:tc>
        <w:tc>
          <w:tcPr>
            <w:tcW w:w="5919" w:type="dxa"/>
          </w:tcPr>
          <w:p w14:paraId="7781BAD7" w14:textId="483C9078" w:rsidR="00F10310" w:rsidRDefault="009921A6" w:rsidP="00C925DE">
            <w:pPr>
              <w:spacing w:after="240"/>
            </w:pPr>
            <w:r>
              <w:t xml:space="preserve">United Kingdom </w:t>
            </w:r>
          </w:p>
        </w:tc>
      </w:tr>
      <w:tr w:rsidR="00A5239F" w14:paraId="1C14BBE3" w14:textId="77777777" w:rsidTr="00F10310">
        <w:tc>
          <w:tcPr>
            <w:tcW w:w="3085" w:type="dxa"/>
          </w:tcPr>
          <w:p w14:paraId="31FAEEBB" w14:textId="0C37B117" w:rsidR="00A5239F" w:rsidRDefault="00A5239F" w:rsidP="00C925DE">
            <w:pPr>
              <w:spacing w:after="240"/>
              <w:rPr>
                <w:b/>
              </w:rPr>
            </w:pPr>
            <w:r>
              <w:rPr>
                <w:b/>
              </w:rPr>
              <w:t>Original Language of Judgment</w:t>
            </w:r>
          </w:p>
        </w:tc>
        <w:tc>
          <w:tcPr>
            <w:tcW w:w="5919" w:type="dxa"/>
          </w:tcPr>
          <w:p w14:paraId="02A5575A" w14:textId="002CE58E" w:rsidR="00A5239F" w:rsidRDefault="000E3341" w:rsidP="00C925DE">
            <w:pPr>
              <w:spacing w:after="240"/>
            </w:pPr>
            <w:r>
              <w:t xml:space="preserve">English </w:t>
            </w:r>
          </w:p>
        </w:tc>
      </w:tr>
      <w:tr w:rsidR="00C925DE" w14:paraId="458BEC58" w14:textId="77777777" w:rsidTr="00F10310">
        <w:tc>
          <w:tcPr>
            <w:tcW w:w="3085" w:type="dxa"/>
          </w:tcPr>
          <w:p w14:paraId="1217299E" w14:textId="27519B3C" w:rsidR="00C925DE" w:rsidRDefault="00C925DE" w:rsidP="00844489">
            <w:pPr>
              <w:spacing w:after="240"/>
              <w:rPr>
                <w:b/>
              </w:rPr>
            </w:pPr>
            <w:r>
              <w:rPr>
                <w:b/>
              </w:rPr>
              <w:t>Court</w:t>
            </w:r>
          </w:p>
        </w:tc>
        <w:tc>
          <w:tcPr>
            <w:tcW w:w="5919" w:type="dxa"/>
          </w:tcPr>
          <w:p w14:paraId="1DA45CE1" w14:textId="2743F296" w:rsidR="00C925DE" w:rsidRDefault="000E3341" w:rsidP="00C925DE">
            <w:pPr>
              <w:spacing w:after="240"/>
            </w:pPr>
            <w:r w:rsidRPr="000E3341">
              <w:t>Queen's Bench Division (Commercial Court)</w:t>
            </w:r>
          </w:p>
        </w:tc>
      </w:tr>
      <w:tr w:rsidR="00C925DE" w14:paraId="0A70C0DC" w14:textId="77777777" w:rsidTr="00F10310">
        <w:tc>
          <w:tcPr>
            <w:tcW w:w="3085" w:type="dxa"/>
          </w:tcPr>
          <w:p w14:paraId="23F6C62F" w14:textId="77777777" w:rsidR="00C925DE" w:rsidRDefault="00C925DE" w:rsidP="00C925DE">
            <w:pPr>
              <w:spacing w:after="240"/>
              <w:rPr>
                <w:b/>
              </w:rPr>
            </w:pPr>
            <w:r>
              <w:rPr>
                <w:b/>
              </w:rPr>
              <w:t>Subject matter/catchwords</w:t>
            </w:r>
          </w:p>
        </w:tc>
        <w:tc>
          <w:tcPr>
            <w:tcW w:w="5919" w:type="dxa"/>
          </w:tcPr>
          <w:p w14:paraId="4D1DC739" w14:textId="26651699" w:rsidR="00447674" w:rsidRDefault="00447674" w:rsidP="00C925DE">
            <w:pPr>
              <w:spacing w:after="240"/>
            </w:pPr>
            <w:r>
              <w:t>Interim proprietary injunction – crypto currencies – Bitcoin – whether Bitcoin property for purposes of interim proprietary injunction – service out of jurisdiction – alternative service – restitutionary and constructive trust claims against unknown hackers and Bitcoin exchange – whether application should be heard in private</w:t>
            </w:r>
            <w:r w:rsidR="006506C2">
              <w:t xml:space="preserve"> – insurer application without notice </w:t>
            </w:r>
          </w:p>
        </w:tc>
      </w:tr>
      <w:tr w:rsidR="0032577C" w14:paraId="4DC6682C" w14:textId="77777777" w:rsidTr="00F10310">
        <w:tc>
          <w:tcPr>
            <w:tcW w:w="3085" w:type="dxa"/>
          </w:tcPr>
          <w:p w14:paraId="22A361A9" w14:textId="77777777" w:rsidR="0032577C" w:rsidRDefault="0032577C" w:rsidP="00C925DE">
            <w:pPr>
              <w:spacing w:after="240"/>
              <w:rPr>
                <w:b/>
              </w:rPr>
            </w:pPr>
            <w:r>
              <w:rPr>
                <w:b/>
              </w:rPr>
              <w:t xml:space="preserve">Decision </w:t>
            </w:r>
            <w:r w:rsidR="00C925DE">
              <w:rPr>
                <w:b/>
              </w:rPr>
              <w:t>summary</w:t>
            </w:r>
          </w:p>
        </w:tc>
        <w:tc>
          <w:tcPr>
            <w:tcW w:w="5919" w:type="dxa"/>
          </w:tcPr>
          <w:p w14:paraId="5C960E1A" w14:textId="77777777" w:rsidR="00333EDC" w:rsidRDefault="00333EDC" w:rsidP="00333EDC">
            <w:pPr>
              <w:spacing w:after="240"/>
              <w:rPr>
                <w:u w:val="single"/>
              </w:rPr>
            </w:pPr>
            <w:r>
              <w:rPr>
                <w:u w:val="single"/>
              </w:rPr>
              <w:t>Bitcoin is a form of property</w:t>
            </w:r>
          </w:p>
          <w:p w14:paraId="76F6F8E6" w14:textId="77777777" w:rsidR="00333EDC" w:rsidRDefault="00333EDC" w:rsidP="00333EDC">
            <w:pPr>
              <w:spacing w:after="240"/>
            </w:pPr>
            <w:r>
              <w:t xml:space="preserve">Justice Bryan held that crypto asset such as Bitcoin were a form of property for the purposes of obtaining an interim proprietary injunction.  </w:t>
            </w:r>
          </w:p>
          <w:p w14:paraId="7DC6E547" w14:textId="385A302D" w:rsidR="00F00B64" w:rsidRPr="00F00B64" w:rsidRDefault="00F00B64" w:rsidP="00333EDC">
            <w:pPr>
              <w:spacing w:after="240"/>
              <w:rPr>
                <w:u w:val="single"/>
              </w:rPr>
            </w:pPr>
            <w:r>
              <w:rPr>
                <w:u w:val="single"/>
              </w:rPr>
              <w:t>Injunctive relief</w:t>
            </w:r>
          </w:p>
          <w:p w14:paraId="70E64A89" w14:textId="7ED2CBAB" w:rsidR="0032577C" w:rsidRDefault="009921A6" w:rsidP="00B74B14">
            <w:pPr>
              <w:spacing w:after="240"/>
            </w:pPr>
            <w:r>
              <w:t>Justice Bryan granted the applicant</w:t>
            </w:r>
            <w:r w:rsidR="00193138">
              <w:t xml:space="preserve"> </w:t>
            </w:r>
            <w:r>
              <w:t>an interim proprietary injunction</w:t>
            </w:r>
            <w:r w:rsidR="00F00B64">
              <w:t xml:space="preserve"> against all four defendants in relation to the applicant’s restitutionary and constructive trust causes of action.   </w:t>
            </w:r>
          </w:p>
        </w:tc>
      </w:tr>
      <w:tr w:rsidR="00F10310" w14:paraId="0131BA7E" w14:textId="77777777" w:rsidTr="00F10310">
        <w:tc>
          <w:tcPr>
            <w:tcW w:w="3085" w:type="dxa"/>
          </w:tcPr>
          <w:p w14:paraId="4F974A4F" w14:textId="77777777" w:rsidR="00F10310" w:rsidRPr="0043705D" w:rsidRDefault="00F10310" w:rsidP="009772ED">
            <w:pPr>
              <w:spacing w:after="240"/>
              <w:rPr>
                <w:b/>
              </w:rPr>
            </w:pPr>
            <w:r>
              <w:rPr>
                <w:b/>
              </w:rPr>
              <w:t xml:space="preserve">Digital asset involved </w:t>
            </w:r>
            <w:r w:rsidR="00C925DE">
              <w:rPr>
                <w:b/>
              </w:rPr>
              <w:t>(e.g. Bit</w:t>
            </w:r>
            <w:r w:rsidR="009772ED">
              <w:rPr>
                <w:b/>
              </w:rPr>
              <w:t>c</w:t>
            </w:r>
            <w:r w:rsidR="00C925DE">
              <w:rPr>
                <w:b/>
              </w:rPr>
              <w:t>oin, Ethereum, Ripple etc.)</w:t>
            </w:r>
          </w:p>
        </w:tc>
        <w:tc>
          <w:tcPr>
            <w:tcW w:w="5919" w:type="dxa"/>
          </w:tcPr>
          <w:p w14:paraId="7A0A88DF" w14:textId="75A2F44F" w:rsidR="00BE312E" w:rsidRDefault="00C875C8" w:rsidP="00C925DE">
            <w:pPr>
              <w:spacing w:after="240"/>
            </w:pPr>
            <w:r>
              <w:t>Bitcoin</w:t>
            </w:r>
          </w:p>
        </w:tc>
      </w:tr>
      <w:tr w:rsidR="00BE312E" w14:paraId="21656631" w14:textId="77777777" w:rsidTr="00F10310">
        <w:tc>
          <w:tcPr>
            <w:tcW w:w="3085" w:type="dxa"/>
          </w:tcPr>
          <w:p w14:paraId="6BCC2167" w14:textId="77777777" w:rsidR="00BE312E" w:rsidRPr="0043705D" w:rsidRDefault="00BE312E" w:rsidP="00C925DE">
            <w:pPr>
              <w:spacing w:after="240"/>
              <w:rPr>
                <w:b/>
              </w:rPr>
            </w:pPr>
            <w:r>
              <w:rPr>
                <w:b/>
              </w:rPr>
              <w:t>Valuation issues</w:t>
            </w:r>
          </w:p>
        </w:tc>
        <w:tc>
          <w:tcPr>
            <w:tcW w:w="5919" w:type="dxa"/>
          </w:tcPr>
          <w:p w14:paraId="112A5E03" w14:textId="0B78F6C3" w:rsidR="00BE312E" w:rsidRDefault="00B74B14" w:rsidP="00C925DE">
            <w:pPr>
              <w:spacing w:after="240"/>
            </w:pPr>
            <w:r>
              <w:t>NA</w:t>
            </w:r>
          </w:p>
        </w:tc>
      </w:tr>
      <w:tr w:rsidR="00BE312E" w14:paraId="1F252E55" w14:textId="77777777" w:rsidTr="000F680D">
        <w:tc>
          <w:tcPr>
            <w:tcW w:w="9004" w:type="dxa"/>
            <w:gridSpan w:val="2"/>
            <w:shd w:val="clear" w:color="auto" w:fill="D9D9D9" w:themeFill="background1" w:themeFillShade="D9"/>
          </w:tcPr>
          <w:p w14:paraId="4A0E3C1E" w14:textId="77777777" w:rsidR="00BE312E" w:rsidRPr="00F10310" w:rsidRDefault="00BE312E" w:rsidP="00AA5AAB">
            <w:pPr>
              <w:spacing w:after="240"/>
              <w:jc w:val="center"/>
              <w:rPr>
                <w:b/>
              </w:rPr>
            </w:pPr>
            <w:r>
              <w:rPr>
                <w:b/>
              </w:rPr>
              <w:t xml:space="preserve">Expanded </w:t>
            </w:r>
            <w:r w:rsidR="00AA5AAB">
              <w:rPr>
                <w:b/>
              </w:rPr>
              <w:t>Case D</w:t>
            </w:r>
            <w:r>
              <w:rPr>
                <w:b/>
              </w:rPr>
              <w:t>escription</w:t>
            </w:r>
          </w:p>
        </w:tc>
      </w:tr>
      <w:tr w:rsidR="00BE312E" w14:paraId="4089B552" w14:textId="77777777" w:rsidTr="00F10310">
        <w:tc>
          <w:tcPr>
            <w:tcW w:w="3085" w:type="dxa"/>
          </w:tcPr>
          <w:p w14:paraId="706F27C7" w14:textId="77777777" w:rsidR="00BE312E" w:rsidRPr="00F10310" w:rsidRDefault="00BE312E" w:rsidP="00C925DE">
            <w:pPr>
              <w:spacing w:after="240"/>
              <w:rPr>
                <w:b/>
              </w:rPr>
            </w:pPr>
            <w:r>
              <w:rPr>
                <w:b/>
              </w:rPr>
              <w:t>Debtor</w:t>
            </w:r>
          </w:p>
        </w:tc>
        <w:tc>
          <w:tcPr>
            <w:tcW w:w="5919" w:type="dxa"/>
          </w:tcPr>
          <w:p w14:paraId="7355E045" w14:textId="055B533C" w:rsidR="00BE312E" w:rsidRDefault="00B74B14" w:rsidP="00C925DE">
            <w:pPr>
              <w:spacing w:after="240"/>
            </w:pPr>
            <w:r>
              <w:t>NA</w:t>
            </w:r>
          </w:p>
        </w:tc>
      </w:tr>
      <w:tr w:rsidR="00A5239F" w14:paraId="1244D0A4" w14:textId="77777777" w:rsidTr="00F10310">
        <w:tc>
          <w:tcPr>
            <w:tcW w:w="3085" w:type="dxa"/>
          </w:tcPr>
          <w:p w14:paraId="7047F3CF" w14:textId="261AB707" w:rsidR="00A5239F" w:rsidRDefault="00A5239F" w:rsidP="00C925DE">
            <w:pPr>
              <w:spacing w:after="240"/>
              <w:rPr>
                <w:b/>
              </w:rPr>
            </w:pPr>
            <w:r>
              <w:rPr>
                <w:b/>
              </w:rPr>
              <w:t>Identity of Insolvency Practitioner (if applicable)</w:t>
            </w:r>
          </w:p>
        </w:tc>
        <w:tc>
          <w:tcPr>
            <w:tcW w:w="5919" w:type="dxa"/>
          </w:tcPr>
          <w:p w14:paraId="13612E95" w14:textId="30A6FD90" w:rsidR="00A5239F" w:rsidRDefault="00B74B14" w:rsidP="00C925DE">
            <w:pPr>
              <w:spacing w:after="240"/>
            </w:pPr>
            <w:r>
              <w:t>NA</w:t>
            </w:r>
          </w:p>
        </w:tc>
      </w:tr>
      <w:tr w:rsidR="00C925DE" w14:paraId="1270FC92" w14:textId="77777777" w:rsidTr="00F10310">
        <w:tc>
          <w:tcPr>
            <w:tcW w:w="3085" w:type="dxa"/>
          </w:tcPr>
          <w:p w14:paraId="7DFDE72C" w14:textId="77777777" w:rsidR="00C925DE" w:rsidRDefault="00C925DE" w:rsidP="00C925DE">
            <w:pPr>
              <w:spacing w:after="240"/>
              <w:rPr>
                <w:b/>
              </w:rPr>
            </w:pPr>
            <w:r>
              <w:rPr>
                <w:b/>
              </w:rPr>
              <w:t>Authorities considered by this case (categorised by country)</w:t>
            </w:r>
          </w:p>
        </w:tc>
        <w:tc>
          <w:tcPr>
            <w:tcW w:w="5919" w:type="dxa"/>
          </w:tcPr>
          <w:p w14:paraId="62C4A04D" w14:textId="77777777" w:rsidR="00C925DE" w:rsidRPr="00B74B14" w:rsidRDefault="00B74B14" w:rsidP="00C925DE">
            <w:pPr>
              <w:spacing w:after="240"/>
            </w:pPr>
            <w:r w:rsidRPr="00B74B14">
              <w:rPr>
                <w:u w:val="single"/>
              </w:rPr>
              <w:t>Singapore</w:t>
            </w:r>
          </w:p>
          <w:p w14:paraId="4E4BC29A" w14:textId="2911DB55" w:rsidR="00B74B14" w:rsidRDefault="00B74B14" w:rsidP="00C925DE">
            <w:pPr>
              <w:spacing w:after="240"/>
            </w:pPr>
            <w:r w:rsidRPr="00126420">
              <w:rPr>
                <w:i/>
              </w:rPr>
              <w:t>B2C2 Ltd v Quoine PTC Ltd</w:t>
            </w:r>
            <w:r w:rsidRPr="00B74B14">
              <w:t xml:space="preserve"> [2019] SGHC(I) 03</w:t>
            </w:r>
          </w:p>
          <w:p w14:paraId="2D181D54" w14:textId="77777777" w:rsidR="00447525" w:rsidRPr="00B74B14" w:rsidRDefault="00447525" w:rsidP="00C925DE">
            <w:pPr>
              <w:spacing w:after="240"/>
            </w:pPr>
            <w:bookmarkStart w:id="0" w:name="_GoBack"/>
            <w:bookmarkEnd w:id="0"/>
          </w:p>
          <w:p w14:paraId="33F0F3C3" w14:textId="77777777" w:rsidR="00B74B14" w:rsidRPr="00B74B14" w:rsidRDefault="00B74B14" w:rsidP="00C925DE">
            <w:pPr>
              <w:spacing w:after="240"/>
              <w:rPr>
                <w:u w:val="single"/>
              </w:rPr>
            </w:pPr>
            <w:r w:rsidRPr="00B74B14">
              <w:rPr>
                <w:u w:val="single"/>
              </w:rPr>
              <w:lastRenderedPageBreak/>
              <w:t>United Kingdom</w:t>
            </w:r>
          </w:p>
          <w:p w14:paraId="744B7845" w14:textId="4D5F7A81" w:rsidR="00B74B14" w:rsidRPr="00447525" w:rsidRDefault="00B74B14" w:rsidP="00B74B14">
            <w:pPr>
              <w:spacing w:after="240"/>
            </w:pPr>
            <w:r w:rsidRPr="00447525">
              <w:rPr>
                <w:i/>
              </w:rPr>
              <w:t>PML v Persons Unknown</w:t>
            </w:r>
            <w:r w:rsidRPr="00447525">
              <w:t xml:space="preserve"> [2018] EWHC 838 (QB)</w:t>
            </w:r>
          </w:p>
          <w:p w14:paraId="109A81C4" w14:textId="040A5C85" w:rsidR="00B74B14" w:rsidRPr="00B74B14" w:rsidRDefault="00B74B14" w:rsidP="00B74B14">
            <w:pPr>
              <w:spacing w:after="240"/>
            </w:pPr>
            <w:r w:rsidRPr="00447525">
              <w:rPr>
                <w:i/>
              </w:rPr>
              <w:t>Vorotyntseva v Money-4 Ltd (t/a Nebeus.com)</w:t>
            </w:r>
            <w:r w:rsidRPr="00447525">
              <w:t xml:space="preserve"> [2018] EWHC 2598 (Ch)</w:t>
            </w:r>
          </w:p>
        </w:tc>
      </w:tr>
      <w:tr w:rsidR="00BE312E" w14:paraId="5951BCE0" w14:textId="77777777" w:rsidTr="00F10310">
        <w:tc>
          <w:tcPr>
            <w:tcW w:w="3085" w:type="dxa"/>
          </w:tcPr>
          <w:p w14:paraId="139621A4" w14:textId="77777777" w:rsidR="00BE312E" w:rsidRDefault="00C925DE" w:rsidP="00C925DE">
            <w:pPr>
              <w:spacing w:after="240"/>
              <w:rPr>
                <w:b/>
              </w:rPr>
            </w:pPr>
            <w:r>
              <w:rPr>
                <w:b/>
              </w:rPr>
              <w:lastRenderedPageBreak/>
              <w:t>Domestic l</w:t>
            </w:r>
            <w:r w:rsidR="00BE312E">
              <w:rPr>
                <w:b/>
              </w:rPr>
              <w:t xml:space="preserve">egislation </w:t>
            </w:r>
            <w:r>
              <w:rPr>
                <w:b/>
              </w:rPr>
              <w:t>a</w:t>
            </w:r>
            <w:r w:rsidR="00BE312E">
              <w:rPr>
                <w:b/>
              </w:rPr>
              <w:t>pplied</w:t>
            </w:r>
          </w:p>
        </w:tc>
        <w:tc>
          <w:tcPr>
            <w:tcW w:w="5919" w:type="dxa"/>
          </w:tcPr>
          <w:p w14:paraId="019557B0" w14:textId="74E0CA2D" w:rsidR="0042510F" w:rsidRPr="0042510F" w:rsidRDefault="0042510F" w:rsidP="00C925DE">
            <w:pPr>
              <w:spacing w:after="240"/>
            </w:pPr>
            <w:r w:rsidRPr="0042510F">
              <w:rPr>
                <w:i/>
              </w:rPr>
              <w:t>Civil Procedure Rules 1998</w:t>
            </w:r>
            <w:r>
              <w:rPr>
                <w:i/>
              </w:rPr>
              <w:t xml:space="preserve"> </w:t>
            </w:r>
          </w:p>
        </w:tc>
      </w:tr>
      <w:tr w:rsidR="00BE312E" w14:paraId="1CA6B705" w14:textId="77777777" w:rsidTr="00F10310">
        <w:tc>
          <w:tcPr>
            <w:tcW w:w="3085" w:type="dxa"/>
          </w:tcPr>
          <w:p w14:paraId="2FC7B139" w14:textId="77777777" w:rsidR="00BE312E" w:rsidRDefault="00C925DE" w:rsidP="00C925DE">
            <w:pPr>
              <w:spacing w:after="240"/>
              <w:rPr>
                <w:b/>
              </w:rPr>
            </w:pPr>
            <w:r>
              <w:rPr>
                <w:b/>
              </w:rPr>
              <w:t>Factual b</w:t>
            </w:r>
            <w:r w:rsidR="00557228">
              <w:rPr>
                <w:b/>
              </w:rPr>
              <w:t xml:space="preserve">ackground </w:t>
            </w:r>
          </w:p>
        </w:tc>
        <w:tc>
          <w:tcPr>
            <w:tcW w:w="5919" w:type="dxa"/>
          </w:tcPr>
          <w:p w14:paraId="02FC4329" w14:textId="011E2292" w:rsidR="008127AE" w:rsidRPr="008127AE" w:rsidRDefault="008127AE" w:rsidP="008127AE">
            <w:pPr>
              <w:spacing w:after="240"/>
              <w:rPr>
                <w:u w:val="single"/>
              </w:rPr>
            </w:pPr>
            <w:r>
              <w:rPr>
                <w:u w:val="single"/>
              </w:rPr>
              <w:t>Background facts</w:t>
            </w:r>
          </w:p>
          <w:p w14:paraId="2220F3E0" w14:textId="104F581A" w:rsidR="00E11A69" w:rsidRDefault="0042510F" w:rsidP="008127AE">
            <w:pPr>
              <w:spacing w:after="240"/>
            </w:pPr>
            <w:r>
              <w:t xml:space="preserve">A Canadian insurance company was hacked when </w:t>
            </w:r>
            <w:r w:rsidR="008127AE">
              <w:t xml:space="preserve">the first defendant infiltrated the insurance company’s firewall and anti-virus software and installed malware, </w:t>
            </w:r>
            <w:r>
              <w:t>called BitPaymer</w:t>
            </w:r>
            <w:r w:rsidR="008127AE">
              <w:t>.  This malware encrypted the insurance company’s systems and data.  The insurance company had to pay a ransom in Bitcoin (valuing USD$950,000) in order to regain access to its systems and data.  109.25 Bitcoin was paid</w:t>
            </w:r>
            <w:r w:rsidR="00754DB3">
              <w:t xml:space="preserve"> by the applicant</w:t>
            </w:r>
            <w:r w:rsidR="008127AE">
              <w:t xml:space="preserve"> via an agent. </w:t>
            </w:r>
          </w:p>
          <w:p w14:paraId="3371DB12" w14:textId="61E36710" w:rsidR="008127AE" w:rsidRDefault="008127AE" w:rsidP="008127AE">
            <w:pPr>
              <w:spacing w:after="240"/>
            </w:pPr>
            <w:r>
              <w:t xml:space="preserve">Whilst some of the Bitcoin were transferred into ‘fiat currency’ (also referred to as government-issued currency), the remaining 96 Bitcoins were transferred (and can be traced) to a specific address linked to Bitfinex. </w:t>
            </w:r>
          </w:p>
          <w:p w14:paraId="134DEFDB" w14:textId="77777777" w:rsidR="008127AE" w:rsidRDefault="008127AE" w:rsidP="008127AE">
            <w:pPr>
              <w:spacing w:after="240"/>
              <w:rPr>
                <w:u w:val="single"/>
              </w:rPr>
            </w:pPr>
            <w:r>
              <w:rPr>
                <w:u w:val="single"/>
              </w:rPr>
              <w:t xml:space="preserve">Parties </w:t>
            </w:r>
          </w:p>
          <w:p w14:paraId="4171F001" w14:textId="77777777" w:rsidR="008127AE" w:rsidRDefault="008127AE" w:rsidP="008127AE">
            <w:pPr>
              <w:spacing w:after="240"/>
            </w:pPr>
            <w:r>
              <w:t xml:space="preserve">The applicant is the insurance company’s insurer, which paid out the sum of $950,000. </w:t>
            </w:r>
          </w:p>
          <w:p w14:paraId="396B7DA2" w14:textId="77777777" w:rsidR="008127AE" w:rsidRDefault="008127AE" w:rsidP="008127AE">
            <w:pPr>
              <w:spacing w:after="240"/>
            </w:pPr>
            <w:r>
              <w:t xml:space="preserve">The </w:t>
            </w:r>
            <w:r w:rsidR="00E01DD3">
              <w:t>first defendant (unknown) is the person who demanded the ransom in Bitcoin.</w:t>
            </w:r>
          </w:p>
          <w:p w14:paraId="6B283B1B" w14:textId="77777777" w:rsidR="00E01DD3" w:rsidRDefault="00E01DD3" w:rsidP="008127AE">
            <w:pPr>
              <w:spacing w:after="240"/>
            </w:pPr>
            <w:r>
              <w:t>The second defendant (unknown) is the person who held the 96 Bitcoins in the specific Bitfinex address.</w:t>
            </w:r>
          </w:p>
          <w:p w14:paraId="1AE6A077" w14:textId="26310733" w:rsidR="00E01DD3" w:rsidRPr="008127AE" w:rsidRDefault="00E01DD3" w:rsidP="008127AE">
            <w:pPr>
              <w:spacing w:after="240"/>
            </w:pPr>
            <w:r>
              <w:t xml:space="preserve">The third and fourth defendants operate the exchange known as Bitfinex.  </w:t>
            </w:r>
          </w:p>
        </w:tc>
      </w:tr>
      <w:tr w:rsidR="00BE312E" w14:paraId="185AC5DE" w14:textId="77777777" w:rsidTr="00F10310">
        <w:tc>
          <w:tcPr>
            <w:tcW w:w="3085" w:type="dxa"/>
          </w:tcPr>
          <w:p w14:paraId="42C800BA" w14:textId="77777777" w:rsidR="00BE312E" w:rsidRDefault="00BE312E" w:rsidP="00C925DE">
            <w:pPr>
              <w:spacing w:after="240"/>
              <w:rPr>
                <w:b/>
              </w:rPr>
            </w:pPr>
            <w:r>
              <w:rPr>
                <w:b/>
              </w:rPr>
              <w:t xml:space="preserve">Legal </w:t>
            </w:r>
            <w:r w:rsidR="00C925DE">
              <w:rPr>
                <w:b/>
              </w:rPr>
              <w:t>issues</w:t>
            </w:r>
            <w:r>
              <w:rPr>
                <w:b/>
              </w:rPr>
              <w:t xml:space="preserve"> </w:t>
            </w:r>
          </w:p>
        </w:tc>
        <w:tc>
          <w:tcPr>
            <w:tcW w:w="5919" w:type="dxa"/>
          </w:tcPr>
          <w:p w14:paraId="4278DF65" w14:textId="65A4EB87" w:rsidR="00BE312E" w:rsidRDefault="00E01DD3" w:rsidP="0064156F">
            <w:pPr>
              <w:pStyle w:val="ListParagraph"/>
              <w:numPr>
                <w:ilvl w:val="0"/>
                <w:numId w:val="20"/>
              </w:numPr>
              <w:spacing w:after="240"/>
              <w:ind w:left="360"/>
              <w:rPr>
                <w:u w:val="single"/>
              </w:rPr>
            </w:pPr>
            <w:r w:rsidRPr="00E01DD3">
              <w:rPr>
                <w:u w:val="single"/>
              </w:rPr>
              <w:t xml:space="preserve">Interim proprietary injunction </w:t>
            </w:r>
          </w:p>
          <w:p w14:paraId="4B094C9C" w14:textId="5A20CD8B" w:rsidR="009A7CCA" w:rsidRDefault="0064156F" w:rsidP="009A7CCA">
            <w:pPr>
              <w:spacing w:after="240"/>
            </w:pPr>
            <w:r>
              <w:t xml:space="preserve">Justice Bryan </w:t>
            </w:r>
            <w:r w:rsidR="009A7CCA">
              <w:t xml:space="preserve">had to consider whether the following elements of an injunction were satisfied by the applicant: that there was a </w:t>
            </w:r>
            <w:r w:rsidR="005843FF">
              <w:t>serious issue</w:t>
            </w:r>
            <w:r w:rsidR="009A7CCA">
              <w:t xml:space="preserve"> to be tried and, if there was a </w:t>
            </w:r>
            <w:r w:rsidR="005843FF">
              <w:t>serious issue</w:t>
            </w:r>
            <w:r w:rsidR="009A7CCA">
              <w:t xml:space="preserve">, whether the balance of convenience lies in granting the relief sought. This required Justice Bryan to consider </w:t>
            </w:r>
            <w:r w:rsidR="00B315CA">
              <w:t>if</w:t>
            </w:r>
            <w:r w:rsidR="009A7CCA">
              <w:t xml:space="preserve"> damages were inadequate and </w:t>
            </w:r>
            <w:r w:rsidR="00B315CA">
              <w:t>the</w:t>
            </w:r>
            <w:r w:rsidR="009A7CCA">
              <w:t xml:space="preserve"> overall merits of the proposed claim (constructive and restitutionary trusts).</w:t>
            </w:r>
          </w:p>
          <w:p w14:paraId="021BD19B" w14:textId="56A9A7B6" w:rsidR="009A7CCA" w:rsidRDefault="009A7CCA" w:rsidP="009A7CCA">
            <w:pPr>
              <w:spacing w:after="240"/>
            </w:pPr>
            <w:r>
              <w:t xml:space="preserve">Justice Bryan also had to consider whether Bitcoin </w:t>
            </w:r>
            <w:r w:rsidR="002F3BD8">
              <w:t>was</w:t>
            </w:r>
            <w:r>
              <w:t xml:space="preserve"> ‘property’ for the purposes of a proprietary injunction. </w:t>
            </w:r>
          </w:p>
          <w:p w14:paraId="5DA2AE2C" w14:textId="7BC7B139" w:rsidR="00985952" w:rsidRPr="00B315CA" w:rsidRDefault="002F3BD8" w:rsidP="00B315CA">
            <w:pPr>
              <w:spacing w:after="240"/>
            </w:pPr>
            <w:r>
              <w:t xml:space="preserve">Justice Bryan further considered an application for ancillary relief for the provision and obtainment of information regarding the location of assets. </w:t>
            </w:r>
          </w:p>
          <w:p w14:paraId="31DEA942" w14:textId="46215AB1" w:rsidR="00E01DD3" w:rsidRDefault="00E01DD3" w:rsidP="0064156F">
            <w:pPr>
              <w:pStyle w:val="ListParagraph"/>
              <w:numPr>
                <w:ilvl w:val="0"/>
                <w:numId w:val="20"/>
              </w:numPr>
              <w:spacing w:after="240"/>
              <w:ind w:left="360"/>
              <w:rPr>
                <w:u w:val="single"/>
              </w:rPr>
            </w:pPr>
            <w:r w:rsidRPr="00E01DD3">
              <w:rPr>
                <w:u w:val="single"/>
              </w:rPr>
              <w:t>Service out of the jurisdiction</w:t>
            </w:r>
          </w:p>
          <w:p w14:paraId="64057331" w14:textId="3F7CDCCF" w:rsidR="009A07A3" w:rsidRPr="009A07A3" w:rsidRDefault="002F3BD8" w:rsidP="009A07A3">
            <w:pPr>
              <w:spacing w:after="240"/>
              <w:rPr>
                <w:u w:val="single"/>
              </w:rPr>
            </w:pPr>
            <w:r>
              <w:t xml:space="preserve">Justice Bryan considered whether or not it was appropriate to </w:t>
            </w:r>
            <w:r>
              <w:lastRenderedPageBreak/>
              <w:t>grant service out of the jurisdiction for the claims that the applicant advanced, and whether alternative service was necessary.</w:t>
            </w:r>
            <w:r w:rsidR="00985952">
              <w:rPr>
                <w:u w:val="single"/>
              </w:rPr>
              <w:t xml:space="preserve"> </w:t>
            </w:r>
          </w:p>
          <w:p w14:paraId="237E33D2" w14:textId="506F61ED" w:rsidR="00985952" w:rsidRDefault="009A07A3" w:rsidP="0064156F">
            <w:pPr>
              <w:pStyle w:val="ListParagraph"/>
              <w:numPr>
                <w:ilvl w:val="0"/>
                <w:numId w:val="20"/>
              </w:numPr>
              <w:spacing w:after="240"/>
              <w:ind w:left="360"/>
              <w:rPr>
                <w:u w:val="single"/>
              </w:rPr>
            </w:pPr>
            <w:r>
              <w:rPr>
                <w:u w:val="single"/>
              </w:rPr>
              <w:t xml:space="preserve">Application for information from defendants </w:t>
            </w:r>
          </w:p>
          <w:p w14:paraId="5E0F331C" w14:textId="62DB5B88" w:rsidR="009A07A3" w:rsidRPr="009A07A3" w:rsidRDefault="00A40DB0" w:rsidP="00A40DB0">
            <w:pPr>
              <w:spacing w:after="240"/>
              <w:rPr>
                <w:u w:val="single"/>
              </w:rPr>
            </w:pPr>
            <w:r>
              <w:t xml:space="preserve">Justice Bryan made an order, in connection with the interim proprietary injunction, that all four defendants provide the applicant with their identities and addresses. </w:t>
            </w:r>
          </w:p>
          <w:p w14:paraId="427E76DB" w14:textId="3E9FAA50" w:rsidR="009A07A3" w:rsidRPr="009A07A3" w:rsidRDefault="009A07A3" w:rsidP="009A07A3">
            <w:pPr>
              <w:pStyle w:val="ListParagraph"/>
              <w:numPr>
                <w:ilvl w:val="0"/>
                <w:numId w:val="20"/>
              </w:numPr>
              <w:spacing w:after="240"/>
              <w:ind w:left="360"/>
              <w:rPr>
                <w:u w:val="single"/>
              </w:rPr>
            </w:pPr>
            <w:r>
              <w:rPr>
                <w:u w:val="single"/>
              </w:rPr>
              <w:t>Other claims</w:t>
            </w:r>
          </w:p>
          <w:p w14:paraId="62278610" w14:textId="77777777" w:rsidR="00985952" w:rsidRPr="00985952" w:rsidRDefault="00985952" w:rsidP="00985952">
            <w:pPr>
              <w:pStyle w:val="ListParagraph"/>
              <w:rPr>
                <w:u w:val="single"/>
              </w:rPr>
            </w:pPr>
          </w:p>
          <w:p w14:paraId="0C412C87" w14:textId="3E105DB0" w:rsidR="0064156F" w:rsidRDefault="00985952" w:rsidP="0064156F">
            <w:pPr>
              <w:spacing w:after="240"/>
            </w:pPr>
            <w:r>
              <w:t xml:space="preserve">Justice Bryan </w:t>
            </w:r>
            <w:r w:rsidR="0064156F">
              <w:t xml:space="preserve">adjourned any consideration of a </w:t>
            </w:r>
            <w:r w:rsidR="0064156F">
              <w:rPr>
                <w:i/>
              </w:rPr>
              <w:t>Bankers Trust</w:t>
            </w:r>
            <w:r w:rsidR="0064156F">
              <w:t xml:space="preserve"> order and/or a </w:t>
            </w:r>
            <w:r w:rsidR="0064156F">
              <w:rPr>
                <w:i/>
              </w:rPr>
              <w:t>Norwich Pharmacal</w:t>
            </w:r>
            <w:r w:rsidR="0064156F">
              <w:t xml:space="preserve"> order and/or a worldwide freezing order due to difficulties answering the question of whether the court had jurisdiction to require an institution out of the jurisdiction to provide information pursuant to an English court order.  </w:t>
            </w:r>
          </w:p>
          <w:p w14:paraId="0DD0A51B" w14:textId="76451414" w:rsidR="009A07A3" w:rsidRPr="009A07A3" w:rsidRDefault="0064156F" w:rsidP="009A07A3">
            <w:pPr>
              <w:spacing w:after="240"/>
            </w:pPr>
            <w:r>
              <w:t>Justice Bryan accepted the applicant’s narrowing of the application to only a</w:t>
            </w:r>
            <w:r w:rsidR="00F87AE9">
              <w:t>n</w:t>
            </w:r>
            <w:r>
              <w:t xml:space="preserve"> </w:t>
            </w:r>
            <w:r w:rsidR="00F87AE9">
              <w:t xml:space="preserve">interim </w:t>
            </w:r>
            <w:r>
              <w:t>proprietary injunction against the four defendants</w:t>
            </w:r>
            <w:r w:rsidR="009A7CCA">
              <w:t xml:space="preserve"> based on claims for constructive and restitutionary trusts</w:t>
            </w:r>
            <w:r>
              <w:t xml:space="preserve">.  </w:t>
            </w:r>
          </w:p>
        </w:tc>
      </w:tr>
      <w:tr w:rsidR="00BE312E" w14:paraId="17B0EF80" w14:textId="77777777" w:rsidTr="00F10310">
        <w:tc>
          <w:tcPr>
            <w:tcW w:w="3085" w:type="dxa"/>
          </w:tcPr>
          <w:p w14:paraId="6D658CF1" w14:textId="77777777" w:rsidR="00BE312E" w:rsidRDefault="00BE312E" w:rsidP="00C925DE">
            <w:pPr>
              <w:spacing w:after="240"/>
              <w:rPr>
                <w:b/>
              </w:rPr>
            </w:pPr>
            <w:r>
              <w:rPr>
                <w:b/>
              </w:rPr>
              <w:lastRenderedPageBreak/>
              <w:t>Reasoning</w:t>
            </w:r>
          </w:p>
        </w:tc>
        <w:tc>
          <w:tcPr>
            <w:tcW w:w="5919" w:type="dxa"/>
          </w:tcPr>
          <w:p w14:paraId="634B74C2" w14:textId="1F17C07D" w:rsidR="00F328E6" w:rsidRDefault="00B559BB" w:rsidP="00F328E6">
            <w:pPr>
              <w:pStyle w:val="ListParagraph"/>
              <w:numPr>
                <w:ilvl w:val="0"/>
                <w:numId w:val="21"/>
              </w:numPr>
              <w:spacing w:after="240"/>
              <w:rPr>
                <w:u w:val="single"/>
              </w:rPr>
            </w:pPr>
            <w:r>
              <w:rPr>
                <w:u w:val="single"/>
              </w:rPr>
              <w:t>Interim proprietary injunction:</w:t>
            </w:r>
            <w:r>
              <w:t xml:space="preserve"> [50]-[66]</w:t>
            </w:r>
          </w:p>
          <w:p w14:paraId="5E0C9CE7" w14:textId="10225804" w:rsidR="009553C4" w:rsidRDefault="009553C4" w:rsidP="00F328E6">
            <w:pPr>
              <w:spacing w:after="240"/>
            </w:pPr>
            <w:r>
              <w:t>Justice Bryan reli</w:t>
            </w:r>
            <w:r w:rsidR="009502F1">
              <w:t xml:space="preserve">ed </w:t>
            </w:r>
            <w:r>
              <w:t xml:space="preserve">on the following legal statement when considering </w:t>
            </w:r>
            <w:r w:rsidR="00CA5116">
              <w:t>the application to grant an</w:t>
            </w:r>
            <w:r>
              <w:t xml:space="preserve"> interim proprietary </w:t>
            </w:r>
            <w:r w:rsidR="00CA5116">
              <w:t>injunction</w:t>
            </w:r>
            <w:r>
              <w:t xml:space="preserve">: “when property is obtained by fraud equity imposes a constructive trust on the fraudulent recipient, the property is recoverable and traceable in equity”: [62].  </w:t>
            </w:r>
          </w:p>
          <w:p w14:paraId="5B31FCCC" w14:textId="0CFCF839" w:rsidR="001C1735" w:rsidRDefault="009553C4" w:rsidP="00F328E6">
            <w:pPr>
              <w:spacing w:after="240"/>
            </w:pPr>
            <w:r>
              <w:t>Justice Bryan first had to be satisfied that Bitcoin is ‘property’ for the purposes of a proprietary injunction.  Though recognising the difficult</w:t>
            </w:r>
            <w:r w:rsidR="009502F1">
              <w:t>y</w:t>
            </w:r>
            <w:r>
              <w:t xml:space="preserve"> in treating Bitcoin as property (which are neither choses in action nor choses in possession), His Honour relied on the UK Jurisdictional Taskforce’s legal statement on Cryptoassets and Smart Contracts (</w:t>
            </w:r>
            <w:r>
              <w:rPr>
                <w:b/>
              </w:rPr>
              <w:t>legal statement</w:t>
            </w:r>
            <w:r>
              <w:t xml:space="preserve">): [55], [56]. </w:t>
            </w:r>
          </w:p>
          <w:p w14:paraId="6635DA77" w14:textId="2BF99BF7" w:rsidR="009553C4" w:rsidRPr="001C1735" w:rsidRDefault="009553C4" w:rsidP="00F328E6">
            <w:pPr>
              <w:spacing w:after="240"/>
            </w:pPr>
            <w:r>
              <w:t xml:space="preserve">The legal statement concluded that </w:t>
            </w:r>
            <w:r w:rsidR="00DA1FAD">
              <w:t xml:space="preserve">Bitcoin and other </w:t>
            </w:r>
            <w:r w:rsidR="001C1735">
              <w:t xml:space="preserve">crypto assets are property because they satisfy the four criteria defined by Lord Wilberforce’s definition of property in </w:t>
            </w:r>
            <w:r w:rsidR="001C1735">
              <w:rPr>
                <w:i/>
              </w:rPr>
              <w:t xml:space="preserve">National Provincial Bank v Ainsworth </w:t>
            </w:r>
            <w:r w:rsidR="001C1735">
              <w:t>[1965] AC 1175: Bitcoin is “definable, identifiable by third parties, capable in their nature of assumption by third parties and having some degree of permanence”: [59]</w:t>
            </w:r>
          </w:p>
          <w:p w14:paraId="5C9846E7" w14:textId="77777777" w:rsidR="0018463B" w:rsidRDefault="00CA5116" w:rsidP="00F328E6">
            <w:pPr>
              <w:spacing w:after="240"/>
            </w:pPr>
            <w:r>
              <w:t xml:space="preserve">Justice Bryan than turned to the principles underpinning a proprietary injunction.  </w:t>
            </w:r>
          </w:p>
          <w:p w14:paraId="02A23AE3" w14:textId="77777777" w:rsidR="0018463B" w:rsidRDefault="00CA5116" w:rsidP="00F328E6">
            <w:pPr>
              <w:spacing w:after="240"/>
            </w:pPr>
            <w:r>
              <w:t>His Honour was s</w:t>
            </w:r>
            <w:r w:rsidR="00F328E6">
              <w:t xml:space="preserve">atisfied there was a </w:t>
            </w:r>
            <w:r w:rsidR="005843FF">
              <w:t>serious issue</w:t>
            </w:r>
            <w:r w:rsidR="00F328E6">
              <w:t xml:space="preserve"> to be tried </w:t>
            </w:r>
            <w:r w:rsidR="0018463B">
              <w:t xml:space="preserve">against all four of the defendants, even though the third and fourth defendants “may simply have got mixed up in another’s wrongdoing”: [63], [64].  </w:t>
            </w:r>
          </w:p>
          <w:p w14:paraId="42384231" w14:textId="304CD1FE" w:rsidR="00AA1E7A" w:rsidRDefault="0018463B" w:rsidP="00F328E6">
            <w:pPr>
              <w:spacing w:after="240"/>
            </w:pPr>
            <w:r>
              <w:t>His Honour was also satisfied that</w:t>
            </w:r>
            <w:r w:rsidR="00AA1E7A">
              <w:t xml:space="preserve"> the balance of convenience “</w:t>
            </w:r>
            <w:r w:rsidR="00CA5116">
              <w:t>[lay]</w:t>
            </w:r>
            <w:r w:rsidR="00AA1E7A">
              <w:t xml:space="preserve"> firmly in favour of granting relief in furtherance of the [applicant’s] claimed proprietary rights” given that damages would not be an adequate remedy: [65].</w:t>
            </w:r>
            <w:r>
              <w:t xml:space="preserve">  T</w:t>
            </w:r>
            <w:r w:rsidR="00AA1E7A">
              <w:t xml:space="preserve">his relief </w:t>
            </w:r>
            <w:r w:rsidR="00CA5116">
              <w:t>would be</w:t>
            </w:r>
            <w:r w:rsidR="00AA1E7A">
              <w:t xml:space="preserve"> </w:t>
            </w:r>
            <w:r w:rsidR="00AA1E7A">
              <w:lastRenderedPageBreak/>
              <w:t xml:space="preserve">similar to the asset preservation order Justice Moulder granted in </w:t>
            </w:r>
            <w:r w:rsidR="009553C4">
              <w:rPr>
                <w:i/>
              </w:rPr>
              <w:t>Robertson</w:t>
            </w:r>
            <w:r w:rsidR="00AA1E7A">
              <w:rPr>
                <w:i/>
              </w:rPr>
              <w:t xml:space="preserve"> v </w:t>
            </w:r>
            <w:r w:rsidR="00AA1E7A" w:rsidRPr="00AA1E7A">
              <w:rPr>
                <w:i/>
              </w:rPr>
              <w:t xml:space="preserve">Persons Unknown </w:t>
            </w:r>
            <w:r w:rsidR="00AA1E7A" w:rsidRPr="00AA1E7A">
              <w:t>(unreported, 15 July 2019)</w:t>
            </w:r>
            <w:r w:rsidR="00AA1E7A">
              <w:t xml:space="preserve"> over the crypto currencies Bitcoin and Ethereum: [60], </w:t>
            </w:r>
            <w:r w:rsidR="009553C4">
              <w:t xml:space="preserve">[62], </w:t>
            </w:r>
            <w:r w:rsidR="00AA1E7A">
              <w:t>[65].</w:t>
            </w:r>
          </w:p>
          <w:p w14:paraId="3C3FA57F" w14:textId="633DA000" w:rsidR="00F328E6" w:rsidRPr="00985952" w:rsidRDefault="0029246A" w:rsidP="0029246A">
            <w:pPr>
              <w:spacing w:after="240"/>
              <w:rPr>
                <w:u w:val="single"/>
              </w:rPr>
            </w:pPr>
            <w:r>
              <w:t xml:space="preserve">Lastly, </w:t>
            </w:r>
            <w:r w:rsidR="00F328E6">
              <w:t xml:space="preserve">Justice Bryan </w:t>
            </w:r>
            <w:r>
              <w:t>reverted to ordering ancillary relief for the provision of information so that the location of the Bitcoin can be obtained by the applicant: [66]</w:t>
            </w:r>
          </w:p>
          <w:p w14:paraId="70BCD419" w14:textId="40CF3104" w:rsidR="00F328E6" w:rsidRDefault="00F328E6" w:rsidP="00F328E6">
            <w:pPr>
              <w:pStyle w:val="ListParagraph"/>
              <w:numPr>
                <w:ilvl w:val="0"/>
                <w:numId w:val="21"/>
              </w:numPr>
              <w:spacing w:after="240"/>
              <w:rPr>
                <w:u w:val="single"/>
              </w:rPr>
            </w:pPr>
            <w:r w:rsidRPr="00E01DD3">
              <w:rPr>
                <w:u w:val="single"/>
              </w:rPr>
              <w:t>Service out of the jurisdiction</w:t>
            </w:r>
            <w:r w:rsidR="00B559BB">
              <w:rPr>
                <w:u w:val="single"/>
              </w:rPr>
              <w:t>:</w:t>
            </w:r>
            <w:r w:rsidR="00AA1E7A">
              <w:t xml:space="preserve"> [67</w:t>
            </w:r>
            <w:r w:rsidR="00B559BB">
              <w:t>]-</w:t>
            </w:r>
          </w:p>
          <w:p w14:paraId="3F8C1693" w14:textId="77777777" w:rsidR="00A40DB0" w:rsidRDefault="00F328E6" w:rsidP="00F328E6">
            <w:pPr>
              <w:spacing w:after="240"/>
            </w:pPr>
            <w:r>
              <w:t xml:space="preserve">Justice Bryan </w:t>
            </w:r>
            <w:r w:rsidR="00A40DB0">
              <w:t>was satisfied that the applicant could serve the claim form out of the jurisdiction in respect of the restitutionary and constructive trust causes of action: [71].  This was consistent with Practice Direction 6B paragraph 3.1.</w:t>
            </w:r>
          </w:p>
          <w:p w14:paraId="1721B08E" w14:textId="3F09D17E" w:rsidR="00F328E6" w:rsidRDefault="00A40DB0" w:rsidP="00F328E6">
            <w:pPr>
              <w:spacing w:after="240"/>
            </w:pPr>
            <w:r>
              <w:t xml:space="preserve">Alternative service was granted for the first and second defendants because their identities and addresses were unknown.  The applicant could serve the order and all other documents in relation to the enforcement of the order or proposed proceedings via, among other ways, email: [75]. </w:t>
            </w:r>
          </w:p>
          <w:p w14:paraId="29F3075A" w14:textId="45658597" w:rsidR="00A40DB0" w:rsidRPr="00A40DB0" w:rsidRDefault="00A40DB0" w:rsidP="00F328E6">
            <w:pPr>
              <w:spacing w:after="240"/>
            </w:pPr>
            <w:r>
              <w:t>Alternative service was also granted for the third and fourth defendants, who indicated that they wanted to be served in person in the British Virgin Islands: [76].  The applicant could serve the third and fourth defendants via email because of the urgency of the application, the risk that Bitcoin can be moved around very quickly and because the applicant has a proprietary claim: [77].</w:t>
            </w:r>
          </w:p>
          <w:p w14:paraId="7F639AD6" w14:textId="5FD954DA" w:rsidR="009A07A3" w:rsidRDefault="009A07A3" w:rsidP="009A07A3">
            <w:pPr>
              <w:pStyle w:val="ListParagraph"/>
              <w:numPr>
                <w:ilvl w:val="0"/>
                <w:numId w:val="21"/>
              </w:numPr>
              <w:spacing w:after="240"/>
              <w:rPr>
                <w:u w:val="single"/>
              </w:rPr>
            </w:pPr>
            <w:r w:rsidRPr="009A07A3">
              <w:rPr>
                <w:u w:val="single"/>
              </w:rPr>
              <w:t>Application for information from defendants</w:t>
            </w:r>
            <w:r w:rsidR="00561BDA">
              <w:rPr>
                <w:u w:val="single"/>
              </w:rPr>
              <w:t>:</w:t>
            </w:r>
            <w:r w:rsidR="00561BDA">
              <w:t xml:space="preserve"> [81]-[84]</w:t>
            </w:r>
          </w:p>
          <w:p w14:paraId="6777B569" w14:textId="6D74BD4B" w:rsidR="009A07A3" w:rsidRPr="009A07A3" w:rsidRDefault="006443A0" w:rsidP="00A40DB0">
            <w:pPr>
              <w:spacing w:after="240"/>
              <w:rPr>
                <w:u w:val="single"/>
              </w:rPr>
            </w:pPr>
            <w:r>
              <w:t xml:space="preserve">Justice Bryan made an order that information be provided by the </w:t>
            </w:r>
            <w:r w:rsidR="00A40DB0">
              <w:t>defendants in respect of their identity and addresses.  His Honour orders that the third and fourth defendants provide information of their identity and addresses to the applicant, and also the identity of the first and second defendants: [81].  The first and second defendants must also provide their addresses.  His Honour was confident that the third and fourth defendants would have information available through ‘know your customer’ materials to identify the first and second defendants: [82]</w:t>
            </w:r>
          </w:p>
          <w:p w14:paraId="69B3A3B6" w14:textId="73F238EE" w:rsidR="00F87AE9" w:rsidRPr="00F87AE9" w:rsidRDefault="00F87AE9" w:rsidP="00F328E6">
            <w:pPr>
              <w:pStyle w:val="ListParagraph"/>
              <w:numPr>
                <w:ilvl w:val="0"/>
                <w:numId w:val="21"/>
              </w:numPr>
              <w:spacing w:after="240"/>
              <w:rPr>
                <w:u w:val="single"/>
              </w:rPr>
            </w:pPr>
            <w:r>
              <w:rPr>
                <w:u w:val="single"/>
              </w:rPr>
              <w:t>Other claims</w:t>
            </w:r>
            <w:r>
              <w:t>: [38]-[49]</w:t>
            </w:r>
          </w:p>
          <w:p w14:paraId="5C3A3D65" w14:textId="77777777" w:rsidR="00F328E6" w:rsidRPr="00985952" w:rsidRDefault="00F328E6" w:rsidP="00F328E6">
            <w:pPr>
              <w:pStyle w:val="ListParagraph"/>
              <w:rPr>
                <w:u w:val="single"/>
              </w:rPr>
            </w:pPr>
          </w:p>
          <w:p w14:paraId="6DF10B57" w14:textId="0B440DC1" w:rsidR="00F87AE9" w:rsidRDefault="00F87AE9" w:rsidP="00F328E6">
            <w:pPr>
              <w:spacing w:after="240"/>
            </w:pPr>
            <w:r>
              <w:t>Although the applicant based this injunction application on numerous claims and relief (each of which raising service difficulties), Justice Bryan commended the applicant for narrowing the application to an interim proprietary injunction cased on the causes of action to constructive and restitutionary trusts: [49]</w:t>
            </w:r>
          </w:p>
          <w:p w14:paraId="2C17E02E" w14:textId="5FA014D4" w:rsidR="00F87AE9" w:rsidRPr="00F87AE9" w:rsidRDefault="00F87AE9" w:rsidP="00F328E6">
            <w:pPr>
              <w:spacing w:after="240"/>
            </w:pPr>
            <w:r>
              <w:t xml:space="preserve">The applicant initially considered bringing: a </w:t>
            </w:r>
            <w:r>
              <w:rPr>
                <w:i/>
              </w:rPr>
              <w:t>Bankers Trust</w:t>
            </w:r>
            <w:r>
              <w:t xml:space="preserve"> order and/or a </w:t>
            </w:r>
            <w:r>
              <w:rPr>
                <w:i/>
              </w:rPr>
              <w:t xml:space="preserve">Norwich Pharmacal </w:t>
            </w:r>
            <w:r>
              <w:t xml:space="preserve">order (for third and fourth defendants to provide information relating to the crypto currency account owned by the second defendant); and/or a proprietary injunction (in respect of the Bitcoin held </w:t>
            </w:r>
            <w:r w:rsidR="00B559BB">
              <w:t>at the account of</w:t>
            </w:r>
            <w:r>
              <w:t xml:space="preserve"> the fourth defendant); and/or a freezing injunction </w:t>
            </w:r>
            <w:r w:rsidR="00B559BB">
              <w:t xml:space="preserve">(in respect of Bitcoin held by specified account of third and fourth defendant); and consequential orders (relating to service, including availability of alternative service and service outside the </w:t>
            </w:r>
            <w:r w:rsidR="00B559BB">
              <w:lastRenderedPageBreak/>
              <w:t>jurisdiction): [38]</w:t>
            </w:r>
          </w:p>
          <w:p w14:paraId="6BDCFBB3" w14:textId="707A85FF" w:rsidR="009A07A3" w:rsidRPr="00B559BB" w:rsidRDefault="00B559BB" w:rsidP="00F328E6">
            <w:pPr>
              <w:spacing w:after="240"/>
            </w:pPr>
            <w:r>
              <w:t xml:space="preserve">The complexities relating to service of a </w:t>
            </w:r>
            <w:r>
              <w:rPr>
                <w:i/>
              </w:rPr>
              <w:t>Bankers Trust/Norwich Pharmacal</w:t>
            </w:r>
            <w:r>
              <w:t xml:space="preserve"> order satisfied Justice Bryan to adjourn their consideration.  Moreover, his Honour did not grant a freezing order as this type of order would risk the dissipation of the Bitcoin: [49]</w:t>
            </w:r>
          </w:p>
        </w:tc>
      </w:tr>
      <w:tr w:rsidR="00BE312E" w14:paraId="66C175F3" w14:textId="77777777" w:rsidTr="00F10310">
        <w:tc>
          <w:tcPr>
            <w:tcW w:w="3085" w:type="dxa"/>
          </w:tcPr>
          <w:p w14:paraId="79E0C382" w14:textId="77777777" w:rsidR="00BE312E" w:rsidRDefault="00BE312E" w:rsidP="00C925DE">
            <w:pPr>
              <w:spacing w:after="240"/>
              <w:rPr>
                <w:b/>
              </w:rPr>
            </w:pPr>
            <w:r>
              <w:rPr>
                <w:b/>
              </w:rPr>
              <w:lastRenderedPageBreak/>
              <w:t>Further information</w:t>
            </w:r>
            <w:r w:rsidR="00C925DE">
              <w:rPr>
                <w:b/>
              </w:rPr>
              <w:t xml:space="preserve"> (e.g. liquidator’s website)</w:t>
            </w:r>
          </w:p>
        </w:tc>
        <w:tc>
          <w:tcPr>
            <w:tcW w:w="5919" w:type="dxa"/>
          </w:tcPr>
          <w:p w14:paraId="3EB95367" w14:textId="36C19FBC" w:rsidR="0042510F" w:rsidRDefault="00447525" w:rsidP="00C925DE">
            <w:pPr>
              <w:spacing w:after="240"/>
            </w:pPr>
            <w:hyperlink r:id="rId9" w:history="1">
              <w:r w:rsidR="0042510F" w:rsidRPr="0042510F">
                <w:rPr>
                  <w:rStyle w:val="Hyperlink"/>
                </w:rPr>
                <w:t>Link</w:t>
              </w:r>
            </w:hyperlink>
            <w:r w:rsidR="0042510F">
              <w:t xml:space="preserve"> to case.</w:t>
            </w:r>
          </w:p>
        </w:tc>
      </w:tr>
    </w:tbl>
    <w:p w14:paraId="26D6DBD2" w14:textId="77777777" w:rsidR="00F10310" w:rsidRPr="00F10310" w:rsidRDefault="00F10310" w:rsidP="00F10310">
      <w:pPr>
        <w:jc w:val="center"/>
        <w:rPr>
          <w:b/>
          <w:i/>
          <w:sz w:val="28"/>
          <w:szCs w:val="28"/>
        </w:rPr>
      </w:pPr>
    </w:p>
    <w:sectPr w:rsidR="00F10310" w:rsidRPr="00F10310" w:rsidSect="006443A0">
      <w:headerReference w:type="even" r:id="rId10"/>
      <w:headerReference w:type="default" r:id="rId11"/>
      <w:footerReference w:type="even" r:id="rId12"/>
      <w:footerReference w:type="default" r:id="rId13"/>
      <w:headerReference w:type="first" r:id="rId14"/>
      <w:footerReference w:type="first" r:id="rId15"/>
      <w:pgSz w:w="11907" w:h="16840" w:code="9"/>
      <w:pgMar w:top="1985" w:right="1418" w:bottom="1134" w:left="1701" w:header="680" w:footer="425"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380EF" w14:textId="77777777" w:rsidR="00A2314B" w:rsidRDefault="00573007">
      <w:r>
        <w:separator/>
      </w:r>
    </w:p>
  </w:endnote>
  <w:endnote w:type="continuationSeparator" w:id="0">
    <w:p w14:paraId="1FE494BB" w14:textId="77777777" w:rsidR="00A2314B" w:rsidRDefault="00573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Bold">
    <w:panose1 w:val="020B0704020202020204"/>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4A4F8" w14:textId="77777777" w:rsidR="006443A0" w:rsidRDefault="006443A0" w:rsidP="00B1222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tbl>
    <w:tblPr>
      <w:tblW w:w="5000" w:type="pct"/>
      <w:tblLook w:val="04A0" w:firstRow="1" w:lastRow="0" w:firstColumn="1" w:lastColumn="0" w:noHBand="0" w:noVBand="1"/>
    </w:tblPr>
    <w:tblGrid>
      <w:gridCol w:w="3071"/>
      <w:gridCol w:w="3063"/>
      <w:gridCol w:w="3108"/>
    </w:tblGrid>
    <w:tr w:rsidR="006443A0" w14:paraId="7C28F584" w14:textId="77777777">
      <w:tc>
        <w:tcPr>
          <w:tcW w:w="3284" w:type="dxa"/>
          <w:shd w:val="clear" w:color="auto" w:fill="auto"/>
        </w:tcPr>
        <w:p w14:paraId="22C79218" w14:textId="73BB9BAF" w:rsidR="006443A0" w:rsidRDefault="006443A0" w:rsidP="006443A0">
          <w:pPr>
            <w:pStyle w:val="Footer"/>
            <w:framePr w:wrap="around" w:vAnchor="text" w:hAnchor="margin" w:xAlign="center" w:y="1"/>
            <w:rPr>
              <w:szCs w:val="16"/>
            </w:rPr>
          </w:pPr>
          <w:r>
            <w:rPr>
              <w:szCs w:val="16"/>
            </w:rPr>
            <w:fldChar w:fldCharType="begin"/>
          </w:r>
          <w:r>
            <w:rPr>
              <w:szCs w:val="16"/>
            </w:rPr>
            <w:instrText xml:space="preserve"> DOCPROPERTY DocumentDatabase  \* MERGEFORMAT</w:instrText>
          </w:r>
          <w:r>
            <w:rPr>
              <w:szCs w:val="16"/>
            </w:rPr>
            <w:fldChar w:fldCharType="separate"/>
          </w:r>
          <w:r>
            <w:rPr>
              <w:szCs w:val="16"/>
            </w:rPr>
            <w:t>APAC</w:t>
          </w:r>
          <w:r>
            <w:rPr>
              <w:szCs w:val="16"/>
            </w:rPr>
            <w:fldChar w:fldCharType="end"/>
          </w:r>
          <w:r>
            <w:rPr>
              <w:szCs w:val="16"/>
            </w:rPr>
            <w:t>-#</w:t>
          </w:r>
          <w:r>
            <w:rPr>
              <w:szCs w:val="16"/>
            </w:rPr>
            <w:fldChar w:fldCharType="begin"/>
          </w:r>
          <w:r>
            <w:rPr>
              <w:szCs w:val="16"/>
            </w:rPr>
            <w:instrText xml:space="preserve"> DOCPROPERTY DocumentNumber  \* MERGEFORMAT</w:instrText>
          </w:r>
          <w:r>
            <w:rPr>
              <w:szCs w:val="16"/>
            </w:rPr>
            <w:fldChar w:fldCharType="separate"/>
          </w:r>
          <w:r>
            <w:rPr>
              <w:szCs w:val="16"/>
            </w:rPr>
            <w:t>117781825</w:t>
          </w:r>
          <w:r>
            <w:rPr>
              <w:bCs/>
              <w:szCs w:val="16"/>
              <w:lang w:val="en-US"/>
            </w:rPr>
            <w:fldChar w:fldCharType="end"/>
          </w:r>
          <w:r>
            <w:rPr>
              <w:szCs w:val="16"/>
            </w:rPr>
            <w:t>-v</w:t>
          </w:r>
          <w:r>
            <w:rPr>
              <w:szCs w:val="16"/>
            </w:rPr>
            <w:fldChar w:fldCharType="begin"/>
          </w:r>
          <w:r>
            <w:rPr>
              <w:szCs w:val="16"/>
            </w:rPr>
            <w:instrText xml:space="preserve"> DOCPROPERTY DocumentVersion  \* MERGEFORMAT</w:instrText>
          </w:r>
          <w:r>
            <w:rPr>
              <w:szCs w:val="16"/>
            </w:rPr>
            <w:fldChar w:fldCharType="separate"/>
          </w:r>
          <w:r>
            <w:rPr>
              <w:szCs w:val="16"/>
            </w:rPr>
            <w:t>1</w:t>
          </w:r>
          <w:r>
            <w:rPr>
              <w:bCs/>
              <w:szCs w:val="16"/>
              <w:lang w:val="en-US"/>
            </w:rPr>
            <w:fldChar w:fldCharType="end"/>
          </w:r>
        </w:p>
      </w:tc>
      <w:tc>
        <w:tcPr>
          <w:tcW w:w="3285" w:type="dxa"/>
          <w:shd w:val="clear" w:color="auto" w:fill="auto"/>
        </w:tcPr>
        <w:p w14:paraId="5D3C6B2C" w14:textId="77777777" w:rsidR="006443A0" w:rsidRDefault="006443A0" w:rsidP="006443A0">
          <w:pPr>
            <w:pStyle w:val="Footer"/>
            <w:framePr w:wrap="around" w:vAnchor="text" w:hAnchor="margin" w:xAlign="center" w:y="1"/>
            <w:jc w:val="center"/>
            <w:rPr>
              <w:szCs w:val="16"/>
            </w:rPr>
          </w:pPr>
        </w:p>
      </w:tc>
      <w:tc>
        <w:tcPr>
          <w:tcW w:w="3285" w:type="dxa"/>
          <w:shd w:val="clear" w:color="auto" w:fill="auto"/>
        </w:tcPr>
        <w:p w14:paraId="71E8699F" w14:textId="77777777" w:rsidR="006443A0" w:rsidRDefault="006443A0" w:rsidP="006443A0">
          <w:pPr>
            <w:pStyle w:val="Footer"/>
            <w:framePr w:wrap="around" w:vAnchor="text" w:hAnchor="margin" w:xAlign="center" w:y="1"/>
            <w:jc w:val="right"/>
            <w:rPr>
              <w:szCs w:val="16"/>
            </w:rPr>
          </w:pPr>
          <w:r>
            <w:rPr>
              <w:szCs w:val="16"/>
            </w:rPr>
            <w:t>© Norton Rose Fulbright Australia</w:t>
          </w:r>
        </w:p>
      </w:tc>
    </w:tr>
  </w:tbl>
  <w:p w14:paraId="5BA93AAE" w14:textId="77777777" w:rsidR="00A2314B" w:rsidRDefault="00A231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98EDF" w14:textId="28633028" w:rsidR="006443A0" w:rsidRDefault="006443A0" w:rsidP="00B12227">
    <w:pPr>
      <w:pStyle w:val="Footer"/>
      <w:framePr w:wrap="around" w:vAnchor="text" w:hAnchor="margin" w:xAlign="center" w:y="1"/>
      <w:rPr>
        <w:rStyle w:val="PageNumber"/>
      </w:rPr>
    </w:pPr>
    <w:r w:rsidRPr="006443A0">
      <w:rPr>
        <w:rStyle w:val="PageNumber"/>
      </w:rPr>
      <w:fldChar w:fldCharType="begin"/>
    </w:r>
    <w:r w:rsidRPr="006443A0">
      <w:rPr>
        <w:rStyle w:val="PageNumber"/>
      </w:rPr>
      <w:instrText xml:space="preserve"> PAGE </w:instrText>
    </w:r>
    <w:r w:rsidRPr="006443A0">
      <w:rPr>
        <w:rStyle w:val="PageNumber"/>
      </w:rPr>
      <w:fldChar w:fldCharType="separate"/>
    </w:r>
    <w:r w:rsidR="00447525">
      <w:rPr>
        <w:rStyle w:val="PageNumber"/>
        <w:noProof/>
      </w:rPr>
      <w:t>5</w:t>
    </w:r>
    <w:r w:rsidRPr="006443A0">
      <w:rPr>
        <w:rStyle w:val="PageNumber"/>
      </w:rPr>
      <w:fldChar w:fldCharType="end"/>
    </w:r>
  </w:p>
  <w:tbl>
    <w:tblPr>
      <w:tblW w:w="5000" w:type="pct"/>
      <w:tblLook w:val="04A0" w:firstRow="1" w:lastRow="0" w:firstColumn="1" w:lastColumn="0" w:noHBand="0" w:noVBand="1"/>
    </w:tblPr>
    <w:tblGrid>
      <w:gridCol w:w="3047"/>
      <w:gridCol w:w="2944"/>
      <w:gridCol w:w="3013"/>
    </w:tblGrid>
    <w:tr w:rsidR="006443A0" w14:paraId="6C67AE2B" w14:textId="77777777">
      <w:tc>
        <w:tcPr>
          <w:tcW w:w="3284" w:type="dxa"/>
          <w:shd w:val="clear" w:color="auto" w:fill="auto"/>
        </w:tcPr>
        <w:p w14:paraId="79DD42C9" w14:textId="35BCB063" w:rsidR="006443A0" w:rsidRDefault="006443A0">
          <w:pPr>
            <w:pStyle w:val="Footer"/>
            <w:rPr>
              <w:szCs w:val="16"/>
            </w:rPr>
          </w:pPr>
          <w:r>
            <w:rPr>
              <w:szCs w:val="16"/>
            </w:rPr>
            <w:fldChar w:fldCharType="begin"/>
          </w:r>
          <w:r>
            <w:rPr>
              <w:szCs w:val="16"/>
            </w:rPr>
            <w:instrText xml:space="preserve"> DOCPROPERTY DocumentDatabase  \* MERGEFORMAT</w:instrText>
          </w:r>
          <w:r>
            <w:rPr>
              <w:szCs w:val="16"/>
            </w:rPr>
            <w:fldChar w:fldCharType="separate"/>
          </w:r>
          <w:r>
            <w:rPr>
              <w:szCs w:val="16"/>
            </w:rPr>
            <w:t>APAC</w:t>
          </w:r>
          <w:r>
            <w:rPr>
              <w:szCs w:val="16"/>
            </w:rPr>
            <w:fldChar w:fldCharType="end"/>
          </w:r>
          <w:r>
            <w:rPr>
              <w:szCs w:val="16"/>
            </w:rPr>
            <w:t>-#</w:t>
          </w:r>
          <w:r>
            <w:rPr>
              <w:szCs w:val="16"/>
            </w:rPr>
            <w:fldChar w:fldCharType="begin"/>
          </w:r>
          <w:r>
            <w:rPr>
              <w:szCs w:val="16"/>
            </w:rPr>
            <w:instrText xml:space="preserve"> DOCPROPERTY DocumentNumber  \* MERGEFORMAT</w:instrText>
          </w:r>
          <w:r>
            <w:rPr>
              <w:szCs w:val="16"/>
            </w:rPr>
            <w:fldChar w:fldCharType="separate"/>
          </w:r>
          <w:r>
            <w:rPr>
              <w:szCs w:val="16"/>
            </w:rPr>
            <w:t>117781825</w:t>
          </w:r>
          <w:r>
            <w:rPr>
              <w:bCs/>
              <w:szCs w:val="16"/>
              <w:lang w:val="en-US"/>
            </w:rPr>
            <w:fldChar w:fldCharType="end"/>
          </w:r>
          <w:r>
            <w:rPr>
              <w:szCs w:val="16"/>
            </w:rPr>
            <w:t>-v</w:t>
          </w:r>
          <w:r>
            <w:rPr>
              <w:szCs w:val="16"/>
            </w:rPr>
            <w:fldChar w:fldCharType="begin"/>
          </w:r>
          <w:r>
            <w:rPr>
              <w:szCs w:val="16"/>
            </w:rPr>
            <w:instrText xml:space="preserve"> DOCPROPERTY DocumentVersion  \* MERGEFORMAT</w:instrText>
          </w:r>
          <w:r>
            <w:rPr>
              <w:szCs w:val="16"/>
            </w:rPr>
            <w:fldChar w:fldCharType="separate"/>
          </w:r>
          <w:r>
            <w:rPr>
              <w:szCs w:val="16"/>
            </w:rPr>
            <w:t>1</w:t>
          </w:r>
          <w:r>
            <w:rPr>
              <w:bCs/>
              <w:szCs w:val="16"/>
              <w:lang w:val="en-US"/>
            </w:rPr>
            <w:fldChar w:fldCharType="end"/>
          </w:r>
        </w:p>
      </w:tc>
      <w:tc>
        <w:tcPr>
          <w:tcW w:w="3285" w:type="dxa"/>
          <w:shd w:val="clear" w:color="auto" w:fill="auto"/>
        </w:tcPr>
        <w:p w14:paraId="385823A3" w14:textId="77777777" w:rsidR="006443A0" w:rsidRDefault="006443A0">
          <w:pPr>
            <w:pStyle w:val="Footer"/>
            <w:jc w:val="center"/>
            <w:rPr>
              <w:szCs w:val="16"/>
            </w:rPr>
          </w:pPr>
        </w:p>
      </w:tc>
      <w:tc>
        <w:tcPr>
          <w:tcW w:w="3285" w:type="dxa"/>
          <w:shd w:val="clear" w:color="auto" w:fill="auto"/>
        </w:tcPr>
        <w:p w14:paraId="285BFF8E" w14:textId="77777777" w:rsidR="006443A0" w:rsidRDefault="006443A0">
          <w:pPr>
            <w:pStyle w:val="Footer"/>
            <w:jc w:val="right"/>
            <w:rPr>
              <w:szCs w:val="16"/>
            </w:rPr>
          </w:pPr>
          <w:r>
            <w:rPr>
              <w:szCs w:val="16"/>
            </w:rPr>
            <w:t>© Norton Rose Fulbright Australia</w:t>
          </w:r>
        </w:p>
      </w:tc>
    </w:tr>
  </w:tbl>
  <w:p w14:paraId="49E6D880" w14:textId="77777777" w:rsidR="00A2314B" w:rsidRPr="006443A0" w:rsidRDefault="00A2314B" w:rsidP="006443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4A0" w:firstRow="1" w:lastRow="0" w:firstColumn="1" w:lastColumn="0" w:noHBand="0" w:noVBand="1"/>
    </w:tblPr>
    <w:tblGrid>
      <w:gridCol w:w="3071"/>
      <w:gridCol w:w="3063"/>
      <w:gridCol w:w="3108"/>
    </w:tblGrid>
    <w:tr w:rsidR="006443A0" w14:paraId="5E2CE450" w14:textId="77777777">
      <w:tc>
        <w:tcPr>
          <w:tcW w:w="3284" w:type="dxa"/>
          <w:shd w:val="clear" w:color="auto" w:fill="auto"/>
        </w:tcPr>
        <w:p w14:paraId="77459EB1" w14:textId="3F429F12" w:rsidR="006443A0" w:rsidRDefault="006443A0">
          <w:pPr>
            <w:pStyle w:val="Footer"/>
            <w:rPr>
              <w:szCs w:val="16"/>
            </w:rPr>
          </w:pPr>
          <w:r>
            <w:rPr>
              <w:szCs w:val="16"/>
            </w:rPr>
            <w:fldChar w:fldCharType="begin"/>
          </w:r>
          <w:r>
            <w:rPr>
              <w:szCs w:val="16"/>
            </w:rPr>
            <w:instrText xml:space="preserve"> DOCPROPERTY DocumentDatabase  \* MERGEFORMAT</w:instrText>
          </w:r>
          <w:r>
            <w:rPr>
              <w:szCs w:val="16"/>
            </w:rPr>
            <w:fldChar w:fldCharType="separate"/>
          </w:r>
          <w:r>
            <w:rPr>
              <w:szCs w:val="16"/>
            </w:rPr>
            <w:t>APAC</w:t>
          </w:r>
          <w:r>
            <w:rPr>
              <w:szCs w:val="16"/>
            </w:rPr>
            <w:fldChar w:fldCharType="end"/>
          </w:r>
          <w:r>
            <w:rPr>
              <w:szCs w:val="16"/>
            </w:rPr>
            <w:t>-#</w:t>
          </w:r>
          <w:r>
            <w:rPr>
              <w:szCs w:val="16"/>
            </w:rPr>
            <w:fldChar w:fldCharType="begin"/>
          </w:r>
          <w:r>
            <w:rPr>
              <w:szCs w:val="16"/>
            </w:rPr>
            <w:instrText xml:space="preserve"> DOCPROPERTY DocumentNumber  \* MERGEFORMAT</w:instrText>
          </w:r>
          <w:r>
            <w:rPr>
              <w:szCs w:val="16"/>
            </w:rPr>
            <w:fldChar w:fldCharType="separate"/>
          </w:r>
          <w:r>
            <w:rPr>
              <w:szCs w:val="16"/>
            </w:rPr>
            <w:t>117781825</w:t>
          </w:r>
          <w:r>
            <w:rPr>
              <w:bCs/>
              <w:szCs w:val="16"/>
              <w:lang w:val="en-US"/>
            </w:rPr>
            <w:fldChar w:fldCharType="end"/>
          </w:r>
          <w:r>
            <w:rPr>
              <w:szCs w:val="16"/>
            </w:rPr>
            <w:t>-v</w:t>
          </w:r>
          <w:r>
            <w:rPr>
              <w:szCs w:val="16"/>
            </w:rPr>
            <w:fldChar w:fldCharType="begin"/>
          </w:r>
          <w:r>
            <w:rPr>
              <w:szCs w:val="16"/>
            </w:rPr>
            <w:instrText xml:space="preserve"> DOCPROPERTY DocumentVersion  \* MERGEFORMAT</w:instrText>
          </w:r>
          <w:r>
            <w:rPr>
              <w:szCs w:val="16"/>
            </w:rPr>
            <w:fldChar w:fldCharType="separate"/>
          </w:r>
          <w:r>
            <w:rPr>
              <w:szCs w:val="16"/>
            </w:rPr>
            <w:t>1</w:t>
          </w:r>
          <w:r>
            <w:rPr>
              <w:bCs/>
              <w:szCs w:val="16"/>
              <w:lang w:val="en-US"/>
            </w:rPr>
            <w:fldChar w:fldCharType="end"/>
          </w:r>
        </w:p>
      </w:tc>
      <w:tc>
        <w:tcPr>
          <w:tcW w:w="3285" w:type="dxa"/>
          <w:shd w:val="clear" w:color="auto" w:fill="auto"/>
        </w:tcPr>
        <w:p w14:paraId="44E5F3D9" w14:textId="77777777" w:rsidR="006443A0" w:rsidRDefault="006443A0">
          <w:pPr>
            <w:pStyle w:val="Footer"/>
            <w:jc w:val="center"/>
            <w:rPr>
              <w:szCs w:val="16"/>
            </w:rPr>
          </w:pPr>
        </w:p>
      </w:tc>
      <w:tc>
        <w:tcPr>
          <w:tcW w:w="3285" w:type="dxa"/>
          <w:shd w:val="clear" w:color="auto" w:fill="auto"/>
        </w:tcPr>
        <w:p w14:paraId="44C895F0" w14:textId="77777777" w:rsidR="006443A0" w:rsidRDefault="006443A0">
          <w:pPr>
            <w:pStyle w:val="Footer"/>
            <w:jc w:val="right"/>
            <w:rPr>
              <w:szCs w:val="16"/>
            </w:rPr>
          </w:pPr>
          <w:r>
            <w:rPr>
              <w:szCs w:val="16"/>
            </w:rPr>
            <w:t>© Norton Rose Fulbright Australia</w:t>
          </w:r>
        </w:p>
      </w:tc>
    </w:tr>
  </w:tbl>
  <w:p w14:paraId="73505A77" w14:textId="77777777" w:rsidR="00A2314B" w:rsidRDefault="00A23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D0091D" w14:textId="77777777" w:rsidR="00A2314B" w:rsidRDefault="00573007">
      <w:r>
        <w:separator/>
      </w:r>
    </w:p>
  </w:footnote>
  <w:footnote w:type="continuationSeparator" w:id="0">
    <w:p w14:paraId="77B260E4" w14:textId="77777777" w:rsidR="00A2314B" w:rsidRDefault="00573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EB7A6" w14:textId="77777777" w:rsidR="00B37D3B" w:rsidRDefault="00B37D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E3785" w14:textId="77777777" w:rsidR="00B37D3B" w:rsidRDefault="00B37D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CB46C" w14:textId="77777777" w:rsidR="00B37D3B" w:rsidRDefault="00B37D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B1E7A"/>
    <w:multiLevelType w:val="multilevel"/>
    <w:tmpl w:val="D36A47AA"/>
    <w:lvl w:ilvl="0">
      <w:start w:val="1"/>
      <w:numFmt w:val="decimal"/>
      <w:pStyle w:val="BilingualScheduleNumbering1"/>
      <w:lvlText w:val="%1"/>
      <w:lvlJc w:val="left"/>
      <w:pPr>
        <w:ind w:left="709" w:hanging="709"/>
      </w:pPr>
      <w:rPr>
        <w:rFonts w:ascii="Arial Bold" w:hAnsi="Arial Bold" w:hint="default"/>
        <w:b/>
        <w:i w:val="0"/>
        <w:sz w:val="20"/>
      </w:rPr>
    </w:lvl>
    <w:lvl w:ilvl="1">
      <w:start w:val="1"/>
      <w:numFmt w:val="decimal"/>
      <w:pStyle w:val="BilingualScheduleNumbering2"/>
      <w:lvlText w:val="%1.%2"/>
      <w:lvlJc w:val="left"/>
      <w:pPr>
        <w:ind w:left="709" w:hanging="709"/>
      </w:pPr>
      <w:rPr>
        <w:rFonts w:ascii="Arial" w:hAnsi="Arial" w:hint="default"/>
        <w:b w:val="0"/>
        <w:i w:val="0"/>
        <w:sz w:val="20"/>
      </w:rPr>
    </w:lvl>
    <w:lvl w:ilvl="2">
      <w:start w:val="1"/>
      <w:numFmt w:val="decimal"/>
      <w:pStyle w:val="BilingualScheduleNumbering3"/>
      <w:lvlText w:val="(%3)"/>
      <w:lvlJc w:val="right"/>
      <w:pPr>
        <w:ind w:left="1418" w:hanging="709"/>
      </w:pPr>
      <w:rPr>
        <w:rFonts w:hint="default"/>
      </w:rPr>
    </w:lvl>
    <w:lvl w:ilvl="3">
      <w:start w:val="1"/>
      <w:numFmt w:val="lowerLetter"/>
      <w:pStyle w:val="BilingualScheduleNumbering4"/>
      <w:lvlText w:val="(%4)"/>
      <w:lvlJc w:val="left"/>
      <w:pPr>
        <w:ind w:left="2126" w:hanging="708"/>
      </w:pPr>
      <w:rPr>
        <w:rFonts w:hint="default"/>
      </w:rPr>
    </w:lvl>
    <w:lvl w:ilvl="4">
      <w:start w:val="1"/>
      <w:numFmt w:val="lowerRoman"/>
      <w:pStyle w:val="BilingualScheduleNumbering5"/>
      <w:lvlText w:val="(%5)"/>
      <w:lvlJc w:val="left"/>
      <w:pPr>
        <w:ind w:left="2835" w:hanging="709"/>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32767" w:firstLine="0"/>
      </w:pPr>
      <w:rPr>
        <w:rFonts w:hint="default"/>
      </w:rPr>
    </w:lvl>
    <w:lvl w:ilvl="8">
      <w:start w:val="1"/>
      <w:numFmt w:val="none"/>
      <w:lvlRestart w:val="0"/>
      <w:suff w:val="nothing"/>
      <w:lvlText w:val=""/>
      <w:lvlJc w:val="left"/>
      <w:pPr>
        <w:ind w:left="-32767" w:firstLine="0"/>
      </w:pPr>
      <w:rPr>
        <w:rFonts w:hint="default"/>
      </w:rPr>
    </w:lvl>
  </w:abstractNum>
  <w:abstractNum w:abstractNumId="1" w15:restartNumberingAfterBreak="0">
    <w:nsid w:val="05026036"/>
    <w:multiLevelType w:val="multilevel"/>
    <w:tmpl w:val="434AC19E"/>
    <w:lvl w:ilvl="0">
      <w:start w:val="1"/>
      <w:numFmt w:val="decimal"/>
      <w:pStyle w:val="BilingualSchedule"/>
      <w:suff w:val="nothing"/>
      <w:lvlText w:val="Schedule %1"/>
      <w:lvlJc w:val="left"/>
      <w:pPr>
        <w:ind w:left="709" w:hanging="709"/>
      </w:pPr>
      <w:rPr>
        <w:rFonts w:hint="default"/>
        <w:b/>
        <w:i w:val="0"/>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righ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righ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right"/>
      <w:pPr>
        <w:ind w:left="0" w:firstLine="0"/>
      </w:pPr>
      <w:rPr>
        <w:rFonts w:hint="default"/>
      </w:rPr>
    </w:lvl>
  </w:abstractNum>
  <w:abstractNum w:abstractNumId="2" w15:restartNumberingAfterBreak="0">
    <w:nsid w:val="06576DDF"/>
    <w:multiLevelType w:val="hybridMultilevel"/>
    <w:tmpl w:val="9010430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073A5B0F"/>
    <w:multiLevelType w:val="multilevel"/>
    <w:tmpl w:val="445C0742"/>
    <w:lvl w:ilvl="0">
      <w:start w:val="1"/>
      <w:numFmt w:val="decimal"/>
      <w:pStyle w:val="Heading1"/>
      <w:lvlText w:val="%1"/>
      <w:lvlJc w:val="left"/>
      <w:pPr>
        <w:tabs>
          <w:tab w:val="num" w:pos="709"/>
        </w:tabs>
        <w:ind w:left="709" w:hanging="709"/>
      </w:pPr>
      <w:rPr>
        <w:rFonts w:ascii="Arial" w:hAnsi="Arial" w:hint="default"/>
        <w:b/>
        <w:i w:val="0"/>
        <w:sz w:val="24"/>
      </w:rPr>
    </w:lvl>
    <w:lvl w:ilvl="1">
      <w:start w:val="1"/>
      <w:numFmt w:val="decimal"/>
      <w:pStyle w:val="Heading2"/>
      <w:lvlText w:val="%1.%2"/>
      <w:lvlJc w:val="left"/>
      <w:pPr>
        <w:tabs>
          <w:tab w:val="num" w:pos="709"/>
        </w:tabs>
        <w:ind w:left="709" w:hanging="709"/>
      </w:pPr>
      <w:rPr>
        <w:rFonts w:ascii="Arial" w:hAnsi="Arial" w:hint="default"/>
        <w:b w:val="0"/>
        <w:i w:val="0"/>
        <w:sz w:val="20"/>
      </w:rPr>
    </w:lvl>
    <w:lvl w:ilvl="2">
      <w:start w:val="1"/>
      <w:numFmt w:val="decimal"/>
      <w:pStyle w:val="Heading3"/>
      <w:lvlText w:val="(%3)"/>
      <w:lvlJc w:val="left"/>
      <w:pPr>
        <w:tabs>
          <w:tab w:val="num" w:pos="1418"/>
        </w:tabs>
        <w:ind w:left="1418" w:hanging="709"/>
      </w:pPr>
      <w:rPr>
        <w:rFonts w:ascii="Arial" w:hAnsi="Arial" w:hint="default"/>
        <w:b w:val="0"/>
        <w:i w:val="0"/>
        <w:sz w:val="20"/>
      </w:rPr>
    </w:lvl>
    <w:lvl w:ilvl="3">
      <w:start w:val="1"/>
      <w:numFmt w:val="lowerLetter"/>
      <w:pStyle w:val="Heading4"/>
      <w:lvlText w:val="(%4)"/>
      <w:lvlJc w:val="left"/>
      <w:pPr>
        <w:tabs>
          <w:tab w:val="num" w:pos="2126"/>
        </w:tabs>
        <w:ind w:left="2126" w:hanging="708"/>
      </w:pPr>
      <w:rPr>
        <w:rFonts w:ascii="Arial" w:hAnsi="Arial" w:hint="default"/>
        <w:b w:val="0"/>
        <w:i w:val="0"/>
        <w:sz w:val="20"/>
      </w:rPr>
    </w:lvl>
    <w:lvl w:ilvl="4">
      <w:start w:val="1"/>
      <w:numFmt w:val="lowerRoman"/>
      <w:pStyle w:val="Heading5"/>
      <w:lvlText w:val="(%5)"/>
      <w:lvlJc w:val="left"/>
      <w:pPr>
        <w:tabs>
          <w:tab w:val="num" w:pos="2835"/>
        </w:tabs>
        <w:ind w:left="2835" w:hanging="709"/>
      </w:pPr>
      <w:rPr>
        <w:rFonts w:ascii="Arial" w:hAnsi="Arial" w:hint="default"/>
        <w:b w:val="0"/>
        <w:i w:val="0"/>
        <w:sz w:val="20"/>
      </w:rPr>
    </w:lvl>
    <w:lvl w:ilvl="5">
      <w:start w:val="1"/>
      <w:numFmt w:val="upperLetter"/>
      <w:pStyle w:val="Heading6"/>
      <w:lvlText w:val="(%6)"/>
      <w:lvlJc w:val="left"/>
      <w:pPr>
        <w:tabs>
          <w:tab w:val="num" w:pos="3544"/>
        </w:tabs>
        <w:ind w:left="3544" w:hanging="709"/>
      </w:pPr>
      <w:rPr>
        <w:rFonts w:ascii="Arial" w:hAnsi="Arial" w:hint="default"/>
        <w:b w:val="0"/>
        <w:i w:val="0"/>
        <w:sz w:val="20"/>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15:restartNumberingAfterBreak="0">
    <w:nsid w:val="0A225F39"/>
    <w:multiLevelType w:val="multilevel"/>
    <w:tmpl w:val="8E7818E6"/>
    <w:lvl w:ilvl="0">
      <w:start w:val="1"/>
      <w:numFmt w:val="upperLetter"/>
      <w:pStyle w:val="BilingualAnnexure"/>
      <w:suff w:val="nothing"/>
      <w:lvlText w:val="Annexure %1"/>
      <w:lvlJc w:val="left"/>
      <w:pPr>
        <w:ind w:left="431" w:hanging="431"/>
      </w:pPr>
      <w:rPr>
        <w:rFonts w:ascii="Arial Bold" w:hAnsi="Arial Bold" w:hint="default"/>
        <w:b/>
        <w:i w:val="0"/>
        <w:sz w:val="24"/>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righ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righ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right"/>
      <w:pPr>
        <w:ind w:left="0" w:firstLine="0"/>
      </w:pPr>
      <w:rPr>
        <w:rFonts w:hint="default"/>
      </w:rPr>
    </w:lvl>
  </w:abstractNum>
  <w:abstractNum w:abstractNumId="5" w15:restartNumberingAfterBreak="0">
    <w:nsid w:val="0D8E328D"/>
    <w:multiLevelType w:val="hybridMultilevel"/>
    <w:tmpl w:val="2EEEA6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671F9E"/>
    <w:multiLevelType w:val="hybridMultilevel"/>
    <w:tmpl w:val="65CA60CA"/>
    <w:lvl w:ilvl="0" w:tplc="0C090011">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1BEF6324"/>
    <w:multiLevelType w:val="multilevel"/>
    <w:tmpl w:val="E99EE40C"/>
    <w:lvl w:ilvl="0">
      <w:start w:val="1"/>
      <w:numFmt w:val="decimal"/>
      <w:pStyle w:val="ScheduleNumbering1"/>
      <w:lvlText w:val="%1"/>
      <w:lvlJc w:val="left"/>
      <w:pPr>
        <w:ind w:left="709" w:hanging="709"/>
      </w:pPr>
      <w:rPr>
        <w:rFonts w:ascii="Arial Bold" w:hAnsi="Arial Bold" w:hint="default"/>
        <w:b/>
        <w:i w:val="0"/>
        <w:sz w:val="20"/>
      </w:rPr>
    </w:lvl>
    <w:lvl w:ilvl="1">
      <w:start w:val="1"/>
      <w:numFmt w:val="decimal"/>
      <w:pStyle w:val="ScheduleNumbering2"/>
      <w:lvlText w:val="%1.%2"/>
      <w:lvlJc w:val="left"/>
      <w:pPr>
        <w:ind w:left="709" w:hanging="709"/>
      </w:pPr>
      <w:rPr>
        <w:rFonts w:hint="default"/>
      </w:rPr>
    </w:lvl>
    <w:lvl w:ilvl="2">
      <w:start w:val="1"/>
      <w:numFmt w:val="decimal"/>
      <w:pStyle w:val="ScheduleNumbering3"/>
      <w:lvlText w:val="(%3)"/>
      <w:lvlJc w:val="left"/>
      <w:pPr>
        <w:ind w:left="1418" w:hanging="709"/>
      </w:pPr>
      <w:rPr>
        <w:rFonts w:hint="default"/>
      </w:rPr>
    </w:lvl>
    <w:lvl w:ilvl="3">
      <w:start w:val="1"/>
      <w:numFmt w:val="lowerLetter"/>
      <w:pStyle w:val="ScheduleNumbering4"/>
      <w:lvlText w:val="(%4)"/>
      <w:lvlJc w:val="left"/>
      <w:pPr>
        <w:ind w:left="2126" w:hanging="708"/>
      </w:pPr>
      <w:rPr>
        <w:rFonts w:hint="default"/>
      </w:rPr>
    </w:lvl>
    <w:lvl w:ilvl="4">
      <w:start w:val="1"/>
      <w:numFmt w:val="lowerRoman"/>
      <w:pStyle w:val="ScheduleNumbering5"/>
      <w:lvlText w:val="(%5)"/>
      <w:lvlJc w:val="left"/>
      <w:pPr>
        <w:ind w:left="2835" w:hanging="709"/>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8" w15:restartNumberingAfterBreak="0">
    <w:nsid w:val="1C356454"/>
    <w:multiLevelType w:val="multilevel"/>
    <w:tmpl w:val="3FCCDA5A"/>
    <w:lvl w:ilvl="0">
      <w:start w:val="1"/>
      <w:numFmt w:val="upperLetter"/>
      <w:pStyle w:val="Recital"/>
      <w:lvlText w:val="%1"/>
      <w:lvlJc w:val="left"/>
      <w:pPr>
        <w:tabs>
          <w:tab w:val="num" w:pos="709"/>
        </w:tabs>
        <w:ind w:left="709" w:hanging="709"/>
      </w:pPr>
      <w:rPr>
        <w:rFonts w:hint="default"/>
        <w:b/>
        <w:i w:val="0"/>
        <w:sz w:val="20"/>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lef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9" w15:restartNumberingAfterBreak="0">
    <w:nsid w:val="27325D0E"/>
    <w:multiLevelType w:val="multilevel"/>
    <w:tmpl w:val="73AAAAE0"/>
    <w:lvl w:ilvl="0">
      <w:start w:val="1"/>
      <w:numFmt w:val="upperLetter"/>
      <w:pStyle w:val="BilingualRecital"/>
      <w:lvlText w:val="%1"/>
      <w:lvlJc w:val="left"/>
      <w:pPr>
        <w:tabs>
          <w:tab w:val="num" w:pos="709"/>
        </w:tabs>
        <w:ind w:left="709" w:hanging="709"/>
      </w:pPr>
      <w:rPr>
        <w:rFonts w:hint="default"/>
        <w:b/>
        <w:i w:val="0"/>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righ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righ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right"/>
      <w:pPr>
        <w:ind w:left="0" w:firstLine="0"/>
      </w:pPr>
      <w:rPr>
        <w:rFonts w:hint="default"/>
      </w:rPr>
    </w:lvl>
  </w:abstractNum>
  <w:abstractNum w:abstractNumId="10" w15:restartNumberingAfterBreak="0">
    <w:nsid w:val="2B3B2A8A"/>
    <w:multiLevelType w:val="multilevel"/>
    <w:tmpl w:val="4D400834"/>
    <w:lvl w:ilvl="0">
      <w:start w:val="1"/>
      <w:numFmt w:val="decimal"/>
      <w:pStyle w:val="Item"/>
      <w:lvlText w:val="Item %1"/>
      <w:lvlJc w:val="left"/>
      <w:pPr>
        <w:tabs>
          <w:tab w:val="num" w:pos="1418"/>
        </w:tabs>
        <w:ind w:left="1418" w:hanging="1418"/>
      </w:pPr>
      <w:rPr>
        <w:rFonts w:ascii="Arial" w:hAnsi="Arial" w:hint="default"/>
        <w:b w:val="0"/>
        <w:i w:val="0"/>
        <w:sz w:val="20"/>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lef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1" w15:restartNumberingAfterBreak="0">
    <w:nsid w:val="32465C0D"/>
    <w:multiLevelType w:val="multilevel"/>
    <w:tmpl w:val="07A6B95A"/>
    <w:lvl w:ilvl="0">
      <w:start w:val="1"/>
      <w:numFmt w:val="decimal"/>
      <w:pStyle w:val="Schedule"/>
      <w:suff w:val="nothing"/>
      <w:lvlText w:val="Schedule %1"/>
      <w:lvlJc w:val="left"/>
      <w:pPr>
        <w:ind w:left="432" w:hanging="432"/>
      </w:pPr>
      <w:rPr>
        <w:rFonts w:ascii="Arial" w:hAnsi="Arial" w:hint="default"/>
        <w:b/>
        <w:i w:val="0"/>
        <w:sz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3391028F"/>
    <w:multiLevelType w:val="multilevel"/>
    <w:tmpl w:val="B210C0A8"/>
    <w:lvl w:ilvl="0">
      <w:start w:val="1"/>
      <w:numFmt w:val="decimal"/>
      <w:pStyle w:val="BilingualHeading1"/>
      <w:lvlText w:val="%1"/>
      <w:lvlJc w:val="left"/>
      <w:pPr>
        <w:tabs>
          <w:tab w:val="num" w:pos="709"/>
        </w:tabs>
        <w:ind w:left="709" w:hanging="709"/>
      </w:pPr>
      <w:rPr>
        <w:rFonts w:ascii="Arial" w:hAnsi="Arial" w:hint="default"/>
        <w:b/>
        <w:i w:val="0"/>
        <w:sz w:val="24"/>
        <w:szCs w:val="24"/>
      </w:rPr>
    </w:lvl>
    <w:lvl w:ilvl="1">
      <w:start w:val="1"/>
      <w:numFmt w:val="decimal"/>
      <w:pStyle w:val="BilingualHeading2"/>
      <w:lvlText w:val="%1.%2"/>
      <w:lvlJc w:val="left"/>
      <w:pPr>
        <w:tabs>
          <w:tab w:val="num" w:pos="709"/>
        </w:tabs>
        <w:ind w:left="709" w:hanging="709"/>
      </w:pPr>
      <w:rPr>
        <w:rFonts w:ascii="Arial" w:hAnsi="Arial" w:hint="default"/>
        <w:b w:val="0"/>
        <w:i w:val="0"/>
        <w:sz w:val="20"/>
      </w:rPr>
    </w:lvl>
    <w:lvl w:ilvl="2">
      <w:start w:val="1"/>
      <w:numFmt w:val="decimal"/>
      <w:pStyle w:val="BilingualHeading3"/>
      <w:lvlText w:val="(%3)"/>
      <w:lvlJc w:val="left"/>
      <w:pPr>
        <w:tabs>
          <w:tab w:val="num" w:pos="1418"/>
        </w:tabs>
        <w:ind w:left="1418" w:hanging="709"/>
      </w:pPr>
      <w:rPr>
        <w:rFonts w:ascii="Arial" w:hAnsi="Arial" w:hint="default"/>
        <w:b w:val="0"/>
        <w:i w:val="0"/>
        <w:sz w:val="20"/>
      </w:rPr>
    </w:lvl>
    <w:lvl w:ilvl="3">
      <w:start w:val="1"/>
      <w:numFmt w:val="lowerLetter"/>
      <w:pStyle w:val="BilingualHeading4"/>
      <w:lvlText w:val="(%4)"/>
      <w:lvlJc w:val="left"/>
      <w:pPr>
        <w:tabs>
          <w:tab w:val="num" w:pos="2126"/>
        </w:tabs>
        <w:ind w:left="2126" w:hanging="708"/>
      </w:pPr>
      <w:rPr>
        <w:rFonts w:ascii="Arial" w:hAnsi="Arial" w:hint="default"/>
        <w:b w:val="0"/>
        <w:i w:val="0"/>
        <w:sz w:val="20"/>
      </w:rPr>
    </w:lvl>
    <w:lvl w:ilvl="4">
      <w:start w:val="1"/>
      <w:numFmt w:val="lowerRoman"/>
      <w:pStyle w:val="BilingualHeading5"/>
      <w:lvlText w:val="(%5)"/>
      <w:lvlJc w:val="left"/>
      <w:pPr>
        <w:tabs>
          <w:tab w:val="num" w:pos="2835"/>
        </w:tabs>
        <w:ind w:left="2835" w:hanging="709"/>
      </w:pPr>
      <w:rPr>
        <w:rFonts w:ascii="Arial" w:hAnsi="Arial" w:hint="default"/>
        <w:b w:val="0"/>
        <w:i w:val="0"/>
        <w:sz w:val="20"/>
      </w:rPr>
    </w:lvl>
    <w:lvl w:ilvl="5">
      <w:start w:val="1"/>
      <w:numFmt w:val="upperLetter"/>
      <w:pStyle w:val="BilingualHeading6"/>
      <w:lvlText w:val="(%6)"/>
      <w:lvlJc w:val="left"/>
      <w:pPr>
        <w:tabs>
          <w:tab w:val="num" w:pos="3544"/>
        </w:tabs>
        <w:ind w:left="3544" w:hanging="709"/>
      </w:pPr>
      <w:rPr>
        <w:rFonts w:ascii="Arial" w:hAnsi="Arial" w:hint="default"/>
        <w:b w:val="0"/>
        <w:i w:val="0"/>
        <w:sz w:val="20"/>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3" w15:restartNumberingAfterBreak="0">
    <w:nsid w:val="47AB2690"/>
    <w:multiLevelType w:val="hybridMultilevel"/>
    <w:tmpl w:val="58F8B7CC"/>
    <w:lvl w:ilvl="0" w:tplc="0C090015">
      <w:start w:val="1"/>
      <w:numFmt w:val="upperLetter"/>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5246156E"/>
    <w:multiLevelType w:val="hybridMultilevel"/>
    <w:tmpl w:val="65CA60CA"/>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FDF3DC8"/>
    <w:multiLevelType w:val="multilevel"/>
    <w:tmpl w:val="9F004F4C"/>
    <w:lvl w:ilvl="0">
      <w:start w:val="1"/>
      <w:numFmt w:val="upperLetter"/>
      <w:pStyle w:val="Annexure"/>
      <w:suff w:val="nothing"/>
      <w:lvlText w:val="Annexure %1"/>
      <w:lvlJc w:val="left"/>
      <w:pPr>
        <w:ind w:left="431" w:hanging="431"/>
      </w:pPr>
      <w:rPr>
        <w:rFonts w:ascii="Arial" w:hAnsi="Arial" w:hint="default"/>
        <w:b/>
        <w:i w:val="0"/>
        <w:sz w:val="24"/>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lef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6" w15:restartNumberingAfterBreak="0">
    <w:nsid w:val="62483434"/>
    <w:multiLevelType w:val="multilevel"/>
    <w:tmpl w:val="C72679B4"/>
    <w:lvl w:ilvl="0">
      <w:start w:val="1"/>
      <w:numFmt w:val="bullet"/>
      <w:pStyle w:val="NRFABullet1"/>
      <w:lvlText w:val=""/>
      <w:lvlJc w:val="left"/>
      <w:pPr>
        <w:ind w:left="709" w:hanging="709"/>
      </w:pPr>
      <w:rPr>
        <w:rFonts w:ascii="Symbol" w:hAnsi="Symbol" w:hint="default"/>
      </w:rPr>
    </w:lvl>
    <w:lvl w:ilvl="1">
      <w:start w:val="1"/>
      <w:numFmt w:val="bullet"/>
      <w:pStyle w:val="NRFABullet2"/>
      <w:lvlText w:val="-"/>
      <w:lvlJc w:val="left"/>
      <w:pPr>
        <w:ind w:left="1418" w:hanging="709"/>
      </w:pPr>
      <w:rPr>
        <w:rFonts w:ascii="Courier New" w:hAnsi="Courier New" w:hint="default"/>
      </w:rPr>
    </w:lvl>
    <w:lvl w:ilvl="2">
      <w:start w:val="1"/>
      <w:numFmt w:val="none"/>
      <w:lvlText w:val=""/>
      <w:lvlJc w:val="left"/>
      <w:pPr>
        <w:ind w:left="2126" w:hanging="708"/>
      </w:pPr>
      <w:rPr>
        <w:rFonts w:hint="default"/>
      </w:rPr>
    </w:lvl>
    <w:lvl w:ilvl="3">
      <w:start w:val="1"/>
      <w:numFmt w:val="none"/>
      <w:lvlText w:val=""/>
      <w:lvlJc w:val="left"/>
      <w:pPr>
        <w:ind w:left="2835" w:hanging="709"/>
      </w:pPr>
      <w:rPr>
        <w:rFonts w:hint="default"/>
      </w:rPr>
    </w:lvl>
    <w:lvl w:ilvl="4">
      <w:start w:val="1"/>
      <w:numFmt w:val="none"/>
      <w:lvlText w:val=""/>
      <w:lvlJc w:val="left"/>
      <w:pPr>
        <w:ind w:left="3544" w:hanging="709"/>
      </w:pPr>
      <w:rPr>
        <w:rFonts w:hint="default"/>
      </w:rPr>
    </w:lvl>
    <w:lvl w:ilvl="5">
      <w:start w:val="1"/>
      <w:numFmt w:val="none"/>
      <w:lvlText w:val=""/>
      <w:lvlJc w:val="left"/>
      <w:pPr>
        <w:ind w:left="4253" w:hanging="709"/>
      </w:pPr>
      <w:rPr>
        <w:rFonts w:hint="default"/>
      </w:rPr>
    </w:lvl>
    <w:lvl w:ilvl="6">
      <w:start w:val="1"/>
      <w:numFmt w:val="none"/>
      <w:lvlText w:val="%7"/>
      <w:lvlJc w:val="left"/>
      <w:pPr>
        <w:ind w:left="4820" w:hanging="709"/>
      </w:pPr>
      <w:rPr>
        <w:rFonts w:hint="default"/>
      </w:rPr>
    </w:lvl>
    <w:lvl w:ilvl="7">
      <w:start w:val="1"/>
      <w:numFmt w:val="none"/>
      <w:lvlText w:val=""/>
      <w:lvlJc w:val="left"/>
      <w:pPr>
        <w:ind w:left="5528" w:hanging="708"/>
      </w:pPr>
      <w:rPr>
        <w:rFonts w:hint="default"/>
      </w:rPr>
    </w:lvl>
    <w:lvl w:ilvl="8">
      <w:start w:val="1"/>
      <w:numFmt w:val="none"/>
      <w:lvlText w:val=""/>
      <w:lvlJc w:val="left"/>
      <w:pPr>
        <w:ind w:left="6237" w:hanging="709"/>
      </w:pPr>
      <w:rPr>
        <w:rFonts w:hint="default"/>
      </w:rPr>
    </w:lvl>
  </w:abstractNum>
  <w:abstractNum w:abstractNumId="17" w15:restartNumberingAfterBreak="0">
    <w:nsid w:val="6471022D"/>
    <w:multiLevelType w:val="hybridMultilevel"/>
    <w:tmpl w:val="6E82D220"/>
    <w:lvl w:ilvl="0" w:tplc="ABF686EE">
      <w:start w:val="1"/>
      <w:numFmt w:val="decimal"/>
      <w:pStyle w:val="BilingualItem"/>
      <w:lvlText w:val="Item %1"/>
      <w:lvlJc w:val="left"/>
      <w:pPr>
        <w:ind w:left="720" w:hanging="360"/>
      </w:pPr>
      <w:rPr>
        <w:rFonts w:hint="default"/>
        <w:b w:val="0"/>
        <w:i w:val="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B086400"/>
    <w:multiLevelType w:val="hybridMultilevel"/>
    <w:tmpl w:val="02E66A1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798942D7"/>
    <w:multiLevelType w:val="hybridMultilevel"/>
    <w:tmpl w:val="971233BA"/>
    <w:lvl w:ilvl="0" w:tplc="0C090015">
      <w:start w:val="1"/>
      <w:numFmt w:val="upperLetter"/>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7B861024"/>
    <w:multiLevelType w:val="hybridMultilevel"/>
    <w:tmpl w:val="DFB0EB3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5"/>
  </w:num>
  <w:num w:numId="2">
    <w:abstractNumId w:val="4"/>
  </w:num>
  <w:num w:numId="3">
    <w:abstractNumId w:val="12"/>
  </w:num>
  <w:num w:numId="4">
    <w:abstractNumId w:val="17"/>
  </w:num>
  <w:num w:numId="5">
    <w:abstractNumId w:val="9"/>
  </w:num>
  <w:num w:numId="6">
    <w:abstractNumId w:val="1"/>
  </w:num>
  <w:num w:numId="7">
    <w:abstractNumId w:val="0"/>
  </w:num>
  <w:num w:numId="8">
    <w:abstractNumId w:val="3"/>
  </w:num>
  <w:num w:numId="9">
    <w:abstractNumId w:val="10"/>
  </w:num>
  <w:num w:numId="10">
    <w:abstractNumId w:val="16"/>
  </w:num>
  <w:num w:numId="11">
    <w:abstractNumId w:val="8"/>
  </w:num>
  <w:num w:numId="12">
    <w:abstractNumId w:val="11"/>
  </w:num>
  <w:num w:numId="13">
    <w:abstractNumId w:val="7"/>
  </w:num>
  <w:num w:numId="14">
    <w:abstractNumId w:val="20"/>
  </w:num>
  <w:num w:numId="15">
    <w:abstractNumId w:val="2"/>
  </w:num>
  <w:num w:numId="16">
    <w:abstractNumId w:val="18"/>
  </w:num>
  <w:num w:numId="17">
    <w:abstractNumId w:val="19"/>
  </w:num>
  <w:num w:numId="18">
    <w:abstractNumId w:val="13"/>
  </w:num>
  <w:num w:numId="19">
    <w:abstractNumId w:val="5"/>
  </w:num>
  <w:num w:numId="20">
    <w:abstractNumId w:val="14"/>
  </w:num>
  <w:num w:numId="21">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71"/>
  <w:displayVertic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14B"/>
    <w:rsid w:val="00062A2F"/>
    <w:rsid w:val="0006346F"/>
    <w:rsid w:val="000A4E8D"/>
    <w:rsid w:val="000A7B91"/>
    <w:rsid w:val="000E3341"/>
    <w:rsid w:val="00126420"/>
    <w:rsid w:val="00141779"/>
    <w:rsid w:val="0014488D"/>
    <w:rsid w:val="00151B86"/>
    <w:rsid w:val="0018463B"/>
    <w:rsid w:val="00193138"/>
    <w:rsid w:val="001C1735"/>
    <w:rsid w:val="0021521F"/>
    <w:rsid w:val="00262A69"/>
    <w:rsid w:val="0026452F"/>
    <w:rsid w:val="00281EFF"/>
    <w:rsid w:val="0029246A"/>
    <w:rsid w:val="002B0F3F"/>
    <w:rsid w:val="002B6651"/>
    <w:rsid w:val="002C67B5"/>
    <w:rsid w:val="002E2F9D"/>
    <w:rsid w:val="002F379E"/>
    <w:rsid w:val="002F3BD8"/>
    <w:rsid w:val="00300864"/>
    <w:rsid w:val="0032577C"/>
    <w:rsid w:val="00333EDC"/>
    <w:rsid w:val="00377A66"/>
    <w:rsid w:val="003F273D"/>
    <w:rsid w:val="003F6B52"/>
    <w:rsid w:val="0042278B"/>
    <w:rsid w:val="0042510F"/>
    <w:rsid w:val="00433474"/>
    <w:rsid w:val="0043705D"/>
    <w:rsid w:val="00447525"/>
    <w:rsid w:val="00447674"/>
    <w:rsid w:val="00487EA7"/>
    <w:rsid w:val="004A1911"/>
    <w:rsid w:val="004D2E8A"/>
    <w:rsid w:val="004E0604"/>
    <w:rsid w:val="00557228"/>
    <w:rsid w:val="00561BDA"/>
    <w:rsid w:val="00572B0F"/>
    <w:rsid w:val="00573007"/>
    <w:rsid w:val="005843FF"/>
    <w:rsid w:val="005D4363"/>
    <w:rsid w:val="00611D20"/>
    <w:rsid w:val="0064156F"/>
    <w:rsid w:val="006443A0"/>
    <w:rsid w:val="006506C2"/>
    <w:rsid w:val="006575A5"/>
    <w:rsid w:val="006B0556"/>
    <w:rsid w:val="006E6D24"/>
    <w:rsid w:val="0070749E"/>
    <w:rsid w:val="00754DB3"/>
    <w:rsid w:val="00761277"/>
    <w:rsid w:val="00795BDA"/>
    <w:rsid w:val="007C72A9"/>
    <w:rsid w:val="008127AE"/>
    <w:rsid w:val="00844489"/>
    <w:rsid w:val="00865DA3"/>
    <w:rsid w:val="00894334"/>
    <w:rsid w:val="00894E00"/>
    <w:rsid w:val="00914068"/>
    <w:rsid w:val="00921577"/>
    <w:rsid w:val="0092715D"/>
    <w:rsid w:val="009502F1"/>
    <w:rsid w:val="009553C4"/>
    <w:rsid w:val="009772ED"/>
    <w:rsid w:val="00985952"/>
    <w:rsid w:val="009921A6"/>
    <w:rsid w:val="009A07A3"/>
    <w:rsid w:val="009A55B8"/>
    <w:rsid w:val="009A7CCA"/>
    <w:rsid w:val="009B5510"/>
    <w:rsid w:val="00A2314B"/>
    <w:rsid w:val="00A40DB0"/>
    <w:rsid w:val="00A5239F"/>
    <w:rsid w:val="00A61C68"/>
    <w:rsid w:val="00AA1E7A"/>
    <w:rsid w:val="00AA5AAB"/>
    <w:rsid w:val="00AC222D"/>
    <w:rsid w:val="00B315CA"/>
    <w:rsid w:val="00B37D3B"/>
    <w:rsid w:val="00B559BB"/>
    <w:rsid w:val="00B6740F"/>
    <w:rsid w:val="00B74B14"/>
    <w:rsid w:val="00B91826"/>
    <w:rsid w:val="00BE1D23"/>
    <w:rsid w:val="00BE312E"/>
    <w:rsid w:val="00C1387F"/>
    <w:rsid w:val="00C15B03"/>
    <w:rsid w:val="00C22877"/>
    <w:rsid w:val="00C3388F"/>
    <w:rsid w:val="00C56655"/>
    <w:rsid w:val="00C80611"/>
    <w:rsid w:val="00C875C8"/>
    <w:rsid w:val="00C925DE"/>
    <w:rsid w:val="00CA5116"/>
    <w:rsid w:val="00CA6959"/>
    <w:rsid w:val="00CF2224"/>
    <w:rsid w:val="00D13912"/>
    <w:rsid w:val="00DA1FAD"/>
    <w:rsid w:val="00DC75FE"/>
    <w:rsid w:val="00E01DD3"/>
    <w:rsid w:val="00E11A69"/>
    <w:rsid w:val="00E32C5C"/>
    <w:rsid w:val="00E72269"/>
    <w:rsid w:val="00EF5B05"/>
    <w:rsid w:val="00F00B64"/>
    <w:rsid w:val="00F023DA"/>
    <w:rsid w:val="00F070F7"/>
    <w:rsid w:val="00F10310"/>
    <w:rsid w:val="00F328E6"/>
    <w:rsid w:val="00F65C1A"/>
    <w:rsid w:val="00F87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6ACD77F2"/>
  <w15:docId w15:val="{15023F70-D859-45DB-947F-B6F203D0B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D3B"/>
    <w:rPr>
      <w:rFonts w:ascii="Arial" w:hAnsi="Arial"/>
      <w:lang w:val="en-AU"/>
    </w:rPr>
  </w:style>
  <w:style w:type="paragraph" w:styleId="Heading1">
    <w:name w:val="heading 1"/>
    <w:basedOn w:val="Normal"/>
    <w:next w:val="Heading2"/>
    <w:qFormat/>
    <w:rsid w:val="00B37D3B"/>
    <w:pPr>
      <w:keepNext/>
      <w:numPr>
        <w:numId w:val="8"/>
      </w:numPr>
      <w:spacing w:before="360"/>
      <w:outlineLvl w:val="0"/>
    </w:pPr>
    <w:rPr>
      <w:b/>
      <w:sz w:val="24"/>
    </w:rPr>
  </w:style>
  <w:style w:type="paragraph" w:styleId="Heading2">
    <w:name w:val="heading 2"/>
    <w:basedOn w:val="Normal"/>
    <w:next w:val="BodyText2"/>
    <w:qFormat/>
    <w:rsid w:val="00B37D3B"/>
    <w:pPr>
      <w:numPr>
        <w:ilvl w:val="1"/>
        <w:numId w:val="8"/>
      </w:numPr>
      <w:spacing w:before="240"/>
      <w:outlineLvl w:val="1"/>
    </w:pPr>
  </w:style>
  <w:style w:type="paragraph" w:styleId="Heading3">
    <w:name w:val="heading 3"/>
    <w:basedOn w:val="Normal"/>
    <w:qFormat/>
    <w:rsid w:val="00B37D3B"/>
    <w:pPr>
      <w:numPr>
        <w:ilvl w:val="2"/>
        <w:numId w:val="8"/>
      </w:numPr>
      <w:spacing w:before="240"/>
      <w:outlineLvl w:val="2"/>
    </w:pPr>
  </w:style>
  <w:style w:type="paragraph" w:styleId="Heading4">
    <w:name w:val="heading 4"/>
    <w:basedOn w:val="Normal"/>
    <w:qFormat/>
    <w:rsid w:val="00B37D3B"/>
    <w:pPr>
      <w:numPr>
        <w:ilvl w:val="3"/>
        <w:numId w:val="8"/>
      </w:numPr>
      <w:spacing w:before="240"/>
      <w:outlineLvl w:val="3"/>
    </w:pPr>
  </w:style>
  <w:style w:type="paragraph" w:styleId="Heading5">
    <w:name w:val="heading 5"/>
    <w:basedOn w:val="Normal"/>
    <w:qFormat/>
    <w:rsid w:val="00B37D3B"/>
    <w:pPr>
      <w:numPr>
        <w:ilvl w:val="4"/>
        <w:numId w:val="8"/>
      </w:numPr>
      <w:spacing w:before="240"/>
      <w:outlineLvl w:val="4"/>
    </w:pPr>
  </w:style>
  <w:style w:type="paragraph" w:styleId="Heading6">
    <w:name w:val="heading 6"/>
    <w:basedOn w:val="Normal"/>
    <w:qFormat/>
    <w:rsid w:val="00B37D3B"/>
    <w:pPr>
      <w:numPr>
        <w:ilvl w:val="5"/>
        <w:numId w:val="8"/>
      </w:numPr>
      <w:spacing w:before="240"/>
      <w:outlineLvl w:val="5"/>
    </w:pPr>
  </w:style>
  <w:style w:type="paragraph" w:styleId="Heading7">
    <w:name w:val="heading 7"/>
    <w:basedOn w:val="Normal"/>
    <w:next w:val="Normal"/>
    <w:qFormat/>
    <w:rsid w:val="00B37D3B"/>
    <w:pPr>
      <w:outlineLvl w:val="6"/>
    </w:pPr>
  </w:style>
  <w:style w:type="paragraph" w:styleId="Heading8">
    <w:name w:val="heading 8"/>
    <w:basedOn w:val="Normal"/>
    <w:next w:val="Normal"/>
    <w:qFormat/>
    <w:rsid w:val="00B37D3B"/>
    <w:pPr>
      <w:outlineLvl w:val="7"/>
    </w:pPr>
  </w:style>
  <w:style w:type="paragraph" w:styleId="Heading9">
    <w:name w:val="heading 9"/>
    <w:basedOn w:val="Normal"/>
    <w:next w:val="Normal"/>
    <w:qFormat/>
    <w:rsid w:val="00B37D3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ure">
    <w:name w:val="Annexure"/>
    <w:basedOn w:val="Normal"/>
    <w:next w:val="BodyText1"/>
    <w:rsid w:val="00B37D3B"/>
    <w:pPr>
      <w:numPr>
        <w:numId w:val="1"/>
      </w:numPr>
      <w:spacing w:before="240"/>
      <w:outlineLvl w:val="0"/>
    </w:pPr>
    <w:rPr>
      <w:b/>
      <w:sz w:val="24"/>
    </w:rPr>
  </w:style>
  <w:style w:type="paragraph" w:customStyle="1" w:styleId="AText">
    <w:name w:val="AText"/>
    <w:basedOn w:val="Normal"/>
    <w:rsid w:val="00B37D3B"/>
    <w:pPr>
      <w:keepLines/>
    </w:pPr>
  </w:style>
  <w:style w:type="paragraph" w:customStyle="1" w:styleId="AuthorPageDate1">
    <w:name w:val="Author  Page #  Date1"/>
    <w:rsid w:val="00B37D3B"/>
    <w:rPr>
      <w:sz w:val="24"/>
      <w:szCs w:val="24"/>
      <w:lang w:val="en-AU"/>
    </w:rPr>
  </w:style>
  <w:style w:type="paragraph" w:styleId="BodyText">
    <w:name w:val="Body Text"/>
    <w:basedOn w:val="Normal"/>
    <w:link w:val="BodyTextChar"/>
    <w:rsid w:val="00B37D3B"/>
    <w:pPr>
      <w:tabs>
        <w:tab w:val="left" w:pos="1701"/>
      </w:tabs>
    </w:pPr>
  </w:style>
  <w:style w:type="paragraph" w:customStyle="1" w:styleId="BodyText1">
    <w:name w:val="Body Text 1"/>
    <w:basedOn w:val="Normal"/>
    <w:rsid w:val="00B37D3B"/>
    <w:pPr>
      <w:spacing w:before="240"/>
    </w:pPr>
  </w:style>
  <w:style w:type="paragraph" w:styleId="BodyText2">
    <w:name w:val="Body Text 2"/>
    <w:basedOn w:val="Normal"/>
    <w:rsid w:val="00B37D3B"/>
    <w:pPr>
      <w:spacing w:before="240"/>
      <w:ind w:left="709"/>
    </w:pPr>
  </w:style>
  <w:style w:type="paragraph" w:styleId="BodyText3">
    <w:name w:val="Body Text 3"/>
    <w:basedOn w:val="Normal"/>
    <w:rsid w:val="00B37D3B"/>
    <w:pPr>
      <w:spacing w:before="240"/>
      <w:ind w:left="1418"/>
    </w:pPr>
  </w:style>
  <w:style w:type="paragraph" w:customStyle="1" w:styleId="BodyText4">
    <w:name w:val="Body Text 4"/>
    <w:basedOn w:val="Normal"/>
    <w:rsid w:val="00B37D3B"/>
    <w:pPr>
      <w:spacing w:before="240"/>
      <w:ind w:left="2126"/>
    </w:pPr>
  </w:style>
  <w:style w:type="paragraph" w:customStyle="1" w:styleId="BodyText5">
    <w:name w:val="Body Text 5"/>
    <w:basedOn w:val="Normal"/>
    <w:rsid w:val="00B37D3B"/>
    <w:pPr>
      <w:spacing w:before="240"/>
      <w:ind w:left="2835"/>
    </w:pPr>
  </w:style>
  <w:style w:type="paragraph" w:customStyle="1" w:styleId="BodyText6">
    <w:name w:val="Body Text 6"/>
    <w:basedOn w:val="Normal"/>
    <w:rsid w:val="00B37D3B"/>
    <w:pPr>
      <w:spacing w:before="240"/>
      <w:ind w:left="3544"/>
    </w:pPr>
  </w:style>
  <w:style w:type="paragraph" w:styleId="Caption">
    <w:name w:val="caption"/>
    <w:basedOn w:val="Normal"/>
    <w:next w:val="Normal"/>
    <w:rsid w:val="00B37D3B"/>
    <w:pPr>
      <w:spacing w:before="120" w:after="120"/>
    </w:pPr>
    <w:rPr>
      <w:b/>
    </w:rPr>
  </w:style>
  <w:style w:type="paragraph" w:customStyle="1" w:styleId="CommentBox">
    <w:name w:val="Comment Box"/>
    <w:basedOn w:val="Normal"/>
    <w:rsid w:val="00B37D3B"/>
    <w:pPr>
      <w:pBdr>
        <w:top w:val="single" w:sz="4" w:space="1" w:color="auto"/>
        <w:left w:val="single" w:sz="4" w:space="4" w:color="auto"/>
        <w:bottom w:val="single" w:sz="4" w:space="1" w:color="auto"/>
        <w:right w:val="single" w:sz="4" w:space="4" w:color="auto"/>
      </w:pBdr>
      <w:shd w:val="pct12" w:color="auto" w:fill="FFFFFF"/>
    </w:pPr>
  </w:style>
  <w:style w:type="paragraph" w:customStyle="1" w:styleId="DefaultParagraphFont1">
    <w:name w:val="Default Paragraph Font1"/>
    <w:basedOn w:val="Normal"/>
    <w:pPr>
      <w:spacing w:before="240"/>
    </w:pPr>
  </w:style>
  <w:style w:type="paragraph" w:styleId="Footer">
    <w:name w:val="footer"/>
    <w:basedOn w:val="Normal"/>
    <w:link w:val="FooterChar"/>
    <w:rsid w:val="00B37D3B"/>
    <w:rPr>
      <w:sz w:val="16"/>
    </w:rPr>
  </w:style>
  <w:style w:type="paragraph" w:customStyle="1" w:styleId="Disclaimer">
    <w:name w:val="Disclaimer"/>
    <w:basedOn w:val="Footer"/>
    <w:rsid w:val="00B37D3B"/>
    <w:pPr>
      <w:jc w:val="center"/>
    </w:pPr>
    <w:rPr>
      <w:rFonts w:ascii="Times New Roman" w:hAnsi="Times New Roman"/>
      <w:b/>
      <w:i/>
      <w:sz w:val="18"/>
    </w:rPr>
  </w:style>
  <w:style w:type="paragraph" w:customStyle="1" w:styleId="Fax">
    <w:name w:val="Fax"/>
    <w:basedOn w:val="Normal"/>
    <w:rsid w:val="00B37D3B"/>
    <w:pPr>
      <w:tabs>
        <w:tab w:val="left" w:pos="2694"/>
      </w:tabs>
      <w:spacing w:line="360" w:lineRule="auto"/>
      <w:ind w:left="2693" w:hanging="2693"/>
    </w:pPr>
    <w:rPr>
      <w:b/>
    </w:rPr>
  </w:style>
  <w:style w:type="paragraph" w:customStyle="1" w:styleId="FaxHeader">
    <w:name w:val="FaxHeader"/>
    <w:basedOn w:val="Normal"/>
    <w:rsid w:val="00B37D3B"/>
    <w:pPr>
      <w:tabs>
        <w:tab w:val="left" w:pos="2693"/>
      </w:tabs>
      <w:ind w:left="2693" w:hanging="2693"/>
    </w:pPr>
  </w:style>
  <w:style w:type="paragraph" w:styleId="Header">
    <w:name w:val="header"/>
    <w:basedOn w:val="Normal"/>
    <w:rsid w:val="00B37D3B"/>
  </w:style>
  <w:style w:type="character" w:styleId="Hyperlink">
    <w:name w:val="Hyperlink"/>
    <w:basedOn w:val="DefaultParagraphFont"/>
    <w:rsid w:val="00B37D3B"/>
    <w:rPr>
      <w:color w:val="0000FF"/>
      <w:u w:val="single"/>
    </w:rPr>
  </w:style>
  <w:style w:type="paragraph" w:customStyle="1" w:styleId="Item">
    <w:name w:val="Item"/>
    <w:next w:val="BodyText3"/>
    <w:rsid w:val="00B37D3B"/>
    <w:pPr>
      <w:keepNext/>
      <w:numPr>
        <w:numId w:val="9"/>
      </w:numPr>
      <w:spacing w:before="240"/>
    </w:pPr>
    <w:rPr>
      <w:rFonts w:ascii="Arial" w:hAnsi="Arial"/>
      <w:b/>
      <w:lang w:val="en-AU"/>
    </w:rPr>
  </w:style>
  <w:style w:type="character" w:styleId="PageNumber">
    <w:name w:val="page number"/>
    <w:basedOn w:val="DefaultParagraphFont"/>
    <w:rsid w:val="00B37D3B"/>
    <w:rPr>
      <w:sz w:val="20"/>
    </w:rPr>
  </w:style>
  <w:style w:type="paragraph" w:customStyle="1" w:styleId="Recital">
    <w:name w:val="Recital"/>
    <w:basedOn w:val="Normal"/>
    <w:rsid w:val="00B37D3B"/>
    <w:pPr>
      <w:numPr>
        <w:numId w:val="11"/>
      </w:numPr>
      <w:spacing w:before="240"/>
    </w:pPr>
  </w:style>
  <w:style w:type="paragraph" w:customStyle="1" w:styleId="Schedule">
    <w:name w:val="Schedule"/>
    <w:basedOn w:val="Normal"/>
    <w:next w:val="BodyText1"/>
    <w:rsid w:val="00B37D3B"/>
    <w:pPr>
      <w:keepNext/>
      <w:numPr>
        <w:numId w:val="12"/>
      </w:numPr>
      <w:spacing w:before="480"/>
      <w:outlineLvl w:val="0"/>
    </w:pPr>
    <w:rPr>
      <w:b/>
      <w:sz w:val="24"/>
    </w:rPr>
  </w:style>
  <w:style w:type="paragraph" w:styleId="Subtitle">
    <w:name w:val="Subtitle"/>
    <w:basedOn w:val="Normal"/>
    <w:next w:val="BodyText1"/>
    <w:qFormat/>
    <w:rsid w:val="00B37D3B"/>
    <w:pPr>
      <w:keepNext/>
      <w:spacing w:before="480"/>
    </w:pPr>
    <w:rPr>
      <w:b/>
      <w:sz w:val="24"/>
    </w:rPr>
  </w:style>
  <w:style w:type="paragraph" w:customStyle="1" w:styleId="TableText">
    <w:name w:val="Table Text"/>
    <w:basedOn w:val="Normal"/>
    <w:rsid w:val="00B37D3B"/>
    <w:pPr>
      <w:spacing w:before="60" w:after="60"/>
    </w:pPr>
  </w:style>
  <w:style w:type="paragraph" w:styleId="Title">
    <w:name w:val="Title"/>
    <w:basedOn w:val="Normal"/>
    <w:next w:val="Normal"/>
    <w:qFormat/>
    <w:rsid w:val="00B37D3B"/>
    <w:pPr>
      <w:spacing w:after="360"/>
    </w:pPr>
    <w:rPr>
      <w:b/>
      <w:sz w:val="40"/>
    </w:rPr>
  </w:style>
  <w:style w:type="paragraph" w:styleId="TOC1">
    <w:name w:val="toc 1"/>
    <w:basedOn w:val="Normal"/>
    <w:next w:val="Normal"/>
    <w:semiHidden/>
    <w:rsid w:val="00B37D3B"/>
    <w:pPr>
      <w:tabs>
        <w:tab w:val="right" w:leader="dot" w:pos="8789"/>
      </w:tabs>
      <w:spacing w:before="60" w:after="60"/>
      <w:ind w:left="709" w:right="425" w:hanging="709"/>
      <w:outlineLvl w:val="0"/>
    </w:pPr>
  </w:style>
  <w:style w:type="paragraph" w:styleId="TOC2">
    <w:name w:val="toc 2"/>
    <w:basedOn w:val="Normal"/>
    <w:next w:val="Normal"/>
    <w:semiHidden/>
    <w:rsid w:val="00B37D3B"/>
    <w:pPr>
      <w:tabs>
        <w:tab w:val="right" w:leader="dot" w:pos="8789"/>
      </w:tabs>
      <w:spacing w:before="60" w:after="60"/>
      <w:ind w:left="1418" w:right="425" w:hanging="709"/>
      <w:outlineLvl w:val="0"/>
    </w:pPr>
  </w:style>
  <w:style w:type="paragraph" w:styleId="TOC3">
    <w:name w:val="toc 3"/>
    <w:basedOn w:val="Normal"/>
    <w:next w:val="Normal"/>
    <w:semiHidden/>
    <w:rsid w:val="00B37D3B"/>
    <w:pPr>
      <w:tabs>
        <w:tab w:val="right" w:pos="7938"/>
      </w:tabs>
      <w:spacing w:before="60" w:after="60"/>
      <w:ind w:left="442"/>
    </w:pPr>
  </w:style>
  <w:style w:type="paragraph" w:styleId="TOC4">
    <w:name w:val="toc 4"/>
    <w:basedOn w:val="Normal"/>
    <w:next w:val="Normal"/>
    <w:semiHidden/>
    <w:rsid w:val="00B37D3B"/>
    <w:pPr>
      <w:tabs>
        <w:tab w:val="right" w:leader="dot" w:pos="8789"/>
      </w:tabs>
      <w:spacing w:before="60" w:after="60"/>
      <w:ind w:left="709" w:right="425" w:hanging="709"/>
    </w:pPr>
  </w:style>
  <w:style w:type="paragraph" w:styleId="TOC5">
    <w:name w:val="toc 5"/>
    <w:basedOn w:val="Normal"/>
    <w:next w:val="Normal"/>
    <w:semiHidden/>
    <w:rsid w:val="00B37D3B"/>
    <w:pPr>
      <w:tabs>
        <w:tab w:val="right" w:leader="dot" w:pos="8789"/>
      </w:tabs>
      <w:spacing w:before="60" w:after="60"/>
      <w:ind w:left="709" w:right="425" w:hanging="709"/>
    </w:pPr>
  </w:style>
  <w:style w:type="paragraph" w:styleId="TOC6">
    <w:name w:val="toc 6"/>
    <w:basedOn w:val="Normal"/>
    <w:next w:val="Normal"/>
    <w:semiHidden/>
    <w:rsid w:val="00B37D3B"/>
    <w:pPr>
      <w:tabs>
        <w:tab w:val="right" w:leader="dot" w:pos="8789"/>
      </w:tabs>
      <w:spacing w:before="60" w:after="60"/>
      <w:ind w:left="709" w:right="425" w:hanging="709"/>
    </w:pPr>
  </w:style>
  <w:style w:type="paragraph" w:styleId="TOC7">
    <w:name w:val="toc 7"/>
    <w:basedOn w:val="Normal"/>
    <w:next w:val="Normal"/>
    <w:semiHidden/>
    <w:rsid w:val="00B37D3B"/>
    <w:pPr>
      <w:tabs>
        <w:tab w:val="right" w:pos="8789"/>
      </w:tabs>
      <w:spacing w:before="60" w:after="60"/>
      <w:ind w:left="709" w:right="425" w:hanging="709"/>
    </w:pPr>
  </w:style>
  <w:style w:type="paragraph" w:styleId="TOC8">
    <w:name w:val="toc 8"/>
    <w:basedOn w:val="Normal"/>
    <w:next w:val="Normal"/>
    <w:semiHidden/>
    <w:rsid w:val="00B37D3B"/>
    <w:pPr>
      <w:tabs>
        <w:tab w:val="right" w:leader="dot" w:pos="8789"/>
      </w:tabs>
      <w:spacing w:before="60" w:after="60"/>
      <w:ind w:left="709" w:right="425" w:hanging="709"/>
      <w:outlineLvl w:val="0"/>
    </w:pPr>
  </w:style>
  <w:style w:type="paragraph" w:styleId="TOC9">
    <w:name w:val="toc 9"/>
    <w:basedOn w:val="Normal"/>
    <w:next w:val="Normal"/>
    <w:semiHidden/>
    <w:rsid w:val="00B37D3B"/>
    <w:pPr>
      <w:tabs>
        <w:tab w:val="right" w:leader="dot" w:pos="8789"/>
      </w:tabs>
      <w:spacing w:before="60" w:after="60"/>
      <w:ind w:left="709" w:right="425" w:hanging="709"/>
      <w:outlineLvl w:val="0"/>
    </w:pPr>
  </w:style>
  <w:style w:type="character" w:customStyle="1" w:styleId="BodyTextChar">
    <w:name w:val="Body Text Char"/>
    <w:basedOn w:val="DefaultParagraphFont"/>
    <w:link w:val="BodyText"/>
    <w:rsid w:val="00B37D3B"/>
    <w:rPr>
      <w:rFonts w:ascii="Arial" w:hAnsi="Arial"/>
      <w:lang w:val="en-AU"/>
    </w:rPr>
  </w:style>
  <w:style w:type="paragraph" w:styleId="FootnoteText">
    <w:name w:val="footnote text"/>
    <w:basedOn w:val="Normal"/>
    <w:link w:val="FootnoteTextChar"/>
    <w:rsid w:val="00B37D3B"/>
    <w:rPr>
      <w:sz w:val="18"/>
    </w:rPr>
  </w:style>
  <w:style w:type="character" w:customStyle="1" w:styleId="FootnoteTextChar">
    <w:name w:val="Footnote Text Char"/>
    <w:basedOn w:val="DefaultParagraphFont"/>
    <w:link w:val="FootnoteText"/>
    <w:rsid w:val="00B37D3B"/>
    <w:rPr>
      <w:rFonts w:ascii="Arial" w:hAnsi="Arial"/>
      <w:sz w:val="18"/>
      <w:lang w:val="en-AU"/>
    </w:rPr>
  </w:style>
  <w:style w:type="paragraph" w:customStyle="1" w:styleId="NRFABullet1">
    <w:name w:val="NRFA Bullet 1"/>
    <w:basedOn w:val="BodyText2"/>
    <w:qFormat/>
    <w:rsid w:val="00B37D3B"/>
    <w:pPr>
      <w:numPr>
        <w:numId w:val="10"/>
      </w:numPr>
      <w:tabs>
        <w:tab w:val="left" w:pos="709"/>
      </w:tabs>
      <w:outlineLvl w:val="0"/>
    </w:pPr>
  </w:style>
  <w:style w:type="paragraph" w:customStyle="1" w:styleId="NRFABullet2">
    <w:name w:val="NRFA Bullet 2"/>
    <w:basedOn w:val="NRFABullet1"/>
    <w:qFormat/>
    <w:rsid w:val="00B37D3B"/>
    <w:pPr>
      <w:numPr>
        <w:ilvl w:val="1"/>
      </w:numPr>
      <w:outlineLvl w:val="1"/>
    </w:pPr>
  </w:style>
  <w:style w:type="table" w:customStyle="1" w:styleId="NRFATable">
    <w:name w:val="NRFA Table"/>
    <w:basedOn w:val="TableNormal"/>
    <w:rsid w:val="00B37D3B"/>
    <w:pPr>
      <w:spacing w:before="120"/>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jc w:val="center"/>
      </w:pPr>
      <w:rPr>
        <w:b/>
      </w:rPr>
      <w:tblPr/>
      <w:trPr>
        <w:tblHeader/>
      </w:trPr>
      <w:tcPr>
        <w:shd w:val="clear" w:color="auto" w:fill="E6E6E6"/>
      </w:tcPr>
    </w:tblStylePr>
  </w:style>
  <w:style w:type="paragraph" w:customStyle="1" w:styleId="ScheduleNumbering1">
    <w:name w:val="Schedule Numbering 1"/>
    <w:basedOn w:val="Normal"/>
    <w:next w:val="ScheduleNumbering2"/>
    <w:rsid w:val="00B37D3B"/>
    <w:pPr>
      <w:keepNext/>
      <w:widowControl w:val="0"/>
      <w:numPr>
        <w:numId w:val="13"/>
      </w:numPr>
      <w:spacing w:before="240"/>
      <w:outlineLvl w:val="0"/>
    </w:pPr>
    <w:rPr>
      <w:b/>
    </w:rPr>
  </w:style>
  <w:style w:type="paragraph" w:customStyle="1" w:styleId="ScheduleNumbering2">
    <w:name w:val="Schedule Numbering 2"/>
    <w:basedOn w:val="Normal"/>
    <w:rsid w:val="00B37D3B"/>
    <w:pPr>
      <w:numPr>
        <w:ilvl w:val="1"/>
        <w:numId w:val="13"/>
      </w:numPr>
      <w:spacing w:before="240"/>
      <w:outlineLvl w:val="1"/>
    </w:pPr>
  </w:style>
  <w:style w:type="paragraph" w:customStyle="1" w:styleId="ScheduleNumbering3">
    <w:name w:val="Schedule Numbering 3"/>
    <w:basedOn w:val="Normal"/>
    <w:rsid w:val="00B37D3B"/>
    <w:pPr>
      <w:numPr>
        <w:ilvl w:val="2"/>
        <w:numId w:val="13"/>
      </w:numPr>
      <w:spacing w:before="240"/>
      <w:outlineLvl w:val="2"/>
    </w:pPr>
  </w:style>
  <w:style w:type="paragraph" w:customStyle="1" w:styleId="ScheduleNumbering4">
    <w:name w:val="Schedule Numbering 4"/>
    <w:basedOn w:val="Normal"/>
    <w:rsid w:val="00B37D3B"/>
    <w:pPr>
      <w:numPr>
        <w:ilvl w:val="3"/>
        <w:numId w:val="13"/>
      </w:numPr>
      <w:spacing w:before="240"/>
      <w:outlineLvl w:val="3"/>
    </w:pPr>
  </w:style>
  <w:style w:type="paragraph" w:customStyle="1" w:styleId="ScheduleNumbering5">
    <w:name w:val="Schedule Numbering 5"/>
    <w:basedOn w:val="Normal"/>
    <w:rsid w:val="00B37D3B"/>
    <w:pPr>
      <w:numPr>
        <w:ilvl w:val="4"/>
        <w:numId w:val="13"/>
      </w:numPr>
      <w:spacing w:before="240"/>
      <w:outlineLvl w:val="4"/>
    </w:pPr>
  </w:style>
  <w:style w:type="character" w:customStyle="1" w:styleId="FooterChar">
    <w:name w:val="Footer Char"/>
    <w:link w:val="Footer"/>
    <w:rPr>
      <w:rFonts w:ascii="Arial" w:hAnsi="Arial"/>
      <w:sz w:val="16"/>
      <w:lang w:val="en-AU"/>
    </w:rPr>
  </w:style>
  <w:style w:type="paragraph" w:customStyle="1" w:styleId="BilingualHeading1">
    <w:name w:val="Bilingual Heading 1"/>
    <w:basedOn w:val="Normal"/>
    <w:next w:val="BilingualHeading2"/>
    <w:unhideWhenUsed/>
    <w:rsid w:val="00B37D3B"/>
    <w:pPr>
      <w:keepNext/>
      <w:numPr>
        <w:numId w:val="3"/>
      </w:numPr>
      <w:spacing w:before="360"/>
    </w:pPr>
    <w:rPr>
      <w:b/>
      <w:sz w:val="24"/>
    </w:rPr>
  </w:style>
  <w:style w:type="paragraph" w:customStyle="1" w:styleId="BilingualHeading2">
    <w:name w:val="Bilingual Heading 2"/>
    <w:basedOn w:val="Normal"/>
    <w:next w:val="BodyText2"/>
    <w:unhideWhenUsed/>
    <w:rsid w:val="00B37D3B"/>
    <w:pPr>
      <w:numPr>
        <w:ilvl w:val="1"/>
        <w:numId w:val="3"/>
      </w:numPr>
      <w:spacing w:before="240"/>
    </w:pPr>
  </w:style>
  <w:style w:type="paragraph" w:customStyle="1" w:styleId="BilingualHeading3">
    <w:name w:val="Bilingual Heading 3"/>
    <w:basedOn w:val="Normal"/>
    <w:unhideWhenUsed/>
    <w:rsid w:val="00B37D3B"/>
    <w:pPr>
      <w:numPr>
        <w:ilvl w:val="2"/>
        <w:numId w:val="3"/>
      </w:numPr>
      <w:spacing w:before="240"/>
    </w:pPr>
  </w:style>
  <w:style w:type="paragraph" w:customStyle="1" w:styleId="BilingualHeading4">
    <w:name w:val="Bilingual Heading 4"/>
    <w:basedOn w:val="Normal"/>
    <w:unhideWhenUsed/>
    <w:rsid w:val="00B37D3B"/>
    <w:pPr>
      <w:numPr>
        <w:ilvl w:val="3"/>
        <w:numId w:val="3"/>
      </w:numPr>
      <w:spacing w:before="240"/>
    </w:pPr>
  </w:style>
  <w:style w:type="paragraph" w:customStyle="1" w:styleId="BilingualHeading5">
    <w:name w:val="Bilingual Heading 5"/>
    <w:basedOn w:val="Normal"/>
    <w:unhideWhenUsed/>
    <w:rsid w:val="00B37D3B"/>
    <w:pPr>
      <w:numPr>
        <w:ilvl w:val="4"/>
        <w:numId w:val="3"/>
      </w:numPr>
      <w:spacing w:before="240"/>
    </w:pPr>
  </w:style>
  <w:style w:type="paragraph" w:customStyle="1" w:styleId="BilingualHeading6">
    <w:name w:val="Bilingual Heading 6"/>
    <w:basedOn w:val="Normal"/>
    <w:unhideWhenUsed/>
    <w:rsid w:val="00B37D3B"/>
    <w:pPr>
      <w:numPr>
        <w:ilvl w:val="5"/>
        <w:numId w:val="3"/>
      </w:numPr>
      <w:spacing w:before="240"/>
    </w:pPr>
  </w:style>
  <w:style w:type="table" w:customStyle="1" w:styleId="BilingualTable">
    <w:name w:val="Bilingual Table"/>
    <w:basedOn w:val="TableNormal"/>
    <w:uiPriority w:val="99"/>
    <w:rsid w:val="00B37D3B"/>
    <w:rPr>
      <w:rFonts w:ascii="Arial" w:hAnsi="Arial"/>
    </w:rPr>
    <w:tblPr/>
  </w:style>
  <w:style w:type="paragraph" w:customStyle="1" w:styleId="BilingualAnnexure">
    <w:name w:val="Bilingual Annexure"/>
    <w:basedOn w:val="Normal"/>
    <w:next w:val="BodyText1"/>
    <w:rsid w:val="00B37D3B"/>
    <w:pPr>
      <w:numPr>
        <w:numId w:val="2"/>
      </w:numPr>
      <w:spacing w:before="240"/>
      <w:outlineLvl w:val="0"/>
    </w:pPr>
    <w:rPr>
      <w:b/>
      <w:sz w:val="24"/>
    </w:rPr>
  </w:style>
  <w:style w:type="table" w:styleId="TableGrid">
    <w:name w:val="Table Grid"/>
    <w:basedOn w:val="TableNormal"/>
    <w:rsid w:val="00B37D3B"/>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ingualItem">
    <w:name w:val="Bilingual Item"/>
    <w:next w:val="BodyText3"/>
    <w:rsid w:val="00B37D3B"/>
    <w:pPr>
      <w:keepNext/>
      <w:numPr>
        <w:numId w:val="4"/>
      </w:numPr>
      <w:spacing w:before="240"/>
    </w:pPr>
    <w:rPr>
      <w:rFonts w:ascii="Arial" w:hAnsi="Arial"/>
      <w:b/>
      <w:lang w:val="en-AU"/>
    </w:rPr>
  </w:style>
  <w:style w:type="paragraph" w:customStyle="1" w:styleId="BilingualRecital">
    <w:name w:val="Bilingual Recital"/>
    <w:basedOn w:val="Normal"/>
    <w:rsid w:val="00B37D3B"/>
    <w:pPr>
      <w:numPr>
        <w:numId w:val="5"/>
      </w:numPr>
      <w:spacing w:before="240"/>
    </w:pPr>
  </w:style>
  <w:style w:type="paragraph" w:customStyle="1" w:styleId="BilingualSchedule">
    <w:name w:val="Bilingual Schedule"/>
    <w:basedOn w:val="Normal"/>
    <w:next w:val="BodyText1"/>
    <w:rsid w:val="00B37D3B"/>
    <w:pPr>
      <w:keepNext/>
      <w:numPr>
        <w:numId w:val="6"/>
      </w:numPr>
      <w:spacing w:before="480"/>
      <w:outlineLvl w:val="0"/>
    </w:pPr>
    <w:rPr>
      <w:b/>
      <w:sz w:val="24"/>
    </w:rPr>
  </w:style>
  <w:style w:type="paragraph" w:customStyle="1" w:styleId="BilingualScheduleNumbering1">
    <w:name w:val="Bilingual Schedule Numbering 1"/>
    <w:basedOn w:val="Normal"/>
    <w:next w:val="Normal"/>
    <w:rsid w:val="00B37D3B"/>
    <w:pPr>
      <w:keepNext/>
      <w:widowControl w:val="0"/>
      <w:numPr>
        <w:numId w:val="7"/>
      </w:numPr>
      <w:spacing w:before="240"/>
      <w:outlineLvl w:val="0"/>
    </w:pPr>
    <w:rPr>
      <w:b/>
    </w:rPr>
  </w:style>
  <w:style w:type="paragraph" w:customStyle="1" w:styleId="BilingualScheduleNumbering2">
    <w:name w:val="Bilingual Schedule Numbering 2"/>
    <w:basedOn w:val="Normal"/>
    <w:rsid w:val="00B37D3B"/>
    <w:pPr>
      <w:numPr>
        <w:ilvl w:val="1"/>
        <w:numId w:val="7"/>
      </w:numPr>
      <w:spacing w:before="240"/>
      <w:outlineLvl w:val="1"/>
    </w:pPr>
  </w:style>
  <w:style w:type="paragraph" w:customStyle="1" w:styleId="BilingualScheduleNumbering3">
    <w:name w:val="Bilingual Schedule Numbering 3"/>
    <w:basedOn w:val="Normal"/>
    <w:rsid w:val="00B37D3B"/>
    <w:pPr>
      <w:numPr>
        <w:ilvl w:val="2"/>
        <w:numId w:val="7"/>
      </w:numPr>
      <w:spacing w:before="240"/>
      <w:outlineLvl w:val="2"/>
    </w:pPr>
  </w:style>
  <w:style w:type="paragraph" w:customStyle="1" w:styleId="BilingualScheduleNumbering4">
    <w:name w:val="Bilingual Schedule Numbering 4"/>
    <w:basedOn w:val="Normal"/>
    <w:rsid w:val="00B37D3B"/>
    <w:pPr>
      <w:numPr>
        <w:ilvl w:val="3"/>
        <w:numId w:val="7"/>
      </w:numPr>
      <w:spacing w:before="240"/>
      <w:outlineLvl w:val="3"/>
    </w:pPr>
  </w:style>
  <w:style w:type="paragraph" w:customStyle="1" w:styleId="BilingualScheduleNumbering5">
    <w:name w:val="Bilingual Schedule Numbering 5"/>
    <w:basedOn w:val="Normal"/>
    <w:rsid w:val="00B37D3B"/>
    <w:pPr>
      <w:numPr>
        <w:ilvl w:val="4"/>
        <w:numId w:val="7"/>
      </w:numPr>
      <w:spacing w:before="240"/>
      <w:outlineLvl w:val="4"/>
    </w:pPr>
  </w:style>
  <w:style w:type="paragraph" w:styleId="ListParagraph">
    <w:name w:val="List Paragraph"/>
    <w:basedOn w:val="Normal"/>
    <w:uiPriority w:val="34"/>
    <w:qFormat/>
    <w:rsid w:val="003F6B52"/>
    <w:pPr>
      <w:ind w:left="720"/>
      <w:contextualSpacing/>
    </w:pPr>
  </w:style>
  <w:style w:type="character" w:styleId="FollowedHyperlink">
    <w:name w:val="FollowedHyperlink"/>
    <w:basedOn w:val="DefaultParagraphFont"/>
    <w:semiHidden/>
    <w:unhideWhenUsed/>
    <w:rsid w:val="00377A66"/>
    <w:rPr>
      <w:color w:val="800080" w:themeColor="followedHyperlink"/>
      <w:u w:val="single"/>
    </w:rPr>
  </w:style>
  <w:style w:type="character" w:styleId="CommentReference">
    <w:name w:val="annotation reference"/>
    <w:basedOn w:val="DefaultParagraphFont"/>
    <w:semiHidden/>
    <w:unhideWhenUsed/>
    <w:rsid w:val="0026452F"/>
    <w:rPr>
      <w:sz w:val="16"/>
      <w:szCs w:val="16"/>
    </w:rPr>
  </w:style>
  <w:style w:type="paragraph" w:styleId="CommentText">
    <w:name w:val="annotation text"/>
    <w:basedOn w:val="Normal"/>
    <w:link w:val="CommentTextChar"/>
    <w:unhideWhenUsed/>
    <w:rsid w:val="0026452F"/>
  </w:style>
  <w:style w:type="character" w:customStyle="1" w:styleId="CommentTextChar">
    <w:name w:val="Comment Text Char"/>
    <w:basedOn w:val="DefaultParagraphFont"/>
    <w:link w:val="CommentText"/>
    <w:rsid w:val="0026452F"/>
    <w:rPr>
      <w:rFonts w:ascii="Arial" w:hAnsi="Arial"/>
      <w:lang w:val="en-AU"/>
    </w:rPr>
  </w:style>
  <w:style w:type="paragraph" w:styleId="CommentSubject">
    <w:name w:val="annotation subject"/>
    <w:basedOn w:val="CommentText"/>
    <w:next w:val="CommentText"/>
    <w:link w:val="CommentSubjectChar"/>
    <w:semiHidden/>
    <w:unhideWhenUsed/>
    <w:rsid w:val="0026452F"/>
    <w:rPr>
      <w:b/>
      <w:bCs/>
    </w:rPr>
  </w:style>
  <w:style w:type="character" w:customStyle="1" w:styleId="CommentSubjectChar">
    <w:name w:val="Comment Subject Char"/>
    <w:basedOn w:val="CommentTextChar"/>
    <w:link w:val="CommentSubject"/>
    <w:semiHidden/>
    <w:rsid w:val="0026452F"/>
    <w:rPr>
      <w:rFonts w:ascii="Arial" w:hAnsi="Arial"/>
      <w:b/>
      <w:bCs/>
      <w:lang w:val="en-AU"/>
    </w:rPr>
  </w:style>
  <w:style w:type="paragraph" w:styleId="BalloonText">
    <w:name w:val="Balloon Text"/>
    <w:basedOn w:val="Normal"/>
    <w:link w:val="BalloonTextChar"/>
    <w:semiHidden/>
    <w:unhideWhenUsed/>
    <w:rsid w:val="0026452F"/>
    <w:rPr>
      <w:rFonts w:ascii="Segoe UI" w:hAnsi="Segoe UI" w:cs="Segoe UI"/>
      <w:sz w:val="18"/>
      <w:szCs w:val="18"/>
    </w:rPr>
  </w:style>
  <w:style w:type="character" w:customStyle="1" w:styleId="BalloonTextChar">
    <w:name w:val="Balloon Text Char"/>
    <w:basedOn w:val="DefaultParagraphFont"/>
    <w:link w:val="BalloonText"/>
    <w:semiHidden/>
    <w:rsid w:val="0026452F"/>
    <w:rPr>
      <w:rFonts w:ascii="Segoe UI" w:hAnsi="Segoe UI" w:cs="Segoe UI"/>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1.next.westlaw.com/Link/Document/Blob/I744C2D0BD7CC405ABFD11F602019EB98.pdf?targetType=inline&amp;originationContext=document&amp;transitionType=DocumentImage&amp;uniqueId=0bd387c8-0e3b-47ee-8251-b17633056bac&amp;contextData=(sc.Search)"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Norton%20Rose\NR%20OfficeAddins\Templates\Do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4DC71-A48A-4FCC-B596-59B21F40979A}">
  <ds:schemaRefs>
    <ds:schemaRef ds:uri="http://schemas.microsoft.com/office/2006/customDocumentInformationPanel"/>
  </ds:schemaRefs>
</ds:datastoreItem>
</file>

<file path=customXml/itemProps2.xml><?xml version="1.0" encoding="utf-8"?>
<ds:datastoreItem xmlns:ds="http://schemas.openxmlformats.org/officeDocument/2006/customXml" ds:itemID="{177419B5-7C75-4535-AD77-E980DF037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late>
  <TotalTime>14</TotalTime>
  <Pages>5</Pages>
  <Words>1426</Words>
  <Characters>7949</Characters>
  <Application>Microsoft Office Word</Application>
  <DocSecurity>0</DocSecurity>
  <Lines>214</Lines>
  <Paragraphs>105</Paragraphs>
  <ScaleCrop>false</ScaleCrop>
  <HeadingPairs>
    <vt:vector size="2" baseType="variant">
      <vt:variant>
        <vt:lpstr>Title</vt:lpstr>
      </vt:variant>
      <vt:variant>
        <vt:i4>1</vt:i4>
      </vt:variant>
    </vt:vector>
  </HeadingPairs>
  <TitlesOfParts>
    <vt:vector size="1" baseType="lpstr">
      <vt:lpstr>doc</vt:lpstr>
    </vt:vector>
  </TitlesOfParts>
  <Manager>2651381/117781825_1</Manager>
  <Company>Norton Rose Fulbright</Company>
  <LinksUpToDate>false</LinksUpToDate>
  <CharactersWithSpaces>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subject>2651381</dc:subject>
  <dc:creator>Norton Rose Fulbright Australia</dc:creator>
  <cp:lastModifiedBy>Norton Rose Fulbright Australia</cp:lastModifiedBy>
  <cp:revision>6</cp:revision>
  <dcterms:created xsi:type="dcterms:W3CDTF">2021-06-09T05:10:00Z</dcterms:created>
  <dcterms:modified xsi:type="dcterms:W3CDTF">2021-06-20T10:40:00Z</dcterms:modified>
  <cp:category>117781825_1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Style">
    <vt:lpwstr>Style3</vt:lpwstr>
  </property>
  <property fmtid="{D5CDD505-2E9C-101B-9397-08002B2CF9AE}" pid="3" name="DocumentDatabase">
    <vt:lpwstr>APAC</vt:lpwstr>
  </property>
  <property fmtid="{D5CDD505-2E9C-101B-9397-08002B2CF9AE}" pid="4" name="DocumentVersion">
    <vt:lpwstr>1</vt:lpwstr>
  </property>
  <property fmtid="{D5CDD505-2E9C-101B-9397-08002B2CF9AE}" pid="5" name="DocumentNumber">
    <vt:lpwstr>117781825</vt:lpwstr>
  </property>
  <property fmtid="{D5CDD505-2E9C-101B-9397-08002B2CF9AE}" pid="6" name="DocumentCreationDate">
    <vt:filetime>2021-06-07T14:00:00Z</vt:filetime>
  </property>
  <property fmtid="{D5CDD505-2E9C-101B-9397-08002B2CF9AE}" pid="7" name="ShowGUI">
    <vt:bool>true</vt:bool>
  </property>
  <property fmtid="{D5CDD505-2E9C-101B-9397-08002B2CF9AE}" pid="8" name="DocumentOperator">
    <vt:lpwstr>ARTEMIS.SFENDOURAKIS</vt:lpwstr>
  </property>
  <property fmtid="{D5CDD505-2E9C-101B-9397-08002B2CF9AE}" pid="9" name="DocumentAuthor">
    <vt:lpwstr>Sfendourakis, Artemis</vt:lpwstr>
  </property>
  <property fmtid="{D5CDD505-2E9C-101B-9397-08002B2CF9AE}" pid="10" name="ClientCode">
    <vt:lpwstr>1043614</vt:lpwstr>
  </property>
  <property fmtid="{D5CDD505-2E9C-101B-9397-08002B2CF9AE}" pid="11" name="MatterNumber">
    <vt:lpwstr>2651381</vt:lpwstr>
  </property>
  <property fmtid="{D5CDD505-2E9C-101B-9397-08002B2CF9AE}" pid="12" name="Locale">
    <vt:lpwstr>Australia</vt:lpwstr>
  </property>
  <property fmtid="{D5CDD505-2E9C-101B-9397-08002B2CF9AE}" pid="13" name="ShowVBADialog">
    <vt:bool>true</vt:bool>
  </property>
  <property fmtid="{D5CDD505-2E9C-101B-9397-08002B2CF9AE}" pid="14" name="DocumentTitle">
    <vt:lpwstr>AA v Persons Unknown [2019] EWHC 3556 (Comm)</vt:lpwstr>
  </property>
</Properties>
</file>