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571D5" w14:textId="77F3D948" w:rsidR="00A2314B" w:rsidRPr="00433474" w:rsidRDefault="00F10310" w:rsidP="00F10310">
      <w:pPr>
        <w:jc w:val="center"/>
        <w:rPr>
          <w:b/>
          <w:sz w:val="24"/>
          <w:szCs w:val="24"/>
        </w:rPr>
      </w:pPr>
      <w:r w:rsidRPr="00433474">
        <w:rPr>
          <w:b/>
          <w:sz w:val="24"/>
          <w:szCs w:val="24"/>
        </w:rPr>
        <w:t xml:space="preserve">INSOL EUROPE </w:t>
      </w:r>
    </w:p>
    <w:p w14:paraId="316C9813" w14:textId="77777777" w:rsidR="00F10310" w:rsidRPr="00433474" w:rsidRDefault="00F10310" w:rsidP="00F10310">
      <w:pPr>
        <w:jc w:val="center"/>
        <w:rPr>
          <w:b/>
          <w:sz w:val="24"/>
          <w:szCs w:val="24"/>
        </w:rPr>
      </w:pPr>
    </w:p>
    <w:p w14:paraId="2E12E460" w14:textId="32F5E063" w:rsidR="00F10310" w:rsidRPr="00433474" w:rsidRDefault="00A5239F" w:rsidP="00F10310">
      <w:pPr>
        <w:jc w:val="center"/>
        <w:rPr>
          <w:b/>
          <w:sz w:val="24"/>
          <w:szCs w:val="24"/>
        </w:rPr>
      </w:pPr>
      <w:r>
        <w:rPr>
          <w:b/>
          <w:sz w:val="24"/>
          <w:szCs w:val="24"/>
        </w:rPr>
        <w:t xml:space="preserve">DIGITAL ASSETS </w:t>
      </w:r>
      <w:r w:rsidR="00F10310" w:rsidRPr="00433474">
        <w:rPr>
          <w:b/>
          <w:sz w:val="24"/>
          <w:szCs w:val="24"/>
        </w:rPr>
        <w:t>CASE SUMMARIES</w:t>
      </w:r>
    </w:p>
    <w:p w14:paraId="25CFF7B1" w14:textId="77777777" w:rsidR="00F10310" w:rsidRPr="00F10310" w:rsidRDefault="00F10310" w:rsidP="00F10310">
      <w:pPr>
        <w:jc w:val="center"/>
        <w:rPr>
          <w:b/>
          <w:i/>
          <w:sz w:val="24"/>
          <w:szCs w:val="24"/>
        </w:rPr>
      </w:pPr>
    </w:p>
    <w:tbl>
      <w:tblPr>
        <w:tblStyle w:val="TableGrid"/>
        <w:tblW w:w="0" w:type="auto"/>
        <w:tblLook w:val="04A0" w:firstRow="1" w:lastRow="0" w:firstColumn="1" w:lastColumn="0" w:noHBand="0" w:noVBand="1"/>
      </w:tblPr>
      <w:tblGrid>
        <w:gridCol w:w="3085"/>
        <w:gridCol w:w="5919"/>
      </w:tblGrid>
      <w:tr w:rsidR="00F10310" w14:paraId="4E33A013" w14:textId="77777777" w:rsidTr="00F10310">
        <w:tc>
          <w:tcPr>
            <w:tcW w:w="9004" w:type="dxa"/>
            <w:gridSpan w:val="2"/>
            <w:shd w:val="clear" w:color="auto" w:fill="D9D9D9" w:themeFill="background1" w:themeFillShade="D9"/>
          </w:tcPr>
          <w:p w14:paraId="365DF959" w14:textId="77777777" w:rsidR="00F10310" w:rsidRPr="00F10310" w:rsidRDefault="00F10310" w:rsidP="005F65B5">
            <w:pPr>
              <w:jc w:val="center"/>
              <w:rPr>
                <w:b/>
              </w:rPr>
            </w:pPr>
            <w:r>
              <w:rPr>
                <w:b/>
              </w:rPr>
              <w:t>Overview</w:t>
            </w:r>
          </w:p>
        </w:tc>
      </w:tr>
      <w:tr w:rsidR="00F10310" w14:paraId="093887AD" w14:textId="77777777" w:rsidTr="00F10310">
        <w:tc>
          <w:tcPr>
            <w:tcW w:w="3085" w:type="dxa"/>
          </w:tcPr>
          <w:p w14:paraId="2D90E374" w14:textId="1660C36B" w:rsidR="00F10310" w:rsidRPr="0043705D" w:rsidRDefault="00F10310" w:rsidP="005F65B5">
            <w:pPr>
              <w:rPr>
                <w:b/>
              </w:rPr>
            </w:pPr>
            <w:r>
              <w:rPr>
                <w:b/>
              </w:rPr>
              <w:t>Case</w:t>
            </w:r>
            <w:r w:rsidR="00A5239F">
              <w:rPr>
                <w:b/>
              </w:rPr>
              <w:t xml:space="preserve"> Citation</w:t>
            </w:r>
          </w:p>
        </w:tc>
        <w:tc>
          <w:tcPr>
            <w:tcW w:w="5919" w:type="dxa"/>
          </w:tcPr>
          <w:p w14:paraId="2A7297DB" w14:textId="5AB81A46" w:rsidR="00F10310" w:rsidRPr="00FF0B93" w:rsidRDefault="00FF0B93" w:rsidP="005F65B5">
            <w:r w:rsidRPr="00FF0B93">
              <w:rPr>
                <w:i/>
              </w:rPr>
              <w:t>Ion Science Ltd and Duncan Johns v Persons Unknown, Binance Holdings Limited and Payward</w:t>
            </w:r>
            <w:r>
              <w:t xml:space="preserve"> </w:t>
            </w:r>
            <w:r>
              <w:rPr>
                <w:i/>
              </w:rPr>
              <w:t>Limited</w:t>
            </w:r>
            <w:r>
              <w:t xml:space="preserve"> (unreported</w:t>
            </w:r>
            <w:r w:rsidR="0074237E">
              <w:t>), 21 December 2020 (</w:t>
            </w:r>
            <w:r>
              <w:t>Commercial Court).</w:t>
            </w:r>
          </w:p>
        </w:tc>
      </w:tr>
      <w:tr w:rsidR="00F10310" w14:paraId="736ADF09" w14:textId="77777777" w:rsidTr="00F10310">
        <w:tc>
          <w:tcPr>
            <w:tcW w:w="3085" w:type="dxa"/>
          </w:tcPr>
          <w:p w14:paraId="58B9A687" w14:textId="77777777" w:rsidR="00F10310" w:rsidRPr="0043705D" w:rsidRDefault="00F10310" w:rsidP="005F65B5">
            <w:pPr>
              <w:rPr>
                <w:b/>
              </w:rPr>
            </w:pPr>
            <w:r>
              <w:rPr>
                <w:b/>
              </w:rPr>
              <w:t>Date</w:t>
            </w:r>
            <w:r w:rsidR="0026452F">
              <w:rPr>
                <w:b/>
              </w:rPr>
              <w:t xml:space="preserve"> of judgment</w:t>
            </w:r>
          </w:p>
        </w:tc>
        <w:tc>
          <w:tcPr>
            <w:tcW w:w="5919" w:type="dxa"/>
          </w:tcPr>
          <w:p w14:paraId="65366919" w14:textId="1C8F6889" w:rsidR="00F10310" w:rsidRDefault="00556FCF" w:rsidP="005F65B5">
            <w:r>
              <w:t>21 December 2020</w:t>
            </w:r>
          </w:p>
        </w:tc>
      </w:tr>
      <w:tr w:rsidR="00F10310" w14:paraId="46E9CAD5" w14:textId="77777777" w:rsidTr="00F10310">
        <w:tc>
          <w:tcPr>
            <w:tcW w:w="3085" w:type="dxa"/>
          </w:tcPr>
          <w:p w14:paraId="65FB5F3E" w14:textId="59C7267B" w:rsidR="00F10310" w:rsidRPr="0043705D" w:rsidRDefault="00844489" w:rsidP="005F65B5">
            <w:pPr>
              <w:rPr>
                <w:b/>
              </w:rPr>
            </w:pPr>
            <w:r>
              <w:rPr>
                <w:b/>
              </w:rPr>
              <w:t>Country</w:t>
            </w:r>
          </w:p>
        </w:tc>
        <w:tc>
          <w:tcPr>
            <w:tcW w:w="5919" w:type="dxa"/>
          </w:tcPr>
          <w:p w14:paraId="7781BAD7" w14:textId="1D015955" w:rsidR="00F10310" w:rsidRDefault="00556FCF" w:rsidP="005F65B5">
            <w:r>
              <w:t>United Kingdom</w:t>
            </w:r>
          </w:p>
        </w:tc>
      </w:tr>
      <w:tr w:rsidR="00A5239F" w14:paraId="1C14BBE3" w14:textId="77777777" w:rsidTr="00F10310">
        <w:tc>
          <w:tcPr>
            <w:tcW w:w="3085" w:type="dxa"/>
          </w:tcPr>
          <w:p w14:paraId="31FAEEBB" w14:textId="0C37B117" w:rsidR="00A5239F" w:rsidRDefault="00A5239F" w:rsidP="005F65B5">
            <w:pPr>
              <w:rPr>
                <w:b/>
              </w:rPr>
            </w:pPr>
            <w:r>
              <w:rPr>
                <w:b/>
              </w:rPr>
              <w:t>Original Language of Judgment</w:t>
            </w:r>
          </w:p>
        </w:tc>
        <w:tc>
          <w:tcPr>
            <w:tcW w:w="5919" w:type="dxa"/>
          </w:tcPr>
          <w:p w14:paraId="02A5575A" w14:textId="15B4450C" w:rsidR="00A5239F" w:rsidRDefault="00556FCF" w:rsidP="005F65B5">
            <w:r>
              <w:t>English</w:t>
            </w:r>
          </w:p>
        </w:tc>
      </w:tr>
      <w:tr w:rsidR="00C925DE" w14:paraId="458BEC58" w14:textId="77777777" w:rsidTr="00F10310">
        <w:tc>
          <w:tcPr>
            <w:tcW w:w="3085" w:type="dxa"/>
          </w:tcPr>
          <w:p w14:paraId="1217299E" w14:textId="27519B3C" w:rsidR="00C925DE" w:rsidRDefault="00C925DE" w:rsidP="005F65B5">
            <w:pPr>
              <w:rPr>
                <w:b/>
              </w:rPr>
            </w:pPr>
            <w:r>
              <w:rPr>
                <w:b/>
              </w:rPr>
              <w:t>Court</w:t>
            </w:r>
          </w:p>
        </w:tc>
        <w:tc>
          <w:tcPr>
            <w:tcW w:w="5919" w:type="dxa"/>
          </w:tcPr>
          <w:p w14:paraId="2EABABFE" w14:textId="77777777" w:rsidR="005F65B5" w:rsidRDefault="005F65B5" w:rsidP="005F65B5">
            <w:r>
              <w:t xml:space="preserve">The High Court of Justice </w:t>
            </w:r>
          </w:p>
          <w:p w14:paraId="6A051BAA" w14:textId="42ED8F9F" w:rsidR="005F65B5" w:rsidRDefault="005F65B5" w:rsidP="005F65B5">
            <w:r>
              <w:t xml:space="preserve">Business and Property Courts of England &amp; Wales </w:t>
            </w:r>
          </w:p>
          <w:p w14:paraId="1DA45CE1" w14:textId="0A801C7C" w:rsidR="00C925DE" w:rsidRDefault="005F65B5" w:rsidP="005F65B5">
            <w:r>
              <w:t>Commercial Court (QBD)</w:t>
            </w:r>
          </w:p>
        </w:tc>
      </w:tr>
      <w:tr w:rsidR="00C925DE" w14:paraId="0A70C0DC" w14:textId="77777777" w:rsidTr="00F10310">
        <w:tc>
          <w:tcPr>
            <w:tcW w:w="3085" w:type="dxa"/>
          </w:tcPr>
          <w:p w14:paraId="23F6C62F" w14:textId="77777777" w:rsidR="00C925DE" w:rsidRDefault="00C925DE" w:rsidP="005F65B5">
            <w:pPr>
              <w:rPr>
                <w:b/>
              </w:rPr>
            </w:pPr>
            <w:r>
              <w:rPr>
                <w:b/>
              </w:rPr>
              <w:t>Subject matter/catchwords</w:t>
            </w:r>
          </w:p>
        </w:tc>
        <w:tc>
          <w:tcPr>
            <w:tcW w:w="5919" w:type="dxa"/>
          </w:tcPr>
          <w:p w14:paraId="4D1DC739" w14:textId="64A3B844" w:rsidR="00C925DE" w:rsidRDefault="005F65B5" w:rsidP="005F65B5">
            <w:r>
              <w:t>Fraud – initial coin offering – worldwide freezing order</w:t>
            </w:r>
          </w:p>
        </w:tc>
      </w:tr>
      <w:tr w:rsidR="0032577C" w14:paraId="4DC6682C" w14:textId="77777777" w:rsidTr="00F10310">
        <w:tc>
          <w:tcPr>
            <w:tcW w:w="3085" w:type="dxa"/>
          </w:tcPr>
          <w:p w14:paraId="22A361A9" w14:textId="77777777" w:rsidR="0032577C" w:rsidRDefault="0032577C" w:rsidP="005F65B5">
            <w:pPr>
              <w:rPr>
                <w:b/>
              </w:rPr>
            </w:pPr>
            <w:r>
              <w:rPr>
                <w:b/>
              </w:rPr>
              <w:t xml:space="preserve">Decision </w:t>
            </w:r>
            <w:r w:rsidR="00C925DE">
              <w:rPr>
                <w:b/>
              </w:rPr>
              <w:t>summary</w:t>
            </w:r>
          </w:p>
        </w:tc>
        <w:tc>
          <w:tcPr>
            <w:tcW w:w="5919" w:type="dxa"/>
          </w:tcPr>
          <w:p w14:paraId="7214DD8E" w14:textId="77777777" w:rsidR="00C04791" w:rsidRDefault="00FB15EC" w:rsidP="005F65B5">
            <w:r>
              <w:t xml:space="preserve">Butcher J of the High Court of Justice granted the following relief on an </w:t>
            </w:r>
            <w:r>
              <w:rPr>
                <w:i/>
              </w:rPr>
              <w:t xml:space="preserve">ex parte </w:t>
            </w:r>
            <w:r>
              <w:t>application:</w:t>
            </w:r>
          </w:p>
          <w:p w14:paraId="19F74F26" w14:textId="1892F1DA" w:rsidR="00C04791" w:rsidRDefault="00C04791" w:rsidP="00C04791">
            <w:pPr>
              <w:pStyle w:val="ListParagraph"/>
              <w:numPr>
                <w:ilvl w:val="0"/>
                <w:numId w:val="24"/>
              </w:numPr>
            </w:pPr>
            <w:r>
              <w:t>A proprietary injunction</w:t>
            </w:r>
            <w:r w:rsidR="00EE155E">
              <w:t xml:space="preserve">, a worldwide freezing order </w:t>
            </w:r>
            <w:bookmarkStart w:id="0" w:name="_GoBack"/>
            <w:bookmarkEnd w:id="0"/>
            <w:r>
              <w:t>an ancillary disclosure order against the persons unknown</w:t>
            </w:r>
            <w:r w:rsidR="00583EA9">
              <w:t>, first respondent be</w:t>
            </w:r>
            <w:r w:rsidR="00BE65A9">
              <w:t>in</w:t>
            </w:r>
            <w:r w:rsidR="00583EA9">
              <w:t>g individuals or companies describing them as being or connected to Neo Capital</w:t>
            </w:r>
            <w:r>
              <w:t>; and</w:t>
            </w:r>
          </w:p>
          <w:p w14:paraId="70E64A89" w14:textId="5FC4B7E3" w:rsidR="0074237E" w:rsidRDefault="00C04791" w:rsidP="005F65B5">
            <w:pPr>
              <w:pStyle w:val="ListParagraph"/>
              <w:numPr>
                <w:ilvl w:val="0"/>
                <w:numId w:val="24"/>
              </w:numPr>
            </w:pPr>
            <w:r>
              <w:t xml:space="preserve">A disclosure order pursuant to the </w:t>
            </w:r>
            <w:r>
              <w:rPr>
                <w:i/>
              </w:rPr>
              <w:t>Bankers Trust</w:t>
            </w:r>
            <w:r>
              <w:t xml:space="preserve"> jurisdiction and CPR 25.1(g) against the </w:t>
            </w:r>
            <w:r w:rsidR="00583EA9">
              <w:t xml:space="preserve">second and third respondents, Binance Holdings Ltd and Payment Ventures Inc. </w:t>
            </w:r>
            <w:r>
              <w:t xml:space="preserve"> </w:t>
            </w:r>
            <w:r w:rsidR="00FB15EC">
              <w:t xml:space="preserve"> </w:t>
            </w:r>
          </w:p>
        </w:tc>
      </w:tr>
      <w:tr w:rsidR="00F10310" w14:paraId="0131BA7E" w14:textId="77777777" w:rsidTr="00F10310">
        <w:tc>
          <w:tcPr>
            <w:tcW w:w="3085" w:type="dxa"/>
          </w:tcPr>
          <w:p w14:paraId="4F974A4F" w14:textId="77777777" w:rsidR="00F10310" w:rsidRPr="0043705D" w:rsidRDefault="00F10310" w:rsidP="005F65B5">
            <w:pPr>
              <w:rPr>
                <w:b/>
              </w:rPr>
            </w:pPr>
            <w:r>
              <w:rPr>
                <w:b/>
              </w:rPr>
              <w:t xml:space="preserve">Digital asset involved </w:t>
            </w:r>
            <w:r w:rsidR="00C925DE">
              <w:rPr>
                <w:b/>
              </w:rPr>
              <w:t>(e.g. Bit</w:t>
            </w:r>
            <w:r w:rsidR="009772ED">
              <w:rPr>
                <w:b/>
              </w:rPr>
              <w:t>c</w:t>
            </w:r>
            <w:r w:rsidR="00C925DE">
              <w:rPr>
                <w:b/>
              </w:rPr>
              <w:t>oin, Ethereum, Ripple etc.)</w:t>
            </w:r>
          </w:p>
        </w:tc>
        <w:tc>
          <w:tcPr>
            <w:tcW w:w="5919" w:type="dxa"/>
          </w:tcPr>
          <w:p w14:paraId="7A0A88DF" w14:textId="0ABFB385" w:rsidR="00BE312E" w:rsidRDefault="005F65B5" w:rsidP="005F65B5">
            <w:r w:rsidRPr="005F65B5">
              <w:t>Uvexo and Oileum</w:t>
            </w:r>
          </w:p>
        </w:tc>
      </w:tr>
      <w:tr w:rsidR="00BE312E" w14:paraId="21656631" w14:textId="77777777" w:rsidTr="00F10310">
        <w:tc>
          <w:tcPr>
            <w:tcW w:w="3085" w:type="dxa"/>
          </w:tcPr>
          <w:p w14:paraId="6BCC2167" w14:textId="77777777" w:rsidR="00BE312E" w:rsidRPr="0043705D" w:rsidRDefault="00BE312E" w:rsidP="005F65B5">
            <w:pPr>
              <w:rPr>
                <w:b/>
              </w:rPr>
            </w:pPr>
            <w:r>
              <w:rPr>
                <w:b/>
              </w:rPr>
              <w:t>Valuation issues</w:t>
            </w:r>
          </w:p>
        </w:tc>
        <w:tc>
          <w:tcPr>
            <w:tcW w:w="5919" w:type="dxa"/>
          </w:tcPr>
          <w:p w14:paraId="112A5E03" w14:textId="5E1D5E09" w:rsidR="00BE312E" w:rsidRDefault="005F65B5" w:rsidP="005F65B5">
            <w:r>
              <w:t>N/A</w:t>
            </w:r>
          </w:p>
        </w:tc>
      </w:tr>
      <w:tr w:rsidR="00BE312E" w14:paraId="1F252E55" w14:textId="77777777" w:rsidTr="000F680D">
        <w:tc>
          <w:tcPr>
            <w:tcW w:w="9004" w:type="dxa"/>
            <w:gridSpan w:val="2"/>
            <w:shd w:val="clear" w:color="auto" w:fill="D9D9D9" w:themeFill="background1" w:themeFillShade="D9"/>
          </w:tcPr>
          <w:p w14:paraId="4A0E3C1E" w14:textId="77777777" w:rsidR="00BE312E" w:rsidRPr="00F10310" w:rsidRDefault="00BE312E" w:rsidP="005F65B5">
            <w:pPr>
              <w:jc w:val="center"/>
              <w:rPr>
                <w:b/>
              </w:rPr>
            </w:pPr>
            <w:r>
              <w:rPr>
                <w:b/>
              </w:rPr>
              <w:t xml:space="preserve">Expanded </w:t>
            </w:r>
            <w:r w:rsidR="00AA5AAB">
              <w:rPr>
                <w:b/>
              </w:rPr>
              <w:t>Case D</w:t>
            </w:r>
            <w:r>
              <w:rPr>
                <w:b/>
              </w:rPr>
              <w:t>escription</w:t>
            </w:r>
          </w:p>
        </w:tc>
      </w:tr>
      <w:tr w:rsidR="00BE312E" w14:paraId="4089B552" w14:textId="77777777" w:rsidTr="00F10310">
        <w:tc>
          <w:tcPr>
            <w:tcW w:w="3085" w:type="dxa"/>
          </w:tcPr>
          <w:p w14:paraId="706F27C7" w14:textId="77777777" w:rsidR="00BE312E" w:rsidRPr="00F10310" w:rsidRDefault="00BE312E" w:rsidP="005F65B5">
            <w:pPr>
              <w:rPr>
                <w:b/>
              </w:rPr>
            </w:pPr>
            <w:r>
              <w:rPr>
                <w:b/>
              </w:rPr>
              <w:t>Debtor</w:t>
            </w:r>
          </w:p>
        </w:tc>
        <w:tc>
          <w:tcPr>
            <w:tcW w:w="5919" w:type="dxa"/>
          </w:tcPr>
          <w:p w14:paraId="7355E045" w14:textId="4F9E4280" w:rsidR="00BE312E" w:rsidRDefault="005F65B5" w:rsidP="005F65B5">
            <w:r>
              <w:t>Neo Capital</w:t>
            </w:r>
          </w:p>
        </w:tc>
      </w:tr>
      <w:tr w:rsidR="00A5239F" w14:paraId="1244D0A4" w14:textId="77777777" w:rsidTr="00F10310">
        <w:tc>
          <w:tcPr>
            <w:tcW w:w="3085" w:type="dxa"/>
          </w:tcPr>
          <w:p w14:paraId="7047F3CF" w14:textId="261AB707" w:rsidR="00A5239F" w:rsidRDefault="00A5239F" w:rsidP="005F65B5">
            <w:pPr>
              <w:rPr>
                <w:b/>
              </w:rPr>
            </w:pPr>
            <w:r>
              <w:rPr>
                <w:b/>
              </w:rPr>
              <w:t>Identity of Insolvency Practitioner (if applicable)</w:t>
            </w:r>
          </w:p>
        </w:tc>
        <w:tc>
          <w:tcPr>
            <w:tcW w:w="5919" w:type="dxa"/>
          </w:tcPr>
          <w:p w14:paraId="13612E95" w14:textId="45ECDFA2" w:rsidR="00A5239F" w:rsidRDefault="005F65B5" w:rsidP="005F65B5">
            <w:r>
              <w:t>N/A</w:t>
            </w:r>
          </w:p>
        </w:tc>
      </w:tr>
      <w:tr w:rsidR="00C925DE" w14:paraId="1270FC92" w14:textId="77777777" w:rsidTr="00F10310">
        <w:tc>
          <w:tcPr>
            <w:tcW w:w="3085" w:type="dxa"/>
          </w:tcPr>
          <w:p w14:paraId="7DFDE72C" w14:textId="77777777" w:rsidR="00C925DE" w:rsidRDefault="00C925DE" w:rsidP="005F65B5">
            <w:pPr>
              <w:rPr>
                <w:b/>
              </w:rPr>
            </w:pPr>
            <w:r>
              <w:rPr>
                <w:b/>
              </w:rPr>
              <w:t>Authorities considered by this case (categorised by country)</w:t>
            </w:r>
          </w:p>
        </w:tc>
        <w:tc>
          <w:tcPr>
            <w:tcW w:w="5919" w:type="dxa"/>
          </w:tcPr>
          <w:p w14:paraId="1910D5F2" w14:textId="6B3DF9AC" w:rsidR="005A287D" w:rsidRDefault="005A287D" w:rsidP="005F65B5">
            <w:r>
              <w:rPr>
                <w:b/>
                <w:i/>
              </w:rPr>
              <w:t>United Kingdom</w:t>
            </w:r>
          </w:p>
          <w:p w14:paraId="20B60B8E" w14:textId="1E007D85" w:rsidR="005A287D" w:rsidRDefault="005A287D" w:rsidP="005F65B5">
            <w:pPr>
              <w:rPr>
                <w:i/>
              </w:rPr>
            </w:pPr>
            <w:r w:rsidRPr="005A287D">
              <w:rPr>
                <w:i/>
              </w:rPr>
              <w:t>A v Persons Unknown</w:t>
            </w:r>
            <w:r>
              <w:t xml:space="preserve"> [2019] EWHC 3556 (Comm)</w:t>
            </w:r>
            <w:r w:rsidR="0037489B">
              <w:t>.</w:t>
            </w:r>
          </w:p>
          <w:p w14:paraId="78299996" w14:textId="5A8B7E1B" w:rsidR="005A287D" w:rsidRDefault="005A287D" w:rsidP="005F65B5">
            <w:r w:rsidRPr="005A287D">
              <w:rPr>
                <w:i/>
              </w:rPr>
              <w:t>AB Bank Ltd v Abu Dhabi Commercial Bank PJSC</w:t>
            </w:r>
            <w:r>
              <w:t xml:space="preserve"> [2016] EWHC 2082</w:t>
            </w:r>
            <w:r w:rsidR="0037489B">
              <w:t>.</w:t>
            </w:r>
          </w:p>
          <w:p w14:paraId="65AE82EF" w14:textId="266FCF4B" w:rsidR="005A287D" w:rsidRDefault="005A287D" w:rsidP="005A287D">
            <w:r w:rsidRPr="005A287D">
              <w:rPr>
                <w:i/>
              </w:rPr>
              <w:t>Lockton v Google Inc</w:t>
            </w:r>
            <w:r>
              <w:t xml:space="preserve"> [2009] EWHC 3243 (QB)</w:t>
            </w:r>
            <w:r w:rsidR="0037489B">
              <w:t>.</w:t>
            </w:r>
          </w:p>
          <w:p w14:paraId="7547E4F2" w14:textId="338EB320" w:rsidR="005A287D" w:rsidRDefault="005A287D" w:rsidP="005A287D">
            <w:r w:rsidRPr="005A287D">
              <w:rPr>
                <w:i/>
              </w:rPr>
              <w:t>MacKinnon v Donaldson, Lufkin and Jenrette Securities Corporation</w:t>
            </w:r>
            <w:r w:rsidRPr="005A287D">
              <w:t xml:space="preserve"> [1986] Ch 482</w:t>
            </w:r>
            <w:r w:rsidR="0037489B">
              <w:t>.</w:t>
            </w:r>
          </w:p>
          <w:p w14:paraId="2BC19AC9" w14:textId="551026EC" w:rsidR="005A287D" w:rsidRPr="005A287D" w:rsidRDefault="005A287D" w:rsidP="005F65B5">
            <w:r w:rsidRPr="005A287D">
              <w:rPr>
                <w:i/>
              </w:rPr>
              <w:t>Massey v Haynes</w:t>
            </w:r>
            <w:r w:rsidRPr="005A287D">
              <w:t xml:space="preserve"> [1888] 21 QBD 330</w:t>
            </w:r>
            <w:r w:rsidR="0037489B">
              <w:t>.</w:t>
            </w:r>
          </w:p>
          <w:p w14:paraId="6B61105B" w14:textId="132252E5" w:rsidR="00C925DE" w:rsidRDefault="00FF3943" w:rsidP="005F65B5">
            <w:r>
              <w:rPr>
                <w:i/>
              </w:rPr>
              <w:t xml:space="preserve">Ruscoe v Cryptopia Ltd (in liquidation) </w:t>
            </w:r>
            <w:r>
              <w:t>[2020] NZHC 782</w:t>
            </w:r>
            <w:r w:rsidR="0037489B">
              <w:t>.</w:t>
            </w:r>
          </w:p>
          <w:p w14:paraId="7EC39ED2" w14:textId="77777777" w:rsidR="005A287D" w:rsidRDefault="005A287D" w:rsidP="005F65B5"/>
          <w:p w14:paraId="0F0DECDE" w14:textId="30046FDB" w:rsidR="005A287D" w:rsidRPr="005A287D" w:rsidRDefault="005A287D" w:rsidP="005F65B5">
            <w:pPr>
              <w:rPr>
                <w:b/>
                <w:i/>
              </w:rPr>
            </w:pPr>
            <w:r>
              <w:rPr>
                <w:b/>
                <w:i/>
              </w:rPr>
              <w:t>Secondary Sources</w:t>
            </w:r>
          </w:p>
          <w:p w14:paraId="49B71329" w14:textId="48069F49" w:rsidR="005A287D" w:rsidRDefault="005A287D" w:rsidP="005F65B5">
            <w:r>
              <w:t xml:space="preserve">Professor Andrew Dickinson, </w:t>
            </w:r>
            <w:r>
              <w:rPr>
                <w:i/>
              </w:rPr>
              <w:t>Cryptocurrencies in Public and Private Law</w:t>
            </w:r>
            <w:r>
              <w:t xml:space="preserve"> </w:t>
            </w:r>
            <w:r w:rsidR="0037489B">
              <w:t xml:space="preserve">(2019) </w:t>
            </w:r>
            <w:r>
              <w:t>at paragraph 5.108.</w:t>
            </w:r>
          </w:p>
          <w:p w14:paraId="109A81C4" w14:textId="4FA1735E" w:rsidR="005A287D" w:rsidRPr="005A287D" w:rsidRDefault="005A287D" w:rsidP="005A287D"/>
        </w:tc>
      </w:tr>
      <w:tr w:rsidR="00BE312E" w14:paraId="5951BCE0" w14:textId="77777777" w:rsidTr="00F10310">
        <w:tc>
          <w:tcPr>
            <w:tcW w:w="3085" w:type="dxa"/>
          </w:tcPr>
          <w:p w14:paraId="139621A4" w14:textId="77777777" w:rsidR="00BE312E" w:rsidRDefault="00C925DE" w:rsidP="005F65B5">
            <w:pPr>
              <w:rPr>
                <w:b/>
              </w:rPr>
            </w:pPr>
            <w:r>
              <w:rPr>
                <w:b/>
              </w:rPr>
              <w:t>Domestic l</w:t>
            </w:r>
            <w:r w:rsidR="00BE312E">
              <w:rPr>
                <w:b/>
              </w:rPr>
              <w:t xml:space="preserve">egislation </w:t>
            </w:r>
            <w:r>
              <w:rPr>
                <w:b/>
              </w:rPr>
              <w:t>a</w:t>
            </w:r>
            <w:r w:rsidR="00BE312E">
              <w:rPr>
                <w:b/>
              </w:rPr>
              <w:t>pplied</w:t>
            </w:r>
          </w:p>
        </w:tc>
        <w:tc>
          <w:tcPr>
            <w:tcW w:w="5919" w:type="dxa"/>
          </w:tcPr>
          <w:p w14:paraId="019557B0" w14:textId="304365C5" w:rsidR="00BE312E" w:rsidRPr="004F3F91" w:rsidRDefault="004F3F91" w:rsidP="005F65B5">
            <w:r>
              <w:rPr>
                <w:i/>
              </w:rPr>
              <w:t xml:space="preserve">Civil Procedure Rules </w:t>
            </w:r>
            <w:r>
              <w:t>(</w:t>
            </w:r>
            <w:r>
              <w:rPr>
                <w:b/>
              </w:rPr>
              <w:t>CPR</w:t>
            </w:r>
            <w:r>
              <w:t>)</w:t>
            </w:r>
          </w:p>
        </w:tc>
      </w:tr>
      <w:tr w:rsidR="00BE312E" w14:paraId="1CA6B705" w14:textId="77777777" w:rsidTr="00F10310">
        <w:tc>
          <w:tcPr>
            <w:tcW w:w="3085" w:type="dxa"/>
          </w:tcPr>
          <w:p w14:paraId="2FC7B139" w14:textId="77777777" w:rsidR="00BE312E" w:rsidRDefault="00C925DE" w:rsidP="005F65B5">
            <w:pPr>
              <w:rPr>
                <w:b/>
              </w:rPr>
            </w:pPr>
            <w:r>
              <w:rPr>
                <w:b/>
              </w:rPr>
              <w:t>Factual b</w:t>
            </w:r>
            <w:r w:rsidR="00557228">
              <w:rPr>
                <w:b/>
              </w:rPr>
              <w:t xml:space="preserve">ackground </w:t>
            </w:r>
          </w:p>
        </w:tc>
        <w:tc>
          <w:tcPr>
            <w:tcW w:w="5919" w:type="dxa"/>
          </w:tcPr>
          <w:p w14:paraId="1CC4396E" w14:textId="61D561EB" w:rsidR="006A1181" w:rsidRDefault="00556FCF" w:rsidP="005F65B5">
            <w:r w:rsidRPr="00556FCF">
              <w:t xml:space="preserve">The </w:t>
            </w:r>
            <w:r w:rsidR="00EF71A8">
              <w:t>claimant</w:t>
            </w:r>
            <w:r w:rsidRPr="00556FCF">
              <w:t xml:space="preserve"> pleaded that they had been defrauded of around £580,000 across two transactions. </w:t>
            </w:r>
          </w:p>
          <w:p w14:paraId="3D6E5FCF" w14:textId="77777777" w:rsidR="006A1181" w:rsidRDefault="006A1181" w:rsidP="005F65B5"/>
          <w:p w14:paraId="1AE6A077" w14:textId="2D6BBDFC" w:rsidR="00556FCF" w:rsidRDefault="00556FCF" w:rsidP="004B350B">
            <w:r w:rsidRPr="00556FCF">
              <w:t xml:space="preserve">Ion Science Ltd and its owner Mr Johns were persuaded by Neo Capital to invest in two initial coin offerings (ICO) for new cryptocurrencies called Uvexo and Oileum. </w:t>
            </w:r>
            <w:r>
              <w:t xml:space="preserve"> </w:t>
            </w:r>
            <w:r w:rsidRPr="00556FCF">
              <w:t xml:space="preserve">Mr Johns believed that the investment had made a significant profit (approximately $15 million), however the profit was not paid over and Mr Johns </w:t>
            </w:r>
            <w:r w:rsidRPr="00556FCF">
              <w:lastRenderedPageBreak/>
              <w:t>learned that the investment had in fact been converted into bitcoin and dissipated through two cryptocurrency exchanges. Neo Capital could not be traced.</w:t>
            </w:r>
          </w:p>
        </w:tc>
      </w:tr>
      <w:tr w:rsidR="00BE312E" w14:paraId="185AC5DE" w14:textId="77777777" w:rsidTr="00F10310">
        <w:tc>
          <w:tcPr>
            <w:tcW w:w="3085" w:type="dxa"/>
          </w:tcPr>
          <w:p w14:paraId="42C800BA" w14:textId="77777777" w:rsidR="00BE312E" w:rsidRDefault="00BE312E" w:rsidP="005F65B5">
            <w:pPr>
              <w:rPr>
                <w:b/>
              </w:rPr>
            </w:pPr>
            <w:r>
              <w:rPr>
                <w:b/>
              </w:rPr>
              <w:lastRenderedPageBreak/>
              <w:t xml:space="preserve">Legal </w:t>
            </w:r>
            <w:r w:rsidR="00C925DE">
              <w:rPr>
                <w:b/>
              </w:rPr>
              <w:t>issues</w:t>
            </w:r>
            <w:r>
              <w:rPr>
                <w:b/>
              </w:rPr>
              <w:t xml:space="preserve"> </w:t>
            </w:r>
          </w:p>
        </w:tc>
        <w:tc>
          <w:tcPr>
            <w:tcW w:w="5919" w:type="dxa"/>
          </w:tcPr>
          <w:p w14:paraId="039B6893" w14:textId="6801A7F5" w:rsidR="0074237E" w:rsidRDefault="0015187D" w:rsidP="0015187D">
            <w:r>
              <w:t>Whether the Court should grant:</w:t>
            </w:r>
          </w:p>
          <w:p w14:paraId="73DB9148" w14:textId="37325F2A" w:rsidR="0015187D" w:rsidRDefault="0015187D" w:rsidP="0015187D">
            <w:pPr>
              <w:pStyle w:val="ListParagraph"/>
              <w:numPr>
                <w:ilvl w:val="0"/>
                <w:numId w:val="29"/>
              </w:numPr>
            </w:pPr>
            <w:r>
              <w:t>a proprietary injunction, a</w:t>
            </w:r>
            <w:r w:rsidR="00A34B30">
              <w:t xml:space="preserve"> worldwide freezing order an </w:t>
            </w:r>
            <w:r>
              <w:t>ancillary disclosure order against the persons unknown, first respondent being individuals or companies describing them as being or connected to Neo Capital; and</w:t>
            </w:r>
          </w:p>
          <w:p w14:paraId="49616680" w14:textId="0BE54F9B" w:rsidR="0015187D" w:rsidRPr="00FB15EC" w:rsidRDefault="0015187D" w:rsidP="0015187D">
            <w:pPr>
              <w:pStyle w:val="ListParagraph"/>
              <w:numPr>
                <w:ilvl w:val="0"/>
                <w:numId w:val="29"/>
              </w:numPr>
            </w:pPr>
            <w:r>
              <w:t xml:space="preserve">a disclosure order pursuant to the </w:t>
            </w:r>
            <w:r>
              <w:rPr>
                <w:i/>
              </w:rPr>
              <w:t>Bankers Trust</w:t>
            </w:r>
            <w:r>
              <w:t xml:space="preserve"> jurisdiction and CPR 25.1(g) against the second and third respondents, Binance Holdings Ltd and Payment Ventures Inc.   </w:t>
            </w:r>
          </w:p>
          <w:p w14:paraId="0DD0A51B" w14:textId="16AF263E" w:rsidR="0015187D" w:rsidRPr="00B91826" w:rsidRDefault="0015187D" w:rsidP="0015187D"/>
        </w:tc>
      </w:tr>
      <w:tr w:rsidR="00BE312E" w14:paraId="17B0EF80" w14:textId="77777777" w:rsidTr="00F10310">
        <w:tc>
          <w:tcPr>
            <w:tcW w:w="3085" w:type="dxa"/>
          </w:tcPr>
          <w:p w14:paraId="6D658CF1" w14:textId="77777777" w:rsidR="00BE312E" w:rsidRDefault="00BE312E" w:rsidP="005F65B5">
            <w:pPr>
              <w:rPr>
                <w:b/>
              </w:rPr>
            </w:pPr>
            <w:r>
              <w:rPr>
                <w:b/>
              </w:rPr>
              <w:t>Reasoning</w:t>
            </w:r>
          </w:p>
        </w:tc>
        <w:tc>
          <w:tcPr>
            <w:tcW w:w="5919" w:type="dxa"/>
          </w:tcPr>
          <w:p w14:paraId="3AA2F0D5" w14:textId="07B17CE0" w:rsidR="00583EA9" w:rsidRDefault="00583EA9" w:rsidP="005F65B5">
            <w:r>
              <w:t xml:space="preserve">Butcher J was satisfied that: </w:t>
            </w:r>
          </w:p>
          <w:p w14:paraId="24F794FE" w14:textId="138B5CAB" w:rsidR="00583EA9" w:rsidRDefault="00583EA9" w:rsidP="005F65B5"/>
          <w:p w14:paraId="646ED014" w14:textId="76BD2D32" w:rsidR="00583EA9" w:rsidRDefault="00583EA9" w:rsidP="00583EA9">
            <w:pPr>
              <w:pStyle w:val="ListParagraph"/>
              <w:numPr>
                <w:ilvl w:val="0"/>
                <w:numId w:val="25"/>
              </w:numPr>
            </w:pPr>
            <w:r>
              <w:t>there was a serious issue to be tried that cryptoassets such as bitcoin are property within the common law definition of the term;</w:t>
            </w:r>
            <w:r w:rsidR="0011241B">
              <w:t xml:space="preserve"> and</w:t>
            </w:r>
          </w:p>
          <w:p w14:paraId="442FF813" w14:textId="674BD456" w:rsidR="00583EA9" w:rsidRPr="00583EA9" w:rsidRDefault="00583EA9" w:rsidP="00583EA9">
            <w:pPr>
              <w:pStyle w:val="ListParagraph"/>
              <w:numPr>
                <w:ilvl w:val="0"/>
                <w:numId w:val="25"/>
              </w:numPr>
            </w:pPr>
            <w:r>
              <w:t xml:space="preserve">there are a number of cases that have recognised that it is possible to issue claims and to make injunctions against persons unknown as long as the description used to describe persons unknown is sufficiently certain to help identify who is included and not included. </w:t>
            </w:r>
          </w:p>
          <w:p w14:paraId="1AAA20D7" w14:textId="477BE0E0" w:rsidR="00583EA9" w:rsidRDefault="00583EA9" w:rsidP="005F65B5"/>
          <w:p w14:paraId="766ECE22" w14:textId="0EEBEC59" w:rsidR="00583EA9" w:rsidRPr="00BE65A9" w:rsidRDefault="00BE65A9" w:rsidP="005F65B5">
            <w:pPr>
              <w:rPr>
                <w:b/>
              </w:rPr>
            </w:pPr>
            <w:r w:rsidRPr="00BE65A9">
              <w:rPr>
                <w:b/>
              </w:rPr>
              <w:t>Orders against Persons Unknown</w:t>
            </w:r>
          </w:p>
          <w:p w14:paraId="4734103B" w14:textId="6BD01AD7" w:rsidR="00583EA9" w:rsidRDefault="00583EA9" w:rsidP="005F65B5">
            <w:pPr>
              <w:rPr>
                <w:b/>
              </w:rPr>
            </w:pPr>
          </w:p>
          <w:p w14:paraId="779CE787" w14:textId="7F676D49" w:rsidR="00BE65A9" w:rsidRPr="00BE65A9" w:rsidRDefault="00BE65A9" w:rsidP="00BE65A9">
            <w:pPr>
              <w:rPr>
                <w:i/>
              </w:rPr>
            </w:pPr>
            <w:r w:rsidRPr="00BE65A9">
              <w:rPr>
                <w:i/>
              </w:rPr>
              <w:t>Jurisdiction against persons unknown</w:t>
            </w:r>
          </w:p>
          <w:p w14:paraId="3DD87A49" w14:textId="77777777" w:rsidR="00BE65A9" w:rsidRPr="00BE65A9" w:rsidRDefault="00BE65A9" w:rsidP="00BE65A9">
            <w:pPr>
              <w:rPr>
                <w:u w:val="single"/>
              </w:rPr>
            </w:pPr>
          </w:p>
          <w:p w14:paraId="655672FF" w14:textId="61EC5014" w:rsidR="00583EA9" w:rsidRDefault="00583EA9" w:rsidP="00BE65A9">
            <w:r w:rsidRPr="00583EA9">
              <w:t xml:space="preserve">Butcher J concluded that </w:t>
            </w:r>
            <w:r>
              <w:t>the High Court does have jurisdiction over the persons unkno</w:t>
            </w:r>
            <w:r w:rsidR="00BE65A9">
              <w:t xml:space="preserve">wn on the basis that there was </w:t>
            </w:r>
            <w:r>
              <w:t xml:space="preserve">a serious issue to be tried on the merits of the claims brought in relation to deceit, unlawful means conspiracy and equitable proprietary claims.  Further Butcher J decided that there was a serious question to be tried in as to whether Professor Andrew Dickinson’s book, </w:t>
            </w:r>
            <w:r w:rsidRPr="00BE65A9">
              <w:rPr>
                <w:i/>
              </w:rPr>
              <w:t xml:space="preserve">Cryptocurrencies in Public and Private Law </w:t>
            </w:r>
            <w:r>
              <w:t xml:space="preserve">at paragraph 5.108 is the correct analysis of the </w:t>
            </w:r>
            <w:r w:rsidRPr="00BE65A9">
              <w:rPr>
                <w:i/>
              </w:rPr>
              <w:t xml:space="preserve">lex situs </w:t>
            </w:r>
            <w:r>
              <w:t xml:space="preserve">of a cryptoasset (that is, </w:t>
            </w:r>
            <w:r w:rsidR="00BE65A9">
              <w:t>the place where the person or company who owns it is domiciled).</w:t>
            </w:r>
          </w:p>
          <w:p w14:paraId="41C900EF" w14:textId="6410A7A9" w:rsidR="00BE65A9" w:rsidRDefault="00BE65A9" w:rsidP="00BE65A9"/>
          <w:p w14:paraId="6DFCE0C6" w14:textId="3D6BC975" w:rsidR="00BE65A9" w:rsidRPr="00BE65A9" w:rsidRDefault="00BE65A9" w:rsidP="00BE65A9">
            <w:pPr>
              <w:rPr>
                <w:i/>
              </w:rPr>
            </w:pPr>
            <w:r w:rsidRPr="00BE65A9">
              <w:rPr>
                <w:i/>
              </w:rPr>
              <w:t>Appropriate forum</w:t>
            </w:r>
          </w:p>
          <w:p w14:paraId="3CB67669" w14:textId="5719AB12" w:rsidR="00BE65A9" w:rsidRDefault="00BE65A9" w:rsidP="00BE65A9"/>
          <w:p w14:paraId="0EC4B7F8" w14:textId="05AB0A3B" w:rsidR="00BE65A9" w:rsidRDefault="00BE65A9" w:rsidP="00BE65A9">
            <w:r>
              <w:t xml:space="preserve">He was also satisfied that England was the appropriate forum as the claimants are domiciled in England and Wales, the funds were transferred from England and Wales, the bitcoin was located in England and Wales and the documents were witnessed in England. </w:t>
            </w:r>
          </w:p>
          <w:p w14:paraId="0DB432AF" w14:textId="3C9E7C50" w:rsidR="00BE65A9" w:rsidRDefault="00BE65A9" w:rsidP="00BE65A9"/>
          <w:p w14:paraId="3288A45E" w14:textId="03AA2BEF" w:rsidR="00BE65A9" w:rsidRPr="00BE65A9" w:rsidRDefault="00BE65A9" w:rsidP="00BE65A9">
            <w:pPr>
              <w:rPr>
                <w:i/>
              </w:rPr>
            </w:pPr>
            <w:r w:rsidRPr="00BE65A9">
              <w:rPr>
                <w:i/>
              </w:rPr>
              <w:t>Proprietary Injunction</w:t>
            </w:r>
          </w:p>
          <w:p w14:paraId="32641524" w14:textId="349C1D36" w:rsidR="00BE65A9" w:rsidRDefault="00BE65A9" w:rsidP="00BE65A9">
            <w:pPr>
              <w:rPr>
                <w:u w:val="single"/>
              </w:rPr>
            </w:pPr>
          </w:p>
          <w:p w14:paraId="51FC3083" w14:textId="6492C56D" w:rsidR="00BE65A9" w:rsidRPr="00BE65A9" w:rsidRDefault="00BE65A9" w:rsidP="00BE65A9">
            <w:r w:rsidRPr="00BE65A9">
              <w:t xml:space="preserve">Butcher J </w:t>
            </w:r>
            <w:r w:rsidR="0011241B">
              <w:t xml:space="preserve">awarded </w:t>
            </w:r>
            <w:r w:rsidRPr="00BE65A9">
              <w:t>a proprietary injunction on the basis that:</w:t>
            </w:r>
          </w:p>
          <w:p w14:paraId="64196506" w14:textId="412CE342" w:rsidR="00BE65A9" w:rsidRDefault="00BE65A9" w:rsidP="00BE65A9">
            <w:pPr>
              <w:pStyle w:val="ListParagraph"/>
              <w:numPr>
                <w:ilvl w:val="0"/>
                <w:numId w:val="28"/>
              </w:numPr>
            </w:pPr>
            <w:r w:rsidRPr="00BE65A9">
              <w:t>th</w:t>
            </w:r>
            <w:r w:rsidR="000B0399">
              <w:t>e balance of convenience favoured</w:t>
            </w:r>
            <w:r w:rsidRPr="00BE65A9">
              <w:t xml:space="preserve"> the awarding of an injunction as there </w:t>
            </w:r>
            <w:r w:rsidR="000B0399">
              <w:t>was</w:t>
            </w:r>
            <w:r w:rsidRPr="00BE65A9">
              <w:t xml:space="preserve"> a prima facie case of wrongdoing and evidence that the persons unknown </w:t>
            </w:r>
            <w:r w:rsidR="0011241B">
              <w:t>would not</w:t>
            </w:r>
            <w:r w:rsidRPr="00BE65A9">
              <w:t xml:space="preserve"> satisfy a monetary judgement</w:t>
            </w:r>
            <w:r>
              <w:t>;</w:t>
            </w:r>
          </w:p>
          <w:p w14:paraId="073A18C5" w14:textId="00538DBC" w:rsidR="00BE65A9" w:rsidRDefault="00BE65A9" w:rsidP="00BE65A9">
            <w:pPr>
              <w:pStyle w:val="ListParagraph"/>
              <w:numPr>
                <w:ilvl w:val="0"/>
                <w:numId w:val="28"/>
              </w:numPr>
            </w:pPr>
            <w:r>
              <w:t>there was a serious question to be tried; and</w:t>
            </w:r>
          </w:p>
          <w:p w14:paraId="20711361" w14:textId="20165F3D" w:rsidR="00BE65A9" w:rsidRPr="00BE65A9" w:rsidRDefault="00BE65A9" w:rsidP="00BE65A9">
            <w:pPr>
              <w:pStyle w:val="ListParagraph"/>
              <w:numPr>
                <w:ilvl w:val="0"/>
                <w:numId w:val="28"/>
              </w:numPr>
            </w:pPr>
            <w:r>
              <w:t xml:space="preserve">it </w:t>
            </w:r>
            <w:r w:rsidR="0011241B">
              <w:t>was</w:t>
            </w:r>
            <w:r>
              <w:t xml:space="preserve"> just and convenient to grant the order as the claimants were “the victims of an extensive cyber fraud”.</w:t>
            </w:r>
          </w:p>
          <w:p w14:paraId="12A02498" w14:textId="582B18DB" w:rsidR="00BE65A9" w:rsidRDefault="00BE65A9" w:rsidP="00BE65A9">
            <w:pPr>
              <w:rPr>
                <w:u w:val="single"/>
              </w:rPr>
            </w:pPr>
          </w:p>
          <w:p w14:paraId="0865765C" w14:textId="628EC55F" w:rsidR="00BE65A9" w:rsidRPr="00E80B60" w:rsidRDefault="00BE65A9" w:rsidP="00BE65A9">
            <w:pPr>
              <w:rPr>
                <w:i/>
              </w:rPr>
            </w:pPr>
            <w:r w:rsidRPr="00E80B60">
              <w:rPr>
                <w:i/>
              </w:rPr>
              <w:lastRenderedPageBreak/>
              <w:t>Worldwide freezing order and ancillary disclosure order</w:t>
            </w:r>
          </w:p>
          <w:p w14:paraId="109C132D" w14:textId="77777777" w:rsidR="00583EA9" w:rsidRPr="00583EA9" w:rsidRDefault="00583EA9" w:rsidP="005F65B5">
            <w:pPr>
              <w:rPr>
                <w:b/>
              </w:rPr>
            </w:pPr>
          </w:p>
          <w:p w14:paraId="6B2CCBB5" w14:textId="658A0FF3" w:rsidR="00BE65A9" w:rsidRDefault="00BE65A9" w:rsidP="005F65B5">
            <w:r>
              <w:t xml:space="preserve">Butcher J awarded a freezing order and </w:t>
            </w:r>
            <w:r w:rsidR="0011241B">
              <w:t xml:space="preserve">an </w:t>
            </w:r>
            <w:r>
              <w:t xml:space="preserve">ancillary disclosure order as there was a real risk of dissipation </w:t>
            </w:r>
            <w:r w:rsidR="0011241B">
              <w:t>as</w:t>
            </w:r>
            <w:r>
              <w:t xml:space="preserve"> Neo Capital </w:t>
            </w:r>
            <w:r w:rsidR="0011241B">
              <w:t>was</w:t>
            </w:r>
            <w:r>
              <w:t xml:space="preserve"> not a registered entity, </w:t>
            </w:r>
            <w:r w:rsidR="0011241B">
              <w:t>was</w:t>
            </w:r>
            <w:r>
              <w:t xml:space="preserve"> on the regulator’s warning list and the defendant’s conduct involved the use of aliases and false documents. </w:t>
            </w:r>
          </w:p>
          <w:p w14:paraId="0600E002" w14:textId="08BCEA76" w:rsidR="00BE65A9" w:rsidRDefault="00BE65A9" w:rsidP="005F65B5"/>
          <w:p w14:paraId="79CF9CBF" w14:textId="344D278C" w:rsidR="00A34B30" w:rsidRDefault="00A34B30" w:rsidP="005F65B5">
            <w:r>
              <w:rPr>
                <w:b/>
              </w:rPr>
              <w:t>Orders against second and third respondents</w:t>
            </w:r>
          </w:p>
          <w:p w14:paraId="0EF2F570" w14:textId="22D837A0" w:rsidR="00A34B30" w:rsidRDefault="00A34B30" w:rsidP="005F65B5"/>
          <w:p w14:paraId="5BDAAD2C" w14:textId="65BFA4F9" w:rsidR="00A34B30" w:rsidRPr="00A34B30" w:rsidRDefault="00A34B30" w:rsidP="005F65B5">
            <w:r>
              <w:t xml:space="preserve">Butcher J granted relief pursuant to a </w:t>
            </w:r>
            <w:r>
              <w:rPr>
                <w:i/>
              </w:rPr>
              <w:t>Bankers Trust</w:t>
            </w:r>
            <w:r>
              <w:t xml:space="preserve"> </w:t>
            </w:r>
            <w:r w:rsidR="00902C45">
              <w:t xml:space="preserve">as there </w:t>
            </w:r>
            <w:r w:rsidR="00987652">
              <w:t>was</w:t>
            </w:r>
            <w:r>
              <w:t xml:space="preserve"> good grounds for concluding that the bitcoin was the </w:t>
            </w:r>
            <w:r w:rsidR="0011241B">
              <w:t>claimant’s</w:t>
            </w:r>
            <w:r>
              <w:t xml:space="preserve"> property and there </w:t>
            </w:r>
            <w:r w:rsidR="00987652">
              <w:t>was</w:t>
            </w:r>
            <w:r>
              <w:t xml:space="preserve"> a real prospect that the information sought from the second and third respondents would lead to the location and preservation of the </w:t>
            </w:r>
            <w:r w:rsidR="0011241B">
              <w:t>claimant’s</w:t>
            </w:r>
            <w:r>
              <w:t xml:space="preserve"> property.  </w:t>
            </w:r>
          </w:p>
          <w:p w14:paraId="6BDCFBB3" w14:textId="5F6C493D" w:rsidR="00556FCF" w:rsidRPr="004A1911" w:rsidRDefault="00556FCF" w:rsidP="005F65B5"/>
        </w:tc>
      </w:tr>
      <w:tr w:rsidR="00BE312E" w14:paraId="66C175F3" w14:textId="77777777" w:rsidTr="00F10310">
        <w:tc>
          <w:tcPr>
            <w:tcW w:w="3085" w:type="dxa"/>
          </w:tcPr>
          <w:p w14:paraId="79E0C382" w14:textId="77777777" w:rsidR="00BE312E" w:rsidRDefault="00BE312E" w:rsidP="005F65B5">
            <w:pPr>
              <w:rPr>
                <w:b/>
              </w:rPr>
            </w:pPr>
            <w:r>
              <w:rPr>
                <w:b/>
              </w:rPr>
              <w:lastRenderedPageBreak/>
              <w:t>Further information</w:t>
            </w:r>
            <w:r w:rsidR="00C925DE">
              <w:rPr>
                <w:b/>
              </w:rPr>
              <w:t xml:space="preserve"> (e.g. liquidator’s website)</w:t>
            </w:r>
          </w:p>
        </w:tc>
        <w:tc>
          <w:tcPr>
            <w:tcW w:w="5919" w:type="dxa"/>
          </w:tcPr>
          <w:p w14:paraId="3EB95367" w14:textId="460E4476" w:rsidR="00BE312E" w:rsidRDefault="0074237E" w:rsidP="005F65B5">
            <w:r>
              <w:t>N/A</w:t>
            </w:r>
          </w:p>
        </w:tc>
      </w:tr>
    </w:tbl>
    <w:p w14:paraId="26D6DBD2" w14:textId="77777777" w:rsidR="00F10310" w:rsidRPr="00F10310" w:rsidRDefault="00F10310" w:rsidP="00F10310">
      <w:pPr>
        <w:jc w:val="center"/>
        <w:rPr>
          <w:b/>
          <w:i/>
          <w:sz w:val="28"/>
          <w:szCs w:val="28"/>
        </w:rPr>
      </w:pPr>
    </w:p>
    <w:sectPr w:rsidR="00F10310" w:rsidRPr="00F10310" w:rsidSect="00B37D3B">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134" w:left="1701" w:header="680" w:footer="425"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380EF" w14:textId="77777777" w:rsidR="00A2314B" w:rsidRDefault="00573007">
      <w:r>
        <w:separator/>
      </w:r>
    </w:p>
  </w:endnote>
  <w:endnote w:type="continuationSeparator" w:id="0">
    <w:p w14:paraId="1FE494BB" w14:textId="77777777" w:rsidR="00A2314B" w:rsidRDefault="0057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E27A9" w14:textId="1A63D3E3" w:rsidR="00B37D3B" w:rsidRDefault="00B37D3B" w:rsidP="00BA30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73A52">
      <w:rPr>
        <w:rStyle w:val="PageNumber"/>
        <w:noProof/>
      </w:rPr>
      <w:t>1</w:t>
    </w:r>
    <w:r>
      <w:rPr>
        <w:rStyle w:val="PageNumber"/>
      </w:rPr>
      <w:fldChar w:fldCharType="end"/>
    </w:r>
  </w:p>
  <w:tbl>
    <w:tblPr>
      <w:tblW w:w="5000" w:type="pct"/>
      <w:tblLook w:val="04A0" w:firstRow="1" w:lastRow="0" w:firstColumn="1" w:lastColumn="0" w:noHBand="0" w:noVBand="1"/>
    </w:tblPr>
    <w:tblGrid>
      <w:gridCol w:w="3071"/>
      <w:gridCol w:w="3063"/>
      <w:gridCol w:w="3108"/>
    </w:tblGrid>
    <w:tr w:rsidR="00B37D3B" w14:paraId="12121B2D" w14:textId="77777777">
      <w:tc>
        <w:tcPr>
          <w:tcW w:w="3284" w:type="dxa"/>
          <w:shd w:val="clear" w:color="auto" w:fill="auto"/>
        </w:tcPr>
        <w:p w14:paraId="6EF47CB9" w14:textId="1F27A045" w:rsidR="00B37D3B" w:rsidRDefault="00B37D3B" w:rsidP="00B37D3B">
          <w:pPr>
            <w:pStyle w:val="Footer"/>
            <w:framePr w:wrap="around" w:vAnchor="text" w:hAnchor="margin" w:xAlign="center" w:y="1"/>
            <w:rPr>
              <w:szCs w:val="16"/>
            </w:rPr>
          </w:pPr>
          <w:r>
            <w:rPr>
              <w:szCs w:val="16"/>
            </w:rPr>
            <w:fldChar w:fldCharType="begin"/>
          </w:r>
          <w:r>
            <w:rPr>
              <w:szCs w:val="16"/>
            </w:rPr>
            <w:instrText xml:space="preserve"> DOCPROPERTY DocumentDatabase  \* MERGEFORMAT</w:instrText>
          </w:r>
          <w:r>
            <w:rPr>
              <w:szCs w:val="16"/>
            </w:rPr>
            <w:fldChar w:fldCharType="separate"/>
          </w:r>
          <w:r w:rsidR="00473A52">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473A52">
            <w:rPr>
              <w:szCs w:val="16"/>
            </w:rPr>
            <w:t>117778382</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473A52">
            <w:rPr>
              <w:szCs w:val="16"/>
            </w:rPr>
            <w:t>1</w:t>
          </w:r>
          <w:r>
            <w:rPr>
              <w:bCs/>
              <w:szCs w:val="16"/>
              <w:lang w:val="en-US"/>
            </w:rPr>
            <w:fldChar w:fldCharType="end"/>
          </w:r>
        </w:p>
      </w:tc>
      <w:tc>
        <w:tcPr>
          <w:tcW w:w="3285" w:type="dxa"/>
          <w:shd w:val="clear" w:color="auto" w:fill="auto"/>
        </w:tcPr>
        <w:p w14:paraId="3461A8A3" w14:textId="77777777" w:rsidR="00B37D3B" w:rsidRDefault="00B37D3B" w:rsidP="00B37D3B">
          <w:pPr>
            <w:pStyle w:val="Footer"/>
            <w:framePr w:wrap="around" w:vAnchor="text" w:hAnchor="margin" w:xAlign="center" w:y="1"/>
            <w:jc w:val="center"/>
            <w:rPr>
              <w:szCs w:val="16"/>
            </w:rPr>
          </w:pPr>
        </w:p>
      </w:tc>
      <w:tc>
        <w:tcPr>
          <w:tcW w:w="3285" w:type="dxa"/>
          <w:shd w:val="clear" w:color="auto" w:fill="auto"/>
        </w:tcPr>
        <w:p w14:paraId="218F508E" w14:textId="77777777" w:rsidR="00B37D3B" w:rsidRDefault="00B37D3B" w:rsidP="00B37D3B">
          <w:pPr>
            <w:pStyle w:val="Footer"/>
            <w:framePr w:wrap="around" w:vAnchor="text" w:hAnchor="margin" w:xAlign="center" w:y="1"/>
            <w:jc w:val="right"/>
            <w:rPr>
              <w:szCs w:val="16"/>
            </w:rPr>
          </w:pPr>
          <w:r>
            <w:rPr>
              <w:szCs w:val="16"/>
            </w:rPr>
            <w:t>© Norton Rose Fulbright Australia</w:t>
          </w:r>
        </w:p>
      </w:tc>
    </w:tr>
  </w:tbl>
  <w:p w14:paraId="5BA93AAE" w14:textId="77777777" w:rsidR="00A2314B" w:rsidRDefault="00A2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34E81" w14:textId="4ABDD4A4" w:rsidR="00B37D3B" w:rsidRDefault="00B37D3B" w:rsidP="00BA3057">
    <w:pPr>
      <w:pStyle w:val="Footer"/>
      <w:framePr w:wrap="around" w:vAnchor="text" w:hAnchor="margin" w:xAlign="center" w:y="1"/>
      <w:rPr>
        <w:rStyle w:val="PageNumber"/>
      </w:rPr>
    </w:pPr>
    <w:r w:rsidRPr="00B37D3B">
      <w:rPr>
        <w:rStyle w:val="PageNumber"/>
      </w:rPr>
      <w:fldChar w:fldCharType="begin"/>
    </w:r>
    <w:r w:rsidRPr="00B37D3B">
      <w:rPr>
        <w:rStyle w:val="PageNumber"/>
      </w:rPr>
      <w:instrText xml:space="preserve"> PAGE </w:instrText>
    </w:r>
    <w:r w:rsidRPr="00B37D3B">
      <w:rPr>
        <w:rStyle w:val="PageNumber"/>
      </w:rPr>
      <w:fldChar w:fldCharType="separate"/>
    </w:r>
    <w:r w:rsidR="00EE155E">
      <w:rPr>
        <w:rStyle w:val="PageNumber"/>
        <w:noProof/>
      </w:rPr>
      <w:t>1</w:t>
    </w:r>
    <w:r w:rsidRPr="00B37D3B">
      <w:rPr>
        <w:rStyle w:val="PageNumber"/>
      </w:rPr>
      <w:fldChar w:fldCharType="end"/>
    </w:r>
  </w:p>
  <w:tbl>
    <w:tblPr>
      <w:tblW w:w="5000" w:type="pct"/>
      <w:tblLook w:val="04A0" w:firstRow="1" w:lastRow="0" w:firstColumn="1" w:lastColumn="0" w:noHBand="0" w:noVBand="1"/>
    </w:tblPr>
    <w:tblGrid>
      <w:gridCol w:w="3047"/>
      <w:gridCol w:w="2944"/>
      <w:gridCol w:w="3013"/>
    </w:tblGrid>
    <w:tr w:rsidR="00B37D3B" w14:paraId="658C13F7" w14:textId="77777777">
      <w:tc>
        <w:tcPr>
          <w:tcW w:w="3284" w:type="dxa"/>
          <w:shd w:val="clear" w:color="auto" w:fill="auto"/>
        </w:tcPr>
        <w:p w14:paraId="1E97A719" w14:textId="50C22F22" w:rsidR="00B37D3B" w:rsidRDefault="00B37D3B">
          <w:pPr>
            <w:pStyle w:val="Footer"/>
            <w:rPr>
              <w:szCs w:val="16"/>
            </w:rPr>
          </w:pPr>
          <w:r>
            <w:rPr>
              <w:szCs w:val="16"/>
            </w:rPr>
            <w:fldChar w:fldCharType="begin"/>
          </w:r>
          <w:r>
            <w:rPr>
              <w:szCs w:val="16"/>
            </w:rPr>
            <w:instrText xml:space="preserve"> DOCPROPERTY DocumentDatabase  \* MERGEFORMAT</w:instrText>
          </w:r>
          <w:r>
            <w:rPr>
              <w:szCs w:val="16"/>
            </w:rPr>
            <w:fldChar w:fldCharType="separate"/>
          </w:r>
          <w:r w:rsidR="00473A52">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473A52">
            <w:rPr>
              <w:szCs w:val="16"/>
            </w:rPr>
            <w:t>117778382</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473A52">
            <w:rPr>
              <w:szCs w:val="16"/>
            </w:rPr>
            <w:t>1</w:t>
          </w:r>
          <w:r>
            <w:rPr>
              <w:bCs/>
              <w:szCs w:val="16"/>
              <w:lang w:val="en-US"/>
            </w:rPr>
            <w:fldChar w:fldCharType="end"/>
          </w:r>
        </w:p>
      </w:tc>
      <w:tc>
        <w:tcPr>
          <w:tcW w:w="3285" w:type="dxa"/>
          <w:shd w:val="clear" w:color="auto" w:fill="auto"/>
        </w:tcPr>
        <w:p w14:paraId="3AF223DA" w14:textId="77777777" w:rsidR="00B37D3B" w:rsidRDefault="00B37D3B">
          <w:pPr>
            <w:pStyle w:val="Footer"/>
            <w:jc w:val="center"/>
            <w:rPr>
              <w:szCs w:val="16"/>
            </w:rPr>
          </w:pPr>
        </w:p>
      </w:tc>
      <w:tc>
        <w:tcPr>
          <w:tcW w:w="3285" w:type="dxa"/>
          <w:shd w:val="clear" w:color="auto" w:fill="auto"/>
        </w:tcPr>
        <w:p w14:paraId="76563DC1" w14:textId="77777777" w:rsidR="00B37D3B" w:rsidRDefault="00B37D3B">
          <w:pPr>
            <w:pStyle w:val="Footer"/>
            <w:jc w:val="right"/>
            <w:rPr>
              <w:szCs w:val="16"/>
            </w:rPr>
          </w:pPr>
          <w:r>
            <w:rPr>
              <w:szCs w:val="16"/>
            </w:rPr>
            <w:t>© Norton Rose Fulbright Australia</w:t>
          </w:r>
        </w:p>
      </w:tc>
    </w:tr>
  </w:tbl>
  <w:p w14:paraId="49E6D880" w14:textId="77777777" w:rsidR="00A2314B" w:rsidRPr="00B37D3B" w:rsidRDefault="00A2314B" w:rsidP="00B37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071"/>
      <w:gridCol w:w="3063"/>
      <w:gridCol w:w="3108"/>
    </w:tblGrid>
    <w:tr w:rsidR="00B37D3B" w14:paraId="49D108ED" w14:textId="77777777">
      <w:tc>
        <w:tcPr>
          <w:tcW w:w="3284" w:type="dxa"/>
          <w:shd w:val="clear" w:color="auto" w:fill="auto"/>
        </w:tcPr>
        <w:p w14:paraId="3D31500C" w14:textId="54C52A39" w:rsidR="00B37D3B" w:rsidRDefault="00B37D3B">
          <w:pPr>
            <w:pStyle w:val="Footer"/>
            <w:rPr>
              <w:szCs w:val="16"/>
            </w:rPr>
          </w:pPr>
          <w:r>
            <w:rPr>
              <w:szCs w:val="16"/>
            </w:rPr>
            <w:fldChar w:fldCharType="begin"/>
          </w:r>
          <w:r>
            <w:rPr>
              <w:szCs w:val="16"/>
            </w:rPr>
            <w:instrText xml:space="preserve"> DOCPROPERTY DocumentDatabase  \* MERGEFORMAT</w:instrText>
          </w:r>
          <w:r>
            <w:rPr>
              <w:szCs w:val="16"/>
            </w:rPr>
            <w:fldChar w:fldCharType="separate"/>
          </w:r>
          <w:r w:rsidR="00473A52">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473A52">
            <w:rPr>
              <w:szCs w:val="16"/>
            </w:rPr>
            <w:t>117778382</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473A52">
            <w:rPr>
              <w:szCs w:val="16"/>
            </w:rPr>
            <w:t>1</w:t>
          </w:r>
          <w:r>
            <w:rPr>
              <w:bCs/>
              <w:szCs w:val="16"/>
              <w:lang w:val="en-US"/>
            </w:rPr>
            <w:fldChar w:fldCharType="end"/>
          </w:r>
        </w:p>
      </w:tc>
      <w:tc>
        <w:tcPr>
          <w:tcW w:w="3285" w:type="dxa"/>
          <w:shd w:val="clear" w:color="auto" w:fill="auto"/>
        </w:tcPr>
        <w:p w14:paraId="27D8AD49" w14:textId="77777777" w:rsidR="00B37D3B" w:rsidRDefault="00B37D3B">
          <w:pPr>
            <w:pStyle w:val="Footer"/>
            <w:jc w:val="center"/>
            <w:rPr>
              <w:szCs w:val="16"/>
            </w:rPr>
          </w:pPr>
        </w:p>
      </w:tc>
      <w:tc>
        <w:tcPr>
          <w:tcW w:w="3285" w:type="dxa"/>
          <w:shd w:val="clear" w:color="auto" w:fill="auto"/>
        </w:tcPr>
        <w:p w14:paraId="3E7C8397" w14:textId="77777777" w:rsidR="00B37D3B" w:rsidRDefault="00B37D3B">
          <w:pPr>
            <w:pStyle w:val="Footer"/>
            <w:jc w:val="right"/>
            <w:rPr>
              <w:szCs w:val="16"/>
            </w:rPr>
          </w:pPr>
          <w:r>
            <w:rPr>
              <w:szCs w:val="16"/>
            </w:rPr>
            <w:t>© Norton Rose Fulbright Australia</w:t>
          </w:r>
        </w:p>
      </w:tc>
    </w:tr>
  </w:tbl>
  <w:p w14:paraId="73505A77" w14:textId="77777777" w:rsidR="00A2314B" w:rsidRDefault="00A2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0091D" w14:textId="77777777" w:rsidR="00A2314B" w:rsidRDefault="00573007">
      <w:r>
        <w:separator/>
      </w:r>
    </w:p>
  </w:footnote>
  <w:footnote w:type="continuationSeparator" w:id="0">
    <w:p w14:paraId="77B260E4" w14:textId="77777777" w:rsidR="00A2314B" w:rsidRDefault="0057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EB7A6" w14:textId="77777777" w:rsidR="00B37D3B" w:rsidRDefault="00B37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E3785" w14:textId="77777777" w:rsidR="00B37D3B" w:rsidRDefault="00B37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B46C" w14:textId="77777777" w:rsidR="00B37D3B" w:rsidRDefault="00B37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 w15:restartNumberingAfterBreak="0">
    <w:nsid w:val="06576DDF"/>
    <w:multiLevelType w:val="hybridMultilevel"/>
    <w:tmpl w:val="901043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3A5B0F"/>
    <w:multiLevelType w:val="multilevel"/>
    <w:tmpl w:val="445C0742"/>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5" w15:restartNumberingAfterBreak="0">
    <w:nsid w:val="0D8E328D"/>
    <w:multiLevelType w:val="hybridMultilevel"/>
    <w:tmpl w:val="2EEE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A22CA7"/>
    <w:multiLevelType w:val="hybridMultilevel"/>
    <w:tmpl w:val="D624E2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30E75"/>
    <w:multiLevelType w:val="hybridMultilevel"/>
    <w:tmpl w:val="D624E2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EF6324"/>
    <w:multiLevelType w:val="multilevel"/>
    <w:tmpl w:val="E99EE40C"/>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1C356454"/>
    <w:multiLevelType w:val="multilevel"/>
    <w:tmpl w:val="3FCCDA5A"/>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1" w15:restartNumberingAfterBreak="0">
    <w:nsid w:val="27F94734"/>
    <w:multiLevelType w:val="hybridMultilevel"/>
    <w:tmpl w:val="BA5E5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2DC05840"/>
    <w:multiLevelType w:val="hybridMultilevel"/>
    <w:tmpl w:val="3B50CD60"/>
    <w:lvl w:ilvl="0" w:tplc="C3F2C5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2BD0D42"/>
    <w:multiLevelType w:val="hybridMultilevel"/>
    <w:tmpl w:val="4A9E0696"/>
    <w:lvl w:ilvl="0" w:tplc="BF3AA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C82A58"/>
    <w:multiLevelType w:val="hybridMultilevel"/>
    <w:tmpl w:val="F5823D40"/>
    <w:lvl w:ilvl="0" w:tplc="DDF487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AB2690"/>
    <w:multiLevelType w:val="hybridMultilevel"/>
    <w:tmpl w:val="58F8B7CC"/>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7E44B67"/>
    <w:multiLevelType w:val="hybridMultilevel"/>
    <w:tmpl w:val="32F09C10"/>
    <w:lvl w:ilvl="0" w:tplc="FF98F3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DB5E6E"/>
    <w:multiLevelType w:val="multilevel"/>
    <w:tmpl w:val="FAE6F968"/>
    <w:numStyleLink w:val="GTListBullet"/>
  </w:abstractNum>
  <w:abstractNum w:abstractNumId="21" w15:restartNumberingAfterBreak="0">
    <w:nsid w:val="5FDF3DC8"/>
    <w:multiLevelType w:val="multilevel"/>
    <w:tmpl w:val="9F004F4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3"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24"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687601"/>
    <w:multiLevelType w:val="hybridMultilevel"/>
    <w:tmpl w:val="8AB4AF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086400"/>
    <w:multiLevelType w:val="hybridMultilevel"/>
    <w:tmpl w:val="02E66A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98942D7"/>
    <w:multiLevelType w:val="hybridMultilevel"/>
    <w:tmpl w:val="971233BA"/>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B861024"/>
    <w:multiLevelType w:val="hybridMultilevel"/>
    <w:tmpl w:val="DFB0E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4"/>
  </w:num>
  <w:num w:numId="3">
    <w:abstractNumId w:val="15"/>
  </w:num>
  <w:num w:numId="4">
    <w:abstractNumId w:val="24"/>
  </w:num>
  <w:num w:numId="5">
    <w:abstractNumId w:val="10"/>
  </w:num>
  <w:num w:numId="6">
    <w:abstractNumId w:val="1"/>
  </w:num>
  <w:num w:numId="7">
    <w:abstractNumId w:val="0"/>
  </w:num>
  <w:num w:numId="8">
    <w:abstractNumId w:val="3"/>
  </w:num>
  <w:num w:numId="9">
    <w:abstractNumId w:val="12"/>
  </w:num>
  <w:num w:numId="10">
    <w:abstractNumId w:val="23"/>
  </w:num>
  <w:num w:numId="11">
    <w:abstractNumId w:val="9"/>
  </w:num>
  <w:num w:numId="12">
    <w:abstractNumId w:val="14"/>
  </w:num>
  <w:num w:numId="13">
    <w:abstractNumId w:val="8"/>
  </w:num>
  <w:num w:numId="14">
    <w:abstractNumId w:val="28"/>
  </w:num>
  <w:num w:numId="15">
    <w:abstractNumId w:val="2"/>
  </w:num>
  <w:num w:numId="16">
    <w:abstractNumId w:val="26"/>
  </w:num>
  <w:num w:numId="17">
    <w:abstractNumId w:val="27"/>
  </w:num>
  <w:num w:numId="18">
    <w:abstractNumId w:val="18"/>
  </w:num>
  <w:num w:numId="19">
    <w:abstractNumId w:val="5"/>
  </w:num>
  <w:num w:numId="20">
    <w:abstractNumId w:val="22"/>
  </w:num>
  <w:num w:numId="21">
    <w:abstractNumId w:val="20"/>
  </w:num>
  <w:num w:numId="22">
    <w:abstractNumId w:val="11"/>
  </w:num>
  <w:num w:numId="23">
    <w:abstractNumId w:val="25"/>
  </w:num>
  <w:num w:numId="24">
    <w:abstractNumId w:val="7"/>
  </w:num>
  <w:num w:numId="25">
    <w:abstractNumId w:val="13"/>
  </w:num>
  <w:num w:numId="26">
    <w:abstractNumId w:val="16"/>
  </w:num>
  <w:num w:numId="27">
    <w:abstractNumId w:val="17"/>
  </w:num>
  <w:num w:numId="28">
    <w:abstractNumId w:val="19"/>
  </w:num>
  <w:num w:numId="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4B"/>
    <w:rsid w:val="00062A2F"/>
    <w:rsid w:val="0006346F"/>
    <w:rsid w:val="00074E2B"/>
    <w:rsid w:val="000A4E8D"/>
    <w:rsid w:val="000A7B91"/>
    <w:rsid w:val="000B0399"/>
    <w:rsid w:val="000C4052"/>
    <w:rsid w:val="0011241B"/>
    <w:rsid w:val="00141779"/>
    <w:rsid w:val="0014488D"/>
    <w:rsid w:val="0015187D"/>
    <w:rsid w:val="00151B86"/>
    <w:rsid w:val="00160EDD"/>
    <w:rsid w:val="001C764B"/>
    <w:rsid w:val="001D67AB"/>
    <w:rsid w:val="002006B0"/>
    <w:rsid w:val="0021521F"/>
    <w:rsid w:val="00262A69"/>
    <w:rsid w:val="0026452F"/>
    <w:rsid w:val="00281EFF"/>
    <w:rsid w:val="002B0F3F"/>
    <w:rsid w:val="002B6651"/>
    <w:rsid w:val="00300864"/>
    <w:rsid w:val="0032577C"/>
    <w:rsid w:val="0037489B"/>
    <w:rsid w:val="00377A66"/>
    <w:rsid w:val="00392F8A"/>
    <w:rsid w:val="003F273D"/>
    <w:rsid w:val="003F6B52"/>
    <w:rsid w:val="0042739D"/>
    <w:rsid w:val="00433474"/>
    <w:rsid w:val="0043705D"/>
    <w:rsid w:val="00473A52"/>
    <w:rsid w:val="00487EA7"/>
    <w:rsid w:val="004A1911"/>
    <w:rsid w:val="004B0E50"/>
    <w:rsid w:val="004B350B"/>
    <w:rsid w:val="004D2E8A"/>
    <w:rsid w:val="004E0604"/>
    <w:rsid w:val="004F3F91"/>
    <w:rsid w:val="00556FCF"/>
    <w:rsid w:val="00557228"/>
    <w:rsid w:val="00573007"/>
    <w:rsid w:val="00583EA9"/>
    <w:rsid w:val="005A287D"/>
    <w:rsid w:val="005D4363"/>
    <w:rsid w:val="005F1BE7"/>
    <w:rsid w:val="005F65B5"/>
    <w:rsid w:val="00611D20"/>
    <w:rsid w:val="006575A5"/>
    <w:rsid w:val="006A1181"/>
    <w:rsid w:val="006B0556"/>
    <w:rsid w:val="006C1F9B"/>
    <w:rsid w:val="006E6D24"/>
    <w:rsid w:val="0070749E"/>
    <w:rsid w:val="0074237E"/>
    <w:rsid w:val="0074610E"/>
    <w:rsid w:val="00761277"/>
    <w:rsid w:val="007713E8"/>
    <w:rsid w:val="007928C4"/>
    <w:rsid w:val="00795BDA"/>
    <w:rsid w:val="007A7EF9"/>
    <w:rsid w:val="007C72A9"/>
    <w:rsid w:val="00844489"/>
    <w:rsid w:val="00865DA3"/>
    <w:rsid w:val="00894334"/>
    <w:rsid w:val="00894E00"/>
    <w:rsid w:val="00902C45"/>
    <w:rsid w:val="00914068"/>
    <w:rsid w:val="00921577"/>
    <w:rsid w:val="0092715D"/>
    <w:rsid w:val="009772ED"/>
    <w:rsid w:val="00987652"/>
    <w:rsid w:val="009A55B8"/>
    <w:rsid w:val="009B5510"/>
    <w:rsid w:val="009E406D"/>
    <w:rsid w:val="00A2314B"/>
    <w:rsid w:val="00A34B30"/>
    <w:rsid w:val="00A5239F"/>
    <w:rsid w:val="00A61C68"/>
    <w:rsid w:val="00A77108"/>
    <w:rsid w:val="00AA3EF2"/>
    <w:rsid w:val="00AA5AAB"/>
    <w:rsid w:val="00AC222D"/>
    <w:rsid w:val="00AE30FB"/>
    <w:rsid w:val="00B176F7"/>
    <w:rsid w:val="00B37D3B"/>
    <w:rsid w:val="00B6740F"/>
    <w:rsid w:val="00B91826"/>
    <w:rsid w:val="00B970AF"/>
    <w:rsid w:val="00BC49E3"/>
    <w:rsid w:val="00BE1D23"/>
    <w:rsid w:val="00BE312E"/>
    <w:rsid w:val="00BE65A9"/>
    <w:rsid w:val="00C0314D"/>
    <w:rsid w:val="00C04791"/>
    <w:rsid w:val="00C070FA"/>
    <w:rsid w:val="00C1387F"/>
    <w:rsid w:val="00C56655"/>
    <w:rsid w:val="00C80611"/>
    <w:rsid w:val="00C925DE"/>
    <w:rsid w:val="00CF2224"/>
    <w:rsid w:val="00D13912"/>
    <w:rsid w:val="00DB1A48"/>
    <w:rsid w:val="00DB3A21"/>
    <w:rsid w:val="00DB7490"/>
    <w:rsid w:val="00DC75FE"/>
    <w:rsid w:val="00E006AF"/>
    <w:rsid w:val="00E11A69"/>
    <w:rsid w:val="00E32C5C"/>
    <w:rsid w:val="00E72269"/>
    <w:rsid w:val="00E80B60"/>
    <w:rsid w:val="00EE155E"/>
    <w:rsid w:val="00EF71A8"/>
    <w:rsid w:val="00F070F7"/>
    <w:rsid w:val="00F10310"/>
    <w:rsid w:val="00F65C1A"/>
    <w:rsid w:val="00F86649"/>
    <w:rsid w:val="00FB15EC"/>
    <w:rsid w:val="00FD0003"/>
    <w:rsid w:val="00FD2A10"/>
    <w:rsid w:val="00FF0B93"/>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ACD77F2"/>
  <w15:docId w15:val="{15023F70-D859-45DB-947F-B6F203D0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3B"/>
    <w:rPr>
      <w:rFonts w:ascii="Arial" w:hAnsi="Arial"/>
      <w:lang w:val="en-AU"/>
    </w:rPr>
  </w:style>
  <w:style w:type="paragraph" w:styleId="Heading1">
    <w:name w:val="heading 1"/>
    <w:basedOn w:val="Normal"/>
    <w:next w:val="Heading2"/>
    <w:qFormat/>
    <w:rsid w:val="00B37D3B"/>
    <w:pPr>
      <w:keepNext/>
      <w:numPr>
        <w:numId w:val="8"/>
      </w:numPr>
      <w:spacing w:before="360"/>
      <w:outlineLvl w:val="0"/>
    </w:pPr>
    <w:rPr>
      <w:b/>
      <w:sz w:val="24"/>
    </w:rPr>
  </w:style>
  <w:style w:type="paragraph" w:styleId="Heading2">
    <w:name w:val="heading 2"/>
    <w:basedOn w:val="Normal"/>
    <w:next w:val="BodyText2"/>
    <w:qFormat/>
    <w:rsid w:val="00B37D3B"/>
    <w:pPr>
      <w:numPr>
        <w:ilvl w:val="1"/>
        <w:numId w:val="8"/>
      </w:numPr>
      <w:spacing w:before="240"/>
      <w:outlineLvl w:val="1"/>
    </w:pPr>
  </w:style>
  <w:style w:type="paragraph" w:styleId="Heading3">
    <w:name w:val="heading 3"/>
    <w:basedOn w:val="Normal"/>
    <w:qFormat/>
    <w:rsid w:val="00B37D3B"/>
    <w:pPr>
      <w:numPr>
        <w:ilvl w:val="2"/>
        <w:numId w:val="8"/>
      </w:numPr>
      <w:spacing w:before="240"/>
      <w:outlineLvl w:val="2"/>
    </w:pPr>
  </w:style>
  <w:style w:type="paragraph" w:styleId="Heading4">
    <w:name w:val="heading 4"/>
    <w:basedOn w:val="Normal"/>
    <w:qFormat/>
    <w:rsid w:val="00B37D3B"/>
    <w:pPr>
      <w:numPr>
        <w:ilvl w:val="3"/>
        <w:numId w:val="8"/>
      </w:numPr>
      <w:spacing w:before="240"/>
      <w:outlineLvl w:val="3"/>
    </w:pPr>
  </w:style>
  <w:style w:type="paragraph" w:styleId="Heading5">
    <w:name w:val="heading 5"/>
    <w:basedOn w:val="Normal"/>
    <w:qFormat/>
    <w:rsid w:val="00B37D3B"/>
    <w:pPr>
      <w:numPr>
        <w:ilvl w:val="4"/>
        <w:numId w:val="8"/>
      </w:numPr>
      <w:spacing w:before="240"/>
      <w:outlineLvl w:val="4"/>
    </w:pPr>
  </w:style>
  <w:style w:type="paragraph" w:styleId="Heading6">
    <w:name w:val="heading 6"/>
    <w:basedOn w:val="Normal"/>
    <w:qFormat/>
    <w:rsid w:val="00B37D3B"/>
    <w:pPr>
      <w:numPr>
        <w:ilvl w:val="5"/>
        <w:numId w:val="8"/>
      </w:numPr>
      <w:spacing w:before="240"/>
      <w:outlineLvl w:val="5"/>
    </w:pPr>
  </w:style>
  <w:style w:type="paragraph" w:styleId="Heading7">
    <w:name w:val="heading 7"/>
    <w:basedOn w:val="Normal"/>
    <w:next w:val="Normal"/>
    <w:qFormat/>
    <w:rsid w:val="00B37D3B"/>
    <w:pPr>
      <w:outlineLvl w:val="6"/>
    </w:pPr>
  </w:style>
  <w:style w:type="paragraph" w:styleId="Heading8">
    <w:name w:val="heading 8"/>
    <w:basedOn w:val="Normal"/>
    <w:next w:val="Normal"/>
    <w:qFormat/>
    <w:rsid w:val="00B37D3B"/>
    <w:pPr>
      <w:outlineLvl w:val="7"/>
    </w:pPr>
  </w:style>
  <w:style w:type="paragraph" w:styleId="Heading9">
    <w:name w:val="heading 9"/>
    <w:basedOn w:val="Normal"/>
    <w:next w:val="Normal"/>
    <w:qFormat/>
    <w:rsid w:val="00B37D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B37D3B"/>
    <w:pPr>
      <w:numPr>
        <w:numId w:val="1"/>
      </w:numPr>
      <w:spacing w:before="240"/>
      <w:outlineLvl w:val="0"/>
    </w:pPr>
    <w:rPr>
      <w:b/>
      <w:sz w:val="24"/>
    </w:rPr>
  </w:style>
  <w:style w:type="paragraph" w:customStyle="1" w:styleId="AText">
    <w:name w:val="AText"/>
    <w:basedOn w:val="Normal"/>
    <w:rsid w:val="00B37D3B"/>
    <w:pPr>
      <w:keepLines/>
    </w:pPr>
  </w:style>
  <w:style w:type="paragraph" w:customStyle="1" w:styleId="AuthorPageDate1">
    <w:name w:val="Author  Page #  Date1"/>
    <w:rsid w:val="00B37D3B"/>
    <w:rPr>
      <w:sz w:val="24"/>
      <w:szCs w:val="24"/>
      <w:lang w:val="en-AU"/>
    </w:rPr>
  </w:style>
  <w:style w:type="paragraph" w:styleId="BodyText">
    <w:name w:val="Body Text"/>
    <w:basedOn w:val="Normal"/>
    <w:link w:val="BodyTextChar"/>
    <w:qFormat/>
    <w:rsid w:val="00B37D3B"/>
    <w:pPr>
      <w:tabs>
        <w:tab w:val="left" w:pos="1701"/>
      </w:tabs>
    </w:pPr>
  </w:style>
  <w:style w:type="paragraph" w:customStyle="1" w:styleId="BodyText1">
    <w:name w:val="Body Text 1"/>
    <w:basedOn w:val="Normal"/>
    <w:rsid w:val="00B37D3B"/>
    <w:pPr>
      <w:spacing w:before="240"/>
    </w:pPr>
  </w:style>
  <w:style w:type="paragraph" w:styleId="BodyText2">
    <w:name w:val="Body Text 2"/>
    <w:basedOn w:val="Normal"/>
    <w:rsid w:val="00B37D3B"/>
    <w:pPr>
      <w:spacing w:before="240"/>
      <w:ind w:left="709"/>
    </w:pPr>
  </w:style>
  <w:style w:type="paragraph" w:styleId="BodyText3">
    <w:name w:val="Body Text 3"/>
    <w:basedOn w:val="Normal"/>
    <w:rsid w:val="00B37D3B"/>
    <w:pPr>
      <w:spacing w:before="240"/>
      <w:ind w:left="1418"/>
    </w:pPr>
  </w:style>
  <w:style w:type="paragraph" w:customStyle="1" w:styleId="BodyText4">
    <w:name w:val="Body Text 4"/>
    <w:basedOn w:val="Normal"/>
    <w:rsid w:val="00B37D3B"/>
    <w:pPr>
      <w:spacing w:before="240"/>
      <w:ind w:left="2126"/>
    </w:pPr>
  </w:style>
  <w:style w:type="paragraph" w:customStyle="1" w:styleId="BodyText5">
    <w:name w:val="Body Text 5"/>
    <w:basedOn w:val="Normal"/>
    <w:rsid w:val="00B37D3B"/>
    <w:pPr>
      <w:spacing w:before="240"/>
      <w:ind w:left="2835"/>
    </w:pPr>
  </w:style>
  <w:style w:type="paragraph" w:customStyle="1" w:styleId="BodyText6">
    <w:name w:val="Body Text 6"/>
    <w:basedOn w:val="Normal"/>
    <w:rsid w:val="00B37D3B"/>
    <w:pPr>
      <w:spacing w:before="240"/>
      <w:ind w:left="3544"/>
    </w:pPr>
  </w:style>
  <w:style w:type="paragraph" w:styleId="Caption">
    <w:name w:val="caption"/>
    <w:basedOn w:val="Normal"/>
    <w:next w:val="Normal"/>
    <w:rsid w:val="00B37D3B"/>
    <w:pPr>
      <w:spacing w:before="120" w:after="120"/>
    </w:pPr>
    <w:rPr>
      <w:b/>
    </w:rPr>
  </w:style>
  <w:style w:type="paragraph" w:customStyle="1" w:styleId="CommentBox">
    <w:name w:val="Comment Box"/>
    <w:basedOn w:val="Normal"/>
    <w:rsid w:val="00B37D3B"/>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rsid w:val="00B37D3B"/>
    <w:rPr>
      <w:sz w:val="16"/>
    </w:rPr>
  </w:style>
  <w:style w:type="paragraph" w:customStyle="1" w:styleId="Disclaimer">
    <w:name w:val="Disclaimer"/>
    <w:basedOn w:val="Footer"/>
    <w:rsid w:val="00B37D3B"/>
    <w:pPr>
      <w:jc w:val="center"/>
    </w:pPr>
    <w:rPr>
      <w:rFonts w:ascii="Times New Roman" w:hAnsi="Times New Roman"/>
      <w:b/>
      <w:i/>
      <w:sz w:val="18"/>
    </w:rPr>
  </w:style>
  <w:style w:type="paragraph" w:customStyle="1" w:styleId="Fax">
    <w:name w:val="Fax"/>
    <w:basedOn w:val="Normal"/>
    <w:rsid w:val="00B37D3B"/>
    <w:pPr>
      <w:tabs>
        <w:tab w:val="left" w:pos="2694"/>
      </w:tabs>
      <w:spacing w:line="360" w:lineRule="auto"/>
      <w:ind w:left="2693" w:hanging="2693"/>
    </w:pPr>
    <w:rPr>
      <w:b/>
    </w:rPr>
  </w:style>
  <w:style w:type="paragraph" w:customStyle="1" w:styleId="FaxHeader">
    <w:name w:val="FaxHeader"/>
    <w:basedOn w:val="Normal"/>
    <w:rsid w:val="00B37D3B"/>
    <w:pPr>
      <w:tabs>
        <w:tab w:val="left" w:pos="2693"/>
      </w:tabs>
      <w:ind w:left="2693" w:hanging="2693"/>
    </w:pPr>
  </w:style>
  <w:style w:type="paragraph" w:styleId="Header">
    <w:name w:val="header"/>
    <w:basedOn w:val="Normal"/>
    <w:rsid w:val="00B37D3B"/>
  </w:style>
  <w:style w:type="character" w:styleId="Hyperlink">
    <w:name w:val="Hyperlink"/>
    <w:basedOn w:val="DefaultParagraphFont"/>
    <w:rsid w:val="00B37D3B"/>
    <w:rPr>
      <w:color w:val="0000FF"/>
      <w:u w:val="single"/>
    </w:rPr>
  </w:style>
  <w:style w:type="paragraph" w:customStyle="1" w:styleId="Item">
    <w:name w:val="Item"/>
    <w:next w:val="BodyText3"/>
    <w:rsid w:val="00B37D3B"/>
    <w:pPr>
      <w:keepNext/>
      <w:numPr>
        <w:numId w:val="9"/>
      </w:numPr>
      <w:spacing w:before="240"/>
    </w:pPr>
    <w:rPr>
      <w:rFonts w:ascii="Arial" w:hAnsi="Arial"/>
      <w:b/>
      <w:lang w:val="en-AU"/>
    </w:rPr>
  </w:style>
  <w:style w:type="character" w:styleId="PageNumber">
    <w:name w:val="page number"/>
    <w:basedOn w:val="DefaultParagraphFont"/>
    <w:rsid w:val="00B37D3B"/>
    <w:rPr>
      <w:sz w:val="20"/>
    </w:rPr>
  </w:style>
  <w:style w:type="paragraph" w:customStyle="1" w:styleId="Recital">
    <w:name w:val="Recital"/>
    <w:basedOn w:val="Normal"/>
    <w:rsid w:val="00B37D3B"/>
    <w:pPr>
      <w:numPr>
        <w:numId w:val="11"/>
      </w:numPr>
      <w:spacing w:before="240"/>
    </w:pPr>
  </w:style>
  <w:style w:type="paragraph" w:customStyle="1" w:styleId="Schedule">
    <w:name w:val="Schedule"/>
    <w:basedOn w:val="Normal"/>
    <w:next w:val="BodyText1"/>
    <w:rsid w:val="00B37D3B"/>
    <w:pPr>
      <w:keepNext/>
      <w:numPr>
        <w:numId w:val="12"/>
      </w:numPr>
      <w:spacing w:before="480"/>
      <w:outlineLvl w:val="0"/>
    </w:pPr>
    <w:rPr>
      <w:b/>
      <w:sz w:val="24"/>
    </w:rPr>
  </w:style>
  <w:style w:type="paragraph" w:styleId="Subtitle">
    <w:name w:val="Subtitle"/>
    <w:basedOn w:val="Normal"/>
    <w:next w:val="BodyText1"/>
    <w:qFormat/>
    <w:rsid w:val="00B37D3B"/>
    <w:pPr>
      <w:keepNext/>
      <w:spacing w:before="480"/>
    </w:pPr>
    <w:rPr>
      <w:b/>
      <w:sz w:val="24"/>
    </w:rPr>
  </w:style>
  <w:style w:type="paragraph" w:customStyle="1" w:styleId="TableText">
    <w:name w:val="Table Text"/>
    <w:basedOn w:val="Normal"/>
    <w:rsid w:val="00B37D3B"/>
    <w:pPr>
      <w:spacing w:before="60" w:after="60"/>
    </w:pPr>
  </w:style>
  <w:style w:type="paragraph" w:styleId="Title">
    <w:name w:val="Title"/>
    <w:basedOn w:val="Normal"/>
    <w:next w:val="Normal"/>
    <w:qFormat/>
    <w:rsid w:val="00B37D3B"/>
    <w:pPr>
      <w:spacing w:after="360"/>
    </w:pPr>
    <w:rPr>
      <w:b/>
      <w:sz w:val="40"/>
    </w:rPr>
  </w:style>
  <w:style w:type="paragraph" w:styleId="TOC1">
    <w:name w:val="toc 1"/>
    <w:basedOn w:val="Normal"/>
    <w:next w:val="Normal"/>
    <w:semiHidden/>
    <w:rsid w:val="00B37D3B"/>
    <w:pPr>
      <w:tabs>
        <w:tab w:val="right" w:leader="dot" w:pos="8789"/>
      </w:tabs>
      <w:spacing w:before="60" w:after="60"/>
      <w:ind w:left="709" w:right="425" w:hanging="709"/>
      <w:outlineLvl w:val="0"/>
    </w:pPr>
  </w:style>
  <w:style w:type="paragraph" w:styleId="TOC2">
    <w:name w:val="toc 2"/>
    <w:basedOn w:val="Normal"/>
    <w:next w:val="Normal"/>
    <w:semiHidden/>
    <w:rsid w:val="00B37D3B"/>
    <w:pPr>
      <w:tabs>
        <w:tab w:val="right" w:leader="dot" w:pos="8789"/>
      </w:tabs>
      <w:spacing w:before="60" w:after="60"/>
      <w:ind w:left="1418" w:right="425" w:hanging="709"/>
      <w:outlineLvl w:val="0"/>
    </w:pPr>
  </w:style>
  <w:style w:type="paragraph" w:styleId="TOC3">
    <w:name w:val="toc 3"/>
    <w:basedOn w:val="Normal"/>
    <w:next w:val="Normal"/>
    <w:semiHidden/>
    <w:rsid w:val="00B37D3B"/>
    <w:pPr>
      <w:tabs>
        <w:tab w:val="right" w:pos="7938"/>
      </w:tabs>
      <w:spacing w:before="60" w:after="60"/>
      <w:ind w:left="442"/>
    </w:pPr>
  </w:style>
  <w:style w:type="paragraph" w:styleId="TOC4">
    <w:name w:val="toc 4"/>
    <w:basedOn w:val="Normal"/>
    <w:next w:val="Normal"/>
    <w:semiHidden/>
    <w:rsid w:val="00B37D3B"/>
    <w:pPr>
      <w:tabs>
        <w:tab w:val="right" w:leader="dot" w:pos="8789"/>
      </w:tabs>
      <w:spacing w:before="60" w:after="60"/>
      <w:ind w:left="709" w:right="425" w:hanging="709"/>
    </w:pPr>
  </w:style>
  <w:style w:type="paragraph" w:styleId="TOC5">
    <w:name w:val="toc 5"/>
    <w:basedOn w:val="Normal"/>
    <w:next w:val="Normal"/>
    <w:semiHidden/>
    <w:rsid w:val="00B37D3B"/>
    <w:pPr>
      <w:tabs>
        <w:tab w:val="right" w:leader="dot" w:pos="8789"/>
      </w:tabs>
      <w:spacing w:before="60" w:after="60"/>
      <w:ind w:left="709" w:right="425" w:hanging="709"/>
    </w:pPr>
  </w:style>
  <w:style w:type="paragraph" w:styleId="TOC6">
    <w:name w:val="toc 6"/>
    <w:basedOn w:val="Normal"/>
    <w:next w:val="Normal"/>
    <w:semiHidden/>
    <w:rsid w:val="00B37D3B"/>
    <w:pPr>
      <w:tabs>
        <w:tab w:val="right" w:leader="dot" w:pos="8789"/>
      </w:tabs>
      <w:spacing w:before="60" w:after="60"/>
      <w:ind w:left="709" w:right="425" w:hanging="709"/>
    </w:pPr>
  </w:style>
  <w:style w:type="paragraph" w:styleId="TOC7">
    <w:name w:val="toc 7"/>
    <w:basedOn w:val="Normal"/>
    <w:next w:val="Normal"/>
    <w:semiHidden/>
    <w:rsid w:val="00B37D3B"/>
    <w:pPr>
      <w:tabs>
        <w:tab w:val="right" w:pos="8789"/>
      </w:tabs>
      <w:spacing w:before="60" w:after="60"/>
      <w:ind w:left="709" w:right="425" w:hanging="709"/>
    </w:pPr>
  </w:style>
  <w:style w:type="paragraph" w:styleId="TOC8">
    <w:name w:val="toc 8"/>
    <w:basedOn w:val="Normal"/>
    <w:next w:val="Normal"/>
    <w:semiHidden/>
    <w:rsid w:val="00B37D3B"/>
    <w:pPr>
      <w:tabs>
        <w:tab w:val="right" w:leader="dot" w:pos="8789"/>
      </w:tabs>
      <w:spacing w:before="60" w:after="60"/>
      <w:ind w:left="709" w:right="425" w:hanging="709"/>
      <w:outlineLvl w:val="0"/>
    </w:pPr>
  </w:style>
  <w:style w:type="paragraph" w:styleId="TOC9">
    <w:name w:val="toc 9"/>
    <w:basedOn w:val="Normal"/>
    <w:next w:val="Normal"/>
    <w:semiHidden/>
    <w:rsid w:val="00B37D3B"/>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sid w:val="00B37D3B"/>
    <w:rPr>
      <w:rFonts w:ascii="Arial" w:hAnsi="Arial"/>
      <w:lang w:val="en-AU"/>
    </w:rPr>
  </w:style>
  <w:style w:type="paragraph" w:styleId="FootnoteText">
    <w:name w:val="footnote text"/>
    <w:basedOn w:val="Normal"/>
    <w:link w:val="FootnoteTextChar"/>
    <w:rsid w:val="00B37D3B"/>
    <w:rPr>
      <w:sz w:val="18"/>
    </w:rPr>
  </w:style>
  <w:style w:type="character" w:customStyle="1" w:styleId="FootnoteTextChar">
    <w:name w:val="Footnote Text Char"/>
    <w:basedOn w:val="DefaultParagraphFont"/>
    <w:link w:val="FootnoteText"/>
    <w:rsid w:val="00B37D3B"/>
    <w:rPr>
      <w:rFonts w:ascii="Arial" w:hAnsi="Arial"/>
      <w:sz w:val="18"/>
      <w:lang w:val="en-AU"/>
    </w:rPr>
  </w:style>
  <w:style w:type="paragraph" w:customStyle="1" w:styleId="NRFABullet1">
    <w:name w:val="NRFA Bullet 1"/>
    <w:basedOn w:val="BodyText2"/>
    <w:qFormat/>
    <w:rsid w:val="00B37D3B"/>
    <w:pPr>
      <w:numPr>
        <w:numId w:val="10"/>
      </w:numPr>
      <w:tabs>
        <w:tab w:val="left" w:pos="709"/>
      </w:tabs>
      <w:outlineLvl w:val="0"/>
    </w:pPr>
  </w:style>
  <w:style w:type="paragraph" w:customStyle="1" w:styleId="NRFABullet2">
    <w:name w:val="NRFA Bullet 2"/>
    <w:basedOn w:val="NRFABullet1"/>
    <w:qFormat/>
    <w:rsid w:val="00B37D3B"/>
    <w:pPr>
      <w:numPr>
        <w:ilvl w:val="1"/>
      </w:numPr>
      <w:outlineLvl w:val="1"/>
    </w:pPr>
  </w:style>
  <w:style w:type="table" w:customStyle="1" w:styleId="NRFATable">
    <w:name w:val="NRFA Table"/>
    <w:basedOn w:val="TableNormal"/>
    <w:rsid w:val="00B37D3B"/>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B37D3B"/>
    <w:pPr>
      <w:keepNext/>
      <w:widowControl w:val="0"/>
      <w:numPr>
        <w:numId w:val="13"/>
      </w:numPr>
      <w:spacing w:before="240"/>
      <w:outlineLvl w:val="0"/>
    </w:pPr>
    <w:rPr>
      <w:b/>
    </w:rPr>
  </w:style>
  <w:style w:type="paragraph" w:customStyle="1" w:styleId="ScheduleNumbering2">
    <w:name w:val="Schedule Numbering 2"/>
    <w:basedOn w:val="Normal"/>
    <w:rsid w:val="00B37D3B"/>
    <w:pPr>
      <w:numPr>
        <w:ilvl w:val="1"/>
        <w:numId w:val="13"/>
      </w:numPr>
      <w:spacing w:before="240"/>
      <w:outlineLvl w:val="1"/>
    </w:pPr>
  </w:style>
  <w:style w:type="paragraph" w:customStyle="1" w:styleId="ScheduleNumbering3">
    <w:name w:val="Schedule Numbering 3"/>
    <w:basedOn w:val="Normal"/>
    <w:rsid w:val="00B37D3B"/>
    <w:pPr>
      <w:numPr>
        <w:ilvl w:val="2"/>
        <w:numId w:val="13"/>
      </w:numPr>
      <w:spacing w:before="240"/>
      <w:outlineLvl w:val="2"/>
    </w:pPr>
  </w:style>
  <w:style w:type="paragraph" w:customStyle="1" w:styleId="ScheduleNumbering4">
    <w:name w:val="Schedule Numbering 4"/>
    <w:basedOn w:val="Normal"/>
    <w:rsid w:val="00B37D3B"/>
    <w:pPr>
      <w:numPr>
        <w:ilvl w:val="3"/>
        <w:numId w:val="13"/>
      </w:numPr>
      <w:spacing w:before="240"/>
      <w:outlineLvl w:val="3"/>
    </w:pPr>
  </w:style>
  <w:style w:type="paragraph" w:customStyle="1" w:styleId="ScheduleNumbering5">
    <w:name w:val="Schedule Numbering 5"/>
    <w:basedOn w:val="Normal"/>
    <w:rsid w:val="00B37D3B"/>
    <w:pPr>
      <w:numPr>
        <w:ilvl w:val="4"/>
        <w:numId w:val="13"/>
      </w:numPr>
      <w:spacing w:before="240"/>
      <w:outlineLvl w:val="4"/>
    </w:pPr>
  </w:style>
  <w:style w:type="character" w:customStyle="1" w:styleId="FooterChar">
    <w:name w:val="Footer Char"/>
    <w:link w:val="Footer"/>
    <w:rPr>
      <w:rFonts w:ascii="Arial" w:hAnsi="Arial"/>
      <w:sz w:val="16"/>
      <w:lang w:val="en-AU"/>
    </w:rPr>
  </w:style>
  <w:style w:type="paragraph" w:customStyle="1" w:styleId="BilingualHeading1">
    <w:name w:val="Bilingual Heading 1"/>
    <w:basedOn w:val="Normal"/>
    <w:next w:val="BilingualHeading2"/>
    <w:unhideWhenUsed/>
    <w:rsid w:val="00B37D3B"/>
    <w:pPr>
      <w:keepNext/>
      <w:numPr>
        <w:numId w:val="3"/>
      </w:numPr>
      <w:spacing w:before="360"/>
    </w:pPr>
    <w:rPr>
      <w:b/>
      <w:sz w:val="24"/>
    </w:rPr>
  </w:style>
  <w:style w:type="paragraph" w:customStyle="1" w:styleId="BilingualHeading2">
    <w:name w:val="Bilingual Heading 2"/>
    <w:basedOn w:val="Normal"/>
    <w:next w:val="BodyText2"/>
    <w:unhideWhenUsed/>
    <w:rsid w:val="00B37D3B"/>
    <w:pPr>
      <w:numPr>
        <w:ilvl w:val="1"/>
        <w:numId w:val="3"/>
      </w:numPr>
      <w:spacing w:before="240"/>
    </w:pPr>
  </w:style>
  <w:style w:type="paragraph" w:customStyle="1" w:styleId="BilingualHeading3">
    <w:name w:val="Bilingual Heading 3"/>
    <w:basedOn w:val="Normal"/>
    <w:unhideWhenUsed/>
    <w:rsid w:val="00B37D3B"/>
    <w:pPr>
      <w:numPr>
        <w:ilvl w:val="2"/>
        <w:numId w:val="3"/>
      </w:numPr>
      <w:spacing w:before="240"/>
    </w:pPr>
  </w:style>
  <w:style w:type="paragraph" w:customStyle="1" w:styleId="BilingualHeading4">
    <w:name w:val="Bilingual Heading 4"/>
    <w:basedOn w:val="Normal"/>
    <w:unhideWhenUsed/>
    <w:rsid w:val="00B37D3B"/>
    <w:pPr>
      <w:numPr>
        <w:ilvl w:val="3"/>
        <w:numId w:val="3"/>
      </w:numPr>
      <w:spacing w:before="240"/>
    </w:pPr>
  </w:style>
  <w:style w:type="paragraph" w:customStyle="1" w:styleId="BilingualHeading5">
    <w:name w:val="Bilingual Heading 5"/>
    <w:basedOn w:val="Normal"/>
    <w:unhideWhenUsed/>
    <w:rsid w:val="00B37D3B"/>
    <w:pPr>
      <w:numPr>
        <w:ilvl w:val="4"/>
        <w:numId w:val="3"/>
      </w:numPr>
      <w:spacing w:before="240"/>
    </w:pPr>
  </w:style>
  <w:style w:type="paragraph" w:customStyle="1" w:styleId="BilingualHeading6">
    <w:name w:val="Bilingual Heading 6"/>
    <w:basedOn w:val="Normal"/>
    <w:unhideWhenUsed/>
    <w:rsid w:val="00B37D3B"/>
    <w:pPr>
      <w:numPr>
        <w:ilvl w:val="5"/>
        <w:numId w:val="3"/>
      </w:numPr>
      <w:spacing w:before="240"/>
    </w:pPr>
  </w:style>
  <w:style w:type="table" w:customStyle="1" w:styleId="BilingualTable">
    <w:name w:val="Bilingual Table"/>
    <w:basedOn w:val="TableNormal"/>
    <w:uiPriority w:val="99"/>
    <w:rsid w:val="00B37D3B"/>
    <w:rPr>
      <w:rFonts w:ascii="Arial" w:hAnsi="Arial"/>
    </w:rPr>
    <w:tblPr/>
  </w:style>
  <w:style w:type="paragraph" w:customStyle="1" w:styleId="BilingualAnnexure">
    <w:name w:val="Bilingual Annexure"/>
    <w:basedOn w:val="Normal"/>
    <w:next w:val="BodyText1"/>
    <w:rsid w:val="00B37D3B"/>
    <w:pPr>
      <w:numPr>
        <w:numId w:val="2"/>
      </w:numPr>
      <w:spacing w:before="240"/>
      <w:outlineLvl w:val="0"/>
    </w:pPr>
    <w:rPr>
      <w:b/>
      <w:sz w:val="24"/>
    </w:rPr>
  </w:style>
  <w:style w:type="table" w:styleId="TableGrid">
    <w:name w:val="Table Grid"/>
    <w:basedOn w:val="TableNormal"/>
    <w:rsid w:val="00B37D3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B37D3B"/>
    <w:pPr>
      <w:keepNext/>
      <w:numPr>
        <w:numId w:val="4"/>
      </w:numPr>
      <w:spacing w:before="240"/>
    </w:pPr>
    <w:rPr>
      <w:rFonts w:ascii="Arial" w:hAnsi="Arial"/>
      <w:b/>
      <w:lang w:val="en-AU"/>
    </w:rPr>
  </w:style>
  <w:style w:type="paragraph" w:customStyle="1" w:styleId="BilingualRecital">
    <w:name w:val="Bilingual Recital"/>
    <w:basedOn w:val="Normal"/>
    <w:rsid w:val="00B37D3B"/>
    <w:pPr>
      <w:numPr>
        <w:numId w:val="5"/>
      </w:numPr>
      <w:spacing w:before="240"/>
    </w:pPr>
  </w:style>
  <w:style w:type="paragraph" w:customStyle="1" w:styleId="BilingualSchedule">
    <w:name w:val="Bilingual Schedule"/>
    <w:basedOn w:val="Normal"/>
    <w:next w:val="BodyText1"/>
    <w:rsid w:val="00B37D3B"/>
    <w:pPr>
      <w:keepNext/>
      <w:numPr>
        <w:numId w:val="6"/>
      </w:numPr>
      <w:spacing w:before="480"/>
      <w:outlineLvl w:val="0"/>
    </w:pPr>
    <w:rPr>
      <w:b/>
      <w:sz w:val="24"/>
    </w:rPr>
  </w:style>
  <w:style w:type="paragraph" w:customStyle="1" w:styleId="BilingualScheduleNumbering1">
    <w:name w:val="Bilingual Schedule Numbering 1"/>
    <w:basedOn w:val="Normal"/>
    <w:next w:val="Normal"/>
    <w:rsid w:val="00B37D3B"/>
    <w:pPr>
      <w:keepNext/>
      <w:widowControl w:val="0"/>
      <w:numPr>
        <w:numId w:val="7"/>
      </w:numPr>
      <w:spacing w:before="240"/>
      <w:outlineLvl w:val="0"/>
    </w:pPr>
    <w:rPr>
      <w:b/>
    </w:rPr>
  </w:style>
  <w:style w:type="paragraph" w:customStyle="1" w:styleId="BilingualScheduleNumbering2">
    <w:name w:val="Bilingual Schedule Numbering 2"/>
    <w:basedOn w:val="Normal"/>
    <w:rsid w:val="00B37D3B"/>
    <w:pPr>
      <w:numPr>
        <w:ilvl w:val="1"/>
        <w:numId w:val="7"/>
      </w:numPr>
      <w:spacing w:before="240"/>
      <w:outlineLvl w:val="1"/>
    </w:pPr>
  </w:style>
  <w:style w:type="paragraph" w:customStyle="1" w:styleId="BilingualScheduleNumbering3">
    <w:name w:val="Bilingual Schedule Numbering 3"/>
    <w:basedOn w:val="Normal"/>
    <w:rsid w:val="00B37D3B"/>
    <w:pPr>
      <w:numPr>
        <w:ilvl w:val="2"/>
        <w:numId w:val="7"/>
      </w:numPr>
      <w:spacing w:before="240"/>
      <w:outlineLvl w:val="2"/>
    </w:pPr>
  </w:style>
  <w:style w:type="paragraph" w:customStyle="1" w:styleId="BilingualScheduleNumbering4">
    <w:name w:val="Bilingual Schedule Numbering 4"/>
    <w:basedOn w:val="Normal"/>
    <w:rsid w:val="00B37D3B"/>
    <w:pPr>
      <w:numPr>
        <w:ilvl w:val="3"/>
        <w:numId w:val="7"/>
      </w:numPr>
      <w:spacing w:before="240"/>
      <w:outlineLvl w:val="3"/>
    </w:pPr>
  </w:style>
  <w:style w:type="paragraph" w:customStyle="1" w:styleId="BilingualScheduleNumbering5">
    <w:name w:val="Bilingual Schedule Numbering 5"/>
    <w:basedOn w:val="Normal"/>
    <w:rsid w:val="00B37D3B"/>
    <w:pPr>
      <w:numPr>
        <w:ilvl w:val="4"/>
        <w:numId w:val="7"/>
      </w:numPr>
      <w:spacing w:before="240"/>
      <w:outlineLvl w:val="4"/>
    </w:pPr>
  </w:style>
  <w:style w:type="paragraph" w:styleId="ListParagraph">
    <w:name w:val="List Paragraph"/>
    <w:basedOn w:val="Normal"/>
    <w:uiPriority w:val="34"/>
    <w:qFormat/>
    <w:rsid w:val="003F6B52"/>
    <w:pPr>
      <w:ind w:left="720"/>
      <w:contextualSpacing/>
    </w:pPr>
  </w:style>
  <w:style w:type="character" w:styleId="FollowedHyperlink">
    <w:name w:val="FollowedHyperlink"/>
    <w:basedOn w:val="DefaultParagraphFont"/>
    <w:semiHidden/>
    <w:unhideWhenUsed/>
    <w:rsid w:val="00377A66"/>
    <w:rPr>
      <w:color w:val="800080" w:themeColor="followedHyperlink"/>
      <w:u w:val="single"/>
    </w:rPr>
  </w:style>
  <w:style w:type="character" w:styleId="CommentReference">
    <w:name w:val="annotation reference"/>
    <w:basedOn w:val="DefaultParagraphFont"/>
    <w:semiHidden/>
    <w:unhideWhenUsed/>
    <w:rsid w:val="0026452F"/>
    <w:rPr>
      <w:sz w:val="16"/>
      <w:szCs w:val="16"/>
    </w:rPr>
  </w:style>
  <w:style w:type="paragraph" w:styleId="CommentText">
    <w:name w:val="annotation text"/>
    <w:basedOn w:val="Normal"/>
    <w:link w:val="CommentTextChar"/>
    <w:unhideWhenUsed/>
    <w:rsid w:val="0026452F"/>
  </w:style>
  <w:style w:type="character" w:customStyle="1" w:styleId="CommentTextChar">
    <w:name w:val="Comment Text Char"/>
    <w:basedOn w:val="DefaultParagraphFont"/>
    <w:link w:val="CommentText"/>
    <w:rsid w:val="0026452F"/>
    <w:rPr>
      <w:rFonts w:ascii="Arial" w:hAnsi="Arial"/>
      <w:lang w:val="en-AU"/>
    </w:rPr>
  </w:style>
  <w:style w:type="paragraph" w:styleId="CommentSubject">
    <w:name w:val="annotation subject"/>
    <w:basedOn w:val="CommentText"/>
    <w:next w:val="CommentText"/>
    <w:link w:val="CommentSubjectChar"/>
    <w:semiHidden/>
    <w:unhideWhenUsed/>
    <w:rsid w:val="0026452F"/>
    <w:rPr>
      <w:b/>
      <w:bCs/>
    </w:rPr>
  </w:style>
  <w:style w:type="character" w:customStyle="1" w:styleId="CommentSubjectChar">
    <w:name w:val="Comment Subject Char"/>
    <w:basedOn w:val="CommentTextChar"/>
    <w:link w:val="CommentSubject"/>
    <w:semiHidden/>
    <w:rsid w:val="0026452F"/>
    <w:rPr>
      <w:rFonts w:ascii="Arial" w:hAnsi="Arial"/>
      <w:b/>
      <w:bCs/>
      <w:lang w:val="en-AU"/>
    </w:rPr>
  </w:style>
  <w:style w:type="paragraph" w:styleId="BalloonText">
    <w:name w:val="Balloon Text"/>
    <w:basedOn w:val="Normal"/>
    <w:link w:val="BalloonTextChar"/>
    <w:semiHidden/>
    <w:unhideWhenUsed/>
    <w:rsid w:val="0026452F"/>
    <w:rPr>
      <w:rFonts w:ascii="Segoe UI" w:hAnsi="Segoe UI" w:cs="Segoe UI"/>
      <w:sz w:val="18"/>
      <w:szCs w:val="18"/>
    </w:rPr>
  </w:style>
  <w:style w:type="character" w:customStyle="1" w:styleId="BalloonTextChar">
    <w:name w:val="Balloon Text Char"/>
    <w:basedOn w:val="DefaultParagraphFont"/>
    <w:link w:val="BalloonText"/>
    <w:semiHidden/>
    <w:rsid w:val="0026452F"/>
    <w:rPr>
      <w:rFonts w:ascii="Segoe UI" w:hAnsi="Segoe UI" w:cs="Segoe UI"/>
      <w:sz w:val="18"/>
      <w:szCs w:val="18"/>
      <w:lang w:val="en-AU"/>
    </w:rPr>
  </w:style>
  <w:style w:type="paragraph" w:styleId="ListBullet">
    <w:name w:val="List Bullet"/>
    <w:basedOn w:val="Normal"/>
    <w:uiPriority w:val="1"/>
    <w:qFormat/>
    <w:rsid w:val="00556FCF"/>
    <w:pPr>
      <w:numPr>
        <w:numId w:val="21"/>
      </w:numPr>
      <w:spacing w:after="120" w:line="240" w:lineRule="atLeast"/>
    </w:pPr>
    <w:rPr>
      <w:rFonts w:asciiTheme="minorHAnsi" w:hAnsiTheme="minorHAnsi" w:cs="Arial"/>
      <w:sz w:val="18"/>
      <w:lang w:val="en-GB"/>
    </w:rPr>
  </w:style>
  <w:style w:type="paragraph" w:styleId="ListBullet2">
    <w:name w:val="List Bullet 2"/>
    <w:basedOn w:val="Normal"/>
    <w:uiPriority w:val="1"/>
    <w:qFormat/>
    <w:rsid w:val="00556FCF"/>
    <w:pPr>
      <w:numPr>
        <w:ilvl w:val="1"/>
        <w:numId w:val="21"/>
      </w:numPr>
      <w:spacing w:after="120" w:line="240" w:lineRule="atLeast"/>
    </w:pPr>
    <w:rPr>
      <w:rFonts w:asciiTheme="minorHAnsi" w:hAnsiTheme="minorHAnsi" w:cs="Arial"/>
      <w:sz w:val="18"/>
      <w:lang w:val="en-GB"/>
    </w:rPr>
  </w:style>
  <w:style w:type="numbering" w:customStyle="1" w:styleId="GTListBullet">
    <w:name w:val="GT List Bullet"/>
    <w:uiPriority w:val="99"/>
    <w:rsid w:val="00556FCF"/>
    <w:pPr>
      <w:numPr>
        <w:numId w:val="20"/>
      </w:numPr>
    </w:pPr>
  </w:style>
  <w:style w:type="paragraph" w:styleId="ListBullet3">
    <w:name w:val="List Bullet 3"/>
    <w:basedOn w:val="Normal"/>
    <w:uiPriority w:val="1"/>
    <w:qFormat/>
    <w:rsid w:val="00556FCF"/>
    <w:pPr>
      <w:numPr>
        <w:ilvl w:val="2"/>
        <w:numId w:val="21"/>
      </w:numPr>
      <w:spacing w:after="120" w:line="240" w:lineRule="atLeast"/>
      <w:contextualSpacing/>
    </w:pPr>
    <w:rPr>
      <w:rFonts w:asciiTheme="minorHAnsi" w:hAnsiTheme="minorHAnsi" w:cs="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orton%20Rose\NR%20OfficeAddins\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customXml/itemProps2.xml><?xml version="1.0" encoding="utf-8"?>
<ds:datastoreItem xmlns:ds="http://schemas.openxmlformats.org/officeDocument/2006/customXml" ds:itemID="{910CD350-0F63-4BF0-80D6-A24E70E0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Doc.dotm</Template>
  <TotalTime>1</TotalTime>
  <Pages>3</Pages>
  <Words>834</Words>
  <Characters>4524</Characters>
  <Application>Microsoft Office Word</Application>
  <DocSecurity>0</DocSecurity>
  <Lines>156</Lines>
  <Paragraphs>81</Paragraphs>
  <ScaleCrop>false</ScaleCrop>
  <HeadingPairs>
    <vt:vector size="2" baseType="variant">
      <vt:variant>
        <vt:lpstr>Title</vt:lpstr>
      </vt:variant>
      <vt:variant>
        <vt:i4>1</vt:i4>
      </vt:variant>
    </vt:vector>
  </HeadingPairs>
  <TitlesOfParts>
    <vt:vector size="1" baseType="lpstr">
      <vt:lpstr/>
    </vt:vector>
  </TitlesOfParts>
  <Manager>2651381/117778382_1</Manager>
  <Company>Norton Rose Fulbright</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2651381</dc:subject>
  <dc:creator>Norton Rose Fulbright Australia</dc:creator>
  <cp:lastModifiedBy>Norton Rose Fulbright Australia</cp:lastModifiedBy>
  <cp:revision>2</cp:revision>
  <dcterms:created xsi:type="dcterms:W3CDTF">2021-06-09T07:08:00Z</dcterms:created>
  <dcterms:modified xsi:type="dcterms:W3CDTF">2021-06-09T07:08:00Z</dcterms:modified>
  <cp:category>117778382_1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DocumentDatabase">
    <vt:lpwstr>APAC</vt:lpwstr>
  </property>
  <property fmtid="{D5CDD505-2E9C-101B-9397-08002B2CF9AE}" pid="4" name="DocumentVersion">
    <vt:lpwstr>1</vt:lpwstr>
  </property>
  <property fmtid="{D5CDD505-2E9C-101B-9397-08002B2CF9AE}" pid="5" name="DocumentNumber">
    <vt:lpwstr>117778382</vt:lpwstr>
  </property>
  <property fmtid="{D5CDD505-2E9C-101B-9397-08002B2CF9AE}" pid="6" name="DocumentCreationDate">
    <vt:filetime>2021-06-07T14:00:00Z</vt:filetime>
  </property>
  <property fmtid="{D5CDD505-2E9C-101B-9397-08002B2CF9AE}" pid="7" name="ShowGUI">
    <vt:bool>true</vt:bool>
  </property>
  <property fmtid="{D5CDD505-2E9C-101B-9397-08002B2CF9AE}" pid="8" name="DocumentOperator">
    <vt:lpwstr>STEPHANIE.TRAJCEVSKA</vt:lpwstr>
  </property>
  <property fmtid="{D5CDD505-2E9C-101B-9397-08002B2CF9AE}" pid="9" name="DocumentAuthor">
    <vt:lpwstr>Trajcevska, Stephanie</vt:lpwstr>
  </property>
  <property fmtid="{D5CDD505-2E9C-101B-9397-08002B2CF9AE}" pid="10" name="ClientCode">
    <vt:lpwstr>1043614</vt:lpwstr>
  </property>
  <property fmtid="{D5CDD505-2E9C-101B-9397-08002B2CF9AE}" pid="11" name="MatterNumber">
    <vt:lpwstr>2651381</vt:lpwstr>
  </property>
  <property fmtid="{D5CDD505-2E9C-101B-9397-08002B2CF9AE}" pid="12" name="Locale">
    <vt:lpwstr>Australia</vt:lpwstr>
  </property>
  <property fmtid="{D5CDD505-2E9C-101B-9397-08002B2CF9AE}" pid="13" name="ShowVBADialog">
    <vt:bool>true</vt:bool>
  </property>
  <property fmtid="{D5CDD505-2E9C-101B-9397-08002B2CF9AE}" pid="14" name="DocumentTitle">
    <vt:lpwstr>Ion Science Ltd and Duncan Johns v Persons Unknown, Binance Holdings Limited and Payward Limited</vt:lpwstr>
  </property>
</Properties>
</file>