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r w:rsidDel="00000000" w:rsidR="00000000" w:rsidRPr="00000000">
        <w:rPr>
          <w:b w:val="1"/>
          <w:sz w:val="24"/>
          <w:szCs w:val="24"/>
          <w:rtl w:val="0"/>
        </w:rPr>
        <w:t xml:space="preserve">INSOL EUROPE </w:t>
      </w:r>
    </w:p>
    <w:p w:rsidR="00000000" w:rsidDel="00000000" w:rsidP="00000000" w:rsidRDefault="00000000" w:rsidRPr="00000000" w14:paraId="00000002">
      <w:pPr>
        <w:jc w:val="center"/>
        <w:rPr>
          <w:b w:val="1"/>
          <w:sz w:val="24"/>
          <w:szCs w:val="24"/>
        </w:rPr>
      </w:pPr>
      <w:r w:rsidDel="00000000" w:rsidR="00000000" w:rsidRPr="00000000">
        <w:rPr>
          <w:rtl w:val="0"/>
        </w:rPr>
      </w:r>
    </w:p>
    <w:p w:rsidR="00000000" w:rsidDel="00000000" w:rsidP="00000000" w:rsidRDefault="00000000" w:rsidRPr="00000000" w14:paraId="00000003">
      <w:pPr>
        <w:jc w:val="center"/>
        <w:rPr>
          <w:b w:val="1"/>
          <w:sz w:val="24"/>
          <w:szCs w:val="24"/>
        </w:rPr>
      </w:pPr>
      <w:r w:rsidDel="00000000" w:rsidR="00000000" w:rsidRPr="00000000">
        <w:rPr>
          <w:b w:val="1"/>
          <w:sz w:val="24"/>
          <w:szCs w:val="24"/>
          <w:rtl w:val="0"/>
        </w:rPr>
        <w:t xml:space="preserve">DIGITAL ASSETS CASE SUMMARIES</w:t>
      </w:r>
    </w:p>
    <w:p w:rsidR="00000000" w:rsidDel="00000000" w:rsidP="00000000" w:rsidRDefault="00000000" w:rsidRPr="00000000" w14:paraId="00000004">
      <w:pPr>
        <w:jc w:val="center"/>
        <w:rPr>
          <w:b w:val="1"/>
          <w:i w:val="1"/>
          <w:sz w:val="24"/>
          <w:szCs w:val="24"/>
        </w:rPr>
      </w:pPr>
      <w:r w:rsidDel="00000000" w:rsidR="00000000" w:rsidRPr="00000000">
        <w:rPr>
          <w:rtl w:val="0"/>
        </w:rPr>
      </w:r>
    </w:p>
    <w:tbl>
      <w:tblPr>
        <w:tblStyle w:val="Table1"/>
        <w:tblW w:w="87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45"/>
        <w:gridCol w:w="5730"/>
        <w:tblGridChange w:id="0">
          <w:tblGrid>
            <w:gridCol w:w="3045"/>
            <w:gridCol w:w="5730"/>
          </w:tblGrid>
        </w:tblGridChange>
      </w:tblGrid>
      <w:tr>
        <w:tc>
          <w:tcPr>
            <w:gridSpan w:val="2"/>
            <w:shd w:fill="d9d9d9" w:val="clear"/>
          </w:tcPr>
          <w:p w:rsidR="00000000" w:rsidDel="00000000" w:rsidP="00000000" w:rsidRDefault="00000000" w:rsidRPr="00000000" w14:paraId="00000005">
            <w:pPr>
              <w:spacing w:after="240" w:lineRule="auto"/>
              <w:jc w:val="center"/>
              <w:rPr>
                <w:b w:val="1"/>
              </w:rPr>
            </w:pPr>
            <w:r w:rsidDel="00000000" w:rsidR="00000000" w:rsidRPr="00000000">
              <w:rPr>
                <w:b w:val="1"/>
                <w:rtl w:val="0"/>
              </w:rPr>
              <w:t xml:space="preserve">Overview</w:t>
            </w:r>
          </w:p>
        </w:tc>
      </w:tr>
      <w:tr>
        <w:tc>
          <w:tcPr/>
          <w:p w:rsidR="00000000" w:rsidDel="00000000" w:rsidP="00000000" w:rsidRDefault="00000000" w:rsidRPr="00000000" w14:paraId="00000007">
            <w:pPr>
              <w:spacing w:after="240" w:lineRule="auto"/>
              <w:rPr>
                <w:b w:val="1"/>
              </w:rPr>
            </w:pPr>
            <w:r w:rsidDel="00000000" w:rsidR="00000000" w:rsidRPr="00000000">
              <w:rPr>
                <w:b w:val="1"/>
                <w:rtl w:val="0"/>
              </w:rPr>
              <w:t xml:space="preserve">Case Citation</w:t>
            </w:r>
          </w:p>
        </w:tc>
        <w:tc>
          <w:tcPr/>
          <w:p w:rsidR="00000000" w:rsidDel="00000000" w:rsidP="00000000" w:rsidRDefault="00000000" w:rsidRPr="00000000" w14:paraId="00000008">
            <w:pPr>
              <w:spacing w:after="240" w:lineRule="auto"/>
              <w:rPr>
                <w:b w:val="1"/>
              </w:rPr>
            </w:pPr>
            <w:r w:rsidDel="00000000" w:rsidR="00000000" w:rsidRPr="00000000">
              <w:rPr>
                <w:b w:val="1"/>
                <w:rtl w:val="0"/>
              </w:rPr>
              <w:t xml:space="preserve">2-18-16076</w:t>
            </w:r>
          </w:p>
          <w:p w:rsidR="00000000" w:rsidDel="00000000" w:rsidP="00000000" w:rsidRDefault="00000000" w:rsidRPr="00000000" w14:paraId="00000009">
            <w:pPr>
              <w:spacing w:after="240" w:lineRule="auto"/>
              <w:rPr/>
            </w:pPr>
            <w:r w:rsidDel="00000000" w:rsidR="00000000" w:rsidRPr="00000000">
              <w:rPr>
                <w:rtl w:val="0"/>
              </w:rPr>
              <w:t xml:space="preserve">Polybius Foundation OÜ action XX against the debt and fine for delay.</w:t>
            </w:r>
          </w:p>
        </w:tc>
      </w:tr>
      <w:tr>
        <w:trPr>
          <w:trHeight w:val="532" w:hRule="atLeast"/>
        </w:trPr>
        <w:tc>
          <w:tcPr/>
          <w:p w:rsidR="00000000" w:rsidDel="00000000" w:rsidP="00000000" w:rsidRDefault="00000000" w:rsidRPr="00000000" w14:paraId="0000000A">
            <w:pPr>
              <w:spacing w:after="240" w:lineRule="auto"/>
              <w:rPr>
                <w:b w:val="1"/>
              </w:rPr>
            </w:pPr>
            <w:r w:rsidDel="00000000" w:rsidR="00000000" w:rsidRPr="00000000">
              <w:rPr>
                <w:b w:val="1"/>
                <w:rtl w:val="0"/>
              </w:rPr>
              <w:t xml:space="preserve">Date of judgment</w:t>
            </w:r>
          </w:p>
        </w:tc>
        <w:tc>
          <w:tcPr/>
          <w:p w:rsidR="00000000" w:rsidDel="00000000" w:rsidP="00000000" w:rsidRDefault="00000000" w:rsidRPr="00000000" w14:paraId="0000000B">
            <w:pPr>
              <w:spacing w:after="240" w:lineRule="auto"/>
              <w:rPr/>
            </w:pPr>
            <w:r w:rsidDel="00000000" w:rsidR="00000000" w:rsidRPr="00000000">
              <w:rPr>
                <w:rtl w:val="0"/>
              </w:rPr>
              <w:t xml:space="preserve">06 January 2020</w:t>
            </w:r>
          </w:p>
        </w:tc>
      </w:tr>
      <w:tr>
        <w:tc>
          <w:tcPr/>
          <w:p w:rsidR="00000000" w:rsidDel="00000000" w:rsidP="00000000" w:rsidRDefault="00000000" w:rsidRPr="00000000" w14:paraId="0000000C">
            <w:pPr>
              <w:spacing w:after="240" w:lineRule="auto"/>
              <w:rPr>
                <w:b w:val="1"/>
              </w:rPr>
            </w:pPr>
            <w:r w:rsidDel="00000000" w:rsidR="00000000" w:rsidRPr="00000000">
              <w:rPr>
                <w:b w:val="1"/>
                <w:rtl w:val="0"/>
              </w:rPr>
              <w:t xml:space="preserve">Country</w:t>
            </w:r>
          </w:p>
        </w:tc>
        <w:tc>
          <w:tcPr/>
          <w:p w:rsidR="00000000" w:rsidDel="00000000" w:rsidP="00000000" w:rsidRDefault="00000000" w:rsidRPr="00000000" w14:paraId="0000000D">
            <w:pPr>
              <w:spacing w:after="240" w:lineRule="auto"/>
              <w:rPr/>
            </w:pPr>
            <w:r w:rsidDel="00000000" w:rsidR="00000000" w:rsidRPr="00000000">
              <w:rPr>
                <w:rtl w:val="0"/>
              </w:rPr>
              <w:t xml:space="preserve">Estonia</w:t>
            </w:r>
          </w:p>
        </w:tc>
      </w:tr>
      <w:tr>
        <w:tc>
          <w:tcPr/>
          <w:p w:rsidR="00000000" w:rsidDel="00000000" w:rsidP="00000000" w:rsidRDefault="00000000" w:rsidRPr="00000000" w14:paraId="0000000E">
            <w:pPr>
              <w:spacing w:after="240" w:lineRule="auto"/>
              <w:rPr>
                <w:b w:val="1"/>
              </w:rPr>
            </w:pPr>
            <w:r w:rsidDel="00000000" w:rsidR="00000000" w:rsidRPr="00000000">
              <w:rPr>
                <w:b w:val="1"/>
                <w:rtl w:val="0"/>
              </w:rPr>
              <w:t xml:space="preserve">Original Language of Judgment</w:t>
            </w:r>
          </w:p>
        </w:tc>
        <w:tc>
          <w:tcPr/>
          <w:p w:rsidR="00000000" w:rsidDel="00000000" w:rsidP="00000000" w:rsidRDefault="00000000" w:rsidRPr="00000000" w14:paraId="0000000F">
            <w:pPr>
              <w:spacing w:after="240" w:lineRule="auto"/>
              <w:rPr/>
            </w:pPr>
            <w:r w:rsidDel="00000000" w:rsidR="00000000" w:rsidRPr="00000000">
              <w:rPr>
                <w:rtl w:val="0"/>
              </w:rPr>
              <w:t xml:space="preserve">Estonian</w:t>
            </w:r>
          </w:p>
        </w:tc>
      </w:tr>
      <w:tr>
        <w:tc>
          <w:tcPr/>
          <w:p w:rsidR="00000000" w:rsidDel="00000000" w:rsidP="00000000" w:rsidRDefault="00000000" w:rsidRPr="00000000" w14:paraId="00000010">
            <w:pPr>
              <w:spacing w:after="240" w:lineRule="auto"/>
              <w:rPr>
                <w:b w:val="1"/>
              </w:rPr>
            </w:pPr>
            <w:r w:rsidDel="00000000" w:rsidR="00000000" w:rsidRPr="00000000">
              <w:rPr>
                <w:b w:val="1"/>
                <w:rtl w:val="0"/>
              </w:rPr>
              <w:t xml:space="preserve">Court</w:t>
            </w:r>
          </w:p>
        </w:tc>
        <w:tc>
          <w:tcPr/>
          <w:p w:rsidR="00000000" w:rsidDel="00000000" w:rsidP="00000000" w:rsidRDefault="00000000" w:rsidRPr="00000000" w14:paraId="00000011">
            <w:pPr>
              <w:spacing w:after="240" w:lineRule="auto"/>
              <w:rPr/>
            </w:pPr>
            <w:r w:rsidDel="00000000" w:rsidR="00000000" w:rsidRPr="00000000">
              <w:rPr>
                <w:rtl w:val="0"/>
              </w:rPr>
              <w:t xml:space="preserve">Tallinn Circuit Court</w:t>
            </w:r>
          </w:p>
        </w:tc>
      </w:tr>
      <w:tr>
        <w:tc>
          <w:tcPr/>
          <w:p w:rsidR="00000000" w:rsidDel="00000000" w:rsidP="00000000" w:rsidRDefault="00000000" w:rsidRPr="00000000" w14:paraId="00000012">
            <w:pPr>
              <w:spacing w:after="240" w:lineRule="auto"/>
              <w:rPr>
                <w:b w:val="1"/>
              </w:rPr>
            </w:pPr>
            <w:r w:rsidDel="00000000" w:rsidR="00000000" w:rsidRPr="00000000">
              <w:rPr>
                <w:b w:val="1"/>
                <w:rtl w:val="0"/>
              </w:rPr>
              <w:t xml:space="preserve">Subject matter/catchwords</w:t>
            </w:r>
          </w:p>
        </w:tc>
        <w:tc>
          <w:tcPr/>
          <w:p w:rsidR="00000000" w:rsidDel="00000000" w:rsidP="00000000" w:rsidRDefault="00000000" w:rsidRPr="00000000" w14:paraId="00000013">
            <w:pPr>
              <w:spacing w:after="240" w:lineRule="auto"/>
              <w:rPr/>
            </w:pPr>
            <w:r w:rsidDel="00000000" w:rsidR="00000000" w:rsidRPr="00000000">
              <w:rPr>
                <w:rtl w:val="0"/>
              </w:rPr>
              <w:t xml:space="preserve">Identifying the parties to cryptocurrency transactions, reviewing the terms of the contract and defining the consumer.</w:t>
            </w:r>
          </w:p>
        </w:tc>
      </w:tr>
      <w:tr>
        <w:tc>
          <w:tcPr/>
          <w:p w:rsidR="00000000" w:rsidDel="00000000" w:rsidP="00000000" w:rsidRDefault="00000000" w:rsidRPr="00000000" w14:paraId="00000014">
            <w:pPr>
              <w:spacing w:after="240" w:lineRule="auto"/>
              <w:rPr>
                <w:b w:val="1"/>
              </w:rPr>
            </w:pPr>
            <w:r w:rsidDel="00000000" w:rsidR="00000000" w:rsidRPr="00000000">
              <w:rPr>
                <w:b w:val="1"/>
                <w:rtl w:val="0"/>
              </w:rPr>
              <w:t xml:space="preserve">Decision summary</w:t>
            </w:r>
          </w:p>
        </w:tc>
        <w:tc>
          <w:tcPr/>
          <w:p w:rsidR="00000000" w:rsidDel="00000000" w:rsidP="00000000" w:rsidRDefault="00000000" w:rsidRPr="00000000" w14:paraId="00000015">
            <w:pPr>
              <w:spacing w:after="240" w:lineRule="auto"/>
              <w:rPr/>
            </w:pPr>
            <w:r w:rsidDel="00000000" w:rsidR="00000000" w:rsidRPr="00000000">
              <w:rPr>
                <w:rtl w:val="0"/>
              </w:rPr>
              <w:t xml:space="preserve">The court has found that there was a valid contract between the parties, so that the plaintiff has no obligation to pay money to the defendant.</w:t>
            </w:r>
          </w:p>
        </w:tc>
      </w:tr>
      <w:tr>
        <w:tc>
          <w:tcPr/>
          <w:p w:rsidR="00000000" w:rsidDel="00000000" w:rsidP="00000000" w:rsidRDefault="00000000" w:rsidRPr="00000000" w14:paraId="00000016">
            <w:pPr>
              <w:spacing w:after="240" w:lineRule="auto"/>
              <w:rPr>
                <w:b w:val="1"/>
              </w:rPr>
            </w:pPr>
            <w:r w:rsidDel="00000000" w:rsidR="00000000" w:rsidRPr="00000000">
              <w:rPr>
                <w:b w:val="1"/>
                <w:rtl w:val="0"/>
              </w:rPr>
              <w:t xml:space="preserve">Digital asset involved (e.g. Bitcoin, Ethereum, Ripple etc.)</w:t>
            </w:r>
          </w:p>
        </w:tc>
        <w:tc>
          <w:tcPr/>
          <w:p w:rsidR="00000000" w:rsidDel="00000000" w:rsidP="00000000" w:rsidRDefault="00000000" w:rsidRPr="00000000" w14:paraId="00000017">
            <w:pPr>
              <w:spacing w:after="240" w:lineRule="auto"/>
              <w:rPr/>
            </w:pPr>
            <w:r w:rsidDel="00000000" w:rsidR="00000000" w:rsidRPr="00000000">
              <w:rPr>
                <w:rtl w:val="0"/>
              </w:rPr>
              <w:t xml:space="preserve">Polybius Token</w:t>
            </w:r>
          </w:p>
        </w:tc>
      </w:tr>
      <w:tr>
        <w:tc>
          <w:tcPr/>
          <w:p w:rsidR="00000000" w:rsidDel="00000000" w:rsidP="00000000" w:rsidRDefault="00000000" w:rsidRPr="00000000" w14:paraId="00000018">
            <w:pPr>
              <w:spacing w:after="240" w:lineRule="auto"/>
              <w:rPr>
                <w:b w:val="1"/>
              </w:rPr>
            </w:pPr>
            <w:r w:rsidDel="00000000" w:rsidR="00000000" w:rsidRPr="00000000">
              <w:rPr>
                <w:b w:val="1"/>
                <w:rtl w:val="0"/>
              </w:rPr>
              <w:t xml:space="preserve">Valuation issues</w:t>
            </w:r>
          </w:p>
        </w:tc>
        <w:tc>
          <w:tcPr/>
          <w:p w:rsidR="00000000" w:rsidDel="00000000" w:rsidP="00000000" w:rsidRDefault="00000000" w:rsidRPr="00000000" w14:paraId="00000019">
            <w:pPr>
              <w:spacing w:after="240" w:lineRule="auto"/>
              <w:rPr/>
            </w:pPr>
            <w:r w:rsidDel="00000000" w:rsidR="00000000" w:rsidRPr="00000000">
              <w:rPr>
                <w:rtl w:val="0"/>
              </w:rPr>
              <w:t xml:space="preserve">N/A</w:t>
            </w:r>
          </w:p>
        </w:tc>
      </w:tr>
      <w:tr>
        <w:tc>
          <w:tcPr>
            <w:gridSpan w:val="2"/>
            <w:shd w:fill="d9d9d9" w:val="clear"/>
          </w:tcPr>
          <w:p w:rsidR="00000000" w:rsidDel="00000000" w:rsidP="00000000" w:rsidRDefault="00000000" w:rsidRPr="00000000" w14:paraId="0000001A">
            <w:pPr>
              <w:spacing w:after="240" w:lineRule="auto"/>
              <w:jc w:val="center"/>
              <w:rPr>
                <w:b w:val="1"/>
              </w:rPr>
            </w:pPr>
            <w:r w:rsidDel="00000000" w:rsidR="00000000" w:rsidRPr="00000000">
              <w:rPr>
                <w:b w:val="1"/>
                <w:rtl w:val="0"/>
              </w:rPr>
              <w:t xml:space="preserve">Expanded Case Description</w:t>
            </w:r>
          </w:p>
        </w:tc>
      </w:tr>
      <w:tr>
        <w:tc>
          <w:tcPr/>
          <w:p w:rsidR="00000000" w:rsidDel="00000000" w:rsidP="00000000" w:rsidRDefault="00000000" w:rsidRPr="00000000" w14:paraId="0000001C">
            <w:pPr>
              <w:spacing w:after="240" w:lineRule="auto"/>
              <w:rPr>
                <w:b w:val="1"/>
              </w:rPr>
            </w:pPr>
            <w:r w:rsidDel="00000000" w:rsidR="00000000" w:rsidRPr="00000000">
              <w:rPr>
                <w:b w:val="1"/>
                <w:rtl w:val="0"/>
              </w:rPr>
              <w:t xml:space="preserve">Defendant</w:t>
            </w:r>
          </w:p>
        </w:tc>
        <w:tc>
          <w:tcPr/>
          <w:p w:rsidR="00000000" w:rsidDel="00000000" w:rsidP="00000000" w:rsidRDefault="00000000" w:rsidRPr="00000000" w14:paraId="0000001D">
            <w:pPr>
              <w:spacing w:after="240" w:lineRule="auto"/>
              <w:rPr/>
            </w:pPr>
            <w:r w:rsidDel="00000000" w:rsidR="00000000" w:rsidRPr="00000000">
              <w:rPr>
                <w:rtl w:val="0"/>
              </w:rPr>
              <w:t xml:space="preserve">Private person XX</w:t>
            </w:r>
          </w:p>
        </w:tc>
      </w:tr>
      <w:tr>
        <w:tc>
          <w:tcPr/>
          <w:p w:rsidR="00000000" w:rsidDel="00000000" w:rsidP="00000000" w:rsidRDefault="00000000" w:rsidRPr="00000000" w14:paraId="0000001E">
            <w:pPr>
              <w:spacing w:after="240" w:lineRule="auto"/>
              <w:rPr>
                <w:b w:val="1"/>
              </w:rPr>
            </w:pPr>
            <w:r w:rsidDel="00000000" w:rsidR="00000000" w:rsidRPr="00000000">
              <w:rPr>
                <w:b w:val="1"/>
                <w:rtl w:val="0"/>
              </w:rPr>
              <w:t xml:space="preserve">Identity of Insolvency Practitioner (if applicable)</w:t>
            </w:r>
          </w:p>
        </w:tc>
        <w:tc>
          <w:tcPr/>
          <w:p w:rsidR="00000000" w:rsidDel="00000000" w:rsidP="00000000" w:rsidRDefault="00000000" w:rsidRPr="00000000" w14:paraId="0000001F">
            <w:pPr>
              <w:spacing w:after="240" w:lineRule="auto"/>
              <w:rPr/>
            </w:pPr>
            <w:r w:rsidDel="00000000" w:rsidR="00000000" w:rsidRPr="00000000">
              <w:rPr>
                <w:rtl w:val="0"/>
              </w:rPr>
              <w:t xml:space="preserve">N/A</w:t>
            </w:r>
          </w:p>
        </w:tc>
      </w:tr>
      <w:tr>
        <w:tc>
          <w:tcPr/>
          <w:p w:rsidR="00000000" w:rsidDel="00000000" w:rsidP="00000000" w:rsidRDefault="00000000" w:rsidRPr="00000000" w14:paraId="00000020">
            <w:pPr>
              <w:spacing w:after="240" w:lineRule="auto"/>
              <w:rPr>
                <w:b w:val="1"/>
              </w:rPr>
            </w:pPr>
            <w:r w:rsidDel="00000000" w:rsidR="00000000" w:rsidRPr="00000000">
              <w:rPr>
                <w:b w:val="1"/>
                <w:rtl w:val="0"/>
              </w:rPr>
              <w:t xml:space="preserve">Authorities considered by this casxe (categorised by country)</w:t>
            </w:r>
          </w:p>
        </w:tc>
        <w:tc>
          <w:tcPr/>
          <w:p w:rsidR="00000000" w:rsidDel="00000000" w:rsidP="00000000" w:rsidRDefault="00000000" w:rsidRPr="00000000" w14:paraId="00000021">
            <w:pPr>
              <w:spacing w:after="240" w:lineRule="auto"/>
              <w:rPr/>
            </w:pPr>
            <w:r w:rsidDel="00000000" w:rsidR="00000000" w:rsidRPr="00000000">
              <w:rPr>
                <w:rtl w:val="0"/>
              </w:rPr>
              <w:t xml:space="preserve">Estonia</w:t>
            </w:r>
          </w:p>
          <w:p w:rsidR="00000000" w:rsidDel="00000000" w:rsidP="00000000" w:rsidRDefault="00000000" w:rsidRPr="00000000" w14:paraId="0000002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Judgment No. 3-2-1-109-11 of the Civil Chamber of the Supreme Court</w:t>
            </w:r>
          </w:p>
        </w:tc>
      </w:tr>
      <w:tr>
        <w:tc>
          <w:tcPr/>
          <w:p w:rsidR="00000000" w:rsidDel="00000000" w:rsidP="00000000" w:rsidRDefault="00000000" w:rsidRPr="00000000" w14:paraId="00000023">
            <w:pPr>
              <w:spacing w:after="240" w:lineRule="auto"/>
              <w:rPr>
                <w:b w:val="1"/>
              </w:rPr>
            </w:pPr>
            <w:r w:rsidDel="00000000" w:rsidR="00000000" w:rsidRPr="00000000">
              <w:rPr>
                <w:b w:val="1"/>
                <w:rtl w:val="0"/>
              </w:rPr>
              <w:t xml:space="preserve">Domestic legislation applied</w:t>
            </w:r>
          </w:p>
        </w:tc>
        <w:tc>
          <w:tcPr/>
          <w:p w:rsidR="00000000" w:rsidDel="00000000" w:rsidP="00000000" w:rsidRDefault="00000000" w:rsidRPr="00000000" w14:paraId="00000024">
            <w:pPr>
              <w:spacing w:after="240" w:lineRule="auto"/>
              <w:rPr/>
            </w:pPr>
            <w:r w:rsidDel="00000000" w:rsidR="00000000" w:rsidRPr="00000000">
              <w:rPr>
                <w:rtl w:val="0"/>
              </w:rPr>
              <w:t xml:space="preserve">General Part of the Civil Code Act</w:t>
            </w:r>
          </w:p>
          <w:p w:rsidR="00000000" w:rsidDel="00000000" w:rsidP="00000000" w:rsidRDefault="00000000" w:rsidRPr="00000000" w14:paraId="00000025">
            <w:pPr>
              <w:spacing w:after="240" w:lineRule="auto"/>
              <w:rPr/>
            </w:pPr>
            <w:r w:rsidDel="00000000" w:rsidR="00000000" w:rsidRPr="00000000">
              <w:rPr>
                <w:rtl w:val="0"/>
              </w:rPr>
              <w:t xml:space="preserve">Law of Obligations Act</w:t>
            </w:r>
          </w:p>
        </w:tc>
      </w:tr>
      <w:tr>
        <w:tc>
          <w:tcPr/>
          <w:p w:rsidR="00000000" w:rsidDel="00000000" w:rsidP="00000000" w:rsidRDefault="00000000" w:rsidRPr="00000000" w14:paraId="00000026">
            <w:pPr>
              <w:spacing w:after="240" w:lineRule="auto"/>
              <w:rPr>
                <w:b w:val="1"/>
              </w:rPr>
            </w:pPr>
            <w:r w:rsidDel="00000000" w:rsidR="00000000" w:rsidRPr="00000000">
              <w:rPr>
                <w:b w:val="1"/>
                <w:rtl w:val="0"/>
              </w:rPr>
              <w:t xml:space="preserve">Factual background </w:t>
            </w:r>
          </w:p>
        </w:tc>
        <w:tc>
          <w:tcPr/>
          <w:p w:rsidR="00000000" w:rsidDel="00000000" w:rsidP="00000000" w:rsidRDefault="00000000" w:rsidRPr="00000000" w14:paraId="00000027">
            <w:pPr>
              <w:spacing w:after="240" w:lineRule="auto"/>
              <w:jc w:val="both"/>
              <w:rPr/>
            </w:pPr>
            <w:r w:rsidDel="00000000" w:rsidR="00000000" w:rsidRPr="00000000">
              <w:rPr>
                <w:rtl w:val="0"/>
              </w:rPr>
              <w:t xml:space="preserve">According to the circumstances of the action, in the period from 31.05.2017 to 30.06.2017, the plaintiff organized a co-financing campaign to establish a financial institution using blockchain technology. Under the co-financing, applicants were able to finance the applicant's company by receiving tokens (cryptocurrency) for their financing. Tokens are digitally transferable, stored and traded and prove participation in a co-financing campaign. The co-financing campaign participant's interest in participating in the financing was for the most part an opportunity to trade in cryptocurrencies, the value of which may change significantly over time and thus give co-financing participants the opportunity to resell cryptocurrencies at a higher price than originally paid. At the same time, when buying tokens, there is a risk that the value of the acquired tokens will significantly decrease over time and it will not be possible for the participant in the co-financing campaign to sell the cryptocurrency without a loss.</w:t>
            </w:r>
          </w:p>
          <w:p w:rsidR="00000000" w:rsidDel="00000000" w:rsidP="00000000" w:rsidRDefault="00000000" w:rsidRPr="00000000" w14:paraId="00000028">
            <w:pPr>
              <w:spacing w:after="240" w:lineRule="auto"/>
              <w:jc w:val="both"/>
              <w:rPr/>
            </w:pPr>
            <w:r w:rsidDel="00000000" w:rsidR="00000000" w:rsidRPr="00000000">
              <w:rPr>
                <w:rtl w:val="0"/>
              </w:rPr>
              <w:t xml:space="preserve">The defendant decided to participate in the co-financing and registered an account on the plaintiff's website on 04.06.2017, confirming that he has read the conditions. The defendant also had to agree to the terms again with each purchase. The defendant has made proposals to the plaintiff for the acquisition of Polybius Tokens for a total amount of EUR 64,120 and the plaintiff has accepted the offers and issued Polybius Tokens to the defendant for the corresponding amount. </w:t>
            </w:r>
          </w:p>
          <w:p w:rsidR="00000000" w:rsidDel="00000000" w:rsidP="00000000" w:rsidRDefault="00000000" w:rsidRPr="00000000" w14:paraId="00000029">
            <w:pPr>
              <w:spacing w:after="240" w:lineRule="auto"/>
              <w:jc w:val="both"/>
              <w:rPr/>
            </w:pPr>
            <w:r w:rsidDel="00000000" w:rsidR="00000000" w:rsidRPr="00000000">
              <w:rPr>
                <w:rtl w:val="0"/>
              </w:rPr>
              <w:t xml:space="preserve">After the tokens had dropped in value, the defendant found that the contract had not been concluded between the plaintiff and the defendant. Therefore, the applicant had no legal basis to obtain the sums transferred by the defendant and the sums paid must be repaid.</w:t>
            </w:r>
          </w:p>
        </w:tc>
      </w:tr>
      <w:tr>
        <w:tc>
          <w:tcPr/>
          <w:p w:rsidR="00000000" w:rsidDel="00000000" w:rsidP="00000000" w:rsidRDefault="00000000" w:rsidRPr="00000000" w14:paraId="0000002A">
            <w:pPr>
              <w:spacing w:after="240" w:lineRule="auto"/>
              <w:rPr>
                <w:b w:val="1"/>
              </w:rPr>
            </w:pPr>
            <w:r w:rsidDel="00000000" w:rsidR="00000000" w:rsidRPr="00000000">
              <w:rPr>
                <w:b w:val="1"/>
                <w:rtl w:val="0"/>
              </w:rPr>
              <w:t xml:space="preserve">Legal issues </w:t>
            </w:r>
          </w:p>
        </w:tc>
        <w:tc>
          <w:tcPr/>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prove who is a party to the contract when making transactions with cryptocurrency the owner of the cryptocurrency is not visible in the transactions?</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108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Does the fact that a person has not previously traded in cryptocurrencies make it possible to claim that he is a consumer for a particular transaction?</w:t>
            </w:r>
          </w:p>
        </w:tc>
      </w:tr>
      <w:tr>
        <w:tc>
          <w:tcPr/>
          <w:p w:rsidR="00000000" w:rsidDel="00000000" w:rsidP="00000000" w:rsidRDefault="00000000" w:rsidRPr="00000000" w14:paraId="0000002D">
            <w:pPr>
              <w:spacing w:after="240" w:lineRule="auto"/>
              <w:rPr>
                <w:b w:val="1"/>
              </w:rPr>
            </w:pPr>
            <w:r w:rsidDel="00000000" w:rsidR="00000000" w:rsidRPr="00000000">
              <w:rPr>
                <w:b w:val="1"/>
                <w:rtl w:val="0"/>
              </w:rPr>
              <w:t xml:space="preserve">Reasoning</w:t>
            </w:r>
          </w:p>
        </w:tc>
        <w:tc>
          <w:tcPr/>
          <w:p w:rsidR="00000000" w:rsidDel="00000000" w:rsidP="00000000" w:rsidRDefault="00000000" w:rsidRPr="00000000" w14:paraId="0000002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printout of the offers for the purchase of tokens, the statement of transfers of virtual money, the printout of the defendant's token account and the statement of the applicant's bank account show that the applicant and the defendant entered into contracts for the purchase of tokens. On the basis of this evidence, it is clear between whom the contract was concluded, as the tenderer, the addressee, the content of the declaration of intent and its making are clear.</w:t>
            </w:r>
          </w:p>
          <w:p w:rsidR="00000000" w:rsidDel="00000000" w:rsidP="00000000" w:rsidRDefault="00000000" w:rsidRPr="00000000" w14:paraId="0000002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108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fact that the defendant has not previously traded in cryptocurrencies does not make it possible to claim that he is a consumer for a particular transaction. Encrypted money is defined as a payment and currency system built as a distributed system, where transfers are encrypted and signed, where the issue of units is mathematically controlled, and whose reliability is ensured by a special consensus-building algorithm within the system. It is therefore a means of payment in which it is possible to invest in order to generate income.</w:t>
            </w:r>
          </w:p>
        </w:tc>
      </w:tr>
      <w:tr>
        <w:tc>
          <w:tcPr/>
          <w:p w:rsidR="00000000" w:rsidDel="00000000" w:rsidP="00000000" w:rsidRDefault="00000000" w:rsidRPr="00000000" w14:paraId="00000030">
            <w:pPr>
              <w:spacing w:after="240" w:lineRule="auto"/>
              <w:rPr>
                <w:b w:val="1"/>
              </w:rPr>
            </w:pPr>
            <w:r w:rsidDel="00000000" w:rsidR="00000000" w:rsidRPr="00000000">
              <w:rPr>
                <w:b w:val="1"/>
                <w:rtl w:val="0"/>
              </w:rPr>
              <w:t xml:space="preserve">Further information (e.g. liquidator’s website)</w:t>
            </w:r>
          </w:p>
        </w:tc>
        <w:tc>
          <w:tcPr/>
          <w:p w:rsidR="00000000" w:rsidDel="00000000" w:rsidP="00000000" w:rsidRDefault="00000000" w:rsidRPr="00000000" w14:paraId="00000031">
            <w:pPr>
              <w:spacing w:after="240" w:lineRule="auto"/>
              <w:rPr/>
            </w:pPr>
            <w:r w:rsidDel="00000000" w:rsidR="00000000" w:rsidRPr="00000000">
              <w:rPr>
                <w:rtl w:val="0"/>
              </w:rPr>
              <w:t xml:space="preserve">N/A</w:t>
            </w:r>
          </w:p>
        </w:tc>
      </w:tr>
    </w:tbl>
    <w:p w:rsidR="00000000" w:rsidDel="00000000" w:rsidP="00000000" w:rsidRDefault="00000000" w:rsidRPr="00000000" w14:paraId="00000032">
      <w:pPr>
        <w:rPr>
          <w:b w:val="1"/>
          <w:i w:val="1"/>
          <w:sz w:val="28"/>
          <w:szCs w:val="28"/>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40" w:w="11907" w:orient="portrait"/>
      <w:pgMar w:bottom="1134" w:top="1985" w:left="1701" w:right="1418" w:header="680" w:footer="42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bl>
    <w:tblPr>
      <w:tblStyle w:val="Table2"/>
      <w:tblW w:w="8788.0" w:type="dxa"/>
      <w:jc w:val="left"/>
      <w:tblInd w:w="0.0" w:type="dxa"/>
      <w:tblLayout w:type="fixed"/>
      <w:tblLook w:val="0400"/>
    </w:tblPr>
    <w:tblGrid>
      <w:gridCol w:w="2988"/>
      <w:gridCol w:w="2857"/>
      <w:gridCol w:w="2943"/>
      <w:tblGridChange w:id="0">
        <w:tblGrid>
          <w:gridCol w:w="2988"/>
          <w:gridCol w:w="2857"/>
          <w:gridCol w:w="2943"/>
        </w:tblGrid>
      </w:tblGridChange>
    </w:tblGrid>
    <w:tr>
      <w:tc>
        <w:tcPr>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APAC-#116771128-v1</w:t>
          </w:r>
        </w:p>
      </w:tc>
      <w:tc>
        <w:tcPr>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Norton Rose Fulbright Australia</w:t>
          </w:r>
        </w:p>
      </w:tc>
    </w:tr>
  </w:tbl>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3"/>
      <w:tblW w:w="8788.0" w:type="dxa"/>
      <w:jc w:val="left"/>
      <w:tblInd w:w="0.0" w:type="dxa"/>
      <w:tblLayout w:type="fixed"/>
      <w:tblLook w:val="0400"/>
    </w:tblPr>
    <w:tblGrid>
      <w:gridCol w:w="2988"/>
      <w:gridCol w:w="2857"/>
      <w:gridCol w:w="2943"/>
      <w:tblGridChange w:id="0">
        <w:tblGrid>
          <w:gridCol w:w="2988"/>
          <w:gridCol w:w="2857"/>
          <w:gridCol w:w="2943"/>
        </w:tblGrid>
      </w:tblGridChange>
    </w:tblGrid>
    <w:tr>
      <w:tc>
        <w:tcPr>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APAC-#116771128-v1</w:t>
          </w:r>
        </w:p>
      </w:tc>
      <w:tc>
        <w:tcPr>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Norton Rose Fulbright Australia</w:t>
          </w:r>
        </w:p>
      </w:tc>
    </w:tr>
  </w:tb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bl>
    <w:tblPr>
      <w:tblStyle w:val="Table4"/>
      <w:tblW w:w="8788.0" w:type="dxa"/>
      <w:jc w:val="left"/>
      <w:tblInd w:w="0.0" w:type="dxa"/>
      <w:tblLayout w:type="fixed"/>
      <w:tblLook w:val="0400"/>
    </w:tblPr>
    <w:tblGrid>
      <w:gridCol w:w="2988"/>
      <w:gridCol w:w="2857"/>
      <w:gridCol w:w="2943"/>
      <w:tblGridChange w:id="0">
        <w:tblGrid>
          <w:gridCol w:w="2988"/>
          <w:gridCol w:w="2857"/>
          <w:gridCol w:w="2943"/>
        </w:tblGrid>
      </w:tblGridChange>
    </w:tblGrid>
    <w:tr>
      <w:tc>
        <w:tcPr>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APAC-#116771128-v1</w:t>
          </w:r>
        </w:p>
      </w:tc>
      <w:tc>
        <w:tcPr>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Norton Rose Fulbright Australia</w:t>
          </w:r>
        </w:p>
      </w:tc>
    </w:tr>
  </w:tbl>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Rule="auto"/>
      <w:ind w:left="709" w:hanging="709"/>
    </w:pPr>
    <w:rPr>
      <w:b w:val="1"/>
      <w:sz w:val="24"/>
      <w:szCs w:val="24"/>
    </w:rPr>
  </w:style>
  <w:style w:type="paragraph" w:styleId="Heading2">
    <w:name w:val="heading 2"/>
    <w:basedOn w:val="Normal"/>
    <w:next w:val="Normal"/>
    <w:pPr>
      <w:spacing w:before="240" w:lineRule="auto"/>
      <w:ind w:left="709" w:hanging="709"/>
    </w:pPr>
    <w:rPr/>
  </w:style>
  <w:style w:type="paragraph" w:styleId="Heading3">
    <w:name w:val="heading 3"/>
    <w:basedOn w:val="Normal"/>
    <w:next w:val="Normal"/>
    <w:pPr>
      <w:spacing w:before="240" w:lineRule="auto"/>
      <w:ind w:left="1418" w:hanging="709"/>
    </w:pPr>
    <w:rPr/>
  </w:style>
  <w:style w:type="paragraph" w:styleId="Heading4">
    <w:name w:val="heading 4"/>
    <w:basedOn w:val="Normal"/>
    <w:next w:val="Normal"/>
    <w:pPr>
      <w:spacing w:before="240" w:lineRule="auto"/>
      <w:ind w:left="2126" w:hanging="707.9999999999998"/>
    </w:pPr>
    <w:rPr/>
  </w:style>
  <w:style w:type="paragraph" w:styleId="Heading5">
    <w:name w:val="heading 5"/>
    <w:basedOn w:val="Normal"/>
    <w:next w:val="Normal"/>
    <w:pPr>
      <w:spacing w:before="240" w:lineRule="auto"/>
      <w:ind w:left="2835" w:hanging="709"/>
    </w:pPr>
    <w:rPr/>
  </w:style>
  <w:style w:type="paragraph" w:styleId="Heading6">
    <w:name w:val="heading 6"/>
    <w:basedOn w:val="Normal"/>
    <w:next w:val="Normal"/>
    <w:pPr>
      <w:spacing w:before="240" w:lineRule="auto"/>
      <w:ind w:left="3544" w:hanging="708.9999999999998"/>
    </w:pPr>
    <w:rPr/>
  </w:style>
  <w:style w:type="paragraph" w:styleId="Title">
    <w:name w:val="Title"/>
    <w:basedOn w:val="Normal"/>
    <w:next w:val="Normal"/>
    <w:pPr>
      <w:spacing w:after="360" w:lineRule="auto"/>
    </w:pPr>
    <w:rPr>
      <w:b w:val="1"/>
      <w:sz w:val="40"/>
      <w:szCs w:val="40"/>
    </w:rPr>
  </w:style>
  <w:style w:type="paragraph" w:styleId="Normal" w:default="1">
    <w:name w:val="Normal"/>
    <w:qFormat w:val="1"/>
    <w:rsid w:val="00B37D3B"/>
    <w:rPr>
      <w:rFonts w:ascii="Arial" w:hAnsi="Arial"/>
      <w:lang w:val="en-AU"/>
    </w:rPr>
  </w:style>
  <w:style w:type="paragraph" w:styleId="Heading1">
    <w:name w:val="heading 1"/>
    <w:basedOn w:val="Normal"/>
    <w:next w:val="Heading2"/>
    <w:qFormat w:val="1"/>
    <w:rsid w:val="00B37D3B"/>
    <w:pPr>
      <w:keepNext w:val="1"/>
      <w:numPr>
        <w:numId w:val="8"/>
      </w:numPr>
      <w:spacing w:before="360"/>
      <w:outlineLvl w:val="0"/>
    </w:pPr>
    <w:rPr>
      <w:b w:val="1"/>
      <w:sz w:val="24"/>
    </w:rPr>
  </w:style>
  <w:style w:type="paragraph" w:styleId="Heading2">
    <w:name w:val="heading 2"/>
    <w:basedOn w:val="Normal"/>
    <w:next w:val="BodyText2"/>
    <w:qFormat w:val="1"/>
    <w:rsid w:val="00B37D3B"/>
    <w:pPr>
      <w:numPr>
        <w:ilvl w:val="1"/>
        <w:numId w:val="8"/>
      </w:numPr>
      <w:spacing w:before="240"/>
      <w:outlineLvl w:val="1"/>
    </w:pPr>
  </w:style>
  <w:style w:type="paragraph" w:styleId="Heading3">
    <w:name w:val="heading 3"/>
    <w:basedOn w:val="Normal"/>
    <w:qFormat w:val="1"/>
    <w:rsid w:val="00B37D3B"/>
    <w:pPr>
      <w:numPr>
        <w:ilvl w:val="2"/>
        <w:numId w:val="8"/>
      </w:numPr>
      <w:spacing w:before="240"/>
      <w:outlineLvl w:val="2"/>
    </w:pPr>
  </w:style>
  <w:style w:type="paragraph" w:styleId="Heading4">
    <w:name w:val="heading 4"/>
    <w:basedOn w:val="Normal"/>
    <w:qFormat w:val="1"/>
    <w:rsid w:val="00B37D3B"/>
    <w:pPr>
      <w:numPr>
        <w:ilvl w:val="3"/>
        <w:numId w:val="8"/>
      </w:numPr>
      <w:spacing w:before="240"/>
      <w:outlineLvl w:val="3"/>
    </w:pPr>
  </w:style>
  <w:style w:type="paragraph" w:styleId="Heading5">
    <w:name w:val="heading 5"/>
    <w:basedOn w:val="Normal"/>
    <w:qFormat w:val="1"/>
    <w:rsid w:val="00B37D3B"/>
    <w:pPr>
      <w:numPr>
        <w:ilvl w:val="4"/>
        <w:numId w:val="8"/>
      </w:numPr>
      <w:spacing w:before="240"/>
      <w:outlineLvl w:val="4"/>
    </w:pPr>
  </w:style>
  <w:style w:type="paragraph" w:styleId="Heading6">
    <w:name w:val="heading 6"/>
    <w:basedOn w:val="Normal"/>
    <w:qFormat w:val="1"/>
    <w:rsid w:val="00B37D3B"/>
    <w:pPr>
      <w:numPr>
        <w:ilvl w:val="5"/>
        <w:numId w:val="8"/>
      </w:numPr>
      <w:spacing w:before="240"/>
      <w:outlineLvl w:val="5"/>
    </w:pPr>
  </w:style>
  <w:style w:type="paragraph" w:styleId="Heading7">
    <w:name w:val="heading 7"/>
    <w:basedOn w:val="Normal"/>
    <w:next w:val="Normal"/>
    <w:qFormat w:val="1"/>
    <w:rsid w:val="00B37D3B"/>
    <w:pPr>
      <w:outlineLvl w:val="6"/>
    </w:pPr>
  </w:style>
  <w:style w:type="paragraph" w:styleId="Heading8">
    <w:name w:val="heading 8"/>
    <w:basedOn w:val="Normal"/>
    <w:next w:val="Normal"/>
    <w:qFormat w:val="1"/>
    <w:rsid w:val="00B37D3B"/>
    <w:pPr>
      <w:outlineLvl w:val="7"/>
    </w:pPr>
  </w:style>
  <w:style w:type="paragraph" w:styleId="Heading9">
    <w:name w:val="heading 9"/>
    <w:basedOn w:val="Normal"/>
    <w:next w:val="Normal"/>
    <w:qFormat w:val="1"/>
    <w:rsid w:val="00B37D3B"/>
    <w:pPr>
      <w:outlineLvl w:val="8"/>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Annexure" w:customStyle="1">
    <w:name w:val="Annexure"/>
    <w:basedOn w:val="Normal"/>
    <w:next w:val="BodyText1"/>
    <w:rsid w:val="00B37D3B"/>
    <w:pPr>
      <w:numPr>
        <w:numId w:val="1"/>
      </w:numPr>
      <w:spacing w:before="240"/>
      <w:outlineLvl w:val="0"/>
    </w:pPr>
    <w:rPr>
      <w:b w:val="1"/>
      <w:sz w:val="24"/>
    </w:rPr>
  </w:style>
  <w:style w:type="paragraph" w:styleId="AText" w:customStyle="1">
    <w:name w:val="AText"/>
    <w:basedOn w:val="Normal"/>
    <w:rsid w:val="00B37D3B"/>
    <w:pPr>
      <w:keepLines w:val="1"/>
    </w:pPr>
  </w:style>
  <w:style w:type="paragraph" w:styleId="AuthorPageDate1" w:customStyle="1">
    <w:name w:val="Author  Page #  Date1"/>
    <w:rsid w:val="00B37D3B"/>
    <w:rPr>
      <w:sz w:val="24"/>
      <w:szCs w:val="24"/>
      <w:lang w:val="en-AU"/>
    </w:rPr>
  </w:style>
  <w:style w:type="paragraph" w:styleId="BodyText">
    <w:name w:val="Body Text"/>
    <w:basedOn w:val="Normal"/>
    <w:link w:val="BodyTextChar"/>
    <w:rsid w:val="00B37D3B"/>
    <w:pPr>
      <w:tabs>
        <w:tab w:val="left" w:pos="1701"/>
      </w:tabs>
    </w:pPr>
  </w:style>
  <w:style w:type="paragraph" w:styleId="BodyText1" w:customStyle="1">
    <w:name w:val="Body Text 1"/>
    <w:basedOn w:val="Normal"/>
    <w:rsid w:val="00B37D3B"/>
    <w:pPr>
      <w:spacing w:before="240"/>
    </w:pPr>
  </w:style>
  <w:style w:type="paragraph" w:styleId="BodyText2">
    <w:name w:val="Body Text 2"/>
    <w:basedOn w:val="Normal"/>
    <w:rsid w:val="00B37D3B"/>
    <w:pPr>
      <w:spacing w:before="240"/>
      <w:ind w:left="709"/>
    </w:pPr>
  </w:style>
  <w:style w:type="paragraph" w:styleId="BodyText3">
    <w:name w:val="Body Text 3"/>
    <w:basedOn w:val="Normal"/>
    <w:rsid w:val="00B37D3B"/>
    <w:pPr>
      <w:spacing w:before="240"/>
      <w:ind w:left="1418"/>
    </w:pPr>
  </w:style>
  <w:style w:type="paragraph" w:styleId="BodyText4" w:customStyle="1">
    <w:name w:val="Body Text 4"/>
    <w:basedOn w:val="Normal"/>
    <w:rsid w:val="00B37D3B"/>
    <w:pPr>
      <w:spacing w:before="240"/>
      <w:ind w:left="2126"/>
    </w:pPr>
  </w:style>
  <w:style w:type="paragraph" w:styleId="BodyText5" w:customStyle="1">
    <w:name w:val="Body Text 5"/>
    <w:basedOn w:val="Normal"/>
    <w:rsid w:val="00B37D3B"/>
    <w:pPr>
      <w:spacing w:before="240"/>
      <w:ind w:left="2835"/>
    </w:pPr>
  </w:style>
  <w:style w:type="paragraph" w:styleId="BodyText6" w:customStyle="1">
    <w:name w:val="Body Text 6"/>
    <w:basedOn w:val="Normal"/>
    <w:rsid w:val="00B37D3B"/>
    <w:pPr>
      <w:spacing w:before="240"/>
      <w:ind w:left="3544"/>
    </w:pPr>
  </w:style>
  <w:style w:type="paragraph" w:styleId="Caption">
    <w:name w:val="caption"/>
    <w:basedOn w:val="Normal"/>
    <w:next w:val="Normal"/>
    <w:rsid w:val="00B37D3B"/>
    <w:pPr>
      <w:spacing w:after="120" w:before="120"/>
    </w:pPr>
    <w:rPr>
      <w:b w:val="1"/>
    </w:rPr>
  </w:style>
  <w:style w:type="paragraph" w:styleId="CommentBox" w:customStyle="1">
    <w:name w:val="Comment Box"/>
    <w:basedOn w:val="Normal"/>
    <w:rsid w:val="00B37D3B"/>
    <w:pPr>
      <w:pBdr>
        <w:top w:color="auto" w:space="1" w:sz="4" w:val="single"/>
        <w:left w:color="auto" w:space="4" w:sz="4" w:val="single"/>
        <w:bottom w:color="auto" w:space="1" w:sz="4" w:val="single"/>
        <w:right w:color="auto" w:space="4" w:sz="4" w:val="single"/>
      </w:pBdr>
      <w:shd w:color="auto" w:fill="ffffff" w:val="pct12"/>
    </w:pPr>
  </w:style>
  <w:style w:type="paragraph" w:styleId="DefaultParagraphFont1" w:customStyle="1">
    <w:name w:val="Default Paragraph Font1"/>
    <w:basedOn w:val="Normal"/>
    <w:pPr>
      <w:spacing w:before="240"/>
    </w:pPr>
  </w:style>
  <w:style w:type="paragraph" w:styleId="Footer">
    <w:name w:val="footer"/>
    <w:basedOn w:val="Normal"/>
    <w:link w:val="FooterChar"/>
    <w:rsid w:val="00B37D3B"/>
    <w:rPr>
      <w:sz w:val="16"/>
    </w:rPr>
  </w:style>
  <w:style w:type="paragraph" w:styleId="Disclaimer" w:customStyle="1">
    <w:name w:val="Disclaimer"/>
    <w:basedOn w:val="Footer"/>
    <w:rsid w:val="00B37D3B"/>
    <w:pPr>
      <w:jc w:val="center"/>
    </w:pPr>
    <w:rPr>
      <w:rFonts w:ascii="Times New Roman" w:hAnsi="Times New Roman"/>
      <w:b w:val="1"/>
      <w:i w:val="1"/>
      <w:sz w:val="18"/>
    </w:rPr>
  </w:style>
  <w:style w:type="paragraph" w:styleId="Fax" w:customStyle="1">
    <w:name w:val="Fax"/>
    <w:basedOn w:val="Normal"/>
    <w:rsid w:val="00B37D3B"/>
    <w:pPr>
      <w:tabs>
        <w:tab w:val="left" w:pos="2694"/>
      </w:tabs>
      <w:spacing w:line="360" w:lineRule="auto"/>
      <w:ind w:left="2693" w:hanging="2693"/>
    </w:pPr>
    <w:rPr>
      <w:b w:val="1"/>
    </w:rPr>
  </w:style>
  <w:style w:type="paragraph" w:styleId="FaxHeader" w:customStyle="1">
    <w:name w:val="FaxHeader"/>
    <w:basedOn w:val="Normal"/>
    <w:rsid w:val="00B37D3B"/>
    <w:pPr>
      <w:tabs>
        <w:tab w:val="left" w:pos="2693"/>
      </w:tabs>
      <w:ind w:left="2693" w:hanging="2693"/>
    </w:pPr>
  </w:style>
  <w:style w:type="paragraph" w:styleId="Header">
    <w:name w:val="header"/>
    <w:basedOn w:val="Normal"/>
    <w:rsid w:val="00B37D3B"/>
  </w:style>
  <w:style w:type="character" w:styleId="Hyperlink">
    <w:name w:val="Hyperlink"/>
    <w:basedOn w:val="DefaultParagraphFont"/>
    <w:rsid w:val="00B37D3B"/>
    <w:rPr>
      <w:color w:val="0000ff"/>
      <w:u w:val="single"/>
    </w:rPr>
  </w:style>
  <w:style w:type="paragraph" w:styleId="Item" w:customStyle="1">
    <w:name w:val="Item"/>
    <w:next w:val="BodyText3"/>
    <w:rsid w:val="00B37D3B"/>
    <w:pPr>
      <w:keepNext w:val="1"/>
      <w:numPr>
        <w:numId w:val="9"/>
      </w:numPr>
      <w:spacing w:before="240"/>
    </w:pPr>
    <w:rPr>
      <w:rFonts w:ascii="Arial" w:hAnsi="Arial"/>
      <w:b w:val="1"/>
      <w:lang w:val="en-AU"/>
    </w:rPr>
  </w:style>
  <w:style w:type="character" w:styleId="PageNumber">
    <w:name w:val="page number"/>
    <w:basedOn w:val="DefaultParagraphFont"/>
    <w:rsid w:val="00B37D3B"/>
    <w:rPr>
      <w:sz w:val="20"/>
    </w:rPr>
  </w:style>
  <w:style w:type="paragraph" w:styleId="Recital" w:customStyle="1">
    <w:name w:val="Recital"/>
    <w:basedOn w:val="Normal"/>
    <w:rsid w:val="00B37D3B"/>
    <w:pPr>
      <w:numPr>
        <w:numId w:val="11"/>
      </w:numPr>
      <w:spacing w:before="240"/>
    </w:pPr>
  </w:style>
  <w:style w:type="paragraph" w:styleId="Schedule" w:customStyle="1">
    <w:name w:val="Schedule"/>
    <w:basedOn w:val="Normal"/>
    <w:next w:val="BodyText1"/>
    <w:rsid w:val="00B37D3B"/>
    <w:pPr>
      <w:keepNext w:val="1"/>
      <w:numPr>
        <w:numId w:val="12"/>
      </w:numPr>
      <w:spacing w:before="480"/>
      <w:outlineLvl w:val="0"/>
    </w:pPr>
    <w:rPr>
      <w:b w:val="1"/>
      <w:sz w:val="24"/>
    </w:rPr>
  </w:style>
  <w:style w:type="paragraph" w:styleId="Subtitle">
    <w:name w:val="Subtitle"/>
    <w:basedOn w:val="Normal"/>
    <w:next w:val="BodyText1"/>
    <w:qFormat w:val="1"/>
    <w:rsid w:val="00B37D3B"/>
    <w:pPr>
      <w:keepNext w:val="1"/>
      <w:spacing w:before="480"/>
    </w:pPr>
    <w:rPr>
      <w:b w:val="1"/>
      <w:sz w:val="24"/>
    </w:rPr>
  </w:style>
  <w:style w:type="paragraph" w:styleId="TableText" w:customStyle="1">
    <w:name w:val="Table Text"/>
    <w:basedOn w:val="Normal"/>
    <w:rsid w:val="00B37D3B"/>
    <w:pPr>
      <w:spacing w:after="60" w:before="60"/>
    </w:pPr>
  </w:style>
  <w:style w:type="paragraph" w:styleId="Title">
    <w:name w:val="Title"/>
    <w:basedOn w:val="Normal"/>
    <w:next w:val="Normal"/>
    <w:qFormat w:val="1"/>
    <w:rsid w:val="00B37D3B"/>
    <w:pPr>
      <w:spacing w:after="360"/>
    </w:pPr>
    <w:rPr>
      <w:b w:val="1"/>
      <w:sz w:val="40"/>
    </w:rPr>
  </w:style>
  <w:style w:type="paragraph" w:styleId="TOC1">
    <w:name w:val="toc 1"/>
    <w:basedOn w:val="Normal"/>
    <w:next w:val="Normal"/>
    <w:semiHidden w:val="1"/>
    <w:rsid w:val="00B37D3B"/>
    <w:pPr>
      <w:tabs>
        <w:tab w:val="right" w:leader="dot" w:pos="8789"/>
      </w:tabs>
      <w:spacing w:after="60" w:before="60"/>
      <w:ind w:left="709" w:right="425" w:hanging="709"/>
      <w:outlineLvl w:val="0"/>
    </w:pPr>
  </w:style>
  <w:style w:type="paragraph" w:styleId="TOC2">
    <w:name w:val="toc 2"/>
    <w:basedOn w:val="Normal"/>
    <w:next w:val="Normal"/>
    <w:semiHidden w:val="1"/>
    <w:rsid w:val="00B37D3B"/>
    <w:pPr>
      <w:tabs>
        <w:tab w:val="right" w:leader="dot" w:pos="8789"/>
      </w:tabs>
      <w:spacing w:after="60" w:before="60"/>
      <w:ind w:left="1418" w:right="425" w:hanging="709"/>
      <w:outlineLvl w:val="0"/>
    </w:pPr>
  </w:style>
  <w:style w:type="paragraph" w:styleId="TOC3">
    <w:name w:val="toc 3"/>
    <w:basedOn w:val="Normal"/>
    <w:next w:val="Normal"/>
    <w:semiHidden w:val="1"/>
    <w:rsid w:val="00B37D3B"/>
    <w:pPr>
      <w:tabs>
        <w:tab w:val="right" w:pos="7938"/>
      </w:tabs>
      <w:spacing w:after="60" w:before="60"/>
      <w:ind w:left="442"/>
    </w:pPr>
  </w:style>
  <w:style w:type="paragraph" w:styleId="TOC4">
    <w:name w:val="toc 4"/>
    <w:basedOn w:val="Normal"/>
    <w:next w:val="Normal"/>
    <w:semiHidden w:val="1"/>
    <w:rsid w:val="00B37D3B"/>
    <w:pPr>
      <w:tabs>
        <w:tab w:val="right" w:leader="dot" w:pos="8789"/>
      </w:tabs>
      <w:spacing w:after="60" w:before="60"/>
      <w:ind w:left="709" w:right="425" w:hanging="709"/>
    </w:pPr>
  </w:style>
  <w:style w:type="paragraph" w:styleId="TOC5">
    <w:name w:val="toc 5"/>
    <w:basedOn w:val="Normal"/>
    <w:next w:val="Normal"/>
    <w:semiHidden w:val="1"/>
    <w:rsid w:val="00B37D3B"/>
    <w:pPr>
      <w:tabs>
        <w:tab w:val="right" w:leader="dot" w:pos="8789"/>
      </w:tabs>
      <w:spacing w:after="60" w:before="60"/>
      <w:ind w:left="709" w:right="425" w:hanging="709"/>
    </w:pPr>
  </w:style>
  <w:style w:type="paragraph" w:styleId="TOC6">
    <w:name w:val="toc 6"/>
    <w:basedOn w:val="Normal"/>
    <w:next w:val="Normal"/>
    <w:semiHidden w:val="1"/>
    <w:rsid w:val="00B37D3B"/>
    <w:pPr>
      <w:tabs>
        <w:tab w:val="right" w:leader="dot" w:pos="8789"/>
      </w:tabs>
      <w:spacing w:after="60" w:before="60"/>
      <w:ind w:left="709" w:right="425" w:hanging="709"/>
    </w:pPr>
  </w:style>
  <w:style w:type="paragraph" w:styleId="TOC7">
    <w:name w:val="toc 7"/>
    <w:basedOn w:val="Normal"/>
    <w:next w:val="Normal"/>
    <w:semiHidden w:val="1"/>
    <w:rsid w:val="00B37D3B"/>
    <w:pPr>
      <w:tabs>
        <w:tab w:val="right" w:pos="8789"/>
      </w:tabs>
      <w:spacing w:after="60" w:before="60"/>
      <w:ind w:left="709" w:right="425" w:hanging="709"/>
    </w:pPr>
  </w:style>
  <w:style w:type="paragraph" w:styleId="TOC8">
    <w:name w:val="toc 8"/>
    <w:basedOn w:val="Normal"/>
    <w:next w:val="Normal"/>
    <w:semiHidden w:val="1"/>
    <w:rsid w:val="00B37D3B"/>
    <w:pPr>
      <w:tabs>
        <w:tab w:val="right" w:leader="dot" w:pos="8789"/>
      </w:tabs>
      <w:spacing w:after="60" w:before="60"/>
      <w:ind w:left="709" w:right="425" w:hanging="709"/>
      <w:outlineLvl w:val="0"/>
    </w:pPr>
  </w:style>
  <w:style w:type="paragraph" w:styleId="TOC9">
    <w:name w:val="toc 9"/>
    <w:basedOn w:val="Normal"/>
    <w:next w:val="Normal"/>
    <w:semiHidden w:val="1"/>
    <w:rsid w:val="00B37D3B"/>
    <w:pPr>
      <w:tabs>
        <w:tab w:val="right" w:leader="dot" w:pos="8789"/>
      </w:tabs>
      <w:spacing w:after="60" w:before="60"/>
      <w:ind w:left="709" w:right="425" w:hanging="709"/>
      <w:outlineLvl w:val="0"/>
    </w:pPr>
  </w:style>
  <w:style w:type="character" w:styleId="BodyTextChar" w:customStyle="1">
    <w:name w:val="Body Text Char"/>
    <w:basedOn w:val="DefaultParagraphFont"/>
    <w:link w:val="BodyText"/>
    <w:rsid w:val="00B37D3B"/>
    <w:rPr>
      <w:rFonts w:ascii="Arial" w:hAnsi="Arial"/>
      <w:lang w:val="en-AU"/>
    </w:rPr>
  </w:style>
  <w:style w:type="paragraph" w:styleId="FootnoteText">
    <w:name w:val="footnote text"/>
    <w:basedOn w:val="Normal"/>
    <w:link w:val="FootnoteTextChar"/>
    <w:rsid w:val="00B37D3B"/>
    <w:rPr>
      <w:sz w:val="18"/>
    </w:rPr>
  </w:style>
  <w:style w:type="character" w:styleId="FootnoteTextChar" w:customStyle="1">
    <w:name w:val="Footnote Text Char"/>
    <w:basedOn w:val="DefaultParagraphFont"/>
    <w:link w:val="FootnoteText"/>
    <w:rsid w:val="00B37D3B"/>
    <w:rPr>
      <w:rFonts w:ascii="Arial" w:hAnsi="Arial"/>
      <w:sz w:val="18"/>
      <w:lang w:val="en-AU"/>
    </w:rPr>
  </w:style>
  <w:style w:type="paragraph" w:styleId="NRFABullet1" w:customStyle="1">
    <w:name w:val="NRFA Bullet 1"/>
    <w:basedOn w:val="BodyText2"/>
    <w:qFormat w:val="1"/>
    <w:rsid w:val="00B37D3B"/>
    <w:pPr>
      <w:numPr>
        <w:numId w:val="10"/>
      </w:numPr>
      <w:tabs>
        <w:tab w:val="left" w:pos="709"/>
      </w:tabs>
      <w:outlineLvl w:val="0"/>
    </w:pPr>
  </w:style>
  <w:style w:type="paragraph" w:styleId="NRFABullet2" w:customStyle="1">
    <w:name w:val="NRFA Bullet 2"/>
    <w:basedOn w:val="NRFABullet1"/>
    <w:qFormat w:val="1"/>
    <w:rsid w:val="00B37D3B"/>
    <w:pPr>
      <w:numPr>
        <w:ilvl w:val="1"/>
      </w:numPr>
      <w:outlineLvl w:val="1"/>
    </w:pPr>
  </w:style>
  <w:style w:type="table" w:styleId="NRFATable" w:customStyle="1">
    <w:name w:val="NRFA Table"/>
    <w:basedOn w:val="TableNormal"/>
    <w:rsid w:val="00B37D3B"/>
    <w:pPr>
      <w:spacing w:before="120"/>
    </w:pPr>
    <w:rPr>
      <w:rFonts w:ascii="Arial" w:hAnsi="Aria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cPr>
      <w:shd w:color="auto" w:fill="auto" w:val="clear"/>
    </w:tcPr>
    <w:tblStylePr w:type="firstRow">
      <w:pPr>
        <w:jc w:val="center"/>
      </w:pPr>
      <w:rPr>
        <w:b w:val="1"/>
      </w:rPr>
      <w:tblPr/>
      <w:trPr>
        <w:tblHeader w:val="1"/>
      </w:trPr>
      <w:tcPr>
        <w:shd w:color="auto" w:fill="e6e6e6" w:val="clear"/>
      </w:tcPr>
    </w:tblStylePr>
  </w:style>
  <w:style w:type="paragraph" w:styleId="ScheduleNumbering1" w:customStyle="1">
    <w:name w:val="Schedule Numbering 1"/>
    <w:basedOn w:val="Normal"/>
    <w:next w:val="ScheduleNumbering2"/>
    <w:rsid w:val="00B37D3B"/>
    <w:pPr>
      <w:keepNext w:val="1"/>
      <w:widowControl w:val="0"/>
      <w:numPr>
        <w:numId w:val="13"/>
      </w:numPr>
      <w:spacing w:before="240"/>
      <w:outlineLvl w:val="0"/>
    </w:pPr>
    <w:rPr>
      <w:b w:val="1"/>
    </w:rPr>
  </w:style>
  <w:style w:type="paragraph" w:styleId="ScheduleNumbering2" w:customStyle="1">
    <w:name w:val="Schedule Numbering 2"/>
    <w:basedOn w:val="Normal"/>
    <w:rsid w:val="00B37D3B"/>
    <w:pPr>
      <w:numPr>
        <w:ilvl w:val="1"/>
        <w:numId w:val="13"/>
      </w:numPr>
      <w:spacing w:before="240"/>
      <w:outlineLvl w:val="1"/>
    </w:pPr>
  </w:style>
  <w:style w:type="paragraph" w:styleId="ScheduleNumbering3" w:customStyle="1">
    <w:name w:val="Schedule Numbering 3"/>
    <w:basedOn w:val="Normal"/>
    <w:rsid w:val="00B37D3B"/>
    <w:pPr>
      <w:numPr>
        <w:ilvl w:val="2"/>
        <w:numId w:val="13"/>
      </w:numPr>
      <w:spacing w:before="240"/>
      <w:outlineLvl w:val="2"/>
    </w:pPr>
  </w:style>
  <w:style w:type="paragraph" w:styleId="ScheduleNumbering4" w:customStyle="1">
    <w:name w:val="Schedule Numbering 4"/>
    <w:basedOn w:val="Normal"/>
    <w:rsid w:val="00B37D3B"/>
    <w:pPr>
      <w:numPr>
        <w:ilvl w:val="3"/>
        <w:numId w:val="13"/>
      </w:numPr>
      <w:spacing w:before="240"/>
      <w:outlineLvl w:val="3"/>
    </w:pPr>
  </w:style>
  <w:style w:type="paragraph" w:styleId="ScheduleNumbering5" w:customStyle="1">
    <w:name w:val="Schedule Numbering 5"/>
    <w:basedOn w:val="Normal"/>
    <w:rsid w:val="00B37D3B"/>
    <w:pPr>
      <w:numPr>
        <w:ilvl w:val="4"/>
        <w:numId w:val="13"/>
      </w:numPr>
      <w:spacing w:before="240"/>
      <w:outlineLvl w:val="4"/>
    </w:pPr>
  </w:style>
  <w:style w:type="character" w:styleId="FooterChar" w:customStyle="1">
    <w:name w:val="Footer Char"/>
    <w:link w:val="Footer"/>
    <w:rPr>
      <w:rFonts w:ascii="Arial" w:hAnsi="Arial"/>
      <w:sz w:val="16"/>
      <w:lang w:val="en-AU"/>
    </w:rPr>
  </w:style>
  <w:style w:type="paragraph" w:styleId="BilingualHeading1" w:customStyle="1">
    <w:name w:val="Bilingual Heading 1"/>
    <w:basedOn w:val="Normal"/>
    <w:next w:val="BilingualHeading2"/>
    <w:unhideWhenUsed w:val="1"/>
    <w:rsid w:val="00B37D3B"/>
    <w:pPr>
      <w:keepNext w:val="1"/>
      <w:numPr>
        <w:numId w:val="3"/>
      </w:numPr>
      <w:spacing w:before="360"/>
    </w:pPr>
    <w:rPr>
      <w:b w:val="1"/>
      <w:sz w:val="24"/>
    </w:rPr>
  </w:style>
  <w:style w:type="paragraph" w:styleId="BilingualHeading2" w:customStyle="1">
    <w:name w:val="Bilingual Heading 2"/>
    <w:basedOn w:val="Normal"/>
    <w:next w:val="BodyText2"/>
    <w:unhideWhenUsed w:val="1"/>
    <w:rsid w:val="00B37D3B"/>
    <w:pPr>
      <w:numPr>
        <w:ilvl w:val="1"/>
        <w:numId w:val="3"/>
      </w:numPr>
      <w:spacing w:before="240"/>
    </w:pPr>
  </w:style>
  <w:style w:type="paragraph" w:styleId="BilingualHeading3" w:customStyle="1">
    <w:name w:val="Bilingual Heading 3"/>
    <w:basedOn w:val="Normal"/>
    <w:unhideWhenUsed w:val="1"/>
    <w:rsid w:val="00B37D3B"/>
    <w:pPr>
      <w:numPr>
        <w:ilvl w:val="2"/>
        <w:numId w:val="3"/>
      </w:numPr>
      <w:spacing w:before="240"/>
    </w:pPr>
  </w:style>
  <w:style w:type="paragraph" w:styleId="BilingualHeading4" w:customStyle="1">
    <w:name w:val="Bilingual Heading 4"/>
    <w:basedOn w:val="Normal"/>
    <w:unhideWhenUsed w:val="1"/>
    <w:rsid w:val="00B37D3B"/>
    <w:pPr>
      <w:numPr>
        <w:ilvl w:val="3"/>
        <w:numId w:val="3"/>
      </w:numPr>
      <w:spacing w:before="240"/>
    </w:pPr>
  </w:style>
  <w:style w:type="paragraph" w:styleId="BilingualHeading5" w:customStyle="1">
    <w:name w:val="Bilingual Heading 5"/>
    <w:basedOn w:val="Normal"/>
    <w:unhideWhenUsed w:val="1"/>
    <w:rsid w:val="00B37D3B"/>
    <w:pPr>
      <w:numPr>
        <w:ilvl w:val="4"/>
        <w:numId w:val="3"/>
      </w:numPr>
      <w:spacing w:before="240"/>
    </w:pPr>
  </w:style>
  <w:style w:type="paragraph" w:styleId="BilingualHeading6" w:customStyle="1">
    <w:name w:val="Bilingual Heading 6"/>
    <w:basedOn w:val="Normal"/>
    <w:unhideWhenUsed w:val="1"/>
    <w:rsid w:val="00B37D3B"/>
    <w:pPr>
      <w:numPr>
        <w:ilvl w:val="5"/>
        <w:numId w:val="3"/>
      </w:numPr>
      <w:spacing w:before="240"/>
    </w:pPr>
  </w:style>
  <w:style w:type="table" w:styleId="BilingualTable" w:customStyle="1">
    <w:name w:val="Bilingual Table"/>
    <w:basedOn w:val="TableNormal"/>
    <w:uiPriority w:val="99"/>
    <w:rsid w:val="00B37D3B"/>
    <w:rPr>
      <w:rFonts w:ascii="Arial" w:hAnsi="Arial"/>
    </w:rPr>
    <w:tblPr/>
  </w:style>
  <w:style w:type="paragraph" w:styleId="BilingualAnnexure" w:customStyle="1">
    <w:name w:val="Bilingual Annexure"/>
    <w:basedOn w:val="Normal"/>
    <w:next w:val="BodyText1"/>
    <w:rsid w:val="00B37D3B"/>
    <w:pPr>
      <w:numPr>
        <w:numId w:val="2"/>
      </w:numPr>
      <w:spacing w:before="240"/>
      <w:outlineLvl w:val="0"/>
    </w:pPr>
    <w:rPr>
      <w:b w:val="1"/>
      <w:sz w:val="24"/>
    </w:rPr>
  </w:style>
  <w:style w:type="table" w:styleId="TableGrid">
    <w:name w:val="Table Grid"/>
    <w:basedOn w:val="TableNormal"/>
    <w:rsid w:val="00B37D3B"/>
    <w:rPr>
      <w:rFonts w:ascii="Arial" w:hAnsi="Aria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ilingualItem" w:customStyle="1">
    <w:name w:val="Bilingual Item"/>
    <w:next w:val="BodyText3"/>
    <w:rsid w:val="00B37D3B"/>
    <w:pPr>
      <w:keepNext w:val="1"/>
      <w:numPr>
        <w:numId w:val="4"/>
      </w:numPr>
      <w:spacing w:before="240"/>
    </w:pPr>
    <w:rPr>
      <w:rFonts w:ascii="Arial" w:hAnsi="Arial"/>
      <w:b w:val="1"/>
      <w:lang w:val="en-AU"/>
    </w:rPr>
  </w:style>
  <w:style w:type="paragraph" w:styleId="BilingualRecital" w:customStyle="1">
    <w:name w:val="Bilingual Recital"/>
    <w:basedOn w:val="Normal"/>
    <w:rsid w:val="00B37D3B"/>
    <w:pPr>
      <w:numPr>
        <w:numId w:val="5"/>
      </w:numPr>
      <w:spacing w:before="240"/>
    </w:pPr>
  </w:style>
  <w:style w:type="paragraph" w:styleId="BilingualSchedule" w:customStyle="1">
    <w:name w:val="Bilingual Schedule"/>
    <w:basedOn w:val="Normal"/>
    <w:next w:val="BodyText1"/>
    <w:rsid w:val="00B37D3B"/>
    <w:pPr>
      <w:keepNext w:val="1"/>
      <w:numPr>
        <w:numId w:val="6"/>
      </w:numPr>
      <w:spacing w:before="480"/>
      <w:outlineLvl w:val="0"/>
    </w:pPr>
    <w:rPr>
      <w:b w:val="1"/>
      <w:sz w:val="24"/>
    </w:rPr>
  </w:style>
  <w:style w:type="paragraph" w:styleId="BilingualScheduleNumbering1" w:customStyle="1">
    <w:name w:val="Bilingual Schedule Numbering 1"/>
    <w:basedOn w:val="Normal"/>
    <w:next w:val="Normal"/>
    <w:rsid w:val="00B37D3B"/>
    <w:pPr>
      <w:keepNext w:val="1"/>
      <w:widowControl w:val="0"/>
      <w:numPr>
        <w:numId w:val="7"/>
      </w:numPr>
      <w:spacing w:before="240"/>
      <w:outlineLvl w:val="0"/>
    </w:pPr>
    <w:rPr>
      <w:b w:val="1"/>
    </w:rPr>
  </w:style>
  <w:style w:type="paragraph" w:styleId="BilingualScheduleNumbering2" w:customStyle="1">
    <w:name w:val="Bilingual Schedule Numbering 2"/>
    <w:basedOn w:val="Normal"/>
    <w:rsid w:val="00B37D3B"/>
    <w:pPr>
      <w:numPr>
        <w:ilvl w:val="1"/>
        <w:numId w:val="7"/>
      </w:numPr>
      <w:spacing w:before="240"/>
      <w:outlineLvl w:val="1"/>
    </w:pPr>
  </w:style>
  <w:style w:type="paragraph" w:styleId="BilingualScheduleNumbering3" w:customStyle="1">
    <w:name w:val="Bilingual Schedule Numbering 3"/>
    <w:basedOn w:val="Normal"/>
    <w:rsid w:val="00B37D3B"/>
    <w:pPr>
      <w:numPr>
        <w:ilvl w:val="2"/>
        <w:numId w:val="7"/>
      </w:numPr>
      <w:spacing w:before="240"/>
      <w:outlineLvl w:val="2"/>
    </w:pPr>
  </w:style>
  <w:style w:type="paragraph" w:styleId="BilingualScheduleNumbering4" w:customStyle="1">
    <w:name w:val="Bilingual Schedule Numbering 4"/>
    <w:basedOn w:val="Normal"/>
    <w:rsid w:val="00B37D3B"/>
    <w:pPr>
      <w:numPr>
        <w:ilvl w:val="3"/>
        <w:numId w:val="7"/>
      </w:numPr>
      <w:spacing w:before="240"/>
      <w:outlineLvl w:val="3"/>
    </w:pPr>
  </w:style>
  <w:style w:type="paragraph" w:styleId="BilingualScheduleNumbering5" w:customStyle="1">
    <w:name w:val="Bilingual Schedule Numbering 5"/>
    <w:basedOn w:val="Normal"/>
    <w:rsid w:val="00B37D3B"/>
    <w:pPr>
      <w:numPr>
        <w:ilvl w:val="4"/>
        <w:numId w:val="7"/>
      </w:numPr>
      <w:spacing w:before="240"/>
      <w:outlineLvl w:val="4"/>
    </w:pPr>
  </w:style>
  <w:style w:type="paragraph" w:styleId="ListParagraph">
    <w:name w:val="List Paragraph"/>
    <w:basedOn w:val="Normal"/>
    <w:uiPriority w:val="34"/>
    <w:qFormat w:val="1"/>
    <w:rsid w:val="003F6B52"/>
    <w:pPr>
      <w:ind w:left="720"/>
      <w:contextualSpacing w:val="1"/>
    </w:pPr>
  </w:style>
  <w:style w:type="character" w:styleId="FollowedHyperlink">
    <w:name w:val="FollowedHyperlink"/>
    <w:basedOn w:val="DefaultParagraphFont"/>
    <w:semiHidden w:val="1"/>
    <w:unhideWhenUsed w:val="1"/>
    <w:rsid w:val="00377A66"/>
    <w:rPr>
      <w:color w:val="800080" w:themeColor="followedHyperlink"/>
      <w:u w:val="single"/>
    </w:rPr>
  </w:style>
  <w:style w:type="character" w:styleId="CommentReference">
    <w:name w:val="annotation reference"/>
    <w:basedOn w:val="DefaultParagraphFont"/>
    <w:semiHidden w:val="1"/>
    <w:unhideWhenUsed w:val="1"/>
    <w:rsid w:val="0026452F"/>
    <w:rPr>
      <w:sz w:val="16"/>
      <w:szCs w:val="16"/>
    </w:rPr>
  </w:style>
  <w:style w:type="paragraph" w:styleId="CommentText">
    <w:name w:val="annotation text"/>
    <w:basedOn w:val="Normal"/>
    <w:link w:val="CommentTextChar"/>
    <w:unhideWhenUsed w:val="1"/>
    <w:rsid w:val="0026452F"/>
  </w:style>
  <w:style w:type="character" w:styleId="CommentTextChar" w:customStyle="1">
    <w:name w:val="Comment Text Char"/>
    <w:basedOn w:val="DefaultParagraphFont"/>
    <w:link w:val="CommentText"/>
    <w:rsid w:val="0026452F"/>
    <w:rPr>
      <w:rFonts w:ascii="Arial" w:hAnsi="Arial"/>
      <w:lang w:val="en-AU"/>
    </w:rPr>
  </w:style>
  <w:style w:type="paragraph" w:styleId="CommentSubject">
    <w:name w:val="annotation subject"/>
    <w:basedOn w:val="CommentText"/>
    <w:next w:val="CommentText"/>
    <w:link w:val="CommentSubjectChar"/>
    <w:semiHidden w:val="1"/>
    <w:unhideWhenUsed w:val="1"/>
    <w:rsid w:val="0026452F"/>
    <w:rPr>
      <w:b w:val="1"/>
      <w:bCs w:val="1"/>
    </w:rPr>
  </w:style>
  <w:style w:type="character" w:styleId="CommentSubjectChar" w:customStyle="1">
    <w:name w:val="Comment Subject Char"/>
    <w:basedOn w:val="CommentTextChar"/>
    <w:link w:val="CommentSubject"/>
    <w:semiHidden w:val="1"/>
    <w:rsid w:val="0026452F"/>
    <w:rPr>
      <w:rFonts w:ascii="Arial" w:hAnsi="Arial"/>
      <w:b w:val="1"/>
      <w:bCs w:val="1"/>
      <w:lang w:val="en-AU"/>
    </w:rPr>
  </w:style>
  <w:style w:type="paragraph" w:styleId="BalloonText">
    <w:name w:val="Balloon Text"/>
    <w:basedOn w:val="Normal"/>
    <w:link w:val="BalloonTextChar"/>
    <w:semiHidden w:val="1"/>
    <w:unhideWhenUsed w:val="1"/>
    <w:rsid w:val="0026452F"/>
    <w:rPr>
      <w:rFonts w:ascii="Segoe UI" w:cs="Segoe UI" w:hAnsi="Segoe UI"/>
      <w:sz w:val="18"/>
      <w:szCs w:val="18"/>
    </w:rPr>
  </w:style>
  <w:style w:type="character" w:styleId="BalloonTextChar" w:customStyle="1">
    <w:name w:val="Balloon Text Char"/>
    <w:basedOn w:val="DefaultParagraphFont"/>
    <w:link w:val="BalloonText"/>
    <w:semiHidden w:val="1"/>
    <w:rsid w:val="0026452F"/>
    <w:rPr>
      <w:rFonts w:ascii="Segoe UI" w:cs="Segoe UI" w:hAnsi="Segoe UI"/>
      <w:sz w:val="18"/>
      <w:szCs w:val="18"/>
      <w:lang w:val="en-AU"/>
    </w:rPr>
  </w:style>
  <w:style w:type="paragraph" w:styleId="Subtitle">
    <w:name w:val="Subtitle"/>
    <w:basedOn w:val="Normal"/>
    <w:next w:val="Normal"/>
    <w:pPr>
      <w:keepNext w:val="1"/>
      <w:spacing w:before="480" w:lineRule="auto"/>
    </w:pPr>
    <w:rPr>
      <w:b w:val="1"/>
      <w:sz w:val="24"/>
      <w:szCs w:val="24"/>
    </w:rPr>
  </w:style>
  <w:style w:type="table" w:styleId="Table1">
    <w:basedOn w:val="TableNormal"/>
    <w:pPr>
      <w:spacing w:before="120" w:lineRule="auto"/>
    </w:pPr>
    <w:rPr>
      <w:rFonts w:ascii="Arial" w:cs="Arial" w:eastAsia="Arial" w:hAnsi="Arial"/>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9rdudbbROxupfbQFZMQI3ISewA==">AMUW2mV74/ep8fOa8eLDTS2F9p4m/lTZp1OGTPTt+K9LAXs5KFAT29MGIQiM0lh2v3z4uuHcOgEYs+Ryjx3IYwfDoXVra1vAUQhpPu9jTlQMgpab+cYjeC8=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2021-04-16T16:33:00Z</dcterms:created>
  <dc:creator>Ketriin Laumets | TGS Baltic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Style">
    <vt:lpwstr>Style3</vt:lpwstr>
  </property>
  <property fmtid="{D5CDD505-2E9C-101B-9397-08002B2CF9AE}" pid="3" name="DocumentDatabase">
    <vt:lpwstr>APAC</vt:lpwstr>
  </property>
  <property fmtid="{D5CDD505-2E9C-101B-9397-08002B2CF9AE}" pid="4" name="DocumentVersion">
    <vt:lpwstr>1</vt:lpwstr>
  </property>
  <property fmtid="{D5CDD505-2E9C-101B-9397-08002B2CF9AE}" pid="5" name="DocumentNumber">
    <vt:lpwstr>116771128</vt:lpwstr>
  </property>
  <property fmtid="{D5CDD505-2E9C-101B-9397-08002B2CF9AE}" pid="6" name="DocumentCreationDate">
    <vt:filetime>2021-03-15T13:00:00Z</vt:filetime>
  </property>
  <property fmtid="{D5CDD505-2E9C-101B-9397-08002B2CF9AE}" pid="7" name="ShowGUI">
    <vt:bool>true</vt:bool>
  </property>
  <property fmtid="{D5CDD505-2E9C-101B-9397-08002B2CF9AE}" pid="8" name="DocumentOperator">
    <vt:lpwstr>DEBORAH.TSAI</vt:lpwstr>
  </property>
  <property fmtid="{D5CDD505-2E9C-101B-9397-08002B2CF9AE}" pid="9" name="DocumentAuthor">
    <vt:lpwstr>Tsai, Deborah</vt:lpwstr>
  </property>
  <property fmtid="{D5CDD505-2E9C-101B-9397-08002B2CF9AE}" pid="10" name="ClientCode">
    <vt:lpwstr>1043614</vt:lpwstr>
  </property>
  <property fmtid="{D5CDD505-2E9C-101B-9397-08002B2CF9AE}" pid="11" name="MatterNumber">
    <vt:lpwstr>2651381</vt:lpwstr>
  </property>
  <property fmtid="{D5CDD505-2E9C-101B-9397-08002B2CF9AE}" pid="12" name="Locale">
    <vt:lpwstr>Australia</vt:lpwstr>
  </property>
  <property fmtid="{D5CDD505-2E9C-101B-9397-08002B2CF9AE}" pid="13" name="ShowVBADialog">
    <vt:bool>true</vt:bool>
  </property>
  <property fmtid="{D5CDD505-2E9C-101B-9397-08002B2CF9AE}" pid="14" name="DocumentTitle">
    <vt:lpwstr>Template - INSOL Case Register</vt:lpwstr>
  </property>
</Properties>
</file>