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2A3D" w14:textId="77777777" w:rsidR="005D783E" w:rsidRPr="00AA5888" w:rsidRDefault="005D783E" w:rsidP="00AA741E">
      <w:pPr>
        <w:spacing w:after="0"/>
        <w:rPr>
          <w:rFonts w:ascii="Times New Roman" w:hAnsi="Times New Roman"/>
          <w:sz w:val="24"/>
          <w:szCs w:val="24"/>
        </w:rPr>
      </w:pPr>
    </w:p>
    <w:p w14:paraId="44A10E9D" w14:textId="77777777" w:rsidR="00D847D8" w:rsidRPr="00AA5888" w:rsidRDefault="00D847D8" w:rsidP="00D847D8">
      <w:pPr>
        <w:spacing w:after="0"/>
        <w:contextualSpacing/>
        <w:jc w:val="center"/>
        <w:rPr>
          <w:rFonts w:ascii="Times New Roman" w:hAnsi="Times New Roman"/>
          <w:b/>
          <w:sz w:val="24"/>
          <w:szCs w:val="24"/>
        </w:rPr>
      </w:pPr>
      <w:r w:rsidRPr="00AA5888">
        <w:rPr>
          <w:rFonts w:ascii="Times New Roman" w:hAnsi="Times New Roman"/>
          <w:b/>
          <w:noProof/>
          <w:sz w:val="24"/>
          <w:szCs w:val="24"/>
        </w:rPr>
        <w:drawing>
          <wp:inline distT="0" distB="0" distL="0" distR="0" wp14:anchorId="71BA65DD" wp14:editId="16E2BE68">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AA5888" w:rsidRDefault="00617533" w:rsidP="00AA741E">
      <w:pPr>
        <w:spacing w:after="0"/>
        <w:jc w:val="center"/>
        <w:rPr>
          <w:rFonts w:ascii="Times New Roman" w:hAnsi="Times New Roman"/>
          <w:b/>
          <w:sz w:val="24"/>
          <w:szCs w:val="24"/>
        </w:rPr>
      </w:pPr>
    </w:p>
    <w:p w14:paraId="545E44B6" w14:textId="277F7427" w:rsidR="00617533" w:rsidRPr="00AA5888" w:rsidRDefault="00617533" w:rsidP="00AA741E">
      <w:pPr>
        <w:spacing w:after="0"/>
        <w:jc w:val="center"/>
        <w:rPr>
          <w:rFonts w:ascii="Times New Roman" w:hAnsi="Times New Roman"/>
          <w:b/>
          <w:sz w:val="36"/>
          <w:szCs w:val="36"/>
        </w:rPr>
      </w:pPr>
      <w:r w:rsidRPr="00AA5888">
        <w:rPr>
          <w:rFonts w:ascii="Times New Roman" w:hAnsi="Times New Roman"/>
          <w:b/>
          <w:sz w:val="36"/>
          <w:szCs w:val="36"/>
        </w:rPr>
        <w:t xml:space="preserve">Inside Story – </w:t>
      </w:r>
      <w:r w:rsidR="00D976DE" w:rsidRPr="00AA5888">
        <w:rPr>
          <w:rFonts w:ascii="Times New Roman" w:hAnsi="Times New Roman"/>
          <w:b/>
          <w:sz w:val="36"/>
          <w:szCs w:val="36"/>
        </w:rPr>
        <w:t>Dec</w:t>
      </w:r>
      <w:r w:rsidR="005D2A1D" w:rsidRPr="00AA5888">
        <w:rPr>
          <w:rFonts w:ascii="Times New Roman" w:hAnsi="Times New Roman"/>
          <w:b/>
          <w:sz w:val="36"/>
          <w:szCs w:val="36"/>
        </w:rPr>
        <w:t>ember</w:t>
      </w:r>
      <w:r w:rsidRPr="00AA5888">
        <w:rPr>
          <w:rFonts w:ascii="Times New Roman" w:hAnsi="Times New Roman"/>
          <w:b/>
          <w:sz w:val="36"/>
          <w:szCs w:val="36"/>
        </w:rPr>
        <w:t xml:space="preserve"> 20</w:t>
      </w:r>
      <w:r w:rsidR="00C50AF8" w:rsidRPr="00AA5888">
        <w:rPr>
          <w:rFonts w:ascii="Times New Roman" w:hAnsi="Times New Roman"/>
          <w:b/>
          <w:sz w:val="36"/>
          <w:szCs w:val="36"/>
        </w:rPr>
        <w:t>2</w:t>
      </w:r>
      <w:r w:rsidR="005D2A1D" w:rsidRPr="00AA5888">
        <w:rPr>
          <w:rFonts w:ascii="Times New Roman" w:hAnsi="Times New Roman"/>
          <w:b/>
          <w:sz w:val="36"/>
          <w:szCs w:val="36"/>
        </w:rPr>
        <w:t>1</w:t>
      </w:r>
    </w:p>
    <w:p w14:paraId="3F7EEBFB" w14:textId="77777777" w:rsidR="00617533" w:rsidRPr="00AA5888" w:rsidRDefault="00617533" w:rsidP="00AA741E">
      <w:pPr>
        <w:spacing w:after="0"/>
        <w:jc w:val="center"/>
        <w:rPr>
          <w:rFonts w:ascii="Times New Roman" w:hAnsi="Times New Roman"/>
          <w:b/>
          <w:sz w:val="24"/>
          <w:szCs w:val="24"/>
        </w:rPr>
      </w:pPr>
    </w:p>
    <w:p w14:paraId="79B2F271" w14:textId="7B536DF6" w:rsidR="00865CA7" w:rsidRPr="00AA5888" w:rsidRDefault="00D976DE" w:rsidP="00865CA7">
      <w:pPr>
        <w:spacing w:after="0"/>
        <w:jc w:val="center"/>
        <w:rPr>
          <w:rFonts w:ascii="Times New Roman" w:hAnsi="Times New Roman"/>
          <w:b/>
          <w:sz w:val="28"/>
          <w:szCs w:val="28"/>
        </w:rPr>
      </w:pPr>
      <w:r w:rsidRPr="00AA5888">
        <w:rPr>
          <w:rFonts w:ascii="Times New Roman" w:hAnsi="Times New Roman"/>
          <w:b/>
          <w:bCs/>
          <w:sz w:val="28"/>
          <w:szCs w:val="28"/>
          <w:lang w:eastAsia="en-US"/>
        </w:rPr>
        <w:t>I</w:t>
      </w:r>
      <w:r w:rsidRPr="00AA5888">
        <w:rPr>
          <w:rFonts w:ascii="Times New Roman" w:hAnsi="Times New Roman"/>
          <w:b/>
          <w:bCs/>
          <w:sz w:val="28"/>
          <w:szCs w:val="28"/>
          <w:lang w:eastAsia="en-US"/>
        </w:rPr>
        <w:t xml:space="preserve">nsolvency </w:t>
      </w:r>
      <w:r w:rsidRPr="00AA5888">
        <w:rPr>
          <w:rFonts w:ascii="Times New Roman" w:hAnsi="Times New Roman"/>
          <w:b/>
          <w:bCs/>
          <w:sz w:val="28"/>
          <w:szCs w:val="28"/>
          <w:lang w:eastAsia="en-US"/>
        </w:rPr>
        <w:t>P</w:t>
      </w:r>
      <w:bookmarkStart w:id="0" w:name="_GoBack"/>
      <w:bookmarkEnd w:id="0"/>
      <w:r w:rsidRPr="00AA5888">
        <w:rPr>
          <w:rFonts w:ascii="Times New Roman" w:hAnsi="Times New Roman"/>
          <w:b/>
          <w:bCs/>
          <w:sz w:val="28"/>
          <w:szCs w:val="28"/>
          <w:lang w:eastAsia="en-US"/>
        </w:rPr>
        <w:t>roceeding</w:t>
      </w:r>
      <w:r w:rsidRPr="00AA5888">
        <w:rPr>
          <w:rFonts w:ascii="Times New Roman" w:hAnsi="Times New Roman"/>
          <w:b/>
          <w:bCs/>
          <w:sz w:val="28"/>
          <w:szCs w:val="28"/>
          <w:lang w:eastAsia="en-US"/>
        </w:rPr>
        <w:t>s</w:t>
      </w:r>
      <w:r w:rsidRPr="00AA5888">
        <w:rPr>
          <w:rFonts w:ascii="Times New Roman" w:hAnsi="Times New Roman"/>
          <w:b/>
          <w:bCs/>
          <w:sz w:val="28"/>
          <w:szCs w:val="28"/>
          <w:lang w:eastAsia="en-US"/>
        </w:rPr>
        <w:t xml:space="preserve"> in Hungary: the </w:t>
      </w:r>
      <w:r w:rsidRPr="00AA5888">
        <w:rPr>
          <w:rFonts w:ascii="Times New Roman" w:hAnsi="Times New Roman"/>
          <w:b/>
          <w:bCs/>
          <w:sz w:val="28"/>
          <w:szCs w:val="28"/>
          <w:lang w:eastAsia="en-US"/>
        </w:rPr>
        <w:t xml:space="preserve">New </w:t>
      </w:r>
      <w:r w:rsidRPr="00AA5888">
        <w:rPr>
          <w:rFonts w:ascii="Times New Roman" w:hAnsi="Times New Roman"/>
          <w:b/>
          <w:bCs/>
          <w:sz w:val="28"/>
          <w:szCs w:val="28"/>
          <w:lang w:eastAsia="en-US"/>
        </w:rPr>
        <w:t>“Reorganisation”</w:t>
      </w:r>
      <w:r w:rsidRPr="00AA5888">
        <w:rPr>
          <w:rFonts w:ascii="Times New Roman" w:hAnsi="Times New Roman"/>
          <w:b/>
          <w:bCs/>
          <w:sz w:val="28"/>
          <w:szCs w:val="28"/>
          <w:lang w:eastAsia="en-US"/>
        </w:rPr>
        <w:t xml:space="preserve"> Model</w:t>
      </w:r>
    </w:p>
    <w:p w14:paraId="032FD235" w14:textId="053B7A2A" w:rsidR="005D783E" w:rsidRPr="00AA5888" w:rsidRDefault="005D783E" w:rsidP="00AA741E">
      <w:pPr>
        <w:spacing w:after="0"/>
        <w:jc w:val="center"/>
        <w:rPr>
          <w:rFonts w:ascii="Times New Roman" w:hAnsi="Times New Roman"/>
          <w:b/>
          <w:sz w:val="24"/>
          <w:szCs w:val="24"/>
        </w:rPr>
      </w:pPr>
    </w:p>
    <w:p w14:paraId="135C01FF" w14:textId="5019E938" w:rsidR="00865CA7" w:rsidRPr="00AA5888" w:rsidRDefault="00D976DE" w:rsidP="00865CA7">
      <w:pPr>
        <w:pStyle w:val="PlainText"/>
        <w:jc w:val="center"/>
        <w:rPr>
          <w:rFonts w:ascii="Times New Roman" w:hAnsi="Times New Roman"/>
          <w:bCs/>
          <w:i/>
          <w:iCs/>
          <w:sz w:val="24"/>
          <w:szCs w:val="24"/>
          <w:lang w:val="en-GB"/>
        </w:rPr>
      </w:pPr>
      <w:r w:rsidRPr="00AA5888">
        <w:rPr>
          <w:rFonts w:ascii="Times New Roman" w:hAnsi="Times New Roman"/>
          <w:i/>
          <w:iCs/>
          <w:sz w:val="24"/>
          <w:szCs w:val="24"/>
          <w:lang w:val="en-GB"/>
        </w:rPr>
        <w:t>Zoltan Fabok, Special Counsel, DLA Piper, Hungary &lt;zoltan.fabok@dlapiper.com&gt;; and</w:t>
      </w:r>
    </w:p>
    <w:p w14:paraId="0B9464FF" w14:textId="6573E475" w:rsidR="002A635A" w:rsidRPr="00AA5888" w:rsidRDefault="00D976DE" w:rsidP="00865CA7">
      <w:pPr>
        <w:autoSpaceDE w:val="0"/>
        <w:autoSpaceDN w:val="0"/>
        <w:adjustRightInd w:val="0"/>
        <w:spacing w:after="0"/>
        <w:jc w:val="center"/>
        <w:rPr>
          <w:rFonts w:ascii="Times New Roman" w:hAnsi="Times New Roman"/>
          <w:bCs/>
          <w:i/>
          <w:iCs/>
          <w:sz w:val="24"/>
          <w:szCs w:val="24"/>
        </w:rPr>
      </w:pPr>
      <w:r w:rsidRPr="00AA5888">
        <w:rPr>
          <w:rFonts w:ascii="Times New Roman" w:hAnsi="Times New Roman"/>
          <w:i/>
          <w:iCs/>
          <w:color w:val="000000"/>
          <w:sz w:val="24"/>
          <w:szCs w:val="24"/>
        </w:rPr>
        <w:t>Mark Seres, Associate, DLA Piper, Hungary &lt;mark.seres@dlapiper.com&gt;</w:t>
      </w:r>
    </w:p>
    <w:p w14:paraId="4C0F3661" w14:textId="77777777" w:rsidR="00617533" w:rsidRPr="00AA5888" w:rsidRDefault="00617533" w:rsidP="00C54799">
      <w:pPr>
        <w:spacing w:after="0"/>
        <w:jc w:val="center"/>
        <w:rPr>
          <w:rFonts w:ascii="Times New Roman" w:hAnsi="Times New Roman"/>
          <w:b/>
          <w:sz w:val="24"/>
          <w:szCs w:val="24"/>
        </w:rPr>
      </w:pPr>
    </w:p>
    <w:p w14:paraId="6DE3035C" w14:textId="68FDE813" w:rsidR="00C54799" w:rsidRPr="00AA5888" w:rsidRDefault="00C54799" w:rsidP="00865CA7">
      <w:pPr>
        <w:pStyle w:val="Body"/>
        <w:jc w:val="both"/>
        <w:rPr>
          <w:rFonts w:cs="Times New Roman"/>
          <w:b/>
          <w:bCs/>
          <w:color w:val="auto"/>
          <w:sz w:val="24"/>
          <w:szCs w:val="24"/>
          <w:lang w:val="en-GB"/>
        </w:rPr>
      </w:pPr>
      <w:r w:rsidRPr="00AA5888">
        <w:rPr>
          <w:rFonts w:cs="Times New Roman"/>
          <w:bCs/>
          <w:i/>
          <w:color w:val="auto"/>
          <w:sz w:val="24"/>
          <w:szCs w:val="24"/>
          <w:lang w:val="en-GB"/>
        </w:rPr>
        <w:t>Introduction</w:t>
      </w:r>
    </w:p>
    <w:p w14:paraId="25054542" w14:textId="058EA757" w:rsidR="00560963" w:rsidRPr="00AA5888" w:rsidRDefault="00560963" w:rsidP="00D976DE">
      <w:pPr>
        <w:spacing w:after="0"/>
        <w:rPr>
          <w:rFonts w:ascii="Times New Roman" w:hAnsi="Times New Roman"/>
          <w:sz w:val="24"/>
          <w:szCs w:val="24"/>
        </w:rPr>
      </w:pPr>
    </w:p>
    <w:p w14:paraId="4A2B2CF0" w14:textId="572914C8" w:rsidR="00D976DE" w:rsidRPr="00AA5888" w:rsidRDefault="00D976DE" w:rsidP="00D976DE">
      <w:pPr>
        <w:pStyle w:val="MarginText"/>
        <w:spacing w:after="0" w:line="240" w:lineRule="auto"/>
        <w:rPr>
          <w:rFonts w:eastAsiaTheme="minorHAnsi"/>
          <w:sz w:val="24"/>
          <w:szCs w:val="24"/>
        </w:rPr>
      </w:pPr>
      <w:r w:rsidRPr="00AA5888">
        <w:rPr>
          <w:rFonts w:eastAsiaTheme="minorHAnsi"/>
          <w:sz w:val="24"/>
          <w:szCs w:val="24"/>
        </w:rPr>
        <w:t xml:space="preserve">Since the COVID-19 pandemic, to mitigate its effect on the economy, the Hungarian Government has taken several measures, passed several </w:t>
      </w:r>
      <w:r w:rsidR="00F173BA" w:rsidRPr="00AA5888">
        <w:rPr>
          <w:rFonts w:eastAsiaTheme="minorHAnsi"/>
          <w:sz w:val="24"/>
          <w:szCs w:val="24"/>
        </w:rPr>
        <w:t xml:space="preserve">pieces of </w:t>
      </w:r>
      <w:r w:rsidRPr="00AA5888">
        <w:rPr>
          <w:rFonts w:eastAsiaTheme="minorHAnsi"/>
          <w:sz w:val="24"/>
          <w:szCs w:val="24"/>
        </w:rPr>
        <w:t xml:space="preserve">emergency legislation and introduced new legal tools to help – among others –local businesses. As part of the emergency legislation, the Hungarian Government introduced a new type of insolvency procedure, designed to be the main alternative </w:t>
      </w:r>
      <w:r w:rsidR="00F173BA" w:rsidRPr="00AA5888">
        <w:rPr>
          <w:rFonts w:eastAsiaTheme="minorHAnsi"/>
          <w:sz w:val="24"/>
          <w:szCs w:val="24"/>
        </w:rPr>
        <w:t>to</w:t>
      </w:r>
      <w:r w:rsidRPr="00AA5888">
        <w:rPr>
          <w:rFonts w:eastAsiaTheme="minorHAnsi"/>
          <w:sz w:val="24"/>
          <w:szCs w:val="24"/>
        </w:rPr>
        <w:t xml:space="preserve"> the existing traditional bankruptcy procedure (in Hungarian: “</w:t>
      </w:r>
      <w:r w:rsidRPr="00AA5888">
        <w:rPr>
          <w:rFonts w:eastAsiaTheme="minorHAnsi"/>
          <w:i/>
          <w:iCs/>
          <w:sz w:val="24"/>
          <w:szCs w:val="24"/>
        </w:rPr>
        <w:t>csődeljárás</w:t>
      </w:r>
      <w:r w:rsidRPr="00AA5888">
        <w:rPr>
          <w:rFonts w:eastAsiaTheme="minorHAnsi"/>
          <w:sz w:val="24"/>
          <w:szCs w:val="24"/>
        </w:rPr>
        <w:t xml:space="preserve">”). This new procedure serves as a new potential tool for businesses to handle and survive an insolvency situation, to restore their solvency and to continue the business </w:t>
      </w:r>
      <w:r w:rsidR="00AA5888" w:rsidRPr="00AA5888">
        <w:rPr>
          <w:rFonts w:eastAsiaTheme="minorHAnsi"/>
          <w:sz w:val="24"/>
          <w:szCs w:val="24"/>
        </w:rPr>
        <w:t>operations</w:t>
      </w:r>
      <w:r w:rsidRPr="00AA5888">
        <w:rPr>
          <w:rFonts w:eastAsiaTheme="minorHAnsi"/>
          <w:sz w:val="24"/>
          <w:szCs w:val="24"/>
        </w:rPr>
        <w:t>.</w:t>
      </w:r>
    </w:p>
    <w:p w14:paraId="266499F1" w14:textId="77777777" w:rsidR="00F173BA" w:rsidRPr="00AA5888" w:rsidRDefault="00F173BA" w:rsidP="00D976DE">
      <w:pPr>
        <w:pStyle w:val="MarginText"/>
        <w:spacing w:after="0" w:line="240" w:lineRule="auto"/>
        <w:rPr>
          <w:rFonts w:eastAsiaTheme="minorHAnsi"/>
          <w:sz w:val="24"/>
          <w:szCs w:val="24"/>
        </w:rPr>
      </w:pPr>
    </w:p>
    <w:p w14:paraId="7567C5C1" w14:textId="3F5BC753" w:rsidR="00D976DE" w:rsidRPr="00AA5888" w:rsidRDefault="00D976DE" w:rsidP="00D976DE">
      <w:pPr>
        <w:pStyle w:val="MarginText"/>
        <w:spacing w:after="0" w:line="240" w:lineRule="auto"/>
        <w:rPr>
          <w:rFonts w:eastAsiaTheme="minorHAnsi"/>
          <w:sz w:val="24"/>
          <w:szCs w:val="24"/>
        </w:rPr>
      </w:pPr>
      <w:r w:rsidRPr="00AA5888">
        <w:rPr>
          <w:rFonts w:eastAsiaTheme="minorHAnsi"/>
          <w:sz w:val="24"/>
          <w:szCs w:val="24"/>
        </w:rPr>
        <w:t xml:space="preserve">The new reorganisation procedure is relatively fresh and </w:t>
      </w:r>
      <w:r w:rsidR="00F173BA" w:rsidRPr="00AA5888">
        <w:rPr>
          <w:rFonts w:eastAsiaTheme="minorHAnsi"/>
          <w:sz w:val="24"/>
          <w:szCs w:val="24"/>
        </w:rPr>
        <w:t xml:space="preserve">has </w:t>
      </w:r>
      <w:r w:rsidRPr="00AA5888">
        <w:rPr>
          <w:rFonts w:eastAsiaTheme="minorHAnsi"/>
          <w:sz w:val="24"/>
          <w:szCs w:val="24"/>
        </w:rPr>
        <w:t xml:space="preserve">not </w:t>
      </w:r>
      <w:r w:rsidR="00F173BA" w:rsidRPr="00AA5888">
        <w:rPr>
          <w:rFonts w:eastAsiaTheme="minorHAnsi"/>
          <w:sz w:val="24"/>
          <w:szCs w:val="24"/>
        </w:rPr>
        <w:t xml:space="preserve">been </w:t>
      </w:r>
      <w:r w:rsidRPr="00AA5888">
        <w:rPr>
          <w:rFonts w:eastAsiaTheme="minorHAnsi"/>
          <w:sz w:val="24"/>
          <w:szCs w:val="24"/>
        </w:rPr>
        <w:t>widely used in the practice so far</w:t>
      </w:r>
      <w:r w:rsidR="00F173BA" w:rsidRPr="00AA5888">
        <w:rPr>
          <w:rFonts w:eastAsiaTheme="minorHAnsi"/>
          <w:sz w:val="24"/>
          <w:szCs w:val="24"/>
        </w:rPr>
        <w:t>.</w:t>
      </w:r>
      <w:r w:rsidRPr="00AA5888">
        <w:rPr>
          <w:rStyle w:val="FootnoteReference"/>
          <w:rFonts w:eastAsiaTheme="minorHAnsi"/>
          <w:sz w:val="24"/>
          <w:szCs w:val="24"/>
        </w:rPr>
        <w:footnoteReference w:id="1"/>
      </w:r>
      <w:r w:rsidRPr="00AA5888">
        <w:rPr>
          <w:rFonts w:eastAsiaTheme="minorHAnsi"/>
          <w:sz w:val="24"/>
          <w:szCs w:val="24"/>
        </w:rPr>
        <w:t xml:space="preserve"> It was introduced in April 2021 and </w:t>
      </w:r>
      <w:r w:rsidR="00F173BA" w:rsidRPr="00AA5888">
        <w:rPr>
          <w:rFonts w:eastAsiaTheme="minorHAnsi"/>
          <w:sz w:val="24"/>
          <w:szCs w:val="24"/>
        </w:rPr>
        <w:t xml:space="preserve">already </w:t>
      </w:r>
      <w:r w:rsidRPr="00AA5888">
        <w:rPr>
          <w:rFonts w:eastAsiaTheme="minorHAnsi"/>
          <w:sz w:val="24"/>
          <w:szCs w:val="24"/>
        </w:rPr>
        <w:t>has been revised. Currently, it is regulated under Government Decree 345/2021 (VI 18)</w:t>
      </w:r>
      <w:r w:rsidRPr="00AA5888">
        <w:rPr>
          <w:rStyle w:val="FootnoteReference"/>
          <w:rFonts w:eastAsiaTheme="minorHAnsi"/>
          <w:kern w:val="0"/>
          <w:sz w:val="24"/>
          <w:szCs w:val="24"/>
          <w:lang w:eastAsia="en-US"/>
        </w:rPr>
        <w:footnoteReference w:id="2"/>
      </w:r>
      <w:r w:rsidRPr="00AA5888">
        <w:rPr>
          <w:rFonts w:eastAsiaTheme="minorHAnsi"/>
          <w:kern w:val="0"/>
          <w:sz w:val="24"/>
          <w:szCs w:val="24"/>
          <w:lang w:eastAsia="en-US"/>
        </w:rPr>
        <w:t xml:space="preserve"> (the “Decree”) </w:t>
      </w:r>
      <w:r w:rsidRPr="00AA5888">
        <w:rPr>
          <w:rFonts w:eastAsiaTheme="minorHAnsi"/>
          <w:sz w:val="24"/>
          <w:szCs w:val="24"/>
        </w:rPr>
        <w:t>(and also – with the same wording – in Act XCIX of 2021</w:t>
      </w:r>
      <w:r w:rsidR="00F173BA" w:rsidRPr="00AA5888">
        <w:rPr>
          <w:rFonts w:eastAsiaTheme="minorHAnsi"/>
          <w:sz w:val="24"/>
          <w:szCs w:val="24"/>
        </w:rPr>
        <w:t>).</w:t>
      </w:r>
      <w:r w:rsidRPr="00AA5888">
        <w:rPr>
          <w:rStyle w:val="FootnoteReference"/>
          <w:rFonts w:eastAsiaTheme="minorHAnsi"/>
          <w:kern w:val="0"/>
          <w:sz w:val="24"/>
          <w:szCs w:val="24"/>
          <w:lang w:eastAsia="en-US"/>
        </w:rPr>
        <w:footnoteReference w:id="3"/>
      </w:r>
      <w:r w:rsidRPr="00AA5888">
        <w:rPr>
          <w:rFonts w:eastAsiaTheme="minorHAnsi"/>
          <w:sz w:val="24"/>
          <w:szCs w:val="24"/>
        </w:rPr>
        <w:t xml:space="preserve"> According to the relevant laws, businesses may file for the new procedure until 31 December 2022, and the ongoing procedures might be concluded thereafter. Interestingly, the Hungarian legislator – as a result of a long preparation, conciliation and legislation process – has also accepted the new law</w:t>
      </w:r>
      <w:r w:rsidRPr="00AA5888">
        <w:rPr>
          <w:rStyle w:val="FootnoteReference"/>
          <w:rFonts w:eastAsiaTheme="minorHAnsi"/>
          <w:sz w:val="24"/>
          <w:szCs w:val="24"/>
        </w:rPr>
        <w:footnoteReference w:id="4"/>
      </w:r>
      <w:r w:rsidRPr="00AA5888">
        <w:rPr>
          <w:rFonts w:eastAsiaTheme="minorHAnsi"/>
          <w:sz w:val="24"/>
          <w:szCs w:val="24"/>
        </w:rPr>
        <w:t xml:space="preserve"> implementing the preventive restructuring frameworks</w:t>
      </w:r>
      <w:r w:rsidR="00F173BA" w:rsidRPr="00AA5888">
        <w:rPr>
          <w:rFonts w:eastAsiaTheme="minorHAnsi"/>
          <w:sz w:val="24"/>
          <w:szCs w:val="24"/>
        </w:rPr>
        <w:t>,</w:t>
      </w:r>
      <w:r w:rsidRPr="00AA5888">
        <w:rPr>
          <w:rStyle w:val="FootnoteReference"/>
          <w:rFonts w:eastAsiaTheme="minorHAnsi"/>
          <w:sz w:val="24"/>
          <w:szCs w:val="24"/>
        </w:rPr>
        <w:footnoteReference w:id="5"/>
      </w:r>
      <w:r w:rsidRPr="00AA5888">
        <w:rPr>
          <w:rFonts w:eastAsiaTheme="minorHAnsi"/>
          <w:sz w:val="24"/>
          <w:szCs w:val="24"/>
        </w:rPr>
        <w:t xml:space="preserve"> and </w:t>
      </w:r>
      <w:r w:rsidR="00F173BA" w:rsidRPr="00AA5888">
        <w:rPr>
          <w:rFonts w:eastAsiaTheme="minorHAnsi"/>
          <w:sz w:val="24"/>
          <w:szCs w:val="24"/>
        </w:rPr>
        <w:t xml:space="preserve">that </w:t>
      </w:r>
      <w:r w:rsidRPr="00AA5888">
        <w:rPr>
          <w:rFonts w:eastAsiaTheme="minorHAnsi"/>
          <w:sz w:val="24"/>
          <w:szCs w:val="24"/>
        </w:rPr>
        <w:t xml:space="preserve">law </w:t>
      </w:r>
      <w:r w:rsidR="00F173BA" w:rsidRPr="00AA5888">
        <w:rPr>
          <w:rFonts w:eastAsiaTheme="minorHAnsi"/>
          <w:sz w:val="24"/>
          <w:szCs w:val="24"/>
        </w:rPr>
        <w:t xml:space="preserve">will </w:t>
      </w:r>
      <w:r w:rsidRPr="00AA5888">
        <w:rPr>
          <w:rFonts w:eastAsiaTheme="minorHAnsi"/>
          <w:sz w:val="24"/>
          <w:szCs w:val="24"/>
        </w:rPr>
        <w:t xml:space="preserve">enter into force on 1 July 2022. It seems that both the new reorganisation procedure and the new restructuring procedure will be available for </w:t>
      </w:r>
      <w:r w:rsidRPr="00AA5888">
        <w:rPr>
          <w:rFonts w:eastAsiaTheme="minorHAnsi"/>
          <w:sz w:val="24"/>
          <w:szCs w:val="24"/>
        </w:rPr>
        <w:lastRenderedPageBreak/>
        <w:t>businesses facing insolvency in Q3/Q4 of 2022. We note that these procedures are very similar with respect to their purpose.</w:t>
      </w:r>
    </w:p>
    <w:p w14:paraId="2D63AF42" w14:textId="77777777" w:rsidR="00F173BA" w:rsidRPr="00AA5888" w:rsidRDefault="00F173BA" w:rsidP="00D976DE">
      <w:pPr>
        <w:pStyle w:val="BodyTextIndent"/>
        <w:spacing w:after="0"/>
        <w:ind w:left="0"/>
        <w:rPr>
          <w:rFonts w:ascii="Times New Roman" w:eastAsiaTheme="minorHAnsi" w:hAnsi="Times New Roman"/>
          <w:b/>
          <w:bCs/>
          <w:i/>
          <w:iCs/>
          <w:sz w:val="24"/>
          <w:szCs w:val="24"/>
          <w:lang w:eastAsia="en-US"/>
        </w:rPr>
      </w:pPr>
    </w:p>
    <w:p w14:paraId="291A83C3" w14:textId="4888FD08" w:rsidR="00D976DE" w:rsidRPr="00AA5888" w:rsidRDefault="00D976DE" w:rsidP="00D976DE">
      <w:pPr>
        <w:pStyle w:val="BodyTextIndent"/>
        <w:spacing w:after="0"/>
        <w:ind w:left="0"/>
        <w:rPr>
          <w:rFonts w:ascii="Times New Roman" w:eastAsiaTheme="minorHAnsi" w:hAnsi="Times New Roman"/>
          <w:bCs/>
          <w:i/>
          <w:iCs/>
          <w:sz w:val="24"/>
          <w:szCs w:val="24"/>
          <w:lang w:eastAsia="en-US"/>
        </w:rPr>
      </w:pPr>
      <w:r w:rsidRPr="00AA5888">
        <w:rPr>
          <w:rFonts w:ascii="Times New Roman" w:eastAsiaTheme="minorHAnsi" w:hAnsi="Times New Roman"/>
          <w:bCs/>
          <w:i/>
          <w:iCs/>
          <w:sz w:val="24"/>
          <w:szCs w:val="24"/>
          <w:lang w:eastAsia="en-US"/>
        </w:rPr>
        <w:t xml:space="preserve">A </w:t>
      </w:r>
      <w:r w:rsidR="00F173BA" w:rsidRPr="00AA5888">
        <w:rPr>
          <w:rFonts w:ascii="Times New Roman" w:eastAsiaTheme="minorHAnsi" w:hAnsi="Times New Roman"/>
          <w:bCs/>
          <w:i/>
          <w:iCs/>
          <w:sz w:val="24"/>
          <w:szCs w:val="24"/>
          <w:lang w:eastAsia="en-US"/>
        </w:rPr>
        <w:t>N</w:t>
      </w:r>
      <w:r w:rsidRPr="00AA5888">
        <w:rPr>
          <w:rFonts w:ascii="Times New Roman" w:eastAsiaTheme="minorHAnsi" w:hAnsi="Times New Roman"/>
          <w:bCs/>
          <w:i/>
          <w:iCs/>
          <w:sz w:val="24"/>
          <w:szCs w:val="24"/>
          <w:lang w:eastAsia="en-US"/>
        </w:rPr>
        <w:t xml:space="preserve">ew </w:t>
      </w:r>
      <w:r w:rsidR="00F173BA" w:rsidRPr="00AA5888">
        <w:rPr>
          <w:rFonts w:ascii="Times New Roman" w:eastAsiaTheme="minorHAnsi" w:hAnsi="Times New Roman"/>
          <w:bCs/>
          <w:i/>
          <w:iCs/>
          <w:sz w:val="24"/>
          <w:szCs w:val="24"/>
          <w:lang w:eastAsia="en-US"/>
        </w:rPr>
        <w:t>T</w:t>
      </w:r>
      <w:r w:rsidRPr="00AA5888">
        <w:rPr>
          <w:rFonts w:ascii="Times New Roman" w:eastAsiaTheme="minorHAnsi" w:hAnsi="Times New Roman"/>
          <w:bCs/>
          <w:i/>
          <w:iCs/>
          <w:sz w:val="24"/>
          <w:szCs w:val="24"/>
          <w:lang w:eastAsia="en-US"/>
        </w:rPr>
        <w:t xml:space="preserve">ype of </w:t>
      </w:r>
      <w:r w:rsidR="00F173BA" w:rsidRPr="00AA5888">
        <w:rPr>
          <w:rFonts w:ascii="Times New Roman" w:eastAsiaTheme="minorHAnsi" w:hAnsi="Times New Roman"/>
          <w:bCs/>
          <w:i/>
          <w:iCs/>
          <w:sz w:val="24"/>
          <w:szCs w:val="24"/>
          <w:lang w:eastAsia="en-US"/>
        </w:rPr>
        <w:t>I</w:t>
      </w:r>
      <w:r w:rsidRPr="00AA5888">
        <w:rPr>
          <w:rFonts w:ascii="Times New Roman" w:eastAsiaTheme="minorHAnsi" w:hAnsi="Times New Roman"/>
          <w:bCs/>
          <w:i/>
          <w:iCs/>
          <w:sz w:val="24"/>
          <w:szCs w:val="24"/>
          <w:lang w:eastAsia="en-US"/>
        </w:rPr>
        <w:t xml:space="preserve">nsolvency </w:t>
      </w:r>
      <w:r w:rsidR="00F173BA" w:rsidRPr="00AA5888">
        <w:rPr>
          <w:rFonts w:ascii="Times New Roman" w:eastAsiaTheme="minorHAnsi" w:hAnsi="Times New Roman"/>
          <w:bCs/>
          <w:i/>
          <w:iCs/>
          <w:sz w:val="24"/>
          <w:szCs w:val="24"/>
          <w:lang w:eastAsia="en-US"/>
        </w:rPr>
        <w:t>P</w:t>
      </w:r>
      <w:r w:rsidRPr="00AA5888">
        <w:rPr>
          <w:rFonts w:ascii="Times New Roman" w:eastAsiaTheme="minorHAnsi" w:hAnsi="Times New Roman"/>
          <w:bCs/>
          <w:i/>
          <w:iCs/>
          <w:sz w:val="24"/>
          <w:szCs w:val="24"/>
          <w:lang w:eastAsia="en-US"/>
        </w:rPr>
        <w:t>rocedure</w:t>
      </w:r>
    </w:p>
    <w:p w14:paraId="1D5C05F7" w14:textId="77777777" w:rsidR="00F173BA" w:rsidRPr="00AA5888" w:rsidRDefault="00F173BA" w:rsidP="00D976DE">
      <w:pPr>
        <w:pStyle w:val="MarginText"/>
        <w:spacing w:after="0" w:line="240" w:lineRule="auto"/>
        <w:rPr>
          <w:rFonts w:eastAsiaTheme="minorHAnsi"/>
          <w:kern w:val="0"/>
          <w:sz w:val="24"/>
          <w:szCs w:val="24"/>
          <w:lang w:eastAsia="en-US"/>
        </w:rPr>
      </w:pPr>
    </w:p>
    <w:p w14:paraId="793D930C" w14:textId="0297268E" w:rsidR="00D976DE" w:rsidRPr="00AA5888" w:rsidRDefault="00D976DE" w:rsidP="00D976DE">
      <w:pPr>
        <w:pStyle w:val="MarginText"/>
        <w:spacing w:after="0" w:line="240" w:lineRule="auto"/>
        <w:rPr>
          <w:rFonts w:eastAsiaTheme="minorHAnsi"/>
          <w:kern w:val="0"/>
          <w:sz w:val="24"/>
          <w:szCs w:val="24"/>
          <w:lang w:eastAsia="en-US"/>
        </w:rPr>
      </w:pPr>
      <w:r w:rsidRPr="00AA5888">
        <w:rPr>
          <w:rFonts w:eastAsiaTheme="minorHAnsi"/>
          <w:kern w:val="0"/>
          <w:sz w:val="24"/>
          <w:szCs w:val="24"/>
          <w:lang w:eastAsia="en-US"/>
        </w:rPr>
        <w:t>The reorganisation procedure is generally a new type of formalized insolvency procedure in Hungary in addition to the existing bankruptcy (in Hungarian: “</w:t>
      </w:r>
      <w:r w:rsidRPr="00AA5888">
        <w:rPr>
          <w:rFonts w:eastAsiaTheme="minorHAnsi"/>
          <w:i/>
          <w:iCs/>
          <w:kern w:val="0"/>
          <w:sz w:val="24"/>
          <w:szCs w:val="24"/>
          <w:lang w:eastAsia="en-US"/>
        </w:rPr>
        <w:t>csődeljárás</w:t>
      </w:r>
      <w:r w:rsidRPr="00AA5888">
        <w:rPr>
          <w:rFonts w:eastAsiaTheme="minorHAnsi"/>
          <w:kern w:val="0"/>
          <w:sz w:val="24"/>
          <w:szCs w:val="24"/>
          <w:lang w:eastAsia="en-US"/>
        </w:rPr>
        <w:t>”) and liquidation (in Hungarian: “</w:t>
      </w:r>
      <w:r w:rsidRPr="00AA5888">
        <w:rPr>
          <w:rFonts w:eastAsiaTheme="minorHAnsi"/>
          <w:i/>
          <w:iCs/>
          <w:kern w:val="0"/>
          <w:sz w:val="24"/>
          <w:szCs w:val="24"/>
          <w:lang w:eastAsia="en-US"/>
        </w:rPr>
        <w:t>felszámolási eljárás</w:t>
      </w:r>
      <w:r w:rsidRPr="00AA5888">
        <w:rPr>
          <w:rFonts w:eastAsiaTheme="minorHAnsi"/>
          <w:kern w:val="0"/>
          <w:sz w:val="24"/>
          <w:szCs w:val="24"/>
          <w:lang w:eastAsia="en-US"/>
        </w:rPr>
        <w:t>”) proceedings. In terms of its purpose, the reorganisation procedure is similar to the existing bankruptcy proceeding</w:t>
      </w:r>
      <w:r w:rsidR="00F173BA" w:rsidRPr="00AA5888">
        <w:rPr>
          <w:rFonts w:eastAsiaTheme="minorHAnsi"/>
          <w:kern w:val="0"/>
          <w:sz w:val="24"/>
          <w:szCs w:val="24"/>
          <w:lang w:eastAsia="en-US"/>
        </w:rPr>
        <w:t>,</w:t>
      </w:r>
      <w:r w:rsidRPr="00AA5888">
        <w:rPr>
          <w:rFonts w:eastAsiaTheme="minorHAnsi"/>
          <w:kern w:val="0"/>
          <w:sz w:val="24"/>
          <w:szCs w:val="24"/>
          <w:lang w:eastAsia="en-US"/>
        </w:rPr>
        <w:t xml:space="preserve"> as the main purpose is to reorganize a debtor company in financial difficulty (insolvent or threatened with insolvency) in order to restore its solvency and continue its </w:t>
      </w:r>
      <w:r w:rsidR="00AA5888" w:rsidRPr="00AA5888">
        <w:rPr>
          <w:rFonts w:eastAsiaTheme="minorHAnsi"/>
          <w:kern w:val="0"/>
          <w:sz w:val="24"/>
          <w:szCs w:val="24"/>
          <w:lang w:eastAsia="en-US"/>
        </w:rPr>
        <w:t>operations</w:t>
      </w:r>
      <w:r w:rsidRPr="00AA5888">
        <w:rPr>
          <w:rFonts w:eastAsiaTheme="minorHAnsi"/>
          <w:kern w:val="0"/>
          <w:sz w:val="24"/>
          <w:szCs w:val="24"/>
          <w:lang w:eastAsia="en-US"/>
        </w:rPr>
        <w:t>. A significant difference, however, compared to bankruptcy procedure is that a non-successful reorganisation does not automatically result in a liquidation procedure.</w:t>
      </w:r>
    </w:p>
    <w:p w14:paraId="595B5FEE" w14:textId="77777777" w:rsidR="00F173BA" w:rsidRPr="00AA5888" w:rsidRDefault="00F173BA" w:rsidP="00D976DE">
      <w:pPr>
        <w:pStyle w:val="MarginText"/>
        <w:spacing w:after="0" w:line="240" w:lineRule="auto"/>
        <w:rPr>
          <w:rFonts w:eastAsiaTheme="minorHAnsi"/>
          <w:kern w:val="0"/>
          <w:sz w:val="24"/>
          <w:szCs w:val="24"/>
          <w:lang w:eastAsia="en-US"/>
        </w:rPr>
      </w:pPr>
    </w:p>
    <w:p w14:paraId="4A3F30F0" w14:textId="48837FB7" w:rsidR="00D976DE" w:rsidRPr="00AA5888" w:rsidRDefault="00D976DE" w:rsidP="00D976DE">
      <w:pPr>
        <w:pStyle w:val="MarginText"/>
        <w:spacing w:after="0" w:line="240" w:lineRule="auto"/>
        <w:rPr>
          <w:rFonts w:eastAsiaTheme="minorHAnsi"/>
          <w:bCs/>
          <w:i/>
          <w:iCs/>
          <w:sz w:val="24"/>
          <w:szCs w:val="24"/>
        </w:rPr>
      </w:pPr>
      <w:r w:rsidRPr="00AA5888">
        <w:rPr>
          <w:rFonts w:eastAsiaTheme="minorHAnsi"/>
          <w:bCs/>
          <w:i/>
          <w:iCs/>
          <w:sz w:val="24"/>
          <w:szCs w:val="24"/>
        </w:rPr>
        <w:t xml:space="preserve">Opening of a </w:t>
      </w:r>
      <w:r w:rsidR="00F173BA" w:rsidRPr="00AA5888">
        <w:rPr>
          <w:rFonts w:eastAsiaTheme="minorHAnsi"/>
          <w:bCs/>
          <w:i/>
          <w:iCs/>
          <w:sz w:val="24"/>
          <w:szCs w:val="24"/>
        </w:rPr>
        <w:t>R</w:t>
      </w:r>
      <w:r w:rsidRPr="00AA5888">
        <w:rPr>
          <w:rFonts w:eastAsiaTheme="minorHAnsi"/>
          <w:bCs/>
          <w:i/>
          <w:iCs/>
          <w:sz w:val="24"/>
          <w:szCs w:val="24"/>
        </w:rPr>
        <w:t xml:space="preserve">eorganisation </w:t>
      </w:r>
      <w:r w:rsidR="00F173BA" w:rsidRPr="00AA5888">
        <w:rPr>
          <w:rFonts w:eastAsiaTheme="minorHAnsi"/>
          <w:bCs/>
          <w:i/>
          <w:iCs/>
          <w:sz w:val="24"/>
          <w:szCs w:val="24"/>
        </w:rPr>
        <w:t>P</w:t>
      </w:r>
      <w:r w:rsidRPr="00AA5888">
        <w:rPr>
          <w:rFonts w:eastAsiaTheme="minorHAnsi"/>
          <w:bCs/>
          <w:i/>
          <w:iCs/>
          <w:sz w:val="24"/>
          <w:szCs w:val="24"/>
        </w:rPr>
        <w:t>rocedure</w:t>
      </w:r>
    </w:p>
    <w:p w14:paraId="31A35EF1" w14:textId="77777777" w:rsidR="00F173BA" w:rsidRPr="00AA5888" w:rsidRDefault="00F173BA" w:rsidP="00D976DE">
      <w:pPr>
        <w:pStyle w:val="MarginText"/>
        <w:spacing w:after="0" w:line="240" w:lineRule="auto"/>
        <w:rPr>
          <w:rFonts w:eastAsiaTheme="minorHAnsi"/>
          <w:kern w:val="0"/>
          <w:sz w:val="24"/>
          <w:szCs w:val="24"/>
          <w:lang w:eastAsia="en-US"/>
        </w:rPr>
      </w:pPr>
    </w:p>
    <w:p w14:paraId="75455182" w14:textId="46134B49" w:rsidR="00D976DE" w:rsidRPr="00AA5888" w:rsidRDefault="00D976DE" w:rsidP="00D976DE">
      <w:pPr>
        <w:pStyle w:val="MarginText"/>
        <w:spacing w:after="0" w:line="240" w:lineRule="auto"/>
        <w:rPr>
          <w:rFonts w:eastAsiaTheme="minorHAnsi"/>
          <w:sz w:val="24"/>
          <w:szCs w:val="24"/>
        </w:rPr>
      </w:pPr>
      <w:r w:rsidRPr="00AA5888">
        <w:rPr>
          <w:rFonts w:eastAsiaTheme="minorHAnsi"/>
          <w:kern w:val="0"/>
          <w:sz w:val="24"/>
          <w:szCs w:val="24"/>
          <w:lang w:eastAsia="en-US"/>
        </w:rPr>
        <w:t xml:space="preserve">The procedure is available for local businesses and the Budapest Metropolitan Court has exclusive jurisdiction to conduct them. </w:t>
      </w:r>
      <w:r w:rsidRPr="00AA5888">
        <w:rPr>
          <w:rFonts w:eastAsiaTheme="minorHAnsi"/>
          <w:sz w:val="24"/>
          <w:szCs w:val="24"/>
        </w:rPr>
        <w:t>The procedure may be opened on the basis of the decision of the shareholders.</w:t>
      </w:r>
      <w:r w:rsidRPr="00AA5888">
        <w:rPr>
          <w:rStyle w:val="FootnoteReference"/>
          <w:rFonts w:eastAsiaTheme="minorHAnsi"/>
          <w:sz w:val="24"/>
          <w:szCs w:val="24"/>
        </w:rPr>
        <w:footnoteReference w:id="6"/>
      </w:r>
      <w:r w:rsidRPr="00AA5888">
        <w:rPr>
          <w:rFonts w:eastAsiaTheme="minorHAnsi"/>
          <w:sz w:val="24"/>
          <w:szCs w:val="24"/>
        </w:rPr>
        <w:t xml:space="preserve"> The main condition precedent to this procedure is that the given company needs to be in “imminent insolvency” in order to be eligible for the procedure. The definition of “imminent insolvency”</w:t>
      </w:r>
      <w:r w:rsidRPr="00AA5888">
        <w:rPr>
          <w:rStyle w:val="FootnoteReference"/>
          <w:rFonts w:eastAsiaTheme="minorHAnsi"/>
          <w:sz w:val="24"/>
          <w:szCs w:val="24"/>
        </w:rPr>
        <w:footnoteReference w:id="7"/>
      </w:r>
      <w:r w:rsidRPr="00AA5888">
        <w:rPr>
          <w:rFonts w:eastAsiaTheme="minorHAnsi"/>
          <w:sz w:val="24"/>
          <w:szCs w:val="24"/>
        </w:rPr>
        <w:t xml:space="preserve"> in the Decree is identical to the definition of this term</w:t>
      </w:r>
      <w:r w:rsidRPr="00AA5888">
        <w:rPr>
          <w:rStyle w:val="FootnoteReference"/>
          <w:rFonts w:eastAsiaTheme="minorHAnsi"/>
          <w:sz w:val="24"/>
          <w:szCs w:val="24"/>
        </w:rPr>
        <w:footnoteReference w:id="8"/>
      </w:r>
      <w:r w:rsidRPr="00AA5888">
        <w:rPr>
          <w:rFonts w:eastAsiaTheme="minorHAnsi"/>
          <w:sz w:val="24"/>
          <w:szCs w:val="24"/>
        </w:rPr>
        <w:t xml:space="preserve"> under the Hungarian Bankruptcy Act.</w:t>
      </w:r>
      <w:r w:rsidRPr="00AA5888">
        <w:rPr>
          <w:rStyle w:val="FootnoteReference"/>
          <w:rFonts w:eastAsiaTheme="minorHAnsi"/>
          <w:sz w:val="24"/>
          <w:szCs w:val="24"/>
        </w:rPr>
        <w:footnoteReference w:id="9"/>
      </w:r>
      <w:r w:rsidRPr="00AA5888">
        <w:rPr>
          <w:rFonts w:eastAsiaTheme="minorHAnsi"/>
          <w:sz w:val="24"/>
          <w:szCs w:val="24"/>
        </w:rPr>
        <w:t xml:space="preserve"> Its advantage is that there is extensive judicial preceden</w:t>
      </w:r>
      <w:r w:rsidR="00F173BA" w:rsidRPr="00AA5888">
        <w:rPr>
          <w:rFonts w:eastAsiaTheme="minorHAnsi"/>
          <w:sz w:val="24"/>
          <w:szCs w:val="24"/>
        </w:rPr>
        <w:t>t</w:t>
      </w:r>
      <w:r w:rsidRPr="00AA5888">
        <w:rPr>
          <w:rFonts w:eastAsiaTheme="minorHAnsi"/>
          <w:sz w:val="24"/>
          <w:szCs w:val="24"/>
        </w:rPr>
        <w:t xml:space="preserve"> relating to the interpretation of the term “imminent insolvency”. However, this solution excludes businesses from the procedure that are remotely threatened with insolvency. The management of the debtor business has also an important task, it is required to prepare a preliminary reorganisation plan that requires – due to the usual timing issues – careful but appropriate planning and considerations </w:t>
      </w:r>
      <w:r w:rsidR="00F173BA" w:rsidRPr="00AA5888">
        <w:rPr>
          <w:rFonts w:eastAsiaTheme="minorHAnsi"/>
          <w:sz w:val="24"/>
          <w:szCs w:val="24"/>
        </w:rPr>
        <w:t xml:space="preserve">within </w:t>
      </w:r>
      <w:r w:rsidRPr="00AA5888">
        <w:rPr>
          <w:rFonts w:eastAsiaTheme="minorHAnsi"/>
          <w:sz w:val="24"/>
          <w:szCs w:val="24"/>
        </w:rPr>
        <w:t>a short time.</w:t>
      </w:r>
    </w:p>
    <w:p w14:paraId="6C0923E4" w14:textId="77777777" w:rsidR="00F173BA" w:rsidRPr="00AA5888" w:rsidRDefault="00F173BA" w:rsidP="00D976DE">
      <w:pPr>
        <w:pStyle w:val="MarginText"/>
        <w:spacing w:after="0" w:line="240" w:lineRule="auto"/>
        <w:rPr>
          <w:rFonts w:eastAsiaTheme="minorHAnsi"/>
          <w:kern w:val="0"/>
          <w:sz w:val="24"/>
          <w:szCs w:val="24"/>
          <w:lang w:eastAsia="en-US"/>
        </w:rPr>
      </w:pPr>
    </w:p>
    <w:p w14:paraId="7F54DEC2" w14:textId="504984C7" w:rsidR="00D976DE" w:rsidRPr="00AA5888" w:rsidRDefault="00D976DE" w:rsidP="00D976DE">
      <w:pPr>
        <w:pStyle w:val="MarginText"/>
        <w:spacing w:after="0" w:line="240" w:lineRule="auto"/>
        <w:rPr>
          <w:rFonts w:eastAsiaTheme="minorHAnsi"/>
          <w:sz w:val="24"/>
          <w:szCs w:val="24"/>
        </w:rPr>
      </w:pPr>
      <w:r w:rsidRPr="00AA5888">
        <w:rPr>
          <w:rFonts w:eastAsiaTheme="minorHAnsi"/>
          <w:sz w:val="24"/>
          <w:szCs w:val="24"/>
        </w:rPr>
        <w:t>The Decree contains an exhaustive list relating to th</w:t>
      </w:r>
      <w:r w:rsidR="00F173BA" w:rsidRPr="00AA5888">
        <w:rPr>
          <w:rFonts w:eastAsiaTheme="minorHAnsi"/>
          <w:sz w:val="24"/>
          <w:szCs w:val="24"/>
        </w:rPr>
        <w:t>os</w:t>
      </w:r>
      <w:r w:rsidRPr="00AA5888">
        <w:rPr>
          <w:rFonts w:eastAsiaTheme="minorHAnsi"/>
          <w:sz w:val="24"/>
          <w:szCs w:val="24"/>
        </w:rPr>
        <w:t>e events whe</w:t>
      </w:r>
      <w:r w:rsidR="00F173BA" w:rsidRPr="00AA5888">
        <w:rPr>
          <w:rFonts w:eastAsiaTheme="minorHAnsi"/>
          <w:sz w:val="24"/>
          <w:szCs w:val="24"/>
        </w:rPr>
        <w:t>re</w:t>
      </w:r>
      <w:r w:rsidRPr="00AA5888">
        <w:rPr>
          <w:rFonts w:eastAsiaTheme="minorHAnsi"/>
          <w:sz w:val="24"/>
          <w:szCs w:val="24"/>
        </w:rPr>
        <w:t xml:space="preserve"> the procedure cannot be opened. These cases include the traditional grounds for exclusion, e.g. in the event of other insolvency (bankruptcy, liquidation), proceedings related to the termination of the company (dissolution,</w:t>
      </w:r>
      <w:r w:rsidR="00AA5888" w:rsidRPr="00AA5888">
        <w:rPr>
          <w:rFonts w:eastAsiaTheme="minorHAnsi"/>
          <w:sz w:val="24"/>
          <w:szCs w:val="24"/>
        </w:rPr>
        <w:t xml:space="preserve"> </w:t>
      </w:r>
      <w:r w:rsidRPr="00AA5888">
        <w:rPr>
          <w:rFonts w:eastAsiaTheme="minorHAnsi"/>
          <w:sz w:val="24"/>
          <w:szCs w:val="24"/>
        </w:rPr>
        <w:t>involuntary de-registration) or other reorganisation procedure is in progress but also a somewhat unusual event, i.e. if the company failed to publish and deposit its financial statement within 3 business years before the commencement of the reorganisation procedure.</w:t>
      </w:r>
    </w:p>
    <w:p w14:paraId="288F54EB" w14:textId="77777777" w:rsidR="00F173BA" w:rsidRPr="00AA5888" w:rsidRDefault="00F173BA" w:rsidP="00D976DE">
      <w:pPr>
        <w:pStyle w:val="MarginText"/>
        <w:spacing w:after="0" w:line="240" w:lineRule="auto"/>
        <w:rPr>
          <w:rFonts w:eastAsiaTheme="minorHAnsi"/>
          <w:sz w:val="24"/>
          <w:szCs w:val="24"/>
        </w:rPr>
      </w:pPr>
    </w:p>
    <w:p w14:paraId="75F2C676" w14:textId="672116EB" w:rsidR="00D976DE" w:rsidRPr="00AA5888" w:rsidRDefault="00D976DE" w:rsidP="00D976DE">
      <w:pPr>
        <w:pStyle w:val="MarginText"/>
        <w:spacing w:after="0" w:line="240" w:lineRule="auto"/>
        <w:rPr>
          <w:rFonts w:eastAsiaTheme="minorHAnsi"/>
          <w:sz w:val="24"/>
          <w:szCs w:val="24"/>
        </w:rPr>
      </w:pPr>
      <w:r w:rsidRPr="00AA5888">
        <w:rPr>
          <w:rFonts w:eastAsiaTheme="minorHAnsi"/>
          <w:sz w:val="24"/>
          <w:szCs w:val="24"/>
        </w:rPr>
        <w:t>Similar to bankruptcy and liquidation, the assistance of an external expert is mandatory in case of a reorganisation procedure. As per the law, exclusively, the National Reorganisation Non-profit L</w:t>
      </w:r>
      <w:r w:rsidR="00F173BA" w:rsidRPr="00AA5888">
        <w:rPr>
          <w:rFonts w:eastAsiaTheme="minorHAnsi"/>
          <w:sz w:val="24"/>
          <w:szCs w:val="24"/>
        </w:rPr>
        <w:t>LC</w:t>
      </w:r>
      <w:r w:rsidRPr="00AA5888">
        <w:rPr>
          <w:rFonts w:eastAsiaTheme="minorHAnsi"/>
          <w:sz w:val="24"/>
          <w:szCs w:val="24"/>
        </w:rPr>
        <w:t xml:space="preserve"> is entitled to act as such expert. Although the law does not explicitly mention this, the mandatory involvement of the National Reorganisation Non-profit L</w:t>
      </w:r>
      <w:r w:rsidR="00F173BA" w:rsidRPr="00AA5888">
        <w:rPr>
          <w:rFonts w:eastAsiaTheme="minorHAnsi"/>
          <w:sz w:val="24"/>
          <w:szCs w:val="24"/>
        </w:rPr>
        <w:t>LC</w:t>
      </w:r>
      <w:r w:rsidRPr="00AA5888">
        <w:rPr>
          <w:rFonts w:eastAsiaTheme="minorHAnsi"/>
          <w:sz w:val="24"/>
          <w:szCs w:val="24"/>
        </w:rPr>
        <w:t>, the relatively high fee</w:t>
      </w:r>
      <w:r w:rsidR="00F173BA" w:rsidRPr="00AA5888">
        <w:rPr>
          <w:rFonts w:eastAsiaTheme="minorHAnsi"/>
          <w:sz w:val="24"/>
          <w:szCs w:val="24"/>
        </w:rPr>
        <w:t>s</w:t>
      </w:r>
      <w:r w:rsidRPr="00AA5888">
        <w:rPr>
          <w:rFonts w:eastAsiaTheme="minorHAnsi"/>
          <w:sz w:val="24"/>
          <w:szCs w:val="24"/>
        </w:rPr>
        <w:t xml:space="preserve"> of the expert and the possibility to obtain certain state aids suggest that this type of procedure was designed for large-scale companies.</w:t>
      </w:r>
    </w:p>
    <w:p w14:paraId="7DB4A529" w14:textId="77777777" w:rsidR="00D976DE" w:rsidRPr="00AA5888" w:rsidRDefault="00D976DE" w:rsidP="00D976DE">
      <w:pPr>
        <w:pStyle w:val="BodyTextIndent"/>
        <w:spacing w:after="0"/>
        <w:ind w:left="0"/>
        <w:rPr>
          <w:rFonts w:ascii="Times New Roman" w:hAnsi="Times New Roman"/>
          <w:bCs/>
          <w:iCs/>
          <w:sz w:val="24"/>
          <w:szCs w:val="24"/>
        </w:rPr>
      </w:pPr>
    </w:p>
    <w:p w14:paraId="1630FF52" w14:textId="77777777" w:rsidR="00D976DE" w:rsidRPr="00AA5888" w:rsidRDefault="00D976DE" w:rsidP="00D976DE">
      <w:pPr>
        <w:pStyle w:val="BodyTextIndent"/>
        <w:spacing w:after="0"/>
        <w:ind w:left="0"/>
        <w:rPr>
          <w:rFonts w:ascii="Times New Roman" w:hAnsi="Times New Roman"/>
          <w:bCs/>
          <w:iCs/>
          <w:sz w:val="24"/>
          <w:szCs w:val="24"/>
        </w:rPr>
      </w:pPr>
    </w:p>
    <w:p w14:paraId="70BFB624" w14:textId="00A0C605" w:rsidR="00D976DE" w:rsidRPr="00AA5888" w:rsidRDefault="00D976DE" w:rsidP="00D976DE">
      <w:pPr>
        <w:pStyle w:val="BodyTextIndent"/>
        <w:spacing w:after="0"/>
        <w:ind w:left="0"/>
        <w:rPr>
          <w:rFonts w:ascii="Times New Roman" w:hAnsi="Times New Roman"/>
          <w:bCs/>
          <w:i/>
          <w:iCs/>
          <w:sz w:val="24"/>
          <w:szCs w:val="24"/>
        </w:rPr>
      </w:pPr>
      <w:r w:rsidRPr="00AA5888">
        <w:rPr>
          <w:rFonts w:ascii="Times New Roman" w:hAnsi="Times New Roman"/>
          <w:bCs/>
          <w:i/>
          <w:iCs/>
          <w:sz w:val="24"/>
          <w:szCs w:val="24"/>
        </w:rPr>
        <w:t xml:space="preserve">Private or </w:t>
      </w:r>
      <w:r w:rsidR="00F173BA" w:rsidRPr="00AA5888">
        <w:rPr>
          <w:rFonts w:ascii="Times New Roman" w:hAnsi="Times New Roman"/>
          <w:bCs/>
          <w:i/>
          <w:iCs/>
          <w:sz w:val="24"/>
          <w:szCs w:val="24"/>
        </w:rPr>
        <w:t>P</w:t>
      </w:r>
      <w:r w:rsidRPr="00AA5888">
        <w:rPr>
          <w:rFonts w:ascii="Times New Roman" w:hAnsi="Times New Roman"/>
          <w:bCs/>
          <w:i/>
          <w:iCs/>
          <w:sz w:val="24"/>
          <w:szCs w:val="24"/>
        </w:rPr>
        <w:t xml:space="preserve">ublic </w:t>
      </w:r>
      <w:r w:rsidR="00F173BA" w:rsidRPr="00AA5888">
        <w:rPr>
          <w:rFonts w:ascii="Times New Roman" w:hAnsi="Times New Roman"/>
          <w:bCs/>
          <w:i/>
          <w:iCs/>
          <w:sz w:val="24"/>
          <w:szCs w:val="24"/>
        </w:rPr>
        <w:t>P</w:t>
      </w:r>
      <w:r w:rsidRPr="00AA5888">
        <w:rPr>
          <w:rFonts w:ascii="Times New Roman" w:hAnsi="Times New Roman"/>
          <w:bCs/>
          <w:i/>
          <w:iCs/>
          <w:sz w:val="24"/>
          <w:szCs w:val="24"/>
        </w:rPr>
        <w:t>rocedure?</w:t>
      </w:r>
    </w:p>
    <w:p w14:paraId="6F602FBE" w14:textId="77777777" w:rsidR="00F173BA" w:rsidRPr="00AA5888" w:rsidRDefault="00F173BA" w:rsidP="00D976DE">
      <w:pPr>
        <w:pStyle w:val="BodyTextIndent"/>
        <w:spacing w:after="0"/>
        <w:ind w:left="0"/>
        <w:rPr>
          <w:rFonts w:ascii="Times New Roman" w:eastAsiaTheme="minorHAnsi" w:hAnsi="Times New Roman"/>
          <w:sz w:val="24"/>
          <w:szCs w:val="24"/>
          <w:lang w:eastAsia="en-US"/>
        </w:rPr>
      </w:pPr>
    </w:p>
    <w:p w14:paraId="05BB7C9E" w14:textId="7355B7F1" w:rsidR="00D976DE" w:rsidRPr="00AA5888" w:rsidRDefault="00D976DE" w:rsidP="00D976DE">
      <w:pPr>
        <w:pStyle w:val="BodyTextIndent"/>
        <w:spacing w:after="0"/>
        <w:ind w:left="0"/>
        <w:rPr>
          <w:rFonts w:ascii="Times New Roman" w:eastAsiaTheme="minorHAnsi" w:hAnsi="Times New Roman"/>
          <w:sz w:val="24"/>
          <w:szCs w:val="24"/>
          <w:lang w:eastAsia="en-US"/>
        </w:rPr>
      </w:pPr>
      <w:r w:rsidRPr="00AA5888">
        <w:rPr>
          <w:rFonts w:ascii="Times New Roman" w:eastAsiaTheme="minorHAnsi" w:hAnsi="Times New Roman"/>
          <w:sz w:val="24"/>
          <w:szCs w:val="24"/>
          <w:lang w:eastAsia="en-US"/>
        </w:rPr>
        <w:t xml:space="preserve">The law </w:t>
      </w:r>
      <w:r w:rsidR="00F173BA" w:rsidRPr="00AA5888">
        <w:rPr>
          <w:rFonts w:ascii="Times New Roman" w:eastAsiaTheme="minorHAnsi" w:hAnsi="Times New Roman"/>
          <w:sz w:val="24"/>
          <w:szCs w:val="24"/>
          <w:lang w:eastAsia="en-US"/>
        </w:rPr>
        <w:t>provides for</w:t>
      </w:r>
      <w:r w:rsidRPr="00AA5888">
        <w:rPr>
          <w:rFonts w:ascii="Times New Roman" w:eastAsiaTheme="minorHAnsi" w:hAnsi="Times New Roman"/>
          <w:sz w:val="24"/>
          <w:szCs w:val="24"/>
          <w:lang w:eastAsia="en-US"/>
        </w:rPr>
        <w:t xml:space="preserve"> two types of reorganisation procedure: private and public. It is quite </w:t>
      </w:r>
      <w:r w:rsidR="00F173BA" w:rsidRPr="00AA5888">
        <w:rPr>
          <w:rFonts w:ascii="Times New Roman" w:eastAsiaTheme="minorHAnsi" w:hAnsi="Times New Roman"/>
          <w:sz w:val="24"/>
          <w:szCs w:val="24"/>
          <w:lang w:eastAsia="en-US"/>
        </w:rPr>
        <w:t xml:space="preserve">a </w:t>
      </w:r>
      <w:r w:rsidRPr="00AA5888">
        <w:rPr>
          <w:rFonts w:ascii="Times New Roman" w:eastAsiaTheme="minorHAnsi" w:hAnsi="Times New Roman"/>
          <w:sz w:val="24"/>
          <w:szCs w:val="24"/>
          <w:lang w:eastAsia="en-US"/>
        </w:rPr>
        <w:t>new element in Hungarian insolvency law that the procedure may also be conducted in a private way.</w:t>
      </w:r>
    </w:p>
    <w:p w14:paraId="3A7E87F8" w14:textId="77777777" w:rsidR="00F173BA" w:rsidRPr="00AA5888" w:rsidRDefault="00F173BA" w:rsidP="00D976DE">
      <w:pPr>
        <w:pStyle w:val="BodyTextIndent"/>
        <w:spacing w:after="0"/>
        <w:ind w:left="0"/>
        <w:rPr>
          <w:rFonts w:ascii="Times New Roman" w:eastAsiaTheme="minorHAnsi" w:hAnsi="Times New Roman"/>
          <w:sz w:val="24"/>
          <w:szCs w:val="24"/>
          <w:lang w:eastAsia="en-US"/>
        </w:rPr>
      </w:pPr>
    </w:p>
    <w:p w14:paraId="04A85E7E" w14:textId="51A005E5" w:rsidR="00D976DE" w:rsidRPr="00AA5888" w:rsidRDefault="00D976DE" w:rsidP="00D976DE">
      <w:pPr>
        <w:pStyle w:val="BodyTextIndent"/>
        <w:spacing w:after="0"/>
        <w:ind w:left="0"/>
        <w:rPr>
          <w:rFonts w:ascii="Times New Roman" w:hAnsi="Times New Roman"/>
          <w:sz w:val="24"/>
          <w:szCs w:val="24"/>
        </w:rPr>
      </w:pPr>
      <w:r w:rsidRPr="00AA5888">
        <w:rPr>
          <w:rFonts w:ascii="Times New Roman" w:eastAsiaTheme="minorHAnsi" w:hAnsi="Times New Roman"/>
          <w:sz w:val="24"/>
          <w:szCs w:val="24"/>
          <w:lang w:eastAsia="en-US"/>
        </w:rPr>
        <w:t xml:space="preserve">The private procedure shows similarities to contractual restructuring. </w:t>
      </w:r>
      <w:r w:rsidRPr="00AA5888">
        <w:rPr>
          <w:rFonts w:ascii="Times New Roman" w:hAnsi="Times New Roman"/>
          <w:sz w:val="24"/>
          <w:szCs w:val="24"/>
        </w:rPr>
        <w:t xml:space="preserve">The main difference between the two types is that the private procedure only applies to creditors involved in the reorganisation, so the debtor has the chance to select certain creditors for the purpose of the reorganisation. The court resolution ordering the procedure will not be published and only the creditors </w:t>
      </w:r>
      <w:r w:rsidR="00F173BA" w:rsidRPr="00AA5888">
        <w:rPr>
          <w:rFonts w:ascii="Times New Roman" w:hAnsi="Times New Roman"/>
          <w:sz w:val="24"/>
          <w:szCs w:val="24"/>
        </w:rPr>
        <w:t xml:space="preserve">involved </w:t>
      </w:r>
      <w:r w:rsidRPr="00AA5888">
        <w:rPr>
          <w:rFonts w:ascii="Times New Roman" w:hAnsi="Times New Roman"/>
          <w:sz w:val="24"/>
          <w:szCs w:val="24"/>
        </w:rPr>
        <w:t>may access the information relating to the procedure.</w:t>
      </w:r>
    </w:p>
    <w:p w14:paraId="60903BD7" w14:textId="77777777" w:rsidR="00F173BA" w:rsidRPr="00AA5888" w:rsidRDefault="00F173BA" w:rsidP="00D976DE">
      <w:pPr>
        <w:pStyle w:val="BodyTextIndent"/>
        <w:spacing w:after="0"/>
        <w:ind w:left="0"/>
        <w:rPr>
          <w:rFonts w:ascii="Times New Roman" w:hAnsi="Times New Roman"/>
          <w:sz w:val="24"/>
          <w:szCs w:val="24"/>
        </w:rPr>
      </w:pPr>
    </w:p>
    <w:p w14:paraId="4A3DB7E1" w14:textId="71660AE3" w:rsidR="00D976DE" w:rsidRPr="00AA5888" w:rsidRDefault="00D976DE" w:rsidP="00D976DE">
      <w:pPr>
        <w:pStyle w:val="BodyTextIndent"/>
        <w:spacing w:after="0"/>
        <w:ind w:left="0"/>
        <w:rPr>
          <w:rFonts w:ascii="Times New Roman" w:hAnsi="Times New Roman"/>
          <w:sz w:val="24"/>
          <w:szCs w:val="24"/>
        </w:rPr>
      </w:pPr>
      <w:r w:rsidRPr="00AA5888">
        <w:rPr>
          <w:rFonts w:ascii="Times New Roman" w:hAnsi="Times New Roman"/>
          <w:sz w:val="24"/>
          <w:szCs w:val="24"/>
        </w:rPr>
        <w:t>In case of a public procedure</w:t>
      </w:r>
      <w:r w:rsidR="00F173BA" w:rsidRPr="00AA5888">
        <w:rPr>
          <w:rFonts w:ascii="Times New Roman" w:hAnsi="Times New Roman"/>
          <w:sz w:val="24"/>
          <w:szCs w:val="24"/>
        </w:rPr>
        <w:t>,</w:t>
      </w:r>
      <w:r w:rsidRPr="00AA5888">
        <w:rPr>
          <w:rFonts w:ascii="Times New Roman" w:hAnsi="Times New Roman"/>
          <w:sz w:val="24"/>
          <w:szCs w:val="24"/>
        </w:rPr>
        <w:t xml:space="preserve"> slightly different rules apply. First of all, the company name is supplemented by the suffix “under reorganization” (“r. a.”) in the company registry that is publicly available. In a public reorganization procedure, with the exceptions set forth in the relevant Decree, the rules on bankruptcy procedure apply </w:t>
      </w:r>
      <w:r w:rsidRPr="00AA5888">
        <w:rPr>
          <w:rFonts w:ascii="Times New Roman" w:hAnsi="Times New Roman"/>
          <w:i/>
          <w:iCs/>
          <w:sz w:val="24"/>
          <w:szCs w:val="24"/>
        </w:rPr>
        <w:t>mutatis mutandis</w:t>
      </w:r>
      <w:r w:rsidRPr="00AA5888">
        <w:rPr>
          <w:rFonts w:ascii="Times New Roman" w:hAnsi="Times New Roman"/>
          <w:sz w:val="24"/>
          <w:szCs w:val="24"/>
        </w:rPr>
        <w:t>.</w:t>
      </w:r>
    </w:p>
    <w:p w14:paraId="72BC8A58" w14:textId="77777777" w:rsidR="00F173BA" w:rsidRPr="00AA5888" w:rsidRDefault="00F173BA" w:rsidP="00D976DE">
      <w:pPr>
        <w:pStyle w:val="BodyTextIndent"/>
        <w:spacing w:after="0"/>
        <w:ind w:left="0"/>
        <w:rPr>
          <w:rFonts w:ascii="Times New Roman" w:hAnsi="Times New Roman"/>
          <w:sz w:val="24"/>
          <w:szCs w:val="24"/>
        </w:rPr>
      </w:pPr>
    </w:p>
    <w:p w14:paraId="3CC3FDBE" w14:textId="7F93C3F6" w:rsidR="00D976DE" w:rsidRPr="00AA5888" w:rsidRDefault="00D976DE" w:rsidP="00D976DE">
      <w:pPr>
        <w:pStyle w:val="BodyTextIndent"/>
        <w:spacing w:after="0"/>
        <w:ind w:left="0"/>
        <w:rPr>
          <w:rFonts w:ascii="Times New Roman" w:hAnsi="Times New Roman"/>
          <w:bCs/>
          <w:i/>
          <w:iCs/>
          <w:sz w:val="24"/>
          <w:szCs w:val="24"/>
        </w:rPr>
      </w:pPr>
      <w:r w:rsidRPr="00AA5888">
        <w:rPr>
          <w:rFonts w:ascii="Times New Roman" w:hAnsi="Times New Roman"/>
          <w:bCs/>
          <w:i/>
          <w:iCs/>
          <w:sz w:val="24"/>
          <w:szCs w:val="24"/>
        </w:rPr>
        <w:t xml:space="preserve">Further </w:t>
      </w:r>
      <w:r w:rsidR="00F173BA" w:rsidRPr="00AA5888">
        <w:rPr>
          <w:rFonts w:ascii="Times New Roman" w:hAnsi="Times New Roman"/>
          <w:bCs/>
          <w:i/>
          <w:iCs/>
          <w:sz w:val="24"/>
          <w:szCs w:val="24"/>
        </w:rPr>
        <w:t>S</w:t>
      </w:r>
      <w:r w:rsidRPr="00AA5888">
        <w:rPr>
          <w:rFonts w:ascii="Times New Roman" w:hAnsi="Times New Roman"/>
          <w:bCs/>
          <w:i/>
          <w:iCs/>
          <w:sz w:val="24"/>
          <w:szCs w:val="24"/>
        </w:rPr>
        <w:t xml:space="preserve">ignificant </w:t>
      </w:r>
      <w:r w:rsidR="00F173BA" w:rsidRPr="00AA5888">
        <w:rPr>
          <w:rFonts w:ascii="Times New Roman" w:hAnsi="Times New Roman"/>
          <w:bCs/>
          <w:i/>
          <w:iCs/>
          <w:sz w:val="24"/>
          <w:szCs w:val="24"/>
        </w:rPr>
        <w:t>E</w:t>
      </w:r>
      <w:r w:rsidRPr="00AA5888">
        <w:rPr>
          <w:rFonts w:ascii="Times New Roman" w:hAnsi="Times New Roman"/>
          <w:bCs/>
          <w:i/>
          <w:iCs/>
          <w:sz w:val="24"/>
          <w:szCs w:val="24"/>
        </w:rPr>
        <w:t>lements</w:t>
      </w:r>
    </w:p>
    <w:p w14:paraId="1F209835" w14:textId="77777777" w:rsidR="00F173BA" w:rsidRPr="00AA5888" w:rsidRDefault="00F173BA" w:rsidP="00D976DE">
      <w:pPr>
        <w:pStyle w:val="BodyTextIndent"/>
        <w:spacing w:after="0"/>
        <w:ind w:left="0"/>
        <w:rPr>
          <w:rFonts w:ascii="Times New Roman" w:hAnsi="Times New Roman"/>
          <w:sz w:val="24"/>
          <w:szCs w:val="24"/>
        </w:rPr>
      </w:pPr>
    </w:p>
    <w:p w14:paraId="45EA350B" w14:textId="551EA1F9" w:rsidR="00D976DE" w:rsidRPr="00AA5888" w:rsidRDefault="00F173BA" w:rsidP="00D976DE">
      <w:pPr>
        <w:pStyle w:val="BodyTextIndent"/>
        <w:spacing w:after="0"/>
        <w:ind w:left="0"/>
        <w:rPr>
          <w:rFonts w:ascii="Times New Roman" w:hAnsi="Times New Roman"/>
          <w:sz w:val="24"/>
          <w:szCs w:val="24"/>
          <w:lang w:eastAsia="en-US"/>
        </w:rPr>
      </w:pPr>
      <w:r w:rsidRPr="00AA5888">
        <w:rPr>
          <w:rFonts w:ascii="Times New Roman" w:hAnsi="Times New Roman"/>
          <w:sz w:val="24"/>
          <w:szCs w:val="24"/>
        </w:rPr>
        <w:t xml:space="preserve">As </w:t>
      </w:r>
      <w:r w:rsidR="00D976DE" w:rsidRPr="00AA5888">
        <w:rPr>
          <w:rFonts w:ascii="Times New Roman" w:hAnsi="Times New Roman"/>
          <w:sz w:val="24"/>
          <w:szCs w:val="24"/>
        </w:rPr>
        <w:t xml:space="preserve">in a traditional bankruptcy procedure, the debtor business is entitled to a payment holiday (moratorium) in case of a reorganisation procedure. The duration of this moratorium in private procedures is 90 days, which can be extended by an additional 60 days, </w:t>
      </w:r>
      <w:r w:rsidRPr="00AA5888">
        <w:rPr>
          <w:rFonts w:ascii="Times New Roman" w:hAnsi="Times New Roman"/>
          <w:sz w:val="24"/>
          <w:szCs w:val="24"/>
        </w:rPr>
        <w:t xml:space="preserve">while </w:t>
      </w:r>
      <w:r w:rsidR="00D976DE" w:rsidRPr="00AA5888">
        <w:rPr>
          <w:rFonts w:ascii="Times New Roman" w:hAnsi="Times New Roman"/>
          <w:sz w:val="24"/>
          <w:szCs w:val="24"/>
        </w:rPr>
        <w:t xml:space="preserve">in public procedures </w:t>
      </w:r>
      <w:r w:rsidRPr="00AA5888">
        <w:rPr>
          <w:rFonts w:ascii="Times New Roman" w:hAnsi="Times New Roman"/>
          <w:sz w:val="24"/>
          <w:szCs w:val="24"/>
        </w:rPr>
        <w:t xml:space="preserve">it is </w:t>
      </w:r>
      <w:r w:rsidR="00D976DE" w:rsidRPr="00AA5888">
        <w:rPr>
          <w:rFonts w:ascii="Times New Roman" w:hAnsi="Times New Roman"/>
          <w:sz w:val="24"/>
          <w:szCs w:val="24"/>
        </w:rPr>
        <w:t xml:space="preserve">170 days (which cannot be extended). In case of a private procedure, the moratorium will not be published </w:t>
      </w:r>
      <w:r w:rsidR="00D976DE" w:rsidRPr="00AA5888">
        <w:rPr>
          <w:rFonts w:ascii="Times New Roman" w:hAnsi="Times New Roman"/>
          <w:sz w:val="24"/>
          <w:szCs w:val="24"/>
          <w:lang w:eastAsia="en-US"/>
        </w:rPr>
        <w:t>in the publicly available Company Gazette. It is also important that this moratorium does not give protection against the claims of non-involved creditors.</w:t>
      </w:r>
    </w:p>
    <w:p w14:paraId="1338B024" w14:textId="77777777" w:rsidR="00F173BA" w:rsidRPr="00AA5888" w:rsidRDefault="00F173BA" w:rsidP="00D976DE">
      <w:pPr>
        <w:pStyle w:val="BodyTextIndent"/>
        <w:spacing w:after="0"/>
        <w:ind w:left="0"/>
        <w:rPr>
          <w:rFonts w:ascii="Times New Roman" w:hAnsi="Times New Roman"/>
          <w:sz w:val="24"/>
          <w:szCs w:val="24"/>
        </w:rPr>
      </w:pPr>
    </w:p>
    <w:p w14:paraId="4501CABA" w14:textId="7CBD2CF7" w:rsidR="00D976DE" w:rsidRPr="00AA5888" w:rsidRDefault="00D976DE" w:rsidP="00D976DE">
      <w:pPr>
        <w:pStyle w:val="BodyTextIndent"/>
        <w:spacing w:after="0"/>
        <w:ind w:left="0"/>
        <w:rPr>
          <w:rFonts w:ascii="Times New Roman" w:hAnsi="Times New Roman"/>
          <w:sz w:val="24"/>
          <w:szCs w:val="24"/>
          <w:lang w:eastAsia="en-US"/>
        </w:rPr>
      </w:pPr>
      <w:r w:rsidRPr="00AA5888">
        <w:rPr>
          <w:rFonts w:ascii="Times New Roman" w:hAnsi="Times New Roman"/>
          <w:sz w:val="24"/>
          <w:szCs w:val="24"/>
        </w:rPr>
        <w:t>Generally, the debtor business remains in the position to dispose of its assets and conduct daily operation</w:t>
      </w:r>
      <w:r w:rsidR="00F173BA" w:rsidRPr="00AA5888">
        <w:rPr>
          <w:rFonts w:ascii="Times New Roman" w:hAnsi="Times New Roman"/>
          <w:sz w:val="24"/>
          <w:szCs w:val="24"/>
        </w:rPr>
        <w:t>s</w:t>
      </w:r>
      <w:r w:rsidRPr="00AA5888">
        <w:rPr>
          <w:rFonts w:ascii="Times New Roman" w:hAnsi="Times New Roman"/>
          <w:sz w:val="24"/>
          <w:szCs w:val="24"/>
        </w:rPr>
        <w:t>.</w:t>
      </w:r>
      <w:r w:rsidRPr="00AA5888">
        <w:rPr>
          <w:rStyle w:val="FootnoteReference"/>
          <w:rFonts w:ascii="Times New Roman" w:hAnsi="Times New Roman"/>
          <w:sz w:val="24"/>
          <w:szCs w:val="24"/>
        </w:rPr>
        <w:footnoteReference w:id="10"/>
      </w:r>
      <w:r w:rsidRPr="00AA5888">
        <w:rPr>
          <w:rFonts w:ascii="Times New Roman" w:hAnsi="Times New Roman"/>
          <w:sz w:val="24"/>
          <w:szCs w:val="24"/>
        </w:rPr>
        <w:t xml:space="preserve"> </w:t>
      </w:r>
      <w:r w:rsidRPr="00AA5888">
        <w:rPr>
          <w:rFonts w:ascii="Times New Roman" w:hAnsi="Times New Roman"/>
          <w:sz w:val="24"/>
          <w:szCs w:val="24"/>
          <w:lang w:eastAsia="en-US"/>
        </w:rPr>
        <w:t>However, the reorganisation expert also has certain powers during the procedure</w:t>
      </w:r>
      <w:r w:rsidR="00AA5888" w:rsidRPr="00AA5888">
        <w:rPr>
          <w:rFonts w:ascii="Times New Roman" w:hAnsi="Times New Roman"/>
          <w:sz w:val="24"/>
          <w:szCs w:val="24"/>
          <w:lang w:eastAsia="en-US"/>
        </w:rPr>
        <w:t>:</w:t>
      </w:r>
      <w:r w:rsidRPr="00AA5888">
        <w:rPr>
          <w:rFonts w:ascii="Times New Roman" w:hAnsi="Times New Roman"/>
          <w:sz w:val="24"/>
          <w:szCs w:val="24"/>
          <w:lang w:eastAsia="en-US"/>
        </w:rPr>
        <w:t xml:space="preserve"> for example, from the start of the moratorium, the company's executive officer may only make declarations and commitments relating to the company’s business activities that go beyond the scope of usual business </w:t>
      </w:r>
      <w:r w:rsidR="00AA5888" w:rsidRPr="00AA5888">
        <w:rPr>
          <w:rFonts w:ascii="Times New Roman" w:hAnsi="Times New Roman"/>
          <w:sz w:val="24"/>
          <w:szCs w:val="24"/>
          <w:lang w:eastAsia="en-US"/>
        </w:rPr>
        <w:t>operations</w:t>
      </w:r>
      <w:r w:rsidRPr="00AA5888">
        <w:rPr>
          <w:rFonts w:ascii="Times New Roman" w:hAnsi="Times New Roman"/>
          <w:sz w:val="24"/>
          <w:szCs w:val="24"/>
          <w:lang w:eastAsia="en-US"/>
        </w:rPr>
        <w:t xml:space="preserve"> with the prior written approval of the expert.</w:t>
      </w:r>
    </w:p>
    <w:p w14:paraId="22D8B0AE" w14:textId="77777777" w:rsidR="00AA5888" w:rsidRPr="00AA5888" w:rsidRDefault="00AA5888" w:rsidP="00D976DE">
      <w:pPr>
        <w:pStyle w:val="BodyTextIndent"/>
        <w:spacing w:after="0"/>
        <w:ind w:left="0"/>
        <w:rPr>
          <w:rFonts w:ascii="Times New Roman" w:hAnsi="Times New Roman"/>
          <w:sz w:val="24"/>
          <w:szCs w:val="24"/>
          <w:lang w:eastAsia="en-US"/>
        </w:rPr>
      </w:pPr>
    </w:p>
    <w:p w14:paraId="16B730D8" w14:textId="1BBFC498" w:rsidR="00AA5888" w:rsidRPr="00AA5888" w:rsidRDefault="00D976DE" w:rsidP="00D976DE">
      <w:pPr>
        <w:pStyle w:val="BodyTextIndent"/>
        <w:spacing w:after="0"/>
        <w:ind w:left="0"/>
        <w:rPr>
          <w:rFonts w:ascii="Times New Roman" w:hAnsi="Times New Roman"/>
          <w:sz w:val="24"/>
          <w:szCs w:val="24"/>
          <w:lang w:eastAsia="en-US"/>
        </w:rPr>
      </w:pPr>
      <w:r w:rsidRPr="00AA5888">
        <w:rPr>
          <w:rFonts w:ascii="Times New Roman" w:hAnsi="Times New Roman"/>
          <w:sz w:val="24"/>
          <w:szCs w:val="24"/>
          <w:lang w:eastAsia="en-US"/>
        </w:rPr>
        <w:t>Another main step during the procedure is the negotiation and acceptance of</w:t>
      </w:r>
      <w:r w:rsidR="00AA5888" w:rsidRPr="00AA5888">
        <w:rPr>
          <w:rFonts w:ascii="Times New Roman" w:hAnsi="Times New Roman"/>
          <w:sz w:val="24"/>
          <w:szCs w:val="24"/>
          <w:lang w:eastAsia="en-US"/>
        </w:rPr>
        <w:t xml:space="preserve"> </w:t>
      </w:r>
      <w:r w:rsidRPr="00AA5888">
        <w:rPr>
          <w:rFonts w:ascii="Times New Roman" w:hAnsi="Times New Roman"/>
          <w:sz w:val="24"/>
          <w:szCs w:val="24"/>
          <w:lang w:eastAsia="en-US"/>
        </w:rPr>
        <w:t>the reorganisation plan. The reorganisation plan may contain any measure to restore the financial stability of the company, including the reorganisation of its operation</w:t>
      </w:r>
      <w:r w:rsidR="00AA5888" w:rsidRPr="00AA5888">
        <w:rPr>
          <w:rFonts w:ascii="Times New Roman" w:hAnsi="Times New Roman"/>
          <w:sz w:val="24"/>
          <w:szCs w:val="24"/>
          <w:lang w:eastAsia="en-US"/>
        </w:rPr>
        <w:t>s</w:t>
      </w:r>
      <w:r w:rsidRPr="00AA5888">
        <w:rPr>
          <w:rFonts w:ascii="Times New Roman" w:hAnsi="Times New Roman"/>
          <w:sz w:val="24"/>
          <w:szCs w:val="24"/>
          <w:lang w:eastAsia="en-US"/>
        </w:rPr>
        <w:t xml:space="preserve">, changing its ownership structure and state funding. In the reorganisation plan, the creditor (including the state, the local government and any tax collection entity) may </w:t>
      </w:r>
      <w:r w:rsidR="00AA5888" w:rsidRPr="00AA5888">
        <w:rPr>
          <w:rFonts w:ascii="Times New Roman" w:hAnsi="Times New Roman"/>
          <w:sz w:val="24"/>
          <w:szCs w:val="24"/>
          <w:lang w:eastAsia="en-US"/>
        </w:rPr>
        <w:t xml:space="preserve">offer </w:t>
      </w:r>
      <w:r w:rsidRPr="00AA5888">
        <w:rPr>
          <w:rFonts w:ascii="Times New Roman" w:hAnsi="Times New Roman"/>
          <w:sz w:val="24"/>
          <w:szCs w:val="24"/>
          <w:lang w:eastAsia="en-US"/>
        </w:rPr>
        <w:t>payment relief to the company, or even entirely waive its claim. Relating to the approval of the reorg</w:t>
      </w:r>
      <w:r w:rsidR="00AA5888" w:rsidRPr="00AA5888">
        <w:rPr>
          <w:rFonts w:ascii="Times New Roman" w:hAnsi="Times New Roman"/>
          <w:sz w:val="24"/>
          <w:szCs w:val="24"/>
          <w:lang w:eastAsia="en-US"/>
        </w:rPr>
        <w:t>anisation</w:t>
      </w:r>
      <w:r w:rsidRPr="00AA5888">
        <w:rPr>
          <w:rFonts w:ascii="Times New Roman" w:hAnsi="Times New Roman"/>
          <w:sz w:val="24"/>
          <w:szCs w:val="24"/>
          <w:lang w:eastAsia="en-US"/>
        </w:rPr>
        <w:t xml:space="preserve"> plan, in the private procedure there are no specific minimum thresholds, instead the approval of all involved creditors are required for a successful procedure. This means that a cramdown is not possible relating to dissenting creditors. In case of a public procedure, 75% support from the creditors is required.</w:t>
      </w:r>
    </w:p>
    <w:p w14:paraId="109FC3FA" w14:textId="77777777" w:rsidR="00AA5888" w:rsidRPr="00AA5888" w:rsidRDefault="00AA5888" w:rsidP="00D976DE">
      <w:pPr>
        <w:pStyle w:val="BodyTextIndent"/>
        <w:spacing w:after="0"/>
        <w:ind w:left="0"/>
        <w:rPr>
          <w:rFonts w:ascii="Times New Roman" w:hAnsi="Times New Roman"/>
          <w:sz w:val="24"/>
          <w:szCs w:val="24"/>
          <w:lang w:eastAsia="en-US"/>
        </w:rPr>
      </w:pPr>
    </w:p>
    <w:p w14:paraId="70CB1257" w14:textId="5C2DFB86" w:rsidR="00D976DE" w:rsidRPr="00AA5888" w:rsidRDefault="00D976DE" w:rsidP="00D976DE">
      <w:pPr>
        <w:pStyle w:val="BodyTextIndent"/>
        <w:spacing w:after="0"/>
        <w:ind w:left="0"/>
        <w:rPr>
          <w:rFonts w:ascii="Times New Roman" w:hAnsi="Times New Roman"/>
          <w:sz w:val="24"/>
          <w:szCs w:val="24"/>
          <w:lang w:eastAsia="en-US"/>
        </w:rPr>
      </w:pPr>
      <w:r w:rsidRPr="00AA5888">
        <w:rPr>
          <w:rFonts w:ascii="Times New Roman" w:hAnsi="Times New Roman"/>
          <w:sz w:val="24"/>
          <w:szCs w:val="24"/>
          <w:lang w:eastAsia="en-US"/>
        </w:rPr>
        <w:t xml:space="preserve">It is interesting that, in contrast to the bankruptcy proceedings, in reorganisation proceedings there are no separate creditor classes. Theoretically, it may result in that the unsecured creditors vote down the secured creditors, which is rather unusual in Hungarian insolvency law, but the </w:t>
      </w:r>
      <w:r w:rsidRPr="00AA5888">
        <w:rPr>
          <w:rFonts w:ascii="Times New Roman" w:hAnsi="Times New Roman"/>
          <w:sz w:val="24"/>
          <w:szCs w:val="24"/>
          <w:lang w:eastAsia="en-US"/>
        </w:rPr>
        <w:lastRenderedPageBreak/>
        <w:t>secured creditors are still protected by a minimum 75% recovery threshold that is set out in the regulation. The reorganisation plan is approved by the court on the basis of the positive opinion of the reorganisation expert.</w:t>
      </w:r>
    </w:p>
    <w:p w14:paraId="756ED3F6" w14:textId="77777777" w:rsidR="00AA5888" w:rsidRPr="00AA5888" w:rsidRDefault="00AA5888" w:rsidP="00D976DE">
      <w:pPr>
        <w:pStyle w:val="BodyTextIndent"/>
        <w:spacing w:after="0"/>
        <w:ind w:left="0"/>
        <w:rPr>
          <w:rFonts w:ascii="Times New Roman" w:hAnsi="Times New Roman"/>
          <w:sz w:val="24"/>
          <w:szCs w:val="24"/>
          <w:lang w:eastAsia="en-US"/>
        </w:rPr>
      </w:pPr>
    </w:p>
    <w:p w14:paraId="398B8C77" w14:textId="0072F466" w:rsidR="00D976DE" w:rsidRPr="00AA5888" w:rsidRDefault="00D976DE" w:rsidP="00D976DE">
      <w:pPr>
        <w:pStyle w:val="BodyTextIndent"/>
        <w:spacing w:after="0"/>
        <w:ind w:left="0"/>
        <w:rPr>
          <w:rFonts w:ascii="Times New Roman" w:hAnsi="Times New Roman"/>
          <w:sz w:val="24"/>
          <w:szCs w:val="24"/>
          <w:lang w:eastAsia="en-US"/>
        </w:rPr>
      </w:pPr>
      <w:r w:rsidRPr="00AA5888">
        <w:rPr>
          <w:rFonts w:ascii="Times New Roman" w:hAnsi="Times New Roman"/>
          <w:sz w:val="24"/>
          <w:szCs w:val="24"/>
          <w:lang w:eastAsia="en-US"/>
        </w:rPr>
        <w:t xml:space="preserve">The reorganisation procedure also offers protection from </w:t>
      </w:r>
      <w:r w:rsidRPr="00AA5888">
        <w:rPr>
          <w:rFonts w:ascii="Times New Roman" w:hAnsi="Times New Roman"/>
          <w:i/>
          <w:iCs/>
          <w:sz w:val="24"/>
          <w:szCs w:val="24"/>
          <w:lang w:eastAsia="en-US"/>
        </w:rPr>
        <w:t>ipso facto</w:t>
      </w:r>
      <w:r w:rsidRPr="00AA5888">
        <w:rPr>
          <w:rFonts w:ascii="Times New Roman" w:hAnsi="Times New Roman"/>
          <w:sz w:val="24"/>
          <w:szCs w:val="24"/>
          <w:lang w:eastAsia="en-US"/>
        </w:rPr>
        <w:t xml:space="preserve"> clauses under certain conditions. The debtor company enjoys legal protection against </w:t>
      </w:r>
      <w:r w:rsidRPr="00AA5888">
        <w:rPr>
          <w:rFonts w:ascii="Times New Roman" w:hAnsi="Times New Roman"/>
          <w:i/>
          <w:sz w:val="24"/>
          <w:szCs w:val="24"/>
          <w:lang w:eastAsia="en-US"/>
        </w:rPr>
        <w:t>ipso facto</w:t>
      </w:r>
      <w:r w:rsidRPr="00AA5888">
        <w:rPr>
          <w:rFonts w:ascii="Times New Roman" w:hAnsi="Times New Roman"/>
          <w:sz w:val="24"/>
          <w:szCs w:val="24"/>
          <w:lang w:eastAsia="en-US"/>
        </w:rPr>
        <w:t xml:space="preserve"> contractual clauses which, allow the company's contractual partners to suspend, terminate or unilaterally amend the contract, if the company has a permanent legal relationship with its contractual partner, on the basis of which the contractual partner carries out a continuous supply of goods or services for the operation</w:t>
      </w:r>
      <w:r w:rsidR="00AA5888" w:rsidRPr="00AA5888">
        <w:rPr>
          <w:rFonts w:ascii="Times New Roman" w:hAnsi="Times New Roman"/>
          <w:sz w:val="24"/>
          <w:szCs w:val="24"/>
          <w:lang w:eastAsia="en-US"/>
        </w:rPr>
        <w:t>s</w:t>
      </w:r>
      <w:r w:rsidRPr="00AA5888">
        <w:rPr>
          <w:rFonts w:ascii="Times New Roman" w:hAnsi="Times New Roman"/>
          <w:sz w:val="24"/>
          <w:szCs w:val="24"/>
          <w:lang w:eastAsia="en-US"/>
        </w:rPr>
        <w:t xml:space="preserve"> of the company.</w:t>
      </w:r>
    </w:p>
    <w:p w14:paraId="32E386AB" w14:textId="77777777" w:rsidR="00AA5888" w:rsidRPr="00AA5888" w:rsidRDefault="00AA5888" w:rsidP="00D976DE">
      <w:pPr>
        <w:pStyle w:val="BodyTextIndent"/>
        <w:spacing w:after="0"/>
        <w:ind w:left="0"/>
        <w:rPr>
          <w:rFonts w:ascii="Times New Roman" w:hAnsi="Times New Roman"/>
          <w:sz w:val="24"/>
          <w:szCs w:val="24"/>
          <w:lang w:eastAsia="en-US"/>
        </w:rPr>
      </w:pPr>
    </w:p>
    <w:p w14:paraId="39988A9F" w14:textId="5F0B1F3C" w:rsidR="00D976DE" w:rsidRPr="00AA5888" w:rsidRDefault="00D976DE" w:rsidP="00D976DE">
      <w:pPr>
        <w:pStyle w:val="BodyTextIndent"/>
        <w:spacing w:after="0"/>
        <w:ind w:left="0"/>
        <w:rPr>
          <w:rFonts w:ascii="Times New Roman" w:hAnsi="Times New Roman"/>
          <w:sz w:val="24"/>
          <w:szCs w:val="24"/>
          <w:lang w:eastAsia="en-US"/>
        </w:rPr>
      </w:pPr>
      <w:r w:rsidRPr="00AA5888">
        <w:rPr>
          <w:rFonts w:ascii="Times New Roman" w:hAnsi="Times New Roman"/>
          <w:sz w:val="24"/>
          <w:szCs w:val="24"/>
          <w:lang w:eastAsia="en-US"/>
        </w:rPr>
        <w:t xml:space="preserve">The new procedure enables the use of temporary or new financing for the implementation of the reorganisation plan. Lenders that provide such financing will be involved in the procedure. Temporary or new financing may be financial or </w:t>
      </w:r>
      <w:r w:rsidR="00AA5888" w:rsidRPr="00AA5888">
        <w:rPr>
          <w:rFonts w:ascii="Times New Roman" w:hAnsi="Times New Roman"/>
          <w:sz w:val="24"/>
          <w:szCs w:val="24"/>
          <w:lang w:eastAsia="en-US"/>
        </w:rPr>
        <w:t xml:space="preserve">through </w:t>
      </w:r>
      <w:r w:rsidRPr="00AA5888">
        <w:rPr>
          <w:rFonts w:ascii="Times New Roman" w:hAnsi="Times New Roman"/>
          <w:sz w:val="24"/>
          <w:szCs w:val="24"/>
          <w:lang w:eastAsia="en-US"/>
        </w:rPr>
        <w:t xml:space="preserve">asset support, or a loan structure that is more favourable than market conditions, which is necessary for the </w:t>
      </w:r>
      <w:r w:rsidR="00AA5888" w:rsidRPr="00AA5888">
        <w:rPr>
          <w:rFonts w:ascii="Times New Roman" w:hAnsi="Times New Roman"/>
          <w:sz w:val="24"/>
          <w:szCs w:val="24"/>
          <w:lang w:eastAsia="en-US"/>
        </w:rPr>
        <w:t>operations</w:t>
      </w:r>
      <w:r w:rsidRPr="00AA5888">
        <w:rPr>
          <w:rFonts w:ascii="Times New Roman" w:hAnsi="Times New Roman"/>
          <w:sz w:val="24"/>
          <w:szCs w:val="24"/>
          <w:lang w:eastAsia="en-US"/>
        </w:rPr>
        <w:t xml:space="preserve"> of the debtor during the reorganisation procedure or for the implementation of the reorganisation plan. It is interesting why only below-market loan structures </w:t>
      </w:r>
      <w:r w:rsidR="00AA5888" w:rsidRPr="00AA5888">
        <w:rPr>
          <w:rFonts w:ascii="Times New Roman" w:hAnsi="Times New Roman"/>
          <w:sz w:val="24"/>
          <w:szCs w:val="24"/>
          <w:lang w:eastAsia="en-US"/>
        </w:rPr>
        <w:t xml:space="preserve">could </w:t>
      </w:r>
      <w:r w:rsidRPr="00AA5888">
        <w:rPr>
          <w:rFonts w:ascii="Times New Roman" w:hAnsi="Times New Roman"/>
          <w:sz w:val="24"/>
          <w:szCs w:val="24"/>
          <w:lang w:eastAsia="en-US"/>
        </w:rPr>
        <w:t>fall into this category, given that businesses at risk of insolvency typically have difficulty to access financing even on market standard terms. Temporary or new financing is protected by law, i.e., if the reorganization expert has approved it and the financing is included in a reorganization plan approved by the court, it may be challenged only based on circumstances of which the reorganization expert could not have been aware.</w:t>
      </w:r>
    </w:p>
    <w:p w14:paraId="06F84E2F" w14:textId="77777777" w:rsidR="00AA5888" w:rsidRPr="00AA5888" w:rsidRDefault="00AA5888" w:rsidP="00D976DE">
      <w:pPr>
        <w:pStyle w:val="BodyTextIndent"/>
        <w:spacing w:after="0"/>
        <w:ind w:left="0"/>
        <w:rPr>
          <w:rFonts w:ascii="Times New Roman" w:hAnsi="Times New Roman"/>
          <w:sz w:val="24"/>
          <w:szCs w:val="24"/>
          <w:lang w:eastAsia="en-US"/>
        </w:rPr>
      </w:pPr>
    </w:p>
    <w:p w14:paraId="2C0AC3FD" w14:textId="65A8F869" w:rsidR="00D976DE" w:rsidRPr="00AA5888" w:rsidRDefault="00D976DE" w:rsidP="00D976DE">
      <w:pPr>
        <w:pStyle w:val="BodyTextIndent"/>
        <w:spacing w:after="0"/>
        <w:ind w:left="0"/>
        <w:rPr>
          <w:rFonts w:ascii="Times New Roman" w:hAnsi="Times New Roman"/>
          <w:bCs/>
          <w:i/>
          <w:iCs/>
          <w:sz w:val="24"/>
          <w:szCs w:val="24"/>
          <w:lang w:eastAsia="en-US"/>
        </w:rPr>
      </w:pPr>
      <w:r w:rsidRPr="00AA5888">
        <w:rPr>
          <w:rFonts w:ascii="Times New Roman" w:hAnsi="Times New Roman"/>
          <w:bCs/>
          <w:i/>
          <w:iCs/>
          <w:sz w:val="24"/>
          <w:szCs w:val="24"/>
          <w:lang w:eastAsia="en-US"/>
        </w:rPr>
        <w:t xml:space="preserve">The Hungarian </w:t>
      </w:r>
      <w:r w:rsidR="00AA5888" w:rsidRPr="00AA5888">
        <w:rPr>
          <w:rFonts w:ascii="Times New Roman" w:hAnsi="Times New Roman"/>
          <w:bCs/>
          <w:i/>
          <w:iCs/>
          <w:sz w:val="24"/>
          <w:szCs w:val="24"/>
          <w:lang w:eastAsia="en-US"/>
        </w:rPr>
        <w:t>P</w:t>
      </w:r>
      <w:r w:rsidRPr="00AA5888">
        <w:rPr>
          <w:rFonts w:ascii="Times New Roman" w:hAnsi="Times New Roman"/>
          <w:bCs/>
          <w:i/>
          <w:iCs/>
          <w:sz w:val="24"/>
          <w:szCs w:val="24"/>
          <w:lang w:eastAsia="en-US"/>
        </w:rPr>
        <w:t>re-pack</w:t>
      </w:r>
      <w:r w:rsidR="00AA5888" w:rsidRPr="00AA5888">
        <w:rPr>
          <w:rFonts w:ascii="Times New Roman" w:hAnsi="Times New Roman"/>
          <w:bCs/>
          <w:i/>
          <w:iCs/>
          <w:sz w:val="24"/>
          <w:szCs w:val="24"/>
          <w:lang w:eastAsia="en-US"/>
        </w:rPr>
        <w:t>:</w:t>
      </w:r>
      <w:r w:rsidRPr="00AA5888">
        <w:rPr>
          <w:rFonts w:ascii="Times New Roman" w:hAnsi="Times New Roman"/>
          <w:bCs/>
          <w:i/>
          <w:iCs/>
          <w:sz w:val="24"/>
          <w:szCs w:val="24"/>
          <w:lang w:eastAsia="en-US"/>
        </w:rPr>
        <w:t xml:space="preserve"> the “</w:t>
      </w:r>
      <w:r w:rsidR="00AA5888" w:rsidRPr="00AA5888">
        <w:rPr>
          <w:rFonts w:ascii="Times New Roman" w:hAnsi="Times New Roman"/>
          <w:bCs/>
          <w:i/>
          <w:iCs/>
          <w:sz w:val="24"/>
          <w:szCs w:val="24"/>
          <w:lang w:eastAsia="en-US"/>
        </w:rPr>
        <w:t>S</w:t>
      </w:r>
      <w:r w:rsidRPr="00AA5888">
        <w:rPr>
          <w:rFonts w:ascii="Times New Roman" w:hAnsi="Times New Roman"/>
          <w:bCs/>
          <w:i/>
          <w:iCs/>
          <w:sz w:val="24"/>
          <w:szCs w:val="24"/>
          <w:lang w:eastAsia="en-US"/>
        </w:rPr>
        <w:t>eparation”</w:t>
      </w:r>
    </w:p>
    <w:p w14:paraId="59EDEF56" w14:textId="77777777" w:rsidR="00AA5888" w:rsidRPr="00AA5888" w:rsidRDefault="00AA5888" w:rsidP="00D976DE">
      <w:pPr>
        <w:spacing w:after="0"/>
        <w:rPr>
          <w:rFonts w:ascii="Times New Roman" w:hAnsi="Times New Roman"/>
          <w:sz w:val="24"/>
          <w:szCs w:val="24"/>
        </w:rPr>
      </w:pPr>
    </w:p>
    <w:p w14:paraId="340D8CAA" w14:textId="229A434A" w:rsidR="00D976DE" w:rsidRPr="00AA5888" w:rsidRDefault="00D976DE" w:rsidP="00D976DE">
      <w:pPr>
        <w:spacing w:after="0"/>
        <w:rPr>
          <w:rFonts w:ascii="Times New Roman" w:hAnsi="Times New Roman"/>
          <w:sz w:val="24"/>
          <w:szCs w:val="24"/>
        </w:rPr>
      </w:pPr>
      <w:r w:rsidRPr="00AA5888">
        <w:rPr>
          <w:rFonts w:ascii="Times New Roman" w:hAnsi="Times New Roman"/>
          <w:sz w:val="24"/>
          <w:szCs w:val="24"/>
        </w:rPr>
        <w:t>The pre-pack is a well</w:t>
      </w:r>
      <w:r w:rsidR="00AA5888" w:rsidRPr="00AA5888">
        <w:rPr>
          <w:rFonts w:ascii="Times New Roman" w:hAnsi="Times New Roman"/>
          <w:sz w:val="24"/>
          <w:szCs w:val="24"/>
        </w:rPr>
        <w:t>-</w:t>
      </w:r>
      <w:r w:rsidRPr="00AA5888">
        <w:rPr>
          <w:rFonts w:ascii="Times New Roman" w:hAnsi="Times New Roman"/>
          <w:sz w:val="24"/>
          <w:szCs w:val="24"/>
        </w:rPr>
        <w:t>known technique in the UK that has impressed continental legislatures. In Hungary, there is no pre-pack available, but a new method introduced by the reorganisation Decree shows some similarities. This procedure is the so</w:t>
      </w:r>
      <w:r w:rsidR="00AA5888" w:rsidRPr="00AA5888">
        <w:rPr>
          <w:rFonts w:ascii="Times New Roman" w:hAnsi="Times New Roman"/>
          <w:sz w:val="24"/>
          <w:szCs w:val="24"/>
        </w:rPr>
        <w:t>-</w:t>
      </w:r>
      <w:r w:rsidRPr="00AA5888">
        <w:rPr>
          <w:rFonts w:ascii="Times New Roman" w:hAnsi="Times New Roman"/>
          <w:sz w:val="24"/>
          <w:szCs w:val="24"/>
        </w:rPr>
        <w:t>called “separation” and it might be particularly important in cases when the usual asset selling and distribution methods are not the most efficient way to save the business or part of the business of the debtor company.</w:t>
      </w:r>
    </w:p>
    <w:p w14:paraId="13143F7C" w14:textId="77777777" w:rsidR="00AA5888" w:rsidRPr="00AA5888" w:rsidRDefault="00AA5888" w:rsidP="00D976DE">
      <w:pPr>
        <w:spacing w:after="0"/>
        <w:rPr>
          <w:rFonts w:ascii="Times New Roman" w:hAnsi="Times New Roman"/>
          <w:sz w:val="24"/>
          <w:szCs w:val="24"/>
        </w:rPr>
      </w:pPr>
    </w:p>
    <w:p w14:paraId="06DA21BD" w14:textId="0779F229" w:rsidR="00D976DE" w:rsidRPr="00AA5888" w:rsidRDefault="00D976DE" w:rsidP="00D976DE">
      <w:pPr>
        <w:spacing w:after="0"/>
        <w:rPr>
          <w:rFonts w:ascii="Times New Roman" w:hAnsi="Times New Roman"/>
          <w:sz w:val="24"/>
          <w:szCs w:val="24"/>
        </w:rPr>
      </w:pPr>
      <w:r w:rsidRPr="00AA5888">
        <w:rPr>
          <w:rFonts w:ascii="Times New Roman" w:hAnsi="Times New Roman"/>
          <w:sz w:val="24"/>
          <w:szCs w:val="24"/>
        </w:rPr>
        <w:t>The separation procedure is available solely in public reorganisations and for businesses that qualify as strategically important business entities.</w:t>
      </w:r>
      <w:r w:rsidRPr="00AA5888">
        <w:rPr>
          <w:rStyle w:val="FootnoteReference"/>
          <w:rFonts w:ascii="Times New Roman" w:hAnsi="Times New Roman"/>
          <w:sz w:val="24"/>
          <w:szCs w:val="24"/>
        </w:rPr>
        <w:footnoteReference w:id="11"/>
      </w:r>
      <w:r w:rsidRPr="00AA5888">
        <w:rPr>
          <w:rFonts w:ascii="Times New Roman" w:hAnsi="Times New Roman"/>
          <w:sz w:val="24"/>
          <w:szCs w:val="24"/>
        </w:rPr>
        <w:t xml:space="preserve"> The Government is entitled to specify in a decree whether a business entity is entitled to the separation procedure. The separation procedure is also available in traditional liquidation procedures.</w:t>
      </w:r>
    </w:p>
    <w:p w14:paraId="6C4BB3E8" w14:textId="77777777" w:rsidR="00AA5888" w:rsidRPr="00AA5888" w:rsidRDefault="00AA5888" w:rsidP="00D976DE">
      <w:pPr>
        <w:spacing w:after="0"/>
        <w:rPr>
          <w:rFonts w:ascii="Times New Roman" w:hAnsi="Times New Roman"/>
          <w:sz w:val="24"/>
          <w:szCs w:val="24"/>
        </w:rPr>
      </w:pPr>
    </w:p>
    <w:p w14:paraId="794D0A2D" w14:textId="089B77A5" w:rsidR="00D976DE" w:rsidRPr="00AA5888" w:rsidRDefault="00D976DE" w:rsidP="00D976DE">
      <w:pPr>
        <w:pStyle w:val="BodyTextIndent"/>
        <w:spacing w:after="0"/>
        <w:ind w:left="0"/>
        <w:rPr>
          <w:rFonts w:ascii="Times New Roman" w:hAnsi="Times New Roman"/>
          <w:sz w:val="24"/>
          <w:szCs w:val="24"/>
          <w:lang w:eastAsia="en-US"/>
        </w:rPr>
      </w:pPr>
      <w:r w:rsidRPr="00AA5888">
        <w:rPr>
          <w:rFonts w:ascii="Times New Roman" w:hAnsi="Times New Roman"/>
          <w:sz w:val="24"/>
          <w:szCs w:val="24"/>
          <w:lang w:eastAsia="en-US"/>
        </w:rPr>
        <w:t>The separation takes place in such a way that the part of the debtor's business that is capable of carrying on its business is separated as an independent corporate</w:t>
      </w:r>
      <w:r w:rsidRPr="00AA5888">
        <w:rPr>
          <w:rFonts w:ascii="Times New Roman" w:hAnsi="Times New Roman"/>
          <w:i/>
          <w:iCs/>
          <w:sz w:val="24"/>
          <w:szCs w:val="24"/>
          <w:lang w:eastAsia="en-US"/>
        </w:rPr>
        <w:t xml:space="preserve"> </w:t>
      </w:r>
      <w:r w:rsidRPr="00AA5888">
        <w:rPr>
          <w:rFonts w:ascii="Times New Roman" w:hAnsi="Times New Roman"/>
          <w:sz w:val="24"/>
          <w:szCs w:val="24"/>
          <w:lang w:eastAsia="en-US"/>
        </w:rPr>
        <w:t>entity. The shares of this NewCo are sold during the reorganization procedure and the incoming funds are used as part of the reorganization plan of the debtor. The essence of the separation is that NewCo is created through a separation from the debtor's company, and the debtor provides the assets (including contracts and rights) to it, so that it ensures the continuous operation of the economic activity or business.</w:t>
      </w:r>
    </w:p>
    <w:p w14:paraId="4F49A831" w14:textId="77777777" w:rsidR="00AA5888" w:rsidRPr="00AA5888" w:rsidRDefault="00AA5888" w:rsidP="00D976DE">
      <w:pPr>
        <w:pStyle w:val="BodyTextIndent"/>
        <w:spacing w:after="0"/>
        <w:ind w:left="0"/>
        <w:rPr>
          <w:rFonts w:ascii="Times New Roman" w:hAnsi="Times New Roman"/>
          <w:sz w:val="24"/>
          <w:szCs w:val="24"/>
          <w:lang w:eastAsia="en-US"/>
        </w:rPr>
      </w:pPr>
    </w:p>
    <w:p w14:paraId="1B8C5B3C" w14:textId="68A15E76" w:rsidR="00D976DE" w:rsidRPr="00AA5888" w:rsidRDefault="00D976DE" w:rsidP="00D976DE">
      <w:pPr>
        <w:spacing w:after="0"/>
        <w:rPr>
          <w:rFonts w:ascii="Times New Roman" w:hAnsi="Times New Roman"/>
          <w:sz w:val="24"/>
          <w:szCs w:val="24"/>
          <w:lang w:eastAsia="hu-HU"/>
        </w:rPr>
      </w:pPr>
      <w:r w:rsidRPr="00AA5888">
        <w:rPr>
          <w:rFonts w:ascii="Times New Roman" w:eastAsiaTheme="majorEastAsia" w:hAnsi="Times New Roman"/>
          <w:sz w:val="24"/>
          <w:szCs w:val="24"/>
        </w:rPr>
        <w:lastRenderedPageBreak/>
        <w:t xml:space="preserve">The question arises as to the limits of the separation whether a given economic activity can be sold and what to extent in view of the purpose of the new procedure, namely, to ensure the continuous operation of the debtor entity, unlike in a liquidation procedure, which closes the debtor's business and terminates the company. Obviously, the ability of a company to continue </w:t>
      </w:r>
      <w:r w:rsidR="00AA5888" w:rsidRPr="00AA5888">
        <w:rPr>
          <w:rFonts w:ascii="Times New Roman" w:eastAsiaTheme="majorEastAsia" w:hAnsi="Times New Roman"/>
          <w:sz w:val="24"/>
          <w:szCs w:val="24"/>
        </w:rPr>
        <w:t>its</w:t>
      </w:r>
      <w:r w:rsidRPr="00AA5888">
        <w:rPr>
          <w:rFonts w:ascii="Times New Roman" w:eastAsiaTheme="majorEastAsia" w:hAnsi="Times New Roman"/>
          <w:sz w:val="24"/>
          <w:szCs w:val="24"/>
        </w:rPr>
        <w:t xml:space="preserve"> operation</w:t>
      </w:r>
      <w:r w:rsidR="00AA5888" w:rsidRPr="00AA5888">
        <w:rPr>
          <w:rFonts w:ascii="Times New Roman" w:eastAsiaTheme="majorEastAsia" w:hAnsi="Times New Roman"/>
          <w:sz w:val="24"/>
          <w:szCs w:val="24"/>
        </w:rPr>
        <w:t>s</w:t>
      </w:r>
      <w:r w:rsidRPr="00AA5888">
        <w:rPr>
          <w:rFonts w:ascii="Times New Roman" w:eastAsiaTheme="majorEastAsia" w:hAnsi="Times New Roman"/>
          <w:sz w:val="24"/>
          <w:szCs w:val="24"/>
        </w:rPr>
        <w:t xml:space="preserve"> becomes at least questionable if the healthy and viable economic activity is separated and sold. It is not entirely clear what is the purpose of the legislation with this procedure: to rescue the reorganized company or to carve out and rescue the “business” affected by the separation. The latter solution, although it may be very appropriate in the case of liquidation-type insolvency procedures, shows a little contrast with the declared purpose of the reorganization procedure.</w:t>
      </w:r>
      <w:r w:rsidRPr="00AA5888">
        <w:rPr>
          <w:rStyle w:val="FootnoteReference"/>
          <w:rFonts w:ascii="Times New Roman" w:hAnsi="Times New Roman"/>
          <w:sz w:val="24"/>
          <w:szCs w:val="24"/>
        </w:rPr>
        <w:footnoteReference w:id="12"/>
      </w:r>
    </w:p>
    <w:p w14:paraId="387D2D15" w14:textId="77777777" w:rsidR="00AA5888" w:rsidRPr="00AA5888" w:rsidRDefault="00AA5888" w:rsidP="00D976DE">
      <w:pPr>
        <w:spacing w:after="0"/>
        <w:rPr>
          <w:rFonts w:ascii="Times New Roman" w:hAnsi="Times New Roman"/>
          <w:sz w:val="24"/>
          <w:szCs w:val="24"/>
          <w:lang w:eastAsia="hu-HU"/>
        </w:rPr>
      </w:pPr>
    </w:p>
    <w:p w14:paraId="7294BC13" w14:textId="77777777" w:rsidR="00D976DE" w:rsidRPr="00AA5888" w:rsidRDefault="00D976DE" w:rsidP="00D976DE">
      <w:pPr>
        <w:pStyle w:val="BodyTextIndent"/>
        <w:spacing w:after="0"/>
        <w:ind w:left="0"/>
        <w:rPr>
          <w:rFonts w:ascii="Times New Roman" w:hAnsi="Times New Roman"/>
          <w:bCs/>
          <w:i/>
          <w:iCs/>
          <w:sz w:val="24"/>
          <w:szCs w:val="24"/>
          <w:lang w:eastAsia="en-US"/>
        </w:rPr>
      </w:pPr>
      <w:r w:rsidRPr="00AA5888">
        <w:rPr>
          <w:rFonts w:ascii="Times New Roman" w:hAnsi="Times New Roman"/>
          <w:bCs/>
          <w:i/>
          <w:iCs/>
          <w:sz w:val="24"/>
          <w:szCs w:val="24"/>
          <w:lang w:eastAsia="en-US"/>
        </w:rPr>
        <w:t>Summary</w:t>
      </w:r>
    </w:p>
    <w:p w14:paraId="26C58B37" w14:textId="77777777" w:rsidR="00AA5888" w:rsidRPr="00AA5888" w:rsidRDefault="00AA5888" w:rsidP="00D976DE">
      <w:pPr>
        <w:shd w:val="clear" w:color="auto" w:fill="FFFFFF"/>
        <w:spacing w:after="0"/>
        <w:rPr>
          <w:rFonts w:ascii="Times New Roman" w:eastAsiaTheme="majorEastAsia" w:hAnsi="Times New Roman"/>
          <w:sz w:val="24"/>
          <w:szCs w:val="24"/>
          <w:lang w:eastAsia="en-US"/>
        </w:rPr>
      </w:pPr>
    </w:p>
    <w:p w14:paraId="4CB66010" w14:textId="7D567DC5" w:rsidR="002A635A" w:rsidRPr="00AA5888" w:rsidRDefault="00D976DE" w:rsidP="00D976DE">
      <w:pPr>
        <w:shd w:val="clear" w:color="auto" w:fill="FFFFFF"/>
        <w:spacing w:after="0"/>
        <w:rPr>
          <w:rFonts w:ascii="Times New Roman" w:hAnsi="Times New Roman"/>
          <w:sz w:val="24"/>
          <w:szCs w:val="24"/>
        </w:rPr>
      </w:pPr>
      <w:r w:rsidRPr="00AA5888">
        <w:rPr>
          <w:rFonts w:ascii="Times New Roman" w:eastAsiaTheme="majorEastAsia" w:hAnsi="Times New Roman"/>
          <w:sz w:val="24"/>
          <w:szCs w:val="24"/>
          <w:lang w:eastAsia="en-US"/>
        </w:rPr>
        <w:t>To our knowledge, very few (if any) reorganization procedures were conducted in the country – of course, the number of private procedures is unknown -</w:t>
      </w:r>
      <w:r w:rsidR="00AA5888" w:rsidRPr="00AA5888">
        <w:rPr>
          <w:rFonts w:ascii="Times New Roman" w:eastAsiaTheme="majorEastAsia" w:hAnsi="Times New Roman"/>
          <w:sz w:val="24"/>
          <w:szCs w:val="24"/>
          <w:lang w:eastAsia="en-US"/>
        </w:rPr>
        <w:t>;</w:t>
      </w:r>
      <w:r w:rsidRPr="00AA5888">
        <w:rPr>
          <w:rFonts w:ascii="Times New Roman" w:eastAsiaTheme="majorEastAsia" w:hAnsi="Times New Roman"/>
          <w:sz w:val="24"/>
          <w:szCs w:val="24"/>
          <w:lang w:eastAsia="en-US"/>
        </w:rPr>
        <w:t xml:space="preserve"> however, the next wave of the pandemic is imminent, the price of energy is skyrocketing, and there are other economic and market factors, which can easily result in more reorganisations. While many details are yet to be worked out in the course of the actual implementation of the reorganisation proceedings, we are of the view that this new (an</w:t>
      </w:r>
      <w:r w:rsidR="00AA5888" w:rsidRPr="00AA5888">
        <w:rPr>
          <w:rFonts w:ascii="Times New Roman" w:eastAsiaTheme="majorEastAsia" w:hAnsi="Times New Roman"/>
          <w:sz w:val="24"/>
          <w:szCs w:val="24"/>
          <w:lang w:eastAsia="en-US"/>
        </w:rPr>
        <w:t>d</w:t>
      </w:r>
      <w:r w:rsidRPr="00AA5888">
        <w:rPr>
          <w:rFonts w:ascii="Times New Roman" w:eastAsiaTheme="majorEastAsia" w:hAnsi="Times New Roman"/>
          <w:sz w:val="24"/>
          <w:szCs w:val="24"/>
          <w:lang w:eastAsia="en-US"/>
        </w:rPr>
        <w:t xml:space="preserve"> possibly tempora</w:t>
      </w:r>
      <w:r w:rsidR="00AA5888" w:rsidRPr="00AA5888">
        <w:rPr>
          <w:rFonts w:ascii="Times New Roman" w:eastAsiaTheme="majorEastAsia" w:hAnsi="Times New Roman"/>
          <w:sz w:val="24"/>
          <w:szCs w:val="24"/>
          <w:lang w:eastAsia="en-US"/>
        </w:rPr>
        <w:t>ry</w:t>
      </w:r>
      <w:r w:rsidRPr="00AA5888">
        <w:rPr>
          <w:rFonts w:ascii="Times New Roman" w:eastAsiaTheme="majorEastAsia" w:hAnsi="Times New Roman"/>
          <w:sz w:val="24"/>
          <w:szCs w:val="24"/>
          <w:lang w:eastAsia="en-US"/>
        </w:rPr>
        <w:t>) mechanism may turn out to be a useful tool in some cases.</w:t>
      </w:r>
    </w:p>
    <w:sectPr w:rsidR="002A635A" w:rsidRPr="00AA5888"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BD137" w14:textId="77777777" w:rsidR="00B113A0" w:rsidRDefault="00B113A0">
      <w:r>
        <w:separator/>
      </w:r>
    </w:p>
  </w:endnote>
  <w:endnote w:type="continuationSeparator" w:id="0">
    <w:p w14:paraId="40F4A63D" w14:textId="77777777" w:rsidR="00B113A0" w:rsidRDefault="00B1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A348" w14:textId="77777777" w:rsidR="00B113A0" w:rsidRDefault="00B113A0">
      <w:r>
        <w:separator/>
      </w:r>
    </w:p>
  </w:footnote>
  <w:footnote w:type="continuationSeparator" w:id="0">
    <w:p w14:paraId="31D9D4B1" w14:textId="77777777" w:rsidR="00B113A0" w:rsidRDefault="00B113A0">
      <w:r>
        <w:continuationSeparator/>
      </w:r>
    </w:p>
  </w:footnote>
  <w:footnote w:id="1">
    <w:p w14:paraId="5166081B" w14:textId="77777777" w:rsidR="00D976DE" w:rsidRPr="00D976DE" w:rsidRDefault="00D976DE" w:rsidP="00D976DE">
      <w:pPr>
        <w:pStyle w:val="FootnoteText"/>
        <w:rPr>
          <w:rFonts w:ascii="Times New Roman" w:hAnsi="Times New Roman"/>
        </w:rPr>
      </w:pPr>
      <w:r w:rsidRPr="00D976DE">
        <w:rPr>
          <w:rStyle w:val="FootnoteReference"/>
          <w:rFonts w:ascii="Times New Roman" w:hAnsi="Times New Roman"/>
        </w:rPr>
        <w:footnoteRef/>
      </w:r>
      <w:r w:rsidRPr="00D976DE">
        <w:rPr>
          <w:rFonts w:ascii="Times New Roman" w:hAnsi="Times New Roman"/>
        </w:rPr>
        <w:t xml:space="preserve"> Therefore, no actual practice and very limited number of published analyses is available currently.</w:t>
      </w:r>
    </w:p>
  </w:footnote>
  <w:footnote w:id="2">
    <w:p w14:paraId="5251E15A" w14:textId="46D5B8BD" w:rsidR="00D976DE" w:rsidRPr="00D976DE" w:rsidRDefault="00D976DE" w:rsidP="00D976DE">
      <w:pPr>
        <w:pStyle w:val="FootnoteText"/>
        <w:rPr>
          <w:rFonts w:ascii="Times New Roman" w:hAnsi="Times New Roman"/>
        </w:rPr>
      </w:pPr>
      <w:r w:rsidRPr="00D976DE">
        <w:rPr>
          <w:rStyle w:val="FootnoteReference"/>
          <w:rFonts w:ascii="Times New Roman" w:hAnsi="Times New Roman"/>
        </w:rPr>
        <w:footnoteRef/>
      </w:r>
      <w:r w:rsidRPr="00D976DE">
        <w:rPr>
          <w:rFonts w:ascii="Times New Roman" w:hAnsi="Times New Roman"/>
        </w:rPr>
        <w:t xml:space="preserve"> Only available in Hungarian:</w:t>
      </w:r>
      <w:r w:rsidR="00AA5888">
        <w:rPr>
          <w:rFonts w:ascii="Times New Roman" w:hAnsi="Times New Roman"/>
        </w:rPr>
        <w:t xml:space="preserve"> </w:t>
      </w:r>
      <w:r w:rsidR="00AA5888" w:rsidRPr="00AA5888">
        <w:rPr>
          <w:rFonts w:ascii="Times New Roman" w:hAnsi="Times New Roman"/>
          <w:i/>
        </w:rPr>
        <w:t>“</w:t>
      </w:r>
      <w:r w:rsidRPr="00D976DE">
        <w:rPr>
          <w:rFonts w:ascii="Times New Roman" w:hAnsi="Times New Roman"/>
          <w:i/>
          <w:iCs/>
        </w:rPr>
        <w:t>a vállalkozások reorganizációjáról, valamint a csődeljárásról és a felszámolási eljárásról szóló 1991. évi XLIX. törvény, továbbá a cégnyilvánosságról, a bírósági cégeljárásról és a végelszámolásról szóló 2006. évi V. törvény eltérő alkalmazásáról szóló 345/2021. (VI. 18.) Korm. rendelet”.</w:t>
      </w:r>
    </w:p>
  </w:footnote>
  <w:footnote w:id="3">
    <w:p w14:paraId="2A3F28F7" w14:textId="56499F0F" w:rsidR="00D976DE" w:rsidRPr="00D976DE" w:rsidRDefault="00D976DE" w:rsidP="00D976DE">
      <w:pPr>
        <w:pStyle w:val="FootnoteText"/>
        <w:rPr>
          <w:rFonts w:ascii="Times New Roman" w:hAnsi="Times New Roman"/>
          <w:i/>
          <w:iCs/>
        </w:rPr>
      </w:pPr>
      <w:r w:rsidRPr="00D976DE">
        <w:rPr>
          <w:rStyle w:val="FootnoteReference"/>
          <w:rFonts w:ascii="Times New Roman" w:hAnsi="Times New Roman"/>
        </w:rPr>
        <w:footnoteRef/>
      </w:r>
      <w:r w:rsidRPr="00D976DE">
        <w:rPr>
          <w:rFonts w:ascii="Times New Roman" w:hAnsi="Times New Roman"/>
        </w:rPr>
        <w:t xml:space="preserve"> Only available in Hungarian: </w:t>
      </w:r>
      <w:r w:rsidR="00AA5888" w:rsidRPr="00AA5888">
        <w:rPr>
          <w:rFonts w:ascii="Times New Roman" w:hAnsi="Times New Roman"/>
          <w:i/>
        </w:rPr>
        <w:t>“</w:t>
      </w:r>
      <w:r w:rsidRPr="00D976DE">
        <w:rPr>
          <w:rFonts w:ascii="Times New Roman" w:hAnsi="Times New Roman"/>
          <w:i/>
          <w:iCs/>
        </w:rPr>
        <w:t>a veszélyhelyzettel összefüggő átmeneti szabályokról szóló 2021. évi XCIX. törvény”.</w:t>
      </w:r>
    </w:p>
  </w:footnote>
  <w:footnote w:id="4">
    <w:p w14:paraId="54135B74" w14:textId="688933E8" w:rsidR="00D976DE" w:rsidRPr="00D976DE" w:rsidRDefault="00D976DE" w:rsidP="00D976DE">
      <w:pPr>
        <w:pStyle w:val="FootnoteText"/>
        <w:rPr>
          <w:rFonts w:ascii="Times New Roman" w:hAnsi="Times New Roman"/>
        </w:rPr>
      </w:pPr>
      <w:r w:rsidRPr="00D976DE">
        <w:rPr>
          <w:rStyle w:val="FootnoteReference"/>
          <w:rFonts w:ascii="Times New Roman" w:hAnsi="Times New Roman"/>
        </w:rPr>
        <w:footnoteRef/>
      </w:r>
      <w:r w:rsidRPr="00D976DE">
        <w:rPr>
          <w:rFonts w:ascii="Times New Roman" w:hAnsi="Times New Roman"/>
        </w:rPr>
        <w:t xml:space="preserve"> Only available in Hungarian: </w:t>
      </w:r>
      <w:r w:rsidR="00AA5888" w:rsidRPr="00AA5888">
        <w:rPr>
          <w:rFonts w:ascii="Times New Roman" w:hAnsi="Times New Roman"/>
          <w:i/>
        </w:rPr>
        <w:t>“</w:t>
      </w:r>
      <w:r w:rsidRPr="00D976DE">
        <w:rPr>
          <w:rFonts w:ascii="Times New Roman" w:hAnsi="Times New Roman"/>
          <w:i/>
          <w:iCs/>
        </w:rPr>
        <w:t>a szerkezetátalakításról és egyes törvények jogharmonizációs célú módosításáról szóló 2021. évi LXIV törvény”.</w:t>
      </w:r>
    </w:p>
  </w:footnote>
  <w:footnote w:id="5">
    <w:p w14:paraId="05A8552C" w14:textId="77777777" w:rsidR="00D976DE" w:rsidRPr="00D976DE" w:rsidRDefault="00D976DE" w:rsidP="00D976DE">
      <w:pPr>
        <w:pStyle w:val="FootnoteText"/>
        <w:rPr>
          <w:rFonts w:ascii="Times New Roman" w:hAnsi="Times New Roman"/>
        </w:rPr>
      </w:pPr>
      <w:r w:rsidRPr="00D976DE">
        <w:rPr>
          <w:rStyle w:val="FootnoteReference"/>
          <w:rFonts w:ascii="Times New Roman" w:hAnsi="Times New Roman"/>
        </w:rPr>
        <w:footnoteRef/>
      </w:r>
      <w:r w:rsidRPr="00D976DE">
        <w:rPr>
          <w:rFonts w:ascii="Times New Roman" w:hAnsi="Times New Roman"/>
        </w:rPr>
        <w:t xml:space="preserve"> 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footnote>
  <w:footnote w:id="6">
    <w:p w14:paraId="25D83F45" w14:textId="7AC9EA0E" w:rsidR="00D976DE" w:rsidRPr="00D976DE" w:rsidRDefault="00D976DE" w:rsidP="00D976DE">
      <w:pPr>
        <w:pStyle w:val="FootnoteText"/>
        <w:rPr>
          <w:rFonts w:ascii="Times New Roman" w:hAnsi="Times New Roman"/>
        </w:rPr>
      </w:pPr>
      <w:r w:rsidRPr="00D976DE">
        <w:rPr>
          <w:rStyle w:val="FootnoteReference"/>
          <w:rFonts w:ascii="Times New Roman" w:hAnsi="Times New Roman"/>
        </w:rPr>
        <w:footnoteRef/>
      </w:r>
      <w:r w:rsidRPr="00D976DE">
        <w:rPr>
          <w:rFonts w:ascii="Times New Roman" w:hAnsi="Times New Roman"/>
        </w:rPr>
        <w:t xml:space="preserve"> There is no </w:t>
      </w:r>
      <w:r w:rsidR="00AA5888" w:rsidRPr="00AA5888">
        <w:rPr>
          <w:rFonts w:ascii="Times New Roman" w:hAnsi="Times New Roman"/>
        </w:rPr>
        <w:t>“</w:t>
      </w:r>
      <w:r w:rsidRPr="00D976DE">
        <w:rPr>
          <w:rFonts w:ascii="Times New Roman" w:hAnsi="Times New Roman"/>
        </w:rPr>
        <w:t>duty to file” or similar obligation, the decision whether to initiate a reorganization procedure remains in the discretion of the shareholders of the relevant company.</w:t>
      </w:r>
    </w:p>
  </w:footnote>
  <w:footnote w:id="7">
    <w:p w14:paraId="73FFFC13" w14:textId="77777777" w:rsidR="00D976DE" w:rsidRPr="00D976DE" w:rsidRDefault="00D976DE" w:rsidP="00D976DE">
      <w:pPr>
        <w:pStyle w:val="FootnoteText"/>
        <w:rPr>
          <w:rFonts w:ascii="Times New Roman" w:hAnsi="Times New Roman"/>
          <w:lang w:val="hu-HU"/>
        </w:rPr>
      </w:pPr>
      <w:r w:rsidRPr="00D976DE">
        <w:rPr>
          <w:rStyle w:val="FootnoteReference"/>
          <w:rFonts w:ascii="Times New Roman" w:hAnsi="Times New Roman"/>
        </w:rPr>
        <w:footnoteRef/>
      </w:r>
      <w:r w:rsidRPr="00D976DE">
        <w:rPr>
          <w:rFonts w:ascii="Times New Roman" w:hAnsi="Times New Roman"/>
        </w:rPr>
        <w:t xml:space="preserve"> Section 2 of the Decree.</w:t>
      </w:r>
    </w:p>
  </w:footnote>
  <w:footnote w:id="8">
    <w:p w14:paraId="3E766614" w14:textId="77777777" w:rsidR="00D976DE" w:rsidRPr="00D976DE" w:rsidRDefault="00D976DE" w:rsidP="00D976DE">
      <w:pPr>
        <w:pStyle w:val="FootnoteText"/>
        <w:rPr>
          <w:rFonts w:ascii="Times New Roman" w:hAnsi="Times New Roman"/>
        </w:rPr>
      </w:pPr>
      <w:r w:rsidRPr="00D976DE">
        <w:rPr>
          <w:rStyle w:val="FootnoteReference"/>
          <w:rFonts w:ascii="Times New Roman" w:hAnsi="Times New Roman"/>
        </w:rPr>
        <w:footnoteRef/>
      </w:r>
      <w:r w:rsidRPr="00D976DE">
        <w:rPr>
          <w:rFonts w:ascii="Times New Roman" w:hAnsi="Times New Roman"/>
        </w:rPr>
        <w:t xml:space="preserve"> According to Section 33/A (3) of the Hungarian Bankruptcy Act, imminent insolvency is “</w:t>
      </w:r>
      <w:r w:rsidRPr="00D976DE">
        <w:rPr>
          <w:rFonts w:ascii="Times New Roman" w:hAnsi="Times New Roman"/>
          <w:i/>
          <w:iCs/>
        </w:rPr>
        <w:t>a situation is considered to carry potential danger of insolvency as of the day when the executives of the business entity were able to foresee, or had reasonable grounds to foresee as is expected from a person in such positions, that the business entity will not be able to satisfy its liabilities when due</w:t>
      </w:r>
      <w:r w:rsidRPr="00D976DE">
        <w:rPr>
          <w:rFonts w:ascii="Times New Roman" w:hAnsi="Times New Roman"/>
        </w:rPr>
        <w:t>”.</w:t>
      </w:r>
    </w:p>
  </w:footnote>
  <w:footnote w:id="9">
    <w:p w14:paraId="5F36ECCC" w14:textId="77777777" w:rsidR="00D976DE" w:rsidRPr="00D976DE" w:rsidRDefault="00D976DE" w:rsidP="00D976DE">
      <w:pPr>
        <w:pStyle w:val="FootnoteText"/>
        <w:rPr>
          <w:rFonts w:ascii="Times New Roman" w:hAnsi="Times New Roman"/>
        </w:rPr>
      </w:pPr>
      <w:r w:rsidRPr="00D976DE">
        <w:rPr>
          <w:rStyle w:val="FootnoteReference"/>
          <w:rFonts w:ascii="Times New Roman" w:hAnsi="Times New Roman"/>
        </w:rPr>
        <w:footnoteRef/>
      </w:r>
      <w:r w:rsidRPr="00D976DE">
        <w:rPr>
          <w:rFonts w:ascii="Times New Roman" w:hAnsi="Times New Roman"/>
        </w:rPr>
        <w:t xml:space="preserve"> Act XLIX of 1991 on Bankruptcy Proceedings and Liquidation Proceedings.</w:t>
      </w:r>
    </w:p>
  </w:footnote>
  <w:footnote w:id="10">
    <w:p w14:paraId="59273EA7" w14:textId="77777777" w:rsidR="00D976DE" w:rsidRPr="00D976DE" w:rsidRDefault="00D976DE" w:rsidP="00D976DE">
      <w:pPr>
        <w:pStyle w:val="FootnoteText"/>
        <w:rPr>
          <w:rFonts w:ascii="Times New Roman" w:hAnsi="Times New Roman"/>
        </w:rPr>
      </w:pPr>
      <w:r w:rsidRPr="00D976DE">
        <w:rPr>
          <w:rStyle w:val="FootnoteReference"/>
          <w:rFonts w:ascii="Times New Roman" w:hAnsi="Times New Roman"/>
        </w:rPr>
        <w:footnoteRef/>
      </w:r>
      <w:r w:rsidRPr="00D976DE">
        <w:rPr>
          <w:rFonts w:ascii="Times New Roman" w:hAnsi="Times New Roman"/>
        </w:rPr>
        <w:t xml:space="preserve"> “Debtor-in-possession” type insolvency procedure.</w:t>
      </w:r>
    </w:p>
  </w:footnote>
  <w:footnote w:id="11">
    <w:p w14:paraId="519B5FC3" w14:textId="77777777" w:rsidR="00D976DE" w:rsidRPr="00D976DE" w:rsidRDefault="00D976DE" w:rsidP="00D976DE">
      <w:pPr>
        <w:pStyle w:val="FootnoteText"/>
        <w:rPr>
          <w:rFonts w:ascii="Times New Roman" w:hAnsi="Times New Roman"/>
        </w:rPr>
      </w:pPr>
      <w:r w:rsidRPr="00D976DE">
        <w:rPr>
          <w:rStyle w:val="FootnoteReference"/>
          <w:rFonts w:ascii="Times New Roman" w:hAnsi="Times New Roman"/>
        </w:rPr>
        <w:footnoteRef/>
      </w:r>
      <w:r w:rsidRPr="00D976DE">
        <w:rPr>
          <w:rFonts w:ascii="Times New Roman" w:hAnsi="Times New Roman"/>
        </w:rPr>
        <w:t xml:space="preserve"> However, it is not prohibited for the debtors and creditors to agree on “pre-pack-like” terms in the reorganization plan in a private procedure as well. The only difference, in such case, the general company law rules are applied and not the rules set out in the Decree. See Csőke Andrea, Reorganizáció és egyebek – megjegyzések a 345/2021. (VI. 18.) Korm. rendelethez, Wolters Kluwer, Fizetésképtelenségi Jog 2021/1., [79].</w:t>
      </w:r>
    </w:p>
  </w:footnote>
  <w:footnote w:id="12">
    <w:p w14:paraId="50B5A689" w14:textId="77777777" w:rsidR="00D976DE" w:rsidRPr="00D976DE" w:rsidRDefault="00D976DE" w:rsidP="00D976DE">
      <w:pPr>
        <w:pStyle w:val="FootnoteText"/>
        <w:rPr>
          <w:rFonts w:ascii="Times New Roman" w:hAnsi="Times New Roman"/>
        </w:rPr>
      </w:pPr>
      <w:r w:rsidRPr="00D976DE">
        <w:rPr>
          <w:rStyle w:val="FootnoteReference"/>
          <w:rFonts w:ascii="Times New Roman" w:hAnsi="Times New Roman"/>
        </w:rPr>
        <w:footnoteRef/>
      </w:r>
      <w:r w:rsidRPr="00D976DE">
        <w:rPr>
          <w:rFonts w:ascii="Times New Roman" w:hAnsi="Times New Roman"/>
        </w:rPr>
        <w:t xml:space="preserve"> Reorganization Decree Section 1 Article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D0DD" w14:textId="6D19757C" w:rsidR="00BF3D3E" w:rsidRPr="00C2522B" w:rsidRDefault="00BF3D3E" w:rsidP="00C2522B">
    <w:pPr>
      <w:pStyle w:val="Header"/>
      <w:spacing w:after="0"/>
      <w:rPr>
        <w:rFonts w:ascii="Arial" w:hAnsi="Arial" w:cs="Arial"/>
        <w:b/>
      </w:rPr>
    </w:pPr>
    <w:r w:rsidRPr="00C2522B">
      <w:rPr>
        <w:rFonts w:ascii="Arial" w:hAnsi="Arial" w:cs="Arial"/>
        <w:b/>
      </w:rPr>
      <w:t>Inside Story (</w:t>
    </w:r>
    <w:r w:rsidR="00D976DE">
      <w:rPr>
        <w:rFonts w:ascii="Arial" w:hAnsi="Arial" w:cs="Arial"/>
        <w:b/>
      </w:rPr>
      <w:t>December</w:t>
    </w:r>
    <w:r w:rsidR="001B33AD">
      <w:rPr>
        <w:rFonts w:ascii="Arial" w:hAnsi="Arial" w:cs="Arial"/>
        <w:b/>
      </w:rPr>
      <w:t xml:space="preserve"> </w:t>
    </w:r>
    <w:r w:rsidR="003666A0">
      <w:rPr>
        <w:rFonts w:ascii="Arial" w:hAnsi="Arial" w:cs="Arial"/>
        <w:b/>
      </w:rPr>
      <w:t>20</w:t>
    </w:r>
    <w:r w:rsidR="00C50AF8">
      <w:rPr>
        <w:rFonts w:ascii="Arial" w:hAnsi="Arial" w:cs="Arial"/>
        <w:b/>
      </w:rPr>
      <w:t>2</w:t>
    </w:r>
    <w:r w:rsidR="005D2A1D">
      <w:rPr>
        <w:rFonts w:ascii="Arial" w:hAnsi="Arial" w:cs="Arial"/>
        <w:b/>
      </w:rPr>
      <w:t>1</w:t>
    </w:r>
    <w:r w:rsidRPr="00C2522B">
      <w:rPr>
        <w:rFonts w:ascii="Arial" w:hAnsi="Arial" w:cs="Arial"/>
        <w:b/>
      </w:rPr>
      <w:t>)</w:t>
    </w:r>
  </w:p>
  <w:p w14:paraId="5CB97EE8" w14:textId="4242A754" w:rsidR="00BF3D3E" w:rsidRPr="00C2522B" w:rsidRDefault="00D976DE" w:rsidP="00C2522B">
    <w:pPr>
      <w:pStyle w:val="Header"/>
      <w:spacing w:after="0"/>
      <w:rPr>
        <w:rFonts w:ascii="Arial" w:hAnsi="Arial" w:cs="Arial"/>
        <w:b/>
      </w:rPr>
    </w:pPr>
    <w:r>
      <w:rPr>
        <w:rFonts w:ascii="Arial" w:hAnsi="Arial" w:cs="Arial"/>
        <w:b/>
      </w:rPr>
      <w:t>Zoltan Fabok and Mark Seres</w:t>
    </w:r>
    <w:r w:rsidR="00865CA7">
      <w:rPr>
        <w:rFonts w:ascii="Arial" w:hAnsi="Arial" w:cs="Arial"/>
        <w:b/>
      </w:rPr>
      <w:t xml:space="preserve"> </w:t>
    </w:r>
    <w:r w:rsidR="00BF3D3E" w:rsidRPr="00C2522B">
      <w:rPr>
        <w:rFonts w:ascii="Arial" w:hAnsi="Arial" w:cs="Arial"/>
        <w:b/>
      </w:rPr>
      <w:t>(</w:t>
    </w:r>
    <w:r>
      <w:rPr>
        <w:rFonts w:ascii="Arial" w:hAnsi="Arial" w:cs="Arial"/>
        <w:b/>
      </w:rPr>
      <w:t>Hungary</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96E0881"/>
    <w:multiLevelType w:val="hybridMultilevel"/>
    <w:tmpl w:val="DE52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9"/>
  </w:num>
  <w:num w:numId="4">
    <w:abstractNumId w:val="9"/>
  </w:num>
  <w:num w:numId="5">
    <w:abstractNumId w:val="10"/>
  </w:num>
  <w:num w:numId="6">
    <w:abstractNumId w:val="20"/>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9"/>
  </w:num>
  <w:num w:numId="22">
    <w:abstractNumId w:val="10"/>
  </w:num>
  <w:num w:numId="23">
    <w:abstractNumId w:val="9"/>
  </w:num>
  <w:num w:numId="24">
    <w:abstractNumId w:val="18"/>
  </w:num>
  <w:num w:numId="25">
    <w:abstractNumId w:val="12"/>
  </w:num>
  <w:num w:numId="26">
    <w:abstractNumId w:val="14"/>
  </w:num>
  <w:num w:numId="27">
    <w:abstractNumId w:val="11"/>
  </w:num>
  <w:num w:numId="28">
    <w:abstractNumId w:val="13"/>
  </w:num>
  <w:num w:numId="29">
    <w:abstractNumId w:val="3"/>
  </w:num>
  <w:num w:numId="30">
    <w:abstractNumId w:val="8"/>
  </w:num>
  <w:num w:numId="3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05D54"/>
    <w:rsid w:val="000126E6"/>
    <w:rsid w:val="0003677F"/>
    <w:rsid w:val="00055219"/>
    <w:rsid w:val="00086E49"/>
    <w:rsid w:val="000921F0"/>
    <w:rsid w:val="00092307"/>
    <w:rsid w:val="000B27DE"/>
    <w:rsid w:val="000C4532"/>
    <w:rsid w:val="000D3C8B"/>
    <w:rsid w:val="00106A4F"/>
    <w:rsid w:val="001258A8"/>
    <w:rsid w:val="00127C4A"/>
    <w:rsid w:val="00141375"/>
    <w:rsid w:val="00142A99"/>
    <w:rsid w:val="00145356"/>
    <w:rsid w:val="00161EA8"/>
    <w:rsid w:val="00165980"/>
    <w:rsid w:val="00173A72"/>
    <w:rsid w:val="001835B2"/>
    <w:rsid w:val="001934CC"/>
    <w:rsid w:val="001A713B"/>
    <w:rsid w:val="001A79B0"/>
    <w:rsid w:val="001B33AD"/>
    <w:rsid w:val="001C30BB"/>
    <w:rsid w:val="001C5080"/>
    <w:rsid w:val="001C7EFA"/>
    <w:rsid w:val="001D3A90"/>
    <w:rsid w:val="001E0189"/>
    <w:rsid w:val="001F119D"/>
    <w:rsid w:val="00207BAF"/>
    <w:rsid w:val="00244BC4"/>
    <w:rsid w:val="00247BAC"/>
    <w:rsid w:val="002510D8"/>
    <w:rsid w:val="00276632"/>
    <w:rsid w:val="00277B0D"/>
    <w:rsid w:val="00280030"/>
    <w:rsid w:val="002A635A"/>
    <w:rsid w:val="002E09E9"/>
    <w:rsid w:val="003021B6"/>
    <w:rsid w:val="00310F8E"/>
    <w:rsid w:val="003217E3"/>
    <w:rsid w:val="003218D0"/>
    <w:rsid w:val="0032563F"/>
    <w:rsid w:val="00334BA9"/>
    <w:rsid w:val="00340FF0"/>
    <w:rsid w:val="00343960"/>
    <w:rsid w:val="003518FD"/>
    <w:rsid w:val="00353A7E"/>
    <w:rsid w:val="003666A0"/>
    <w:rsid w:val="00367985"/>
    <w:rsid w:val="00395D89"/>
    <w:rsid w:val="00396E5A"/>
    <w:rsid w:val="003978ED"/>
    <w:rsid w:val="003C284E"/>
    <w:rsid w:val="003C69AB"/>
    <w:rsid w:val="003E3EAC"/>
    <w:rsid w:val="00404D9A"/>
    <w:rsid w:val="00415AEE"/>
    <w:rsid w:val="00415DDB"/>
    <w:rsid w:val="00434808"/>
    <w:rsid w:val="00437BFE"/>
    <w:rsid w:val="00440777"/>
    <w:rsid w:val="00440CF8"/>
    <w:rsid w:val="004433C5"/>
    <w:rsid w:val="00470254"/>
    <w:rsid w:val="00484F6D"/>
    <w:rsid w:val="004B33DA"/>
    <w:rsid w:val="004B3FED"/>
    <w:rsid w:val="004C1D5E"/>
    <w:rsid w:val="004D1D7E"/>
    <w:rsid w:val="004F57B8"/>
    <w:rsid w:val="00525C8B"/>
    <w:rsid w:val="00535342"/>
    <w:rsid w:val="005452A1"/>
    <w:rsid w:val="00557280"/>
    <w:rsid w:val="00557A0F"/>
    <w:rsid w:val="00560963"/>
    <w:rsid w:val="00570073"/>
    <w:rsid w:val="005764A7"/>
    <w:rsid w:val="00577785"/>
    <w:rsid w:val="00593E77"/>
    <w:rsid w:val="005D0DB7"/>
    <w:rsid w:val="005D2A1D"/>
    <w:rsid w:val="005D6C09"/>
    <w:rsid w:val="005D783E"/>
    <w:rsid w:val="005D79E3"/>
    <w:rsid w:val="005E7C6B"/>
    <w:rsid w:val="00617533"/>
    <w:rsid w:val="00623598"/>
    <w:rsid w:val="006441B0"/>
    <w:rsid w:val="00660074"/>
    <w:rsid w:val="00673BB3"/>
    <w:rsid w:val="00694350"/>
    <w:rsid w:val="006A4E12"/>
    <w:rsid w:val="006D0A86"/>
    <w:rsid w:val="006E2316"/>
    <w:rsid w:val="006E7E8D"/>
    <w:rsid w:val="00703D03"/>
    <w:rsid w:val="00707113"/>
    <w:rsid w:val="00740F50"/>
    <w:rsid w:val="00772427"/>
    <w:rsid w:val="00774314"/>
    <w:rsid w:val="00782C44"/>
    <w:rsid w:val="00790DFB"/>
    <w:rsid w:val="007C4484"/>
    <w:rsid w:val="007D5F6C"/>
    <w:rsid w:val="007E1590"/>
    <w:rsid w:val="00807744"/>
    <w:rsid w:val="008432D1"/>
    <w:rsid w:val="00847988"/>
    <w:rsid w:val="00865CA7"/>
    <w:rsid w:val="00867725"/>
    <w:rsid w:val="00876BCD"/>
    <w:rsid w:val="00877CBB"/>
    <w:rsid w:val="00886023"/>
    <w:rsid w:val="009069C9"/>
    <w:rsid w:val="0091313B"/>
    <w:rsid w:val="00916269"/>
    <w:rsid w:val="00920698"/>
    <w:rsid w:val="00921CD5"/>
    <w:rsid w:val="00933B42"/>
    <w:rsid w:val="0093601D"/>
    <w:rsid w:val="0095087C"/>
    <w:rsid w:val="00976F27"/>
    <w:rsid w:val="00977889"/>
    <w:rsid w:val="0098305D"/>
    <w:rsid w:val="0099293A"/>
    <w:rsid w:val="009B5E68"/>
    <w:rsid w:val="009E51C4"/>
    <w:rsid w:val="009F52F0"/>
    <w:rsid w:val="00A0599F"/>
    <w:rsid w:val="00A14E9E"/>
    <w:rsid w:val="00A34959"/>
    <w:rsid w:val="00A3654A"/>
    <w:rsid w:val="00A81F5B"/>
    <w:rsid w:val="00AA5888"/>
    <w:rsid w:val="00AA741E"/>
    <w:rsid w:val="00AD3470"/>
    <w:rsid w:val="00AD6AE4"/>
    <w:rsid w:val="00AE7905"/>
    <w:rsid w:val="00B10912"/>
    <w:rsid w:val="00B113A0"/>
    <w:rsid w:val="00B40F88"/>
    <w:rsid w:val="00B46BCC"/>
    <w:rsid w:val="00BA1EF1"/>
    <w:rsid w:val="00BC4C0D"/>
    <w:rsid w:val="00BD0697"/>
    <w:rsid w:val="00BD6C97"/>
    <w:rsid w:val="00BF3D3E"/>
    <w:rsid w:val="00C036DE"/>
    <w:rsid w:val="00C146C5"/>
    <w:rsid w:val="00C16DFA"/>
    <w:rsid w:val="00C2522B"/>
    <w:rsid w:val="00C500AE"/>
    <w:rsid w:val="00C50AF8"/>
    <w:rsid w:val="00C54799"/>
    <w:rsid w:val="00C744FF"/>
    <w:rsid w:val="00C96534"/>
    <w:rsid w:val="00CB5BB6"/>
    <w:rsid w:val="00CE09C4"/>
    <w:rsid w:val="00CF7ACF"/>
    <w:rsid w:val="00D11D38"/>
    <w:rsid w:val="00D24268"/>
    <w:rsid w:val="00D31877"/>
    <w:rsid w:val="00D32C99"/>
    <w:rsid w:val="00D355D1"/>
    <w:rsid w:val="00D6291C"/>
    <w:rsid w:val="00D73746"/>
    <w:rsid w:val="00D847D8"/>
    <w:rsid w:val="00D976DE"/>
    <w:rsid w:val="00DA66F6"/>
    <w:rsid w:val="00DE3F8B"/>
    <w:rsid w:val="00DE5F99"/>
    <w:rsid w:val="00DE7BB0"/>
    <w:rsid w:val="00E007BF"/>
    <w:rsid w:val="00E2501C"/>
    <w:rsid w:val="00E37A5D"/>
    <w:rsid w:val="00E53ABF"/>
    <w:rsid w:val="00E6510B"/>
    <w:rsid w:val="00EB1C4C"/>
    <w:rsid w:val="00EB6116"/>
    <w:rsid w:val="00EC1075"/>
    <w:rsid w:val="00ED21A7"/>
    <w:rsid w:val="00F173BA"/>
    <w:rsid w:val="00F20AC6"/>
    <w:rsid w:val="00F36532"/>
    <w:rsid w:val="00F55F2D"/>
    <w:rsid w:val="00F77372"/>
    <w:rsid w:val="00F90C01"/>
    <w:rsid w:val="00FB7C3C"/>
    <w:rsid w:val="00FC7C4F"/>
    <w:rsid w:val="00FD1151"/>
    <w:rsid w:val="00FD50FE"/>
    <w:rsid w:val="00FE08BF"/>
    <w:rsid w:val="00FE4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2CBF00AC-7F28-4226-A1CE-416C5786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basedOn w:val="DefaultParagraphFont"/>
    <w:uiPriority w:val="20"/>
    <w:qFormat/>
    <w:rsid w:val="002A635A"/>
    <w:rPr>
      <w:i/>
      <w:iCs/>
    </w:rPr>
  </w:style>
  <w:style w:type="paragraph" w:styleId="PlainText">
    <w:name w:val="Plain Text"/>
    <w:basedOn w:val="Normal"/>
    <w:link w:val="PlainTextChar"/>
    <w:uiPriority w:val="99"/>
    <w:unhideWhenUsed/>
    <w:rsid w:val="00865CA7"/>
    <w:pPr>
      <w:spacing w:after="0"/>
      <w:jc w:val="left"/>
    </w:pPr>
    <w:rPr>
      <w:rFonts w:ascii="Consolas" w:eastAsia="Calibri" w:hAnsi="Consolas"/>
      <w:szCs w:val="21"/>
      <w:lang w:val="en-US" w:eastAsia="en-US"/>
    </w:rPr>
  </w:style>
  <w:style w:type="character" w:customStyle="1" w:styleId="PlainTextChar">
    <w:name w:val="Plain Text Char"/>
    <w:basedOn w:val="DefaultParagraphFont"/>
    <w:link w:val="PlainText"/>
    <w:uiPriority w:val="99"/>
    <w:rsid w:val="00865CA7"/>
    <w:rPr>
      <w:rFonts w:ascii="Consolas" w:eastAsia="Calibri" w:hAnsi="Consolas"/>
      <w:sz w:val="21"/>
      <w:szCs w:val="21"/>
      <w:lang w:val="en-US" w:eastAsia="en-US"/>
    </w:rPr>
  </w:style>
  <w:style w:type="paragraph" w:styleId="BodyTextIndent">
    <w:name w:val="Body Text Indent"/>
    <w:basedOn w:val="Normal"/>
    <w:link w:val="BodyTextIndentChar"/>
    <w:semiHidden/>
    <w:unhideWhenUsed/>
    <w:rsid w:val="00D976DE"/>
    <w:pPr>
      <w:spacing w:after="120"/>
      <w:ind w:left="283"/>
    </w:pPr>
  </w:style>
  <w:style w:type="character" w:customStyle="1" w:styleId="BodyTextIndentChar">
    <w:name w:val="Body Text Indent Char"/>
    <w:basedOn w:val="DefaultParagraphFont"/>
    <w:link w:val="BodyTextIndent"/>
    <w:semiHidden/>
    <w:rsid w:val="00D976DE"/>
    <w:rPr>
      <w:rFonts w:ascii="Calibri" w:hAnsi="Calibri"/>
      <w:sz w:val="21"/>
      <w:szCs w:val="20"/>
    </w:rPr>
  </w:style>
  <w:style w:type="paragraph" w:customStyle="1" w:styleId="MarginText">
    <w:name w:val="Margin Text"/>
    <w:basedOn w:val="Normal"/>
    <w:rsid w:val="00D976DE"/>
    <w:pPr>
      <w:adjustRightInd w:val="0"/>
      <w:spacing w:line="360" w:lineRule="auto"/>
    </w:pPr>
    <w:rPr>
      <w:rFonts w:ascii="Times New Roman" w:eastAsia="STZhongsong" w:hAnsi="Times New Roman"/>
      <w:kern w:val="28"/>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 w:id="21056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E1DC-3F04-4278-A332-2B2A3889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1869</Words>
  <Characters>10659</Characters>
  <Application>Microsoft Office Word</Application>
  <DocSecurity>0</DocSecurity>
  <PresentationFormat/>
  <Lines>88</Lines>
  <Paragraphs>25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12503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10</cp:revision>
  <cp:lastPrinted>2017-11-20T20:14:00Z</cp:lastPrinted>
  <dcterms:created xsi:type="dcterms:W3CDTF">2020-04-01T13:31:00Z</dcterms:created>
  <dcterms:modified xsi:type="dcterms:W3CDTF">2021-11-15T10:34:00Z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