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8B203" w14:textId="3A960F29" w:rsidR="008863CB" w:rsidRPr="006A1187" w:rsidRDefault="005B56E4">
      <w:pPr>
        <w:rPr>
          <w:rFonts w:cstheme="minorHAnsi"/>
          <w:b/>
          <w:bCs/>
        </w:rPr>
      </w:pPr>
      <w:r w:rsidRPr="006A1187">
        <w:rPr>
          <w:rFonts w:cstheme="minorHAnsi"/>
          <w:b/>
          <w:bCs/>
        </w:rPr>
        <w:t>INSOL Europe, Dublin</w:t>
      </w:r>
      <w:r w:rsidR="00215488" w:rsidRPr="006A1187">
        <w:rPr>
          <w:rFonts w:cstheme="minorHAnsi"/>
          <w:b/>
          <w:bCs/>
        </w:rPr>
        <w:t xml:space="preserve"> panel</w:t>
      </w:r>
      <w:r w:rsidRPr="006A1187">
        <w:rPr>
          <w:rFonts w:cstheme="minorHAnsi"/>
          <w:b/>
          <w:bCs/>
        </w:rPr>
        <w:t xml:space="preserve">: </w:t>
      </w:r>
      <w:r w:rsidR="005067B3" w:rsidRPr="006A1187">
        <w:rPr>
          <w:rFonts w:cstheme="minorHAnsi"/>
          <w:b/>
          <w:bCs/>
        </w:rPr>
        <w:t>Cross-border schemes and plans: How they work in different jurisdictions</w:t>
      </w:r>
    </w:p>
    <w:p w14:paraId="1D11C940" w14:textId="540F769D" w:rsidR="005B56E4" w:rsidRPr="006A1187" w:rsidRDefault="0061404B">
      <w:pPr>
        <w:rPr>
          <w:rFonts w:eastAsia="Times New Roman" w:cstheme="minorHAnsi"/>
          <w:i/>
          <w:iCs/>
        </w:rPr>
      </w:pPr>
      <w:r w:rsidRPr="006A1187">
        <w:rPr>
          <w:rFonts w:eastAsia="Times New Roman" w:cstheme="minorHAnsi"/>
          <w:i/>
          <w:iCs/>
        </w:rPr>
        <w:t>Restructuring and insolvency analysis: A</w:t>
      </w:r>
      <w:r w:rsidR="005B56E4" w:rsidRPr="006A1187">
        <w:rPr>
          <w:rFonts w:eastAsia="Times New Roman" w:cstheme="minorHAnsi"/>
          <w:i/>
          <w:iCs/>
        </w:rPr>
        <w:t> panel of experts at INSOL Europe’s 40th annual conference in Dublin</w:t>
      </w:r>
      <w:r w:rsidRPr="006A1187">
        <w:rPr>
          <w:rFonts w:eastAsia="Times New Roman" w:cstheme="minorHAnsi"/>
          <w:i/>
          <w:iCs/>
        </w:rPr>
        <w:t xml:space="preserve"> compared and contrasted:</w:t>
      </w:r>
      <w:r w:rsidR="00D53AC7" w:rsidRPr="006A1187">
        <w:rPr>
          <w:rFonts w:eastAsia="Times New Roman" w:cstheme="minorHAnsi"/>
          <w:i/>
          <w:iCs/>
        </w:rPr>
        <w:t xml:space="preserve"> (i)</w:t>
      </w:r>
      <w:r w:rsidRPr="006A1187">
        <w:rPr>
          <w:rFonts w:eastAsia="Times New Roman" w:cstheme="minorHAnsi"/>
          <w:i/>
          <w:iCs/>
        </w:rPr>
        <w:t xml:space="preserve"> Irish examinership and schemes, </w:t>
      </w:r>
      <w:r w:rsidR="00D53AC7" w:rsidRPr="006A1187">
        <w:rPr>
          <w:rFonts w:eastAsia="Times New Roman" w:cstheme="minorHAnsi"/>
          <w:i/>
          <w:iCs/>
        </w:rPr>
        <w:t xml:space="preserve">(ii) </w:t>
      </w:r>
      <w:r w:rsidRPr="006A1187">
        <w:rPr>
          <w:rFonts w:eastAsia="Times New Roman" w:cstheme="minorHAnsi"/>
          <w:i/>
          <w:iCs/>
        </w:rPr>
        <w:t>UK restructuring plans and schemes,</w:t>
      </w:r>
      <w:r w:rsidR="00D53AC7" w:rsidRPr="006A1187">
        <w:rPr>
          <w:rFonts w:eastAsia="Times New Roman" w:cstheme="minorHAnsi"/>
          <w:i/>
          <w:iCs/>
        </w:rPr>
        <w:t xml:space="preserve"> (iii) </w:t>
      </w:r>
      <w:r w:rsidRPr="006A1187">
        <w:rPr>
          <w:rFonts w:eastAsia="Times New Roman" w:cstheme="minorHAnsi"/>
          <w:i/>
          <w:iCs/>
        </w:rPr>
        <w:t xml:space="preserve"> Dutch WHOA schemes and </w:t>
      </w:r>
      <w:r w:rsidR="00D53AC7" w:rsidRPr="006A1187">
        <w:rPr>
          <w:rFonts w:eastAsia="Times New Roman" w:cstheme="minorHAnsi"/>
          <w:i/>
          <w:iCs/>
        </w:rPr>
        <w:t xml:space="preserve">(iv) </w:t>
      </w:r>
      <w:r w:rsidRPr="006A1187">
        <w:rPr>
          <w:rFonts w:eastAsia="Times New Roman" w:cstheme="minorHAnsi"/>
          <w:i/>
          <w:iCs/>
        </w:rPr>
        <w:t xml:space="preserve">German </w:t>
      </w:r>
      <w:proofErr w:type="spellStart"/>
      <w:r w:rsidRPr="006A1187">
        <w:rPr>
          <w:rFonts w:eastAsia="Times New Roman" w:cstheme="minorHAnsi"/>
          <w:i/>
          <w:iCs/>
        </w:rPr>
        <w:t>StaRUG</w:t>
      </w:r>
      <w:proofErr w:type="spellEnd"/>
      <w:r w:rsidRPr="006A1187">
        <w:rPr>
          <w:rFonts w:eastAsia="Times New Roman" w:cstheme="minorHAnsi"/>
          <w:i/>
          <w:iCs/>
        </w:rPr>
        <w:t xml:space="preserve"> schemes. Written by </w:t>
      </w:r>
      <w:r w:rsidR="00FA188A" w:rsidRPr="006A1187">
        <w:rPr>
          <w:rFonts w:eastAsia="Times New Roman" w:cstheme="minorHAnsi"/>
          <w:i/>
          <w:iCs/>
        </w:rPr>
        <w:t xml:space="preserve">panellists: </w:t>
      </w:r>
      <w:r w:rsidRPr="006A1187">
        <w:rPr>
          <w:rFonts w:eastAsia="Times New Roman" w:cstheme="minorHAnsi"/>
          <w:i/>
          <w:iCs/>
        </w:rPr>
        <w:t xml:space="preserve">Kathy Stones of </w:t>
      </w:r>
      <w:proofErr w:type="spellStart"/>
      <w:r w:rsidRPr="006A1187">
        <w:rPr>
          <w:rFonts w:eastAsia="Times New Roman" w:cstheme="minorHAnsi"/>
          <w:i/>
          <w:iCs/>
        </w:rPr>
        <w:t>LexisPSL</w:t>
      </w:r>
      <w:proofErr w:type="spellEnd"/>
      <w:r w:rsidRPr="006A1187">
        <w:rPr>
          <w:rFonts w:eastAsia="Times New Roman" w:cstheme="minorHAnsi"/>
          <w:i/>
          <w:iCs/>
        </w:rPr>
        <w:t xml:space="preserve"> (UK),  </w:t>
      </w:r>
      <w:r w:rsidR="00FA188A" w:rsidRPr="006A1187">
        <w:rPr>
          <w:rFonts w:eastAsia="Times New Roman" w:cstheme="minorHAnsi"/>
          <w:i/>
          <w:iCs/>
        </w:rPr>
        <w:t>Marcel Groenewegen of CMS (</w:t>
      </w:r>
      <w:r w:rsidR="00D53AC7" w:rsidRPr="006A1187">
        <w:rPr>
          <w:rFonts w:eastAsia="Times New Roman" w:cstheme="minorHAnsi"/>
          <w:i/>
          <w:iCs/>
        </w:rPr>
        <w:t xml:space="preserve">The </w:t>
      </w:r>
      <w:r w:rsidR="00FA188A" w:rsidRPr="006A1187">
        <w:rPr>
          <w:rFonts w:eastAsia="Times New Roman" w:cstheme="minorHAnsi"/>
          <w:i/>
          <w:iCs/>
        </w:rPr>
        <w:t>Netherlands)</w:t>
      </w:r>
      <w:r w:rsidRPr="006A1187">
        <w:rPr>
          <w:rFonts w:eastAsia="Times New Roman" w:cstheme="minorHAnsi"/>
          <w:i/>
          <w:iCs/>
        </w:rPr>
        <w:t>, Michael Murphy of McCann FitzGerald LLP (Ireland)</w:t>
      </w:r>
      <w:r w:rsidR="00FA188A" w:rsidRPr="006A1187">
        <w:rPr>
          <w:rFonts w:eastAsia="Times New Roman" w:cstheme="minorHAnsi"/>
          <w:i/>
          <w:iCs/>
        </w:rPr>
        <w:t>, Riaz Janjuah  of White &amp; Case LLP</w:t>
      </w:r>
      <w:r w:rsidR="00D53AC7" w:rsidRPr="006A1187">
        <w:rPr>
          <w:rFonts w:eastAsia="Times New Roman" w:cstheme="minorHAnsi"/>
          <w:i/>
          <w:iCs/>
        </w:rPr>
        <w:t xml:space="preserve"> (Germany)</w:t>
      </w:r>
      <w:r w:rsidR="00FA188A" w:rsidRPr="006A1187">
        <w:rPr>
          <w:rFonts w:eastAsia="Times New Roman" w:cstheme="minorHAnsi"/>
          <w:i/>
          <w:iCs/>
        </w:rPr>
        <w:t xml:space="preserve"> and chair of the panel session, Chris Laughton of Mercer &amp; Hole (UK).</w:t>
      </w:r>
    </w:p>
    <w:p w14:paraId="458AA888" w14:textId="77777777" w:rsidR="0071251F" w:rsidRPr="006A1187" w:rsidRDefault="0071251F">
      <w:pPr>
        <w:rPr>
          <w:rFonts w:eastAsia="Times New Roman" w:cstheme="minorHAnsi"/>
          <w:u w:val="single"/>
        </w:rPr>
      </w:pPr>
      <w:r w:rsidRPr="006A1187">
        <w:rPr>
          <w:rFonts w:eastAsia="Times New Roman" w:cstheme="minorHAnsi"/>
          <w:u w:val="single"/>
        </w:rPr>
        <w:t xml:space="preserve">Restructuring and Second Chance Directive </w:t>
      </w:r>
    </w:p>
    <w:p w14:paraId="60A15559" w14:textId="38D103C7" w:rsidR="0061404B" w:rsidRPr="006A1187" w:rsidRDefault="005067B3">
      <w:pPr>
        <w:rPr>
          <w:rFonts w:eastAsia="Times New Roman" w:cstheme="minorHAnsi"/>
        </w:rPr>
      </w:pPr>
      <w:r w:rsidRPr="006A1187">
        <w:rPr>
          <w:rFonts w:eastAsia="Times New Roman" w:cstheme="minorHAnsi"/>
        </w:rPr>
        <w:t>Many countries have been prompted to revamp their restructuring laws following the EU’s introduction of Directive (EU) 2019/1023 of the European Parliament and of the Council of 20 June 2019 on preventive restructuring frameworks, on discharge of debt and disqualifications, and on measures to increase the efficiency of procedures concerning restructuring, insolvency and discharge of debt, and amending Directive (EU) 2017/1132 (the Restructuring and Second Chance Directive).</w:t>
      </w:r>
    </w:p>
    <w:p w14:paraId="3DB324AE" w14:textId="1B6D7BC1" w:rsidR="0061404B" w:rsidRPr="006A1187" w:rsidRDefault="00AB453F">
      <w:pPr>
        <w:rPr>
          <w:rFonts w:eastAsia="Times New Roman" w:cstheme="minorHAnsi"/>
          <w:u w:val="single"/>
        </w:rPr>
      </w:pPr>
      <w:r w:rsidRPr="006A1187">
        <w:rPr>
          <w:rFonts w:eastAsia="Times New Roman" w:cstheme="minorHAnsi"/>
          <w:u w:val="single"/>
        </w:rPr>
        <w:t>INSOL Europe, Dublin panel</w:t>
      </w:r>
    </w:p>
    <w:p w14:paraId="52316537" w14:textId="573C88BA" w:rsidR="00AB453F" w:rsidRPr="006A1187" w:rsidRDefault="00AB453F">
      <w:pPr>
        <w:rPr>
          <w:rFonts w:eastAsia="Times New Roman" w:cstheme="minorHAnsi"/>
        </w:rPr>
      </w:pPr>
      <w:r w:rsidRPr="006A1187">
        <w:rPr>
          <w:rFonts w:eastAsia="Times New Roman" w:cstheme="minorHAnsi"/>
        </w:rPr>
        <w:t>A panel of experts at INSOL Europe’s 40th annual conference in Dublin on 4 March 2022 compared and contrasted the restructuring regimes in the following countries:</w:t>
      </w:r>
    </w:p>
    <w:p w14:paraId="485628C1" w14:textId="439F560E" w:rsidR="00AB453F" w:rsidRPr="006A1187" w:rsidRDefault="00AB453F" w:rsidP="00AB453F">
      <w:pPr>
        <w:pStyle w:val="ListParagraph"/>
        <w:numPr>
          <w:ilvl w:val="0"/>
          <w:numId w:val="1"/>
        </w:numPr>
        <w:rPr>
          <w:rFonts w:eastAsia="Times New Roman" w:cstheme="minorHAnsi"/>
        </w:rPr>
      </w:pPr>
      <w:r w:rsidRPr="006A1187">
        <w:rPr>
          <w:rFonts w:eastAsia="Times New Roman" w:cstheme="minorHAnsi"/>
        </w:rPr>
        <w:t>Ireland</w:t>
      </w:r>
    </w:p>
    <w:p w14:paraId="52B5210A" w14:textId="3614ED3E" w:rsidR="00AB453F" w:rsidRPr="006A1187" w:rsidRDefault="00AB453F" w:rsidP="00AB453F">
      <w:pPr>
        <w:pStyle w:val="ListParagraph"/>
        <w:numPr>
          <w:ilvl w:val="0"/>
          <w:numId w:val="1"/>
        </w:numPr>
        <w:rPr>
          <w:rFonts w:eastAsia="Times New Roman" w:cstheme="minorHAnsi"/>
        </w:rPr>
      </w:pPr>
      <w:r w:rsidRPr="006A1187">
        <w:rPr>
          <w:rFonts w:eastAsia="Times New Roman" w:cstheme="minorHAnsi"/>
        </w:rPr>
        <w:t>UK</w:t>
      </w:r>
    </w:p>
    <w:p w14:paraId="5BDE40F5" w14:textId="290DD46E" w:rsidR="00AB453F" w:rsidRPr="006A1187" w:rsidRDefault="00AB453F" w:rsidP="00AB453F">
      <w:pPr>
        <w:pStyle w:val="ListParagraph"/>
        <w:numPr>
          <w:ilvl w:val="0"/>
          <w:numId w:val="1"/>
        </w:numPr>
        <w:rPr>
          <w:rFonts w:eastAsia="Times New Roman" w:cstheme="minorHAnsi"/>
        </w:rPr>
      </w:pPr>
      <w:r w:rsidRPr="006A1187">
        <w:rPr>
          <w:rFonts w:eastAsia="Times New Roman" w:cstheme="minorHAnsi"/>
        </w:rPr>
        <w:t>Netherlands</w:t>
      </w:r>
    </w:p>
    <w:p w14:paraId="129B3743" w14:textId="14764127" w:rsidR="00AB453F" w:rsidRPr="006A1187" w:rsidRDefault="00AB453F" w:rsidP="00AB453F">
      <w:pPr>
        <w:pStyle w:val="ListParagraph"/>
        <w:numPr>
          <w:ilvl w:val="0"/>
          <w:numId w:val="1"/>
        </w:numPr>
        <w:rPr>
          <w:rFonts w:eastAsia="Times New Roman" w:cstheme="minorHAnsi"/>
        </w:rPr>
      </w:pPr>
      <w:r w:rsidRPr="006A1187">
        <w:rPr>
          <w:rFonts w:eastAsia="Times New Roman" w:cstheme="minorHAnsi"/>
        </w:rPr>
        <w:t>Germany</w:t>
      </w:r>
    </w:p>
    <w:p w14:paraId="17AE2FD7" w14:textId="0029F9DE" w:rsidR="00872F5B" w:rsidRPr="006A1187" w:rsidRDefault="00307B44" w:rsidP="00872F5B">
      <w:pPr>
        <w:rPr>
          <w:rFonts w:eastAsia="Times New Roman" w:cstheme="minorHAnsi"/>
        </w:rPr>
      </w:pPr>
      <w:r w:rsidRPr="006A1187">
        <w:rPr>
          <w:rFonts w:eastAsia="Times New Roman" w:cstheme="minorHAnsi"/>
        </w:rPr>
        <w:t xml:space="preserve">Three long-established procedures, Examinership and Schemes in Ireland and Schemes in the UK, were compared with three newer procedures, Restructuring Plans in the UK, WHOA in the Netherlands and </w:t>
      </w:r>
      <w:proofErr w:type="spellStart"/>
      <w:r w:rsidRPr="006A1187">
        <w:rPr>
          <w:rFonts w:eastAsia="Times New Roman" w:cstheme="minorHAnsi"/>
        </w:rPr>
        <w:t>StaRUG</w:t>
      </w:r>
      <w:proofErr w:type="spellEnd"/>
      <w:r w:rsidRPr="006A1187">
        <w:rPr>
          <w:rFonts w:eastAsia="Times New Roman" w:cstheme="minorHAnsi"/>
        </w:rPr>
        <w:t xml:space="preserve"> in Germany. The focus was the schemes’ or plans’ efficacy in cross-border restructuring. </w:t>
      </w:r>
    </w:p>
    <w:p w14:paraId="173A7EBD" w14:textId="4A6E9330" w:rsidR="0061404B" w:rsidRDefault="00AB453F">
      <w:pPr>
        <w:rPr>
          <w:rFonts w:eastAsia="Times New Roman" w:cstheme="minorHAnsi"/>
        </w:rPr>
      </w:pPr>
      <w:r w:rsidRPr="006A1187">
        <w:rPr>
          <w:rFonts w:eastAsia="Times New Roman" w:cstheme="minorHAnsi"/>
        </w:rPr>
        <w:t>A summary of the findings appears below:</w:t>
      </w:r>
    </w:p>
    <w:p w14:paraId="0F117C78" w14:textId="78C441F5" w:rsidR="00F43379" w:rsidRDefault="00F43379">
      <w:pPr>
        <w:rPr>
          <w:rFonts w:eastAsia="Times New Roman" w:cstheme="minorHAnsi"/>
        </w:rPr>
      </w:pPr>
      <w:r>
        <w:rPr>
          <w:noProof/>
        </w:rPr>
        <w:drawing>
          <wp:inline distT="0" distB="0" distL="0" distR="0" wp14:anchorId="1C234B84" wp14:editId="65455388">
            <wp:extent cx="5021580" cy="2887993"/>
            <wp:effectExtent l="0" t="0" r="7620" b="7620"/>
            <wp:docPr id="1" name="Picture 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able&#10;&#10;Description automatically generated"/>
                    <pic:cNvPicPr/>
                  </pic:nvPicPr>
                  <pic:blipFill>
                    <a:blip r:embed="rId10"/>
                    <a:stretch>
                      <a:fillRect/>
                    </a:stretch>
                  </pic:blipFill>
                  <pic:spPr>
                    <a:xfrm>
                      <a:off x="0" y="0"/>
                      <a:ext cx="5026042" cy="2890559"/>
                    </a:xfrm>
                    <a:prstGeom prst="rect">
                      <a:avLst/>
                    </a:prstGeom>
                  </pic:spPr>
                </pic:pic>
              </a:graphicData>
            </a:graphic>
          </wp:inline>
        </w:drawing>
      </w:r>
    </w:p>
    <w:p w14:paraId="7BBADAF3" w14:textId="77777777" w:rsidR="00F43379" w:rsidRPr="006A1187" w:rsidRDefault="00F43379">
      <w:pPr>
        <w:rPr>
          <w:rFonts w:eastAsia="Times New Roman" w:cstheme="minorHAnsi"/>
        </w:rPr>
      </w:pPr>
    </w:p>
    <w:p w14:paraId="53A90E22" w14:textId="0D6B4836" w:rsidR="00AB453F" w:rsidRDefault="00AB453F">
      <w:pPr>
        <w:rPr>
          <w:rFonts w:eastAsia="Times New Roman" w:cstheme="minorHAnsi"/>
          <w:u w:val="single"/>
        </w:rPr>
      </w:pPr>
      <w:r w:rsidRPr="006A1187">
        <w:rPr>
          <w:rFonts w:eastAsia="Times New Roman" w:cstheme="minorHAnsi"/>
          <w:u w:val="single"/>
        </w:rPr>
        <w:t>Ireland (summary by Michael Murphy of McCann FitzGerald LLP)</w:t>
      </w:r>
    </w:p>
    <w:p w14:paraId="67BDE8FA" w14:textId="11CC2F66" w:rsidR="008A398A" w:rsidRPr="008A398A" w:rsidRDefault="008A398A">
      <w:pPr>
        <w:rPr>
          <w:rFonts w:eastAsia="Times New Roman" w:cstheme="minorHAnsi"/>
          <w:i/>
          <w:iCs/>
        </w:rPr>
      </w:pPr>
      <w:r w:rsidRPr="008A398A">
        <w:rPr>
          <w:rFonts w:eastAsia="Times New Roman" w:cstheme="minorHAnsi"/>
          <w:i/>
          <w:iCs/>
        </w:rPr>
        <w:t>Examinership</w:t>
      </w:r>
    </w:p>
    <w:p w14:paraId="7883493B" w14:textId="77777777" w:rsidR="00126565" w:rsidRPr="00126565" w:rsidRDefault="00126565" w:rsidP="00126565">
      <w:pPr>
        <w:rPr>
          <w:rFonts w:eastAsia="Times New Roman" w:cstheme="minorHAnsi"/>
        </w:rPr>
      </w:pPr>
      <w:r w:rsidRPr="00126565">
        <w:rPr>
          <w:rFonts w:eastAsia="Times New Roman" w:cstheme="minorHAnsi"/>
        </w:rPr>
        <w:t xml:space="preserve">Examinership is a well-established restructuring process in Ireland that has gained significant international attention.  The process was introduced 30 years ago and is largely modelled on the US Chapter 11 process.  It is user-friendly and its concepts are very familiar to advisors in an international context.  </w:t>
      </w:r>
    </w:p>
    <w:p w14:paraId="5F9D4542" w14:textId="77777777" w:rsidR="00126565" w:rsidRPr="00126565" w:rsidRDefault="00126565" w:rsidP="00126565">
      <w:pPr>
        <w:rPr>
          <w:rFonts w:eastAsia="Times New Roman" w:cstheme="minorHAnsi"/>
        </w:rPr>
      </w:pPr>
      <w:r w:rsidRPr="00126565">
        <w:rPr>
          <w:rFonts w:eastAsia="Times New Roman" w:cstheme="minorHAnsi"/>
        </w:rPr>
        <w:t>Examinership is available to a company or companies in financial difficulty but who otherwise have a reasonable prospect of survival as a going concern.  The essential features of the process are:</w:t>
      </w:r>
    </w:p>
    <w:p w14:paraId="2F76D350" w14:textId="256D01E5" w:rsidR="00126565" w:rsidRPr="00126565" w:rsidRDefault="008A398A" w:rsidP="00126565">
      <w:pPr>
        <w:pStyle w:val="ListParagraph"/>
        <w:numPr>
          <w:ilvl w:val="0"/>
          <w:numId w:val="3"/>
        </w:numPr>
        <w:rPr>
          <w:rFonts w:eastAsia="Times New Roman" w:cstheme="minorHAnsi"/>
        </w:rPr>
      </w:pPr>
      <w:r>
        <w:rPr>
          <w:rFonts w:eastAsia="Times New Roman" w:cstheme="minorHAnsi"/>
        </w:rPr>
        <w:t>a</w:t>
      </w:r>
      <w:r w:rsidR="00126565" w:rsidRPr="00126565">
        <w:rPr>
          <w:rFonts w:eastAsia="Times New Roman" w:cstheme="minorHAnsi"/>
        </w:rPr>
        <w:t xml:space="preserve"> comprehensive moratorium triggered automatically on filing the petition for the appointment of an Examiner.  The moratorium extends to third party guarantors, even where  they remain outside of the process.  The Examiner is nominated by the applicant who can be the company, a shareholder or creditor.  The Examiner is appointed by the High Court and the process runs under the supervision of the </w:t>
      </w:r>
      <w:r w:rsidR="002C438E">
        <w:rPr>
          <w:rFonts w:eastAsia="Times New Roman" w:cstheme="minorHAnsi"/>
        </w:rPr>
        <w:t>c</w:t>
      </w:r>
      <w:r w:rsidR="00126565" w:rsidRPr="00126565">
        <w:rPr>
          <w:rFonts w:eastAsia="Times New Roman" w:cstheme="minorHAnsi"/>
        </w:rPr>
        <w:t xml:space="preserve">ourt.  Throughout the process, existing management remain in place and the company continues to trade.  The Examiner sits alongside management but in certain circumstances can apply for some or all of the directors’ powers  </w:t>
      </w:r>
    </w:p>
    <w:p w14:paraId="7C9571D6" w14:textId="0623AED7" w:rsidR="00126565" w:rsidRPr="00126565" w:rsidRDefault="008A398A" w:rsidP="00126565">
      <w:pPr>
        <w:pStyle w:val="ListParagraph"/>
        <w:numPr>
          <w:ilvl w:val="0"/>
          <w:numId w:val="3"/>
        </w:numPr>
        <w:rPr>
          <w:rFonts w:eastAsia="Times New Roman" w:cstheme="minorHAnsi"/>
        </w:rPr>
      </w:pPr>
      <w:r>
        <w:rPr>
          <w:rFonts w:eastAsia="Times New Roman" w:cstheme="minorHAnsi"/>
        </w:rPr>
        <w:t>a</w:t>
      </w:r>
      <w:r w:rsidR="00126565" w:rsidRPr="00126565">
        <w:rPr>
          <w:rFonts w:eastAsia="Times New Roman" w:cstheme="minorHAnsi"/>
        </w:rPr>
        <w:t xml:space="preserve">n EU company can avail of the process once its </w:t>
      </w:r>
      <w:r w:rsidR="00942866" w:rsidRPr="006A1187">
        <w:rPr>
          <w:rFonts w:eastAsia="Times New Roman" w:cstheme="minorHAnsi"/>
        </w:rPr>
        <w:t>centre of main interests (COMI)</w:t>
      </w:r>
      <w:r w:rsidR="00126565" w:rsidRPr="00126565">
        <w:rPr>
          <w:rFonts w:eastAsia="Times New Roman" w:cstheme="minorHAnsi"/>
        </w:rPr>
        <w:t xml:space="preserve"> is in Ireland.  A non-EU company can also use the process once it has a sufficient connection to the jurisdiction  </w:t>
      </w:r>
    </w:p>
    <w:p w14:paraId="0C3D0D6A" w14:textId="3ED8F883" w:rsidR="00126565" w:rsidRPr="00126565" w:rsidRDefault="008A398A" w:rsidP="00126565">
      <w:pPr>
        <w:pStyle w:val="ListParagraph"/>
        <w:numPr>
          <w:ilvl w:val="0"/>
          <w:numId w:val="3"/>
        </w:numPr>
        <w:rPr>
          <w:rFonts w:eastAsia="Times New Roman" w:cstheme="minorHAnsi"/>
        </w:rPr>
      </w:pPr>
      <w:r>
        <w:rPr>
          <w:rFonts w:eastAsia="Times New Roman" w:cstheme="minorHAnsi"/>
        </w:rPr>
        <w:t>t</w:t>
      </w:r>
      <w:r w:rsidR="00126565" w:rsidRPr="00126565">
        <w:rPr>
          <w:rFonts w:eastAsia="Times New Roman" w:cstheme="minorHAnsi"/>
        </w:rPr>
        <w:t xml:space="preserve">he Examiner has a maximum period of 100 days within which to formulate proposals for </w:t>
      </w:r>
      <w:r w:rsidR="002C438E">
        <w:rPr>
          <w:rFonts w:eastAsia="Times New Roman" w:cstheme="minorHAnsi"/>
        </w:rPr>
        <w:t xml:space="preserve">the </w:t>
      </w:r>
      <w:r w:rsidR="00126565" w:rsidRPr="00126565">
        <w:rPr>
          <w:rFonts w:eastAsia="Times New Roman" w:cstheme="minorHAnsi"/>
        </w:rPr>
        <w:t xml:space="preserve">scheme of arrangement, convene meetings of members and the different classes of creditors, take a vote on the scheme and report back to </w:t>
      </w:r>
      <w:r w:rsidR="002C438E">
        <w:rPr>
          <w:rFonts w:eastAsia="Times New Roman" w:cstheme="minorHAnsi"/>
        </w:rPr>
        <w:t>c</w:t>
      </w:r>
      <w:r w:rsidR="00126565" w:rsidRPr="00126565">
        <w:rPr>
          <w:rFonts w:eastAsia="Times New Roman" w:cstheme="minorHAnsi"/>
        </w:rPr>
        <w:t xml:space="preserve">ourt.  A confirmation hearing, when the </w:t>
      </w:r>
      <w:r w:rsidR="002C438E">
        <w:rPr>
          <w:rFonts w:eastAsia="Times New Roman" w:cstheme="minorHAnsi"/>
        </w:rPr>
        <w:t>c</w:t>
      </w:r>
      <w:r w:rsidR="00126565" w:rsidRPr="00126565">
        <w:rPr>
          <w:rFonts w:eastAsia="Times New Roman" w:cstheme="minorHAnsi"/>
        </w:rPr>
        <w:t>ourt will decide whether or not to approve the Examiner’s scheme can take place outside of the 100 day period.  As a temporary COVID relief measure, the 100 day period can be extended to 150 days</w:t>
      </w:r>
    </w:p>
    <w:p w14:paraId="1D3859ED" w14:textId="5839EDA6" w:rsidR="00126565" w:rsidRPr="00126565" w:rsidRDefault="008A398A" w:rsidP="00126565">
      <w:pPr>
        <w:pStyle w:val="ListParagraph"/>
        <w:numPr>
          <w:ilvl w:val="0"/>
          <w:numId w:val="3"/>
        </w:numPr>
        <w:rPr>
          <w:rFonts w:eastAsia="Times New Roman" w:cstheme="minorHAnsi"/>
        </w:rPr>
      </w:pPr>
      <w:r>
        <w:rPr>
          <w:rFonts w:eastAsia="Times New Roman" w:cstheme="minorHAnsi"/>
        </w:rPr>
        <w:t>c</w:t>
      </w:r>
      <w:r w:rsidR="00126565" w:rsidRPr="00126565">
        <w:rPr>
          <w:rFonts w:eastAsia="Times New Roman" w:cstheme="minorHAnsi"/>
        </w:rPr>
        <w:t xml:space="preserve">ross-class clam down is a well-established feature of Examinership.  The approval thresholds required to trigger the </w:t>
      </w:r>
      <w:r w:rsidR="002C438E">
        <w:rPr>
          <w:rFonts w:eastAsia="Times New Roman" w:cstheme="minorHAnsi"/>
        </w:rPr>
        <w:t>c</w:t>
      </w:r>
      <w:r w:rsidR="00126565" w:rsidRPr="00126565">
        <w:rPr>
          <w:rFonts w:eastAsia="Times New Roman" w:cstheme="minorHAnsi"/>
        </w:rPr>
        <w:t xml:space="preserve">ourt’s entitlement to approve the Examiner’s scheme of arrangement are low.   A majority in number and value of just one class of impaired creditors is required </w:t>
      </w:r>
    </w:p>
    <w:p w14:paraId="15DE9857" w14:textId="7729BFC5" w:rsidR="00126565" w:rsidRPr="00126565" w:rsidRDefault="008A398A" w:rsidP="00126565">
      <w:pPr>
        <w:pStyle w:val="ListParagraph"/>
        <w:numPr>
          <w:ilvl w:val="0"/>
          <w:numId w:val="3"/>
        </w:numPr>
        <w:rPr>
          <w:rFonts w:eastAsia="Times New Roman" w:cstheme="minorHAnsi"/>
        </w:rPr>
      </w:pPr>
      <w:r>
        <w:rPr>
          <w:rFonts w:eastAsia="Times New Roman" w:cstheme="minorHAnsi"/>
        </w:rPr>
        <w:t>e</w:t>
      </w:r>
      <w:r w:rsidR="00126565" w:rsidRPr="00126565">
        <w:rPr>
          <w:rFonts w:eastAsia="Times New Roman" w:cstheme="minorHAnsi"/>
        </w:rPr>
        <w:t>xaminership has delivered a very broad range of outcomes.  It has been used to implement pre-packs, the write down of debt and creditors’ claims, including contingent liabilities, extinguish and replace equity, facilitate new investment and debt for equity arrangements</w:t>
      </w:r>
    </w:p>
    <w:p w14:paraId="178700C6" w14:textId="19F386D4" w:rsidR="00126565" w:rsidRPr="00126565" w:rsidRDefault="008A398A" w:rsidP="00126565">
      <w:pPr>
        <w:pStyle w:val="ListParagraph"/>
        <w:numPr>
          <w:ilvl w:val="0"/>
          <w:numId w:val="3"/>
        </w:numPr>
        <w:rPr>
          <w:rFonts w:eastAsia="Times New Roman" w:cstheme="minorHAnsi"/>
        </w:rPr>
      </w:pPr>
      <w:r>
        <w:rPr>
          <w:rFonts w:eastAsia="Times New Roman" w:cstheme="minorHAnsi"/>
        </w:rPr>
        <w:t>e</w:t>
      </w:r>
      <w:r w:rsidR="00126565" w:rsidRPr="00126565">
        <w:rPr>
          <w:rFonts w:eastAsia="Times New Roman" w:cstheme="minorHAnsi"/>
        </w:rPr>
        <w:t>xaminership has been used as a parallel process with US Chapter 11 proceedings and a local restructuring process in Norway.  It has been used to write down Irish and non-Irish law governed debt and to repudiate Irish and non-Irish law governed contracts.  Any damages claims arising from the repudiation can be written down by the Examiner’s scheme</w:t>
      </w:r>
    </w:p>
    <w:p w14:paraId="31356421" w14:textId="25E19A6F" w:rsidR="00126565" w:rsidRPr="00126565" w:rsidRDefault="008A398A" w:rsidP="00126565">
      <w:pPr>
        <w:pStyle w:val="ListParagraph"/>
        <w:numPr>
          <w:ilvl w:val="0"/>
          <w:numId w:val="3"/>
        </w:numPr>
        <w:rPr>
          <w:rFonts w:eastAsia="Times New Roman" w:cstheme="minorHAnsi"/>
        </w:rPr>
      </w:pPr>
      <w:r>
        <w:rPr>
          <w:rFonts w:eastAsia="Times New Roman" w:cstheme="minorHAnsi"/>
        </w:rPr>
        <w:t>i</w:t>
      </w:r>
      <w:r w:rsidR="00126565" w:rsidRPr="00126565">
        <w:rPr>
          <w:rFonts w:eastAsia="Times New Roman" w:cstheme="minorHAnsi"/>
        </w:rPr>
        <w:t xml:space="preserve">mportantly, examinership has been recognised in England under Section 426 of the UK Insolvency Act 1986 and can be used to write down English law governed debt, thereby side-stepping the </w:t>
      </w:r>
      <w:r w:rsidR="002C438E">
        <w:rPr>
          <w:rFonts w:eastAsia="Times New Roman" w:cstheme="minorHAnsi"/>
        </w:rPr>
        <w:t>‘</w:t>
      </w:r>
      <w:r w:rsidR="00126565" w:rsidRPr="00126565">
        <w:rPr>
          <w:rFonts w:eastAsia="Times New Roman" w:cstheme="minorHAnsi"/>
        </w:rPr>
        <w:t>Rule in Gibbs</w:t>
      </w:r>
      <w:r w:rsidR="002C438E">
        <w:rPr>
          <w:rFonts w:eastAsia="Times New Roman" w:cstheme="minorHAnsi"/>
        </w:rPr>
        <w:t>’</w:t>
      </w:r>
      <w:r w:rsidR="00126565" w:rsidRPr="00126565">
        <w:rPr>
          <w:rFonts w:eastAsia="Times New Roman" w:cstheme="minorHAnsi"/>
        </w:rPr>
        <w:t xml:space="preserve"> </w:t>
      </w:r>
    </w:p>
    <w:p w14:paraId="684F024E" w14:textId="77777777" w:rsidR="00126565" w:rsidRPr="008A398A" w:rsidRDefault="00126565" w:rsidP="00126565">
      <w:pPr>
        <w:rPr>
          <w:rFonts w:eastAsia="Times New Roman" w:cstheme="minorHAnsi"/>
          <w:i/>
          <w:iCs/>
        </w:rPr>
      </w:pPr>
      <w:r w:rsidRPr="008A398A">
        <w:rPr>
          <w:rFonts w:eastAsia="Times New Roman" w:cstheme="minorHAnsi"/>
          <w:i/>
          <w:iCs/>
        </w:rPr>
        <w:t>Statutory Schemes of Arrangement</w:t>
      </w:r>
    </w:p>
    <w:p w14:paraId="3A184CA4" w14:textId="13F16DA4" w:rsidR="00126565" w:rsidRPr="00126565" w:rsidRDefault="008A398A" w:rsidP="00126565">
      <w:pPr>
        <w:pStyle w:val="ListParagraph"/>
        <w:numPr>
          <w:ilvl w:val="0"/>
          <w:numId w:val="5"/>
        </w:numPr>
        <w:rPr>
          <w:rFonts w:eastAsia="Times New Roman" w:cstheme="minorHAnsi"/>
        </w:rPr>
      </w:pPr>
      <w:r>
        <w:rPr>
          <w:rFonts w:eastAsia="Times New Roman" w:cstheme="minorHAnsi"/>
        </w:rPr>
        <w:t>t</w:t>
      </w:r>
      <w:r w:rsidR="00126565" w:rsidRPr="00126565">
        <w:rPr>
          <w:rFonts w:eastAsia="Times New Roman" w:cstheme="minorHAnsi"/>
        </w:rPr>
        <w:t xml:space="preserve">he Irish statutory scheme of arrangement provisions have been on our Statute books for over 60 years and largely mirror the UK provisions   </w:t>
      </w:r>
    </w:p>
    <w:p w14:paraId="51411568" w14:textId="03144BD6" w:rsidR="00126565" w:rsidRPr="00126565" w:rsidRDefault="008A398A" w:rsidP="00126565">
      <w:pPr>
        <w:pStyle w:val="ListParagraph"/>
        <w:numPr>
          <w:ilvl w:val="0"/>
          <w:numId w:val="5"/>
        </w:numPr>
        <w:rPr>
          <w:rFonts w:eastAsia="Times New Roman" w:cstheme="minorHAnsi"/>
        </w:rPr>
      </w:pPr>
      <w:r>
        <w:rPr>
          <w:rFonts w:eastAsia="Times New Roman" w:cstheme="minorHAnsi"/>
        </w:rPr>
        <w:lastRenderedPageBreak/>
        <w:t>a</w:t>
      </w:r>
      <w:r w:rsidR="00126565" w:rsidRPr="00126565">
        <w:rPr>
          <w:rFonts w:eastAsia="Times New Roman" w:cstheme="minorHAnsi"/>
        </w:rPr>
        <w:t xml:space="preserve"> scheme of arrangement can involve any compromise or arrangement between a company, its members or creditors or any class of them.  The process typically involves an application to </w:t>
      </w:r>
      <w:r w:rsidR="002C438E">
        <w:rPr>
          <w:rFonts w:eastAsia="Times New Roman" w:cstheme="minorHAnsi"/>
        </w:rPr>
        <w:t>c</w:t>
      </w:r>
      <w:r w:rsidR="00126565" w:rsidRPr="00126565">
        <w:rPr>
          <w:rFonts w:eastAsia="Times New Roman" w:cstheme="minorHAnsi"/>
        </w:rPr>
        <w:t xml:space="preserve">ourt to convene scheme meetings, a creditor vote and a sanction hearing  </w:t>
      </w:r>
    </w:p>
    <w:p w14:paraId="48DF0ADA" w14:textId="7C5A5934" w:rsidR="00126565" w:rsidRPr="00126565" w:rsidRDefault="008A398A" w:rsidP="00126565">
      <w:pPr>
        <w:pStyle w:val="ListParagraph"/>
        <w:numPr>
          <w:ilvl w:val="0"/>
          <w:numId w:val="5"/>
        </w:numPr>
        <w:rPr>
          <w:rFonts w:eastAsia="Times New Roman" w:cstheme="minorHAnsi"/>
        </w:rPr>
      </w:pPr>
      <w:r>
        <w:rPr>
          <w:rFonts w:eastAsia="Times New Roman" w:cstheme="minorHAnsi"/>
        </w:rPr>
        <w:t>u</w:t>
      </w:r>
      <w:r w:rsidR="00126565" w:rsidRPr="00126565">
        <w:rPr>
          <w:rFonts w:eastAsia="Times New Roman" w:cstheme="minorHAnsi"/>
        </w:rPr>
        <w:t xml:space="preserve">nlike Examinership, a scheme of arrangement is not an insolvency process and there is no requirement to establish insolvency.  It does not trigger a moratorium, albeit the </w:t>
      </w:r>
      <w:r w:rsidR="002C438E">
        <w:rPr>
          <w:rFonts w:eastAsia="Times New Roman" w:cstheme="minorHAnsi"/>
        </w:rPr>
        <w:t>c</w:t>
      </w:r>
      <w:r w:rsidR="00126565" w:rsidRPr="00126565">
        <w:rPr>
          <w:rFonts w:eastAsia="Times New Roman" w:cstheme="minorHAnsi"/>
        </w:rPr>
        <w:t xml:space="preserve">ourt has power to stay proceedings.  Furthermore, there is no need to establish that the company has an undertaking or is a going concern.  There are no prescribed time limits within which the process must conclude  </w:t>
      </w:r>
    </w:p>
    <w:p w14:paraId="2FB01F65" w14:textId="6CAD61EE" w:rsidR="00126565" w:rsidRPr="00126565" w:rsidRDefault="008A398A" w:rsidP="00126565">
      <w:pPr>
        <w:pStyle w:val="ListParagraph"/>
        <w:numPr>
          <w:ilvl w:val="0"/>
          <w:numId w:val="5"/>
        </w:numPr>
        <w:rPr>
          <w:rFonts w:eastAsia="Times New Roman" w:cstheme="minorHAnsi"/>
        </w:rPr>
      </w:pPr>
      <w:r>
        <w:rPr>
          <w:rFonts w:eastAsia="Times New Roman" w:cstheme="minorHAnsi"/>
        </w:rPr>
        <w:t>t</w:t>
      </w:r>
      <w:r w:rsidR="00126565" w:rsidRPr="00126565">
        <w:rPr>
          <w:rFonts w:eastAsia="Times New Roman" w:cstheme="minorHAnsi"/>
        </w:rPr>
        <w:t>he Irish scheme of arrangement provisions are flexible.  They have been used to vary contractual arrangements, implement waivers and debt for equity arrangements, amend terms of finance documents and deliver third party releases</w:t>
      </w:r>
    </w:p>
    <w:p w14:paraId="12B12323" w14:textId="77777777" w:rsidR="00126565" w:rsidRPr="008A398A" w:rsidRDefault="00126565" w:rsidP="00126565">
      <w:pPr>
        <w:rPr>
          <w:rFonts w:eastAsia="Times New Roman" w:cstheme="minorHAnsi"/>
          <w:i/>
          <w:iCs/>
        </w:rPr>
      </w:pPr>
      <w:r w:rsidRPr="008A398A">
        <w:rPr>
          <w:rFonts w:eastAsia="Times New Roman" w:cstheme="minorHAnsi"/>
          <w:i/>
          <w:iCs/>
        </w:rPr>
        <w:t xml:space="preserve">Final word </w:t>
      </w:r>
      <w:proofErr w:type="gramStart"/>
      <w:r w:rsidRPr="008A398A">
        <w:rPr>
          <w:rFonts w:eastAsia="Times New Roman" w:cstheme="minorHAnsi"/>
          <w:i/>
          <w:iCs/>
        </w:rPr>
        <w:t>on</w:t>
      </w:r>
      <w:proofErr w:type="gramEnd"/>
      <w:r w:rsidRPr="008A398A">
        <w:rPr>
          <w:rFonts w:eastAsia="Times New Roman" w:cstheme="minorHAnsi"/>
          <w:i/>
          <w:iCs/>
        </w:rPr>
        <w:t xml:space="preserve"> Ireland</w:t>
      </w:r>
    </w:p>
    <w:p w14:paraId="309DA718" w14:textId="600DD342" w:rsidR="00126565" w:rsidRPr="00126565" w:rsidRDefault="00126565" w:rsidP="00126565">
      <w:pPr>
        <w:pStyle w:val="ListParagraph"/>
        <w:numPr>
          <w:ilvl w:val="0"/>
          <w:numId w:val="7"/>
        </w:numPr>
        <w:rPr>
          <w:rFonts w:eastAsia="Times New Roman" w:cstheme="minorHAnsi"/>
        </w:rPr>
      </w:pPr>
      <w:r w:rsidRPr="00126565">
        <w:rPr>
          <w:rFonts w:eastAsia="Times New Roman" w:cstheme="minorHAnsi"/>
        </w:rPr>
        <w:t xml:space="preserve">Ireland remains a firm member of the European Union.  Examinership is listed in Annex A of the </w:t>
      </w:r>
      <w:r w:rsidR="002C438E" w:rsidRPr="006A1187">
        <w:rPr>
          <w:rFonts w:eastAsia="Times New Roman" w:cstheme="minorHAnsi"/>
        </w:rPr>
        <w:t>Recast Regulation on Insolvency 2015/848</w:t>
      </w:r>
      <w:r w:rsidR="002C438E">
        <w:rPr>
          <w:rFonts w:eastAsia="Times New Roman" w:cstheme="minorHAnsi"/>
        </w:rPr>
        <w:t xml:space="preserve"> (the EU Insolvency Regulation)</w:t>
      </w:r>
      <w:r w:rsidRPr="00126565">
        <w:rPr>
          <w:rFonts w:eastAsia="Times New Roman" w:cstheme="minorHAnsi"/>
        </w:rPr>
        <w:t xml:space="preserve">, facilitating recognition of the process throughout the EU.  Schemes of arrangement can be also recognised in the EU using the Recast </w:t>
      </w:r>
      <w:r w:rsidR="002C438E">
        <w:rPr>
          <w:rFonts w:eastAsia="Times New Roman" w:cstheme="minorHAnsi"/>
        </w:rPr>
        <w:t>J</w:t>
      </w:r>
      <w:r w:rsidRPr="00126565">
        <w:rPr>
          <w:rFonts w:eastAsia="Times New Roman" w:cstheme="minorHAnsi"/>
        </w:rPr>
        <w:t xml:space="preserve">udgments Regulation.  Both processes have also been recognised in the US using the Chapter 15 procedure  </w:t>
      </w:r>
    </w:p>
    <w:p w14:paraId="7F7758FF" w14:textId="67B4832D" w:rsidR="00126565" w:rsidRPr="00126565" w:rsidRDefault="00126565" w:rsidP="00126565">
      <w:pPr>
        <w:pStyle w:val="ListParagraph"/>
        <w:numPr>
          <w:ilvl w:val="0"/>
          <w:numId w:val="7"/>
        </w:numPr>
        <w:rPr>
          <w:rFonts w:eastAsia="Times New Roman" w:cstheme="minorHAnsi"/>
        </w:rPr>
      </w:pPr>
      <w:r w:rsidRPr="00126565">
        <w:rPr>
          <w:rFonts w:eastAsia="Times New Roman" w:cstheme="minorHAnsi"/>
        </w:rPr>
        <w:t>Ireland has a proven track record in international restructuring, with a responsive and experienced judiciary and a fast track appeal court.  Irish decisions have also been relied upon in an international context</w:t>
      </w:r>
    </w:p>
    <w:p w14:paraId="67996EB1" w14:textId="0B42099C" w:rsidR="00AB453F" w:rsidRPr="006A1187" w:rsidRDefault="00AB453F" w:rsidP="00126565">
      <w:pPr>
        <w:rPr>
          <w:rFonts w:eastAsia="Times New Roman" w:cstheme="minorHAnsi"/>
          <w:u w:val="single"/>
        </w:rPr>
      </w:pPr>
      <w:r w:rsidRPr="006A1187">
        <w:rPr>
          <w:rFonts w:eastAsia="Times New Roman" w:cstheme="minorHAnsi"/>
          <w:u w:val="single"/>
        </w:rPr>
        <w:t xml:space="preserve">UK (summary by Kathy Stones of </w:t>
      </w:r>
      <w:proofErr w:type="spellStart"/>
      <w:r w:rsidRPr="006A1187">
        <w:rPr>
          <w:rFonts w:eastAsia="Times New Roman" w:cstheme="minorHAnsi"/>
          <w:u w:val="single"/>
        </w:rPr>
        <w:t>LexisPSL</w:t>
      </w:r>
      <w:proofErr w:type="spellEnd"/>
      <w:r w:rsidRPr="006A1187">
        <w:rPr>
          <w:rFonts w:eastAsia="Times New Roman" w:cstheme="minorHAnsi"/>
          <w:u w:val="single"/>
        </w:rPr>
        <w:t xml:space="preserve"> R&amp;I)</w:t>
      </w:r>
    </w:p>
    <w:p w14:paraId="3E5FE747" w14:textId="2345189B" w:rsidR="00AB453F" w:rsidRPr="006A1187" w:rsidRDefault="004A5850">
      <w:pPr>
        <w:rPr>
          <w:rFonts w:eastAsia="Times New Roman" w:cstheme="minorHAnsi"/>
        </w:rPr>
      </w:pPr>
      <w:r w:rsidRPr="006A1187">
        <w:rPr>
          <w:rFonts w:eastAsia="Times New Roman" w:cstheme="minorHAnsi"/>
        </w:rPr>
        <w:t xml:space="preserve">In the UK, schemes of arrangement have been used for many years and are available without proving insolvency, arising under the Companies Act 2006 (rather than the Insolvency Act 1986). Indeed, statistically around 50% of all scheme cases </w:t>
      </w:r>
      <w:r w:rsidR="00C74644" w:rsidRPr="006A1187">
        <w:rPr>
          <w:rFonts w:eastAsia="Times New Roman" w:cstheme="minorHAnsi"/>
        </w:rPr>
        <w:t xml:space="preserve">currently </w:t>
      </w:r>
      <w:r w:rsidRPr="006A1187">
        <w:rPr>
          <w:rFonts w:eastAsia="Times New Roman" w:cstheme="minorHAnsi"/>
        </w:rPr>
        <w:t xml:space="preserve">going through the courts are solvent schemes. </w:t>
      </w:r>
    </w:p>
    <w:p w14:paraId="7AF6F0D4" w14:textId="78671DAF" w:rsidR="004A5850" w:rsidRPr="006A1187" w:rsidRDefault="004A5850">
      <w:pPr>
        <w:rPr>
          <w:rFonts w:eastAsia="Times New Roman" w:cstheme="minorHAnsi"/>
        </w:rPr>
      </w:pPr>
      <w:r w:rsidRPr="006A1187">
        <w:rPr>
          <w:rFonts w:eastAsia="Times New Roman" w:cstheme="minorHAnsi"/>
        </w:rPr>
        <w:t>Voting requires approval by 75% in value of all those present and voting in each class, plus a majority in number (the numerosity requirement).</w:t>
      </w:r>
    </w:p>
    <w:p w14:paraId="26EAB78A" w14:textId="708947EE" w:rsidR="004A5850" w:rsidRPr="006A1187" w:rsidRDefault="004A5850">
      <w:pPr>
        <w:rPr>
          <w:rFonts w:eastAsia="Times New Roman" w:cstheme="minorHAnsi"/>
        </w:rPr>
      </w:pPr>
      <w:r w:rsidRPr="006A1187">
        <w:rPr>
          <w:rFonts w:eastAsia="Times New Roman" w:cstheme="minorHAnsi"/>
        </w:rPr>
        <w:t>Part 26A Restructuring plans are a new tool available since June 2020 sharing many of the same features as schemes, with the addition of Cross Class Cram</w:t>
      </w:r>
      <w:r w:rsidR="00C74644" w:rsidRPr="006A1187">
        <w:rPr>
          <w:rFonts w:eastAsia="Times New Roman" w:cstheme="minorHAnsi"/>
        </w:rPr>
        <w:t xml:space="preserve"> D</w:t>
      </w:r>
      <w:r w:rsidRPr="006A1187">
        <w:rPr>
          <w:rFonts w:eastAsia="Times New Roman" w:cstheme="minorHAnsi"/>
        </w:rPr>
        <w:t xml:space="preserve">own where certain conditions are met. </w:t>
      </w:r>
      <w:r w:rsidR="007A25F9" w:rsidRPr="006A1187">
        <w:rPr>
          <w:rFonts w:eastAsia="Times New Roman" w:cstheme="minorHAnsi"/>
        </w:rPr>
        <w:t xml:space="preserve">Insolvency does not need to be proved, rather that the company </w:t>
      </w:r>
      <w:r w:rsidR="00C74644" w:rsidRPr="006A1187">
        <w:rPr>
          <w:rFonts w:eastAsia="Times New Roman" w:cstheme="minorHAnsi"/>
        </w:rPr>
        <w:t>‘</w:t>
      </w:r>
      <w:r w:rsidR="007A25F9" w:rsidRPr="006A1187">
        <w:rPr>
          <w:rFonts w:eastAsia="Times New Roman" w:cstheme="minorHAnsi"/>
        </w:rPr>
        <w:t>has encountered or is likely to encounter financial difficulties</w:t>
      </w:r>
      <w:r w:rsidR="00C74644" w:rsidRPr="006A1187">
        <w:rPr>
          <w:rFonts w:eastAsia="Times New Roman" w:cstheme="minorHAnsi"/>
        </w:rPr>
        <w:t>’</w:t>
      </w:r>
      <w:r w:rsidR="007A25F9" w:rsidRPr="006A1187">
        <w:rPr>
          <w:rFonts w:eastAsia="Times New Roman" w:cstheme="minorHAnsi"/>
        </w:rPr>
        <w:t xml:space="preserve"> (and </w:t>
      </w:r>
      <w:r w:rsidR="007A25F9" w:rsidRPr="006A1187">
        <w:rPr>
          <w:rFonts w:eastAsia="Times New Roman" w:cstheme="minorHAnsi"/>
          <w:i/>
          <w:iCs/>
        </w:rPr>
        <w:t>Hurricane Energy</w:t>
      </w:r>
      <w:r w:rsidR="007A25F9" w:rsidRPr="006A1187">
        <w:rPr>
          <w:rFonts w:eastAsia="Times New Roman" w:cstheme="minorHAnsi"/>
        </w:rPr>
        <w:t xml:space="preserve"> shows the need for a burning platform). </w:t>
      </w:r>
      <w:r w:rsidRPr="006A1187">
        <w:rPr>
          <w:rFonts w:eastAsia="Times New Roman" w:cstheme="minorHAnsi"/>
        </w:rPr>
        <w:t>Voting is slightly easier requiring 75% in value of all those present and voting in each class (although dissenting classes can be crammed down) and there is no numerosity requirement.</w:t>
      </w:r>
    </w:p>
    <w:p w14:paraId="5E8EFC0D" w14:textId="674E4A6A" w:rsidR="004A5850" w:rsidRPr="006A1187" w:rsidRDefault="004A5850">
      <w:pPr>
        <w:rPr>
          <w:rFonts w:eastAsia="Times New Roman" w:cstheme="minorHAnsi"/>
        </w:rPr>
      </w:pPr>
      <w:r w:rsidRPr="006A1187">
        <w:rPr>
          <w:rFonts w:eastAsia="Times New Roman" w:cstheme="minorHAnsi"/>
        </w:rPr>
        <w:t>For both schemes and plans, there is no requirement for an insolvency practitioner to be appointed, but in complex cases they generally are appointed (alongside the existing directors, who remain in position as this is a ‘debtor in possession’ process) to oversee implementation of the plan/scheme.</w:t>
      </w:r>
    </w:p>
    <w:p w14:paraId="4189C456" w14:textId="1FA53041" w:rsidR="004A5850" w:rsidRPr="006A1187" w:rsidRDefault="004A5850">
      <w:pPr>
        <w:rPr>
          <w:rFonts w:eastAsia="Times New Roman" w:cstheme="minorHAnsi"/>
        </w:rPr>
      </w:pPr>
      <w:r w:rsidRPr="006A1187">
        <w:rPr>
          <w:rFonts w:eastAsia="Times New Roman" w:cstheme="minorHAnsi"/>
        </w:rPr>
        <w:t>The jurisdiction test for both is simply the</w:t>
      </w:r>
      <w:r w:rsidR="002E4BB7" w:rsidRPr="006A1187">
        <w:rPr>
          <w:rFonts w:eastAsia="Times New Roman" w:cstheme="minorHAnsi"/>
        </w:rPr>
        <w:t xml:space="preserve"> lower</w:t>
      </w:r>
      <w:r w:rsidRPr="006A1187">
        <w:rPr>
          <w:rFonts w:eastAsia="Times New Roman" w:cstheme="minorHAnsi"/>
        </w:rPr>
        <w:t xml:space="preserve"> sufficient </w:t>
      </w:r>
      <w:r w:rsidR="002E4BB7" w:rsidRPr="006A1187">
        <w:rPr>
          <w:rFonts w:eastAsia="Times New Roman" w:cstheme="minorHAnsi"/>
        </w:rPr>
        <w:t xml:space="preserve">connection </w:t>
      </w:r>
      <w:r w:rsidRPr="006A1187">
        <w:rPr>
          <w:rFonts w:eastAsia="Times New Roman" w:cstheme="minorHAnsi"/>
        </w:rPr>
        <w:t>test</w:t>
      </w:r>
      <w:r w:rsidR="002E4BB7" w:rsidRPr="006A1187">
        <w:rPr>
          <w:rFonts w:eastAsia="Times New Roman" w:cstheme="minorHAnsi"/>
        </w:rPr>
        <w:t>, rather than</w:t>
      </w:r>
      <w:r w:rsidRPr="006A1187">
        <w:rPr>
          <w:rFonts w:eastAsia="Times New Roman" w:cstheme="minorHAnsi"/>
        </w:rPr>
        <w:t xml:space="preserve"> COMI</w:t>
      </w:r>
      <w:r w:rsidR="00215488" w:rsidRPr="006A1187">
        <w:rPr>
          <w:rFonts w:eastAsia="Times New Roman" w:cstheme="minorHAnsi"/>
        </w:rPr>
        <w:t>. I</w:t>
      </w:r>
      <w:r w:rsidR="002E4BB7" w:rsidRPr="006A1187">
        <w:rPr>
          <w:rFonts w:eastAsia="Times New Roman" w:cstheme="minorHAnsi"/>
        </w:rPr>
        <w:t>n the last year alone (2021), the English courts have welcomed schemes and plans from companies incorporated in countries such as</w:t>
      </w:r>
      <w:r w:rsidR="00215488" w:rsidRPr="006A1187">
        <w:rPr>
          <w:rFonts w:eastAsia="Times New Roman" w:cstheme="minorHAnsi"/>
        </w:rPr>
        <w:t>:</w:t>
      </w:r>
      <w:r w:rsidR="002E4BB7" w:rsidRPr="006A1187">
        <w:rPr>
          <w:rFonts w:eastAsia="Times New Roman" w:cstheme="minorHAnsi"/>
        </w:rPr>
        <w:t xml:space="preserve"> Peru, Spain, Mauritius, Norway</w:t>
      </w:r>
      <w:r w:rsidR="00215488" w:rsidRPr="006A1187">
        <w:rPr>
          <w:rFonts w:eastAsia="Times New Roman" w:cstheme="minorHAnsi"/>
        </w:rPr>
        <w:t>,</w:t>
      </w:r>
      <w:r w:rsidR="002E4BB7" w:rsidRPr="006A1187">
        <w:rPr>
          <w:rFonts w:eastAsia="Times New Roman" w:cstheme="minorHAnsi"/>
        </w:rPr>
        <w:t xml:space="preserve"> Malaysia and the Netherlands. </w:t>
      </w:r>
    </w:p>
    <w:p w14:paraId="5D60F1D6" w14:textId="234B25BD" w:rsidR="002E4BB7" w:rsidRPr="006A1187" w:rsidRDefault="002E4BB7">
      <w:pPr>
        <w:rPr>
          <w:rFonts w:eastAsia="Times New Roman" w:cstheme="minorHAnsi"/>
        </w:rPr>
      </w:pPr>
      <w:r w:rsidRPr="006A1187">
        <w:rPr>
          <w:rFonts w:eastAsia="Times New Roman" w:cstheme="minorHAnsi"/>
        </w:rPr>
        <w:t xml:space="preserve">Post-Brexit, recognition continues as before; schemes and plans were never in Annex A of the </w:t>
      </w:r>
      <w:r w:rsidR="00077BA1">
        <w:rPr>
          <w:rFonts w:eastAsia="Times New Roman" w:cstheme="minorHAnsi"/>
        </w:rPr>
        <w:t>EU Insolvency Regulation</w:t>
      </w:r>
      <w:r w:rsidRPr="006A1187">
        <w:rPr>
          <w:rFonts w:eastAsia="Times New Roman" w:cstheme="minorHAnsi"/>
        </w:rPr>
        <w:t xml:space="preserve"> and so it is ‘business as normal’. During the hearing, the plan proponent (usually the debtor company) must provide expert evidence as to how the scheme/plan will be recognised in key jurisdictions within which it operates or has assets/key creditors. This will depend </w:t>
      </w:r>
      <w:r w:rsidRPr="006A1187">
        <w:rPr>
          <w:rFonts w:eastAsia="Times New Roman" w:cstheme="minorHAnsi"/>
        </w:rPr>
        <w:lastRenderedPageBreak/>
        <w:t xml:space="preserve">on local law, which varies from country to country. INSOL Europe and </w:t>
      </w:r>
      <w:proofErr w:type="spellStart"/>
      <w:r w:rsidRPr="006A1187">
        <w:rPr>
          <w:rFonts w:eastAsia="Times New Roman" w:cstheme="minorHAnsi"/>
        </w:rPr>
        <w:t>LexisPSL</w:t>
      </w:r>
      <w:proofErr w:type="spellEnd"/>
      <w:r w:rsidRPr="006A1187">
        <w:rPr>
          <w:rFonts w:eastAsia="Times New Roman" w:cstheme="minorHAnsi"/>
        </w:rPr>
        <w:t xml:space="preserve"> have produced a helpful research paper summarising recognition in each EU Member State: </w:t>
      </w:r>
      <w:r w:rsidR="007A25F9" w:rsidRPr="006A1187">
        <w:rPr>
          <w:rFonts w:eastAsia="Times New Roman" w:cstheme="minorHAnsi"/>
          <w:u w:val="single"/>
        </w:rPr>
        <w:t>https://www.insol-europe.org/technical-content/recognition-in-third-states</w:t>
      </w:r>
      <w:r w:rsidRPr="006A1187">
        <w:rPr>
          <w:rFonts w:eastAsia="Times New Roman" w:cstheme="minorHAnsi"/>
        </w:rPr>
        <w:t xml:space="preserve"> (the findings are also summarised in </w:t>
      </w:r>
      <w:r w:rsidR="00215488" w:rsidRPr="006A1187">
        <w:rPr>
          <w:rFonts w:eastAsia="Times New Roman" w:cstheme="minorHAnsi"/>
        </w:rPr>
        <w:t>INSOL Europe’s journal</w:t>
      </w:r>
      <w:r w:rsidR="00872F5B" w:rsidRPr="006A1187">
        <w:rPr>
          <w:rFonts w:eastAsia="Times New Roman" w:cstheme="minorHAnsi"/>
        </w:rPr>
        <w:t>:</w:t>
      </w:r>
      <w:r w:rsidR="00215488" w:rsidRPr="006A1187">
        <w:rPr>
          <w:rFonts w:eastAsia="Times New Roman" w:cstheme="minorHAnsi"/>
        </w:rPr>
        <w:t xml:space="preserve"> </w:t>
      </w:r>
      <w:proofErr w:type="spellStart"/>
      <w:r w:rsidRPr="006A1187">
        <w:rPr>
          <w:rFonts w:eastAsia="Times New Roman" w:cstheme="minorHAnsi"/>
        </w:rPr>
        <w:t>Eurofenix</w:t>
      </w:r>
      <w:proofErr w:type="spellEnd"/>
      <w:r w:rsidR="007A25F9" w:rsidRPr="006A1187">
        <w:rPr>
          <w:rFonts w:eastAsia="Times New Roman" w:cstheme="minorHAnsi"/>
        </w:rPr>
        <w:t>, Winter 2021</w:t>
      </w:r>
      <w:r w:rsidRPr="006A1187">
        <w:rPr>
          <w:rFonts w:eastAsia="Times New Roman" w:cstheme="minorHAnsi"/>
        </w:rPr>
        <w:t>).</w:t>
      </w:r>
    </w:p>
    <w:p w14:paraId="452D70B2" w14:textId="50527E48" w:rsidR="002E4BB7" w:rsidRPr="006A1187" w:rsidRDefault="002E4BB7">
      <w:pPr>
        <w:rPr>
          <w:rFonts w:eastAsia="Times New Roman" w:cstheme="minorHAnsi"/>
        </w:rPr>
      </w:pPr>
      <w:r w:rsidRPr="006A1187">
        <w:rPr>
          <w:rFonts w:eastAsia="Times New Roman" w:cstheme="minorHAnsi"/>
        </w:rPr>
        <w:t xml:space="preserve">One key challenge </w:t>
      </w:r>
      <w:r w:rsidR="00215488" w:rsidRPr="006A1187">
        <w:rPr>
          <w:rFonts w:eastAsia="Times New Roman" w:cstheme="minorHAnsi"/>
        </w:rPr>
        <w:t>levelled at</w:t>
      </w:r>
      <w:r w:rsidRPr="006A1187">
        <w:rPr>
          <w:rFonts w:eastAsia="Times New Roman" w:cstheme="minorHAnsi"/>
        </w:rPr>
        <w:t xml:space="preserve"> schemes and plans in the UK could be the lack of an automatic moratorium; however this has not been a problem in practice, perhaps given the tendency to bind key financial creditors with lockup agreements early in negotiations.</w:t>
      </w:r>
      <w:r w:rsidR="00215488" w:rsidRPr="006A1187">
        <w:rPr>
          <w:rFonts w:eastAsia="Times New Roman" w:cstheme="minorHAnsi"/>
        </w:rPr>
        <w:t xml:space="preserve"> In any event, a standalone moratorium can be applied for whilst a scheme/plan is negotiated.</w:t>
      </w:r>
    </w:p>
    <w:p w14:paraId="5EB64BDA" w14:textId="644E759F" w:rsidR="002E4BB7" w:rsidRPr="006A1187" w:rsidRDefault="002E4BB7">
      <w:pPr>
        <w:rPr>
          <w:rFonts w:eastAsia="Times New Roman" w:cstheme="minorHAnsi"/>
          <w:i/>
          <w:iCs/>
        </w:rPr>
      </w:pPr>
      <w:r w:rsidRPr="006A1187">
        <w:rPr>
          <w:rFonts w:eastAsia="Times New Roman" w:cstheme="minorHAnsi"/>
          <w:i/>
          <w:iCs/>
        </w:rPr>
        <w:t>Final Word on the UK</w:t>
      </w:r>
    </w:p>
    <w:p w14:paraId="31033B74" w14:textId="5DC87E43" w:rsidR="002E4BB7" w:rsidRPr="006A1187" w:rsidRDefault="002E4BB7" w:rsidP="002E4BB7">
      <w:pPr>
        <w:pStyle w:val="ListParagraph"/>
        <w:numPr>
          <w:ilvl w:val="0"/>
          <w:numId w:val="2"/>
        </w:numPr>
        <w:rPr>
          <w:rFonts w:eastAsia="Times New Roman" w:cstheme="minorHAnsi"/>
        </w:rPr>
      </w:pPr>
      <w:r w:rsidRPr="006A1187">
        <w:rPr>
          <w:rFonts w:eastAsia="Times New Roman" w:cstheme="minorHAnsi"/>
        </w:rPr>
        <w:t xml:space="preserve">the UK has some fantastic, </w:t>
      </w:r>
      <w:r w:rsidR="00C74644" w:rsidRPr="006A1187">
        <w:rPr>
          <w:rFonts w:eastAsia="Times New Roman" w:cstheme="minorHAnsi"/>
        </w:rPr>
        <w:t xml:space="preserve">pragmatic, </w:t>
      </w:r>
      <w:r w:rsidRPr="006A1187">
        <w:rPr>
          <w:rFonts w:eastAsia="Times New Roman" w:cstheme="minorHAnsi"/>
        </w:rPr>
        <w:t>specialist judges to hear plan/scheme cases and a great track record</w:t>
      </w:r>
    </w:p>
    <w:p w14:paraId="4E897934" w14:textId="26372C47" w:rsidR="002E4BB7" w:rsidRPr="006A1187" w:rsidRDefault="002E4BB7" w:rsidP="002E4BB7">
      <w:pPr>
        <w:pStyle w:val="ListParagraph"/>
        <w:numPr>
          <w:ilvl w:val="0"/>
          <w:numId w:val="2"/>
        </w:numPr>
        <w:rPr>
          <w:rFonts w:eastAsia="Times New Roman" w:cstheme="minorHAnsi"/>
        </w:rPr>
      </w:pPr>
      <w:r w:rsidRPr="006A1187">
        <w:rPr>
          <w:rFonts w:eastAsia="Times New Roman" w:cstheme="minorHAnsi"/>
        </w:rPr>
        <w:t>the low sufficient connection test is appealing for foreign companies</w:t>
      </w:r>
    </w:p>
    <w:p w14:paraId="2DAA554B" w14:textId="3598E4A6" w:rsidR="002E4BB7" w:rsidRPr="006A1187" w:rsidRDefault="007A25F9" w:rsidP="002E4BB7">
      <w:pPr>
        <w:pStyle w:val="ListParagraph"/>
        <w:numPr>
          <w:ilvl w:val="0"/>
          <w:numId w:val="2"/>
        </w:numPr>
        <w:rPr>
          <w:rFonts w:eastAsia="Times New Roman" w:cstheme="minorHAnsi"/>
        </w:rPr>
      </w:pPr>
      <w:r w:rsidRPr="006A1187">
        <w:rPr>
          <w:rFonts w:eastAsia="Times New Roman" w:cstheme="minorHAnsi"/>
        </w:rPr>
        <w:t xml:space="preserve">if the finance documents contain English law governing clauses, then UK schemes/plans may be the only option, unless you can get around the </w:t>
      </w:r>
      <w:r w:rsidRPr="006A1187">
        <w:rPr>
          <w:rFonts w:eastAsia="Times New Roman" w:cstheme="minorHAnsi"/>
          <w:i/>
          <w:iCs/>
        </w:rPr>
        <w:t>Gibbs</w:t>
      </w:r>
      <w:r w:rsidRPr="006A1187">
        <w:rPr>
          <w:rFonts w:eastAsia="Times New Roman" w:cstheme="minorHAnsi"/>
        </w:rPr>
        <w:t xml:space="preserve"> rule</w:t>
      </w:r>
    </w:p>
    <w:p w14:paraId="6B02D8EB" w14:textId="2D11444A" w:rsidR="00AB453F" w:rsidRPr="006A1187" w:rsidRDefault="00C74644">
      <w:pPr>
        <w:rPr>
          <w:rFonts w:eastAsia="Times New Roman" w:cstheme="minorHAnsi"/>
          <w:u w:val="single"/>
        </w:rPr>
      </w:pPr>
      <w:r w:rsidRPr="006A1187">
        <w:rPr>
          <w:rFonts w:eastAsia="Times New Roman" w:cstheme="minorHAnsi"/>
          <w:u w:val="single"/>
        </w:rPr>
        <w:t xml:space="preserve">The </w:t>
      </w:r>
      <w:r w:rsidR="00AB453F" w:rsidRPr="006A1187">
        <w:rPr>
          <w:rFonts w:eastAsia="Times New Roman" w:cstheme="minorHAnsi"/>
          <w:u w:val="single"/>
        </w:rPr>
        <w:t>Netherlands (summary by Marcel Groenewegen of CMS)</w:t>
      </w:r>
    </w:p>
    <w:p w14:paraId="745BA601" w14:textId="77777777" w:rsidR="00077BA1" w:rsidRDefault="00077BA1" w:rsidP="00077BA1">
      <w:pPr>
        <w:rPr>
          <w:rFonts w:eastAsia="Times New Roman" w:cstheme="minorHAnsi"/>
        </w:rPr>
      </w:pPr>
      <w:r w:rsidRPr="00077BA1">
        <w:rPr>
          <w:rFonts w:eastAsia="Times New Roman" w:cstheme="minorHAnsi"/>
        </w:rPr>
        <w:t xml:space="preserve">As from 1 January 2021 the Dutch "scheme", already widely known as "WHOA", has been introduced as a new restructuring tool. Combining certain elements of the US Chapter 11 and the English Scheme with typical Dutch law innovations, the WHOA has had a successful start and continues to grow in popularity. Currently approximately 150 WHOA proceedings, mainly for small and medium size enterprises in financial distress, have been launched and approximately 90 court decisions have published. </w:t>
      </w:r>
    </w:p>
    <w:p w14:paraId="077FE543" w14:textId="4F876B3D" w:rsidR="00077BA1" w:rsidRDefault="00077BA1" w:rsidP="00077BA1">
      <w:pPr>
        <w:rPr>
          <w:rFonts w:eastAsia="Times New Roman" w:cstheme="minorHAnsi"/>
        </w:rPr>
      </w:pPr>
      <w:r w:rsidRPr="00077BA1">
        <w:rPr>
          <w:rFonts w:eastAsia="Times New Roman" w:cstheme="minorHAnsi"/>
        </w:rPr>
        <w:t xml:space="preserve">A key feature of the Dutch WHOA is the possibility to </w:t>
      </w:r>
      <w:proofErr w:type="spellStart"/>
      <w:r w:rsidRPr="00077BA1">
        <w:rPr>
          <w:rFonts w:eastAsia="Times New Roman" w:cstheme="minorHAnsi"/>
        </w:rPr>
        <w:t>chose</w:t>
      </w:r>
      <w:proofErr w:type="spellEnd"/>
      <w:r w:rsidRPr="00077BA1">
        <w:rPr>
          <w:rFonts w:eastAsia="Times New Roman" w:cstheme="minorHAnsi"/>
        </w:rPr>
        <w:t xml:space="preserve"> between public and private proceedings. Whilst the first option benefits from EU</w:t>
      </w:r>
      <w:r>
        <w:rPr>
          <w:rFonts w:eastAsia="Times New Roman" w:cstheme="minorHAnsi"/>
        </w:rPr>
        <w:t>-</w:t>
      </w:r>
      <w:r w:rsidRPr="00077BA1">
        <w:rPr>
          <w:rFonts w:eastAsia="Times New Roman" w:cstheme="minorHAnsi"/>
        </w:rPr>
        <w:t xml:space="preserve">wide recognition under the </w:t>
      </w:r>
      <w:r>
        <w:rPr>
          <w:rFonts w:eastAsia="Times New Roman" w:cstheme="minorHAnsi"/>
        </w:rPr>
        <w:t>EU Insolvency Regulation</w:t>
      </w:r>
      <w:r w:rsidRPr="00077BA1">
        <w:rPr>
          <w:rFonts w:eastAsia="Times New Roman" w:cstheme="minorHAnsi"/>
        </w:rPr>
        <w:t xml:space="preserve"> (via Annex A), the latter is a confidential procedure with very limited public exposure, allowing the debtor to restructure its debts in relative quietness. </w:t>
      </w:r>
    </w:p>
    <w:p w14:paraId="235CFD01" w14:textId="4162D486" w:rsidR="00077BA1" w:rsidRDefault="00077BA1" w:rsidP="00077BA1">
      <w:pPr>
        <w:rPr>
          <w:rFonts w:eastAsia="Times New Roman" w:cstheme="minorHAnsi"/>
        </w:rPr>
      </w:pPr>
      <w:r w:rsidRPr="00077BA1">
        <w:rPr>
          <w:rFonts w:eastAsia="Times New Roman" w:cstheme="minorHAnsi"/>
        </w:rPr>
        <w:t xml:space="preserve">The Dutch courts have a reputation of being very accessible and this also applies for granting access for foreign entities to the WHOA with a flexible "sufficient connection" threshold, which can be fairly easily met. </w:t>
      </w:r>
    </w:p>
    <w:p w14:paraId="7AE1F1A6" w14:textId="77777777" w:rsidR="00077BA1" w:rsidRDefault="00077BA1" w:rsidP="00077BA1">
      <w:pPr>
        <w:rPr>
          <w:rFonts w:eastAsia="Times New Roman" w:cstheme="minorHAnsi"/>
        </w:rPr>
      </w:pPr>
      <w:r w:rsidRPr="00077BA1">
        <w:rPr>
          <w:rFonts w:eastAsia="Times New Roman" w:cstheme="minorHAnsi"/>
        </w:rPr>
        <w:t>Once opened, the WHOA proceedings offer not only the possibility of a cross class cram down composition (with votes only calculated by amount, so no head count) but also of a general moratorium and an option to terminate burdensome (long term) contracts on short notice, following which any damage claims resulting from such termination can be compromised and crammed down as well.</w:t>
      </w:r>
    </w:p>
    <w:p w14:paraId="1A7D7F12" w14:textId="49006C4F" w:rsidR="00077BA1" w:rsidRPr="00077BA1" w:rsidRDefault="00077BA1" w:rsidP="00077BA1">
      <w:pPr>
        <w:rPr>
          <w:rFonts w:eastAsia="Times New Roman" w:cstheme="minorHAnsi"/>
        </w:rPr>
      </w:pPr>
      <w:r w:rsidRPr="00077BA1">
        <w:rPr>
          <w:rFonts w:eastAsia="Times New Roman" w:cstheme="minorHAnsi"/>
        </w:rPr>
        <w:t>Dutch courts have installed specialised WHOA-chambers to hear cases and judges of such chambers have taken extensive courses to warrant the quality of WHOA-decisions. Costs can be relatively low compared to other jurisdictions.</w:t>
      </w:r>
    </w:p>
    <w:p w14:paraId="5AB2F465" w14:textId="77777777" w:rsidR="00077BA1" w:rsidRPr="008A398A" w:rsidRDefault="00077BA1" w:rsidP="00077BA1">
      <w:pPr>
        <w:rPr>
          <w:rFonts w:eastAsia="Times New Roman" w:cstheme="minorHAnsi"/>
          <w:i/>
          <w:iCs/>
        </w:rPr>
      </w:pPr>
      <w:r w:rsidRPr="008A398A">
        <w:rPr>
          <w:rFonts w:eastAsia="Times New Roman" w:cstheme="minorHAnsi"/>
          <w:i/>
          <w:iCs/>
        </w:rPr>
        <w:t>Final Word on the Netherlands</w:t>
      </w:r>
    </w:p>
    <w:p w14:paraId="1E56A793" w14:textId="2C6455CA" w:rsidR="00077BA1" w:rsidRPr="00077BA1" w:rsidRDefault="00077BA1" w:rsidP="00077BA1">
      <w:pPr>
        <w:rPr>
          <w:rFonts w:eastAsia="Times New Roman" w:cstheme="minorHAnsi"/>
        </w:rPr>
      </w:pPr>
      <w:r w:rsidRPr="00077BA1">
        <w:rPr>
          <w:rFonts w:eastAsia="Times New Roman" w:cstheme="minorHAnsi"/>
        </w:rPr>
        <w:t>•</w:t>
      </w:r>
      <w:r w:rsidRPr="00077BA1">
        <w:rPr>
          <w:rFonts w:eastAsia="Times New Roman" w:cstheme="minorHAnsi"/>
        </w:rPr>
        <w:tab/>
      </w:r>
      <w:r>
        <w:rPr>
          <w:rFonts w:eastAsia="Times New Roman" w:cstheme="minorHAnsi"/>
        </w:rPr>
        <w:t>w</w:t>
      </w:r>
      <w:r w:rsidRPr="00077BA1">
        <w:rPr>
          <w:rFonts w:eastAsia="Times New Roman" w:cstheme="minorHAnsi"/>
        </w:rPr>
        <w:t>ith the WHOA The Netherlands has become a very attractive jurisdiction for cross border restructurings, especially given the low entry test for companies with no COMI in The Netherlands</w:t>
      </w:r>
    </w:p>
    <w:p w14:paraId="7D6786EB" w14:textId="33C57739" w:rsidR="00077BA1" w:rsidRPr="00077BA1" w:rsidRDefault="00077BA1" w:rsidP="00077BA1">
      <w:pPr>
        <w:rPr>
          <w:rFonts w:eastAsia="Times New Roman" w:cstheme="minorHAnsi"/>
        </w:rPr>
      </w:pPr>
      <w:r w:rsidRPr="00077BA1">
        <w:rPr>
          <w:rFonts w:eastAsia="Times New Roman" w:cstheme="minorHAnsi"/>
        </w:rPr>
        <w:t>•</w:t>
      </w:r>
      <w:r w:rsidRPr="00077BA1">
        <w:rPr>
          <w:rFonts w:eastAsia="Times New Roman" w:cstheme="minorHAnsi"/>
        </w:rPr>
        <w:tab/>
      </w:r>
      <w:r>
        <w:rPr>
          <w:rFonts w:eastAsia="Times New Roman" w:cstheme="minorHAnsi"/>
        </w:rPr>
        <w:t>t</w:t>
      </w:r>
      <w:r w:rsidRPr="00077BA1">
        <w:rPr>
          <w:rFonts w:eastAsia="Times New Roman" w:cstheme="minorHAnsi"/>
        </w:rPr>
        <w:t xml:space="preserve">he WHOA is very much "debtor in possession" and court involvement can be very limited </w:t>
      </w:r>
    </w:p>
    <w:p w14:paraId="07AFE162" w14:textId="5998D788" w:rsidR="00077BA1" w:rsidRPr="00077BA1" w:rsidRDefault="00077BA1" w:rsidP="00077BA1">
      <w:pPr>
        <w:rPr>
          <w:rFonts w:eastAsia="Times New Roman" w:cstheme="minorHAnsi"/>
        </w:rPr>
      </w:pPr>
      <w:r w:rsidRPr="00077BA1">
        <w:rPr>
          <w:rFonts w:eastAsia="Times New Roman" w:cstheme="minorHAnsi"/>
        </w:rPr>
        <w:lastRenderedPageBreak/>
        <w:t>•</w:t>
      </w:r>
      <w:r w:rsidRPr="00077BA1">
        <w:rPr>
          <w:rFonts w:eastAsia="Times New Roman" w:cstheme="minorHAnsi"/>
        </w:rPr>
        <w:tab/>
      </w:r>
      <w:r>
        <w:rPr>
          <w:rFonts w:eastAsia="Times New Roman" w:cstheme="minorHAnsi"/>
        </w:rPr>
        <w:t>c</w:t>
      </w:r>
      <w:r w:rsidRPr="00077BA1">
        <w:rPr>
          <w:rFonts w:eastAsia="Times New Roman" w:cstheme="minorHAnsi"/>
        </w:rPr>
        <w:t>ross class cram down and the option to obtain a general moratorium for a maximum period of 8 month</w:t>
      </w:r>
      <w:r>
        <w:rPr>
          <w:rFonts w:eastAsia="Times New Roman" w:cstheme="minorHAnsi"/>
        </w:rPr>
        <w:t>s</w:t>
      </w:r>
      <w:r w:rsidRPr="00077BA1">
        <w:rPr>
          <w:rFonts w:eastAsia="Times New Roman" w:cstheme="minorHAnsi"/>
        </w:rPr>
        <w:t xml:space="preserve"> allow for a flexible restructuring tool, which can be used in private (non-public) proceedings as well</w:t>
      </w:r>
    </w:p>
    <w:p w14:paraId="05396A18" w14:textId="2F485821" w:rsidR="00AB453F" w:rsidRPr="00077BA1" w:rsidRDefault="00077BA1" w:rsidP="00077BA1">
      <w:pPr>
        <w:rPr>
          <w:rFonts w:eastAsia="Times New Roman" w:cstheme="minorHAnsi"/>
        </w:rPr>
      </w:pPr>
      <w:r w:rsidRPr="00077BA1">
        <w:rPr>
          <w:rFonts w:eastAsia="Times New Roman" w:cstheme="minorHAnsi"/>
        </w:rPr>
        <w:t>•</w:t>
      </w:r>
      <w:r w:rsidRPr="00077BA1">
        <w:rPr>
          <w:rFonts w:eastAsia="Times New Roman" w:cstheme="minorHAnsi"/>
        </w:rPr>
        <w:tab/>
      </w:r>
      <w:r>
        <w:rPr>
          <w:rFonts w:eastAsia="Times New Roman" w:cstheme="minorHAnsi"/>
        </w:rPr>
        <w:t>r</w:t>
      </w:r>
      <w:r w:rsidRPr="00077BA1">
        <w:rPr>
          <w:rFonts w:eastAsia="Times New Roman" w:cstheme="minorHAnsi"/>
        </w:rPr>
        <w:t xml:space="preserve">elatively low costs and the availability of well trained and specialized courts (which rule in </w:t>
      </w:r>
      <w:r>
        <w:rPr>
          <w:rFonts w:eastAsia="Times New Roman" w:cstheme="minorHAnsi"/>
        </w:rPr>
        <w:t xml:space="preserve">the </w:t>
      </w:r>
      <w:r w:rsidRPr="00077BA1">
        <w:rPr>
          <w:rFonts w:eastAsia="Times New Roman" w:cstheme="minorHAnsi"/>
        </w:rPr>
        <w:t>highest instance with no option for lengthy and costly appeal proceedings) provide for a speedy and cost efficient restructuring instrument with a high level of deal certainty</w:t>
      </w:r>
    </w:p>
    <w:p w14:paraId="7DA50E53" w14:textId="0A759A4F" w:rsidR="0061404B" w:rsidRPr="006A1187" w:rsidRDefault="00AB453F">
      <w:pPr>
        <w:rPr>
          <w:rFonts w:eastAsia="Times New Roman" w:cstheme="minorHAnsi"/>
          <w:u w:val="single"/>
        </w:rPr>
      </w:pPr>
      <w:r w:rsidRPr="006A1187">
        <w:rPr>
          <w:rFonts w:eastAsia="Times New Roman" w:cstheme="minorHAnsi"/>
          <w:u w:val="single"/>
        </w:rPr>
        <w:t>Germany (summary by Riaz Janjuah of White &amp; Case LLP)</w:t>
      </w:r>
    </w:p>
    <w:p w14:paraId="270DFC40" w14:textId="2BEB285B" w:rsidR="00175638" w:rsidRPr="006A1187" w:rsidRDefault="00FE6231" w:rsidP="00175638">
      <w:pPr>
        <w:rPr>
          <w:rFonts w:eastAsia="Times New Roman" w:cstheme="minorHAnsi"/>
          <w:iCs/>
        </w:rPr>
      </w:pPr>
      <w:r w:rsidRPr="006A1187">
        <w:rPr>
          <w:rFonts w:eastAsia="Times New Roman" w:cstheme="minorHAnsi"/>
          <w:iCs/>
        </w:rPr>
        <w:t xml:space="preserve">On 1 January 2021 the </w:t>
      </w:r>
      <w:proofErr w:type="spellStart"/>
      <w:r w:rsidRPr="006A1187">
        <w:rPr>
          <w:rFonts w:eastAsia="Times New Roman" w:cstheme="minorHAnsi"/>
          <w:iCs/>
        </w:rPr>
        <w:t>StaRUG</w:t>
      </w:r>
      <w:proofErr w:type="spellEnd"/>
      <w:r w:rsidRPr="006A1187">
        <w:rPr>
          <w:rFonts w:eastAsia="Times New Roman" w:cstheme="minorHAnsi"/>
          <w:iCs/>
        </w:rPr>
        <w:t xml:space="preserve"> introduced t</w:t>
      </w:r>
      <w:r w:rsidR="00175638" w:rsidRPr="006A1187">
        <w:rPr>
          <w:rFonts w:eastAsia="Times New Roman" w:cstheme="minorHAnsi"/>
          <w:iCs/>
        </w:rPr>
        <w:t xml:space="preserve">he new Preventive Restructuring Framework </w:t>
      </w:r>
      <w:r w:rsidRPr="006A1187">
        <w:rPr>
          <w:rFonts w:eastAsia="Times New Roman" w:cstheme="minorHAnsi"/>
          <w:iCs/>
        </w:rPr>
        <w:t xml:space="preserve">that </w:t>
      </w:r>
      <w:r w:rsidR="00175638" w:rsidRPr="006A1187">
        <w:rPr>
          <w:rFonts w:eastAsia="Times New Roman" w:cstheme="minorHAnsi"/>
          <w:iCs/>
        </w:rPr>
        <w:t>fills a gap in German restructuring law. In particular, the new Preventive Restructuring Framework allows for an implementation of a restructuring plan by way of outvoting dissenting creditors and including the possibility of a cross-class cram-down.</w:t>
      </w:r>
    </w:p>
    <w:p w14:paraId="36205F53" w14:textId="77777777" w:rsidR="00175638" w:rsidRPr="008A398A" w:rsidRDefault="00175638" w:rsidP="00175638">
      <w:pPr>
        <w:rPr>
          <w:rFonts w:eastAsia="Times New Roman" w:cstheme="minorHAnsi"/>
          <w:bCs/>
          <w:i/>
          <w:iCs/>
        </w:rPr>
      </w:pPr>
      <w:r w:rsidRPr="008A398A">
        <w:rPr>
          <w:rFonts w:eastAsia="Times New Roman" w:cstheme="minorHAnsi"/>
          <w:bCs/>
          <w:i/>
          <w:iCs/>
        </w:rPr>
        <w:t>Eligibility</w:t>
      </w:r>
    </w:p>
    <w:p w14:paraId="67492760" w14:textId="4F24E279" w:rsidR="00175638" w:rsidRPr="006A1187" w:rsidRDefault="00FE6231" w:rsidP="00175638">
      <w:pPr>
        <w:rPr>
          <w:rFonts w:eastAsia="Times New Roman" w:cstheme="minorHAnsi"/>
          <w:iCs/>
        </w:rPr>
      </w:pPr>
      <w:r w:rsidRPr="006A1187">
        <w:rPr>
          <w:rFonts w:eastAsia="Times New Roman" w:cstheme="minorHAnsi"/>
          <w:iCs/>
        </w:rPr>
        <w:t>A</w:t>
      </w:r>
      <w:r w:rsidR="00175638" w:rsidRPr="006A1187">
        <w:rPr>
          <w:rFonts w:eastAsia="Times New Roman" w:cstheme="minorHAnsi"/>
          <w:iCs/>
        </w:rPr>
        <w:t xml:space="preserve"> debtor is eligible to use a Preventive Restructuring Framework if it is imminently illiquid (</w:t>
      </w:r>
      <w:proofErr w:type="spellStart"/>
      <w:r w:rsidR="00175638" w:rsidRPr="006A1187">
        <w:rPr>
          <w:rFonts w:eastAsia="Times New Roman" w:cstheme="minorHAnsi"/>
          <w:i/>
          <w:iCs/>
        </w:rPr>
        <w:t>drohend</w:t>
      </w:r>
      <w:proofErr w:type="spellEnd"/>
      <w:r w:rsidR="00175638" w:rsidRPr="006A1187">
        <w:rPr>
          <w:rFonts w:eastAsia="Times New Roman" w:cstheme="minorHAnsi"/>
          <w:i/>
          <w:iCs/>
        </w:rPr>
        <w:t xml:space="preserve"> </w:t>
      </w:r>
      <w:proofErr w:type="spellStart"/>
      <w:r w:rsidR="00175638" w:rsidRPr="006A1187">
        <w:rPr>
          <w:rFonts w:eastAsia="Times New Roman" w:cstheme="minorHAnsi"/>
          <w:i/>
          <w:iCs/>
        </w:rPr>
        <w:t>zahlungsunfähig</w:t>
      </w:r>
      <w:proofErr w:type="spellEnd"/>
      <w:r w:rsidR="00175638" w:rsidRPr="006A1187">
        <w:rPr>
          <w:rFonts w:eastAsia="Times New Roman" w:cstheme="minorHAnsi"/>
          <w:iCs/>
        </w:rPr>
        <w:t>) i.e. the debtor must more likely than not become unable to pay its debts within the next 24 months; further, the debtor must not (yet) be illiquid or over-indebted as in this case the directors of the debtor are under the strict duty to file for formal insolvency proceedings.</w:t>
      </w:r>
    </w:p>
    <w:p w14:paraId="7733E711" w14:textId="6AC90D3E" w:rsidR="00175638" w:rsidRPr="008A398A" w:rsidRDefault="00175638" w:rsidP="00175638">
      <w:pPr>
        <w:rPr>
          <w:rFonts w:eastAsia="Times New Roman" w:cstheme="minorHAnsi"/>
          <w:bCs/>
          <w:i/>
          <w:iCs/>
        </w:rPr>
      </w:pPr>
      <w:r w:rsidRPr="008A398A">
        <w:rPr>
          <w:rFonts w:eastAsia="Times New Roman" w:cstheme="minorHAnsi"/>
          <w:bCs/>
          <w:i/>
          <w:iCs/>
        </w:rPr>
        <w:t>Moratorium</w:t>
      </w:r>
    </w:p>
    <w:p w14:paraId="5C5EA5FB" w14:textId="43EDE4F6" w:rsidR="00175638" w:rsidRPr="006A1187" w:rsidRDefault="00175638" w:rsidP="00175638">
      <w:pPr>
        <w:rPr>
          <w:rFonts w:eastAsia="Times New Roman" w:cstheme="minorHAnsi"/>
          <w:iCs/>
        </w:rPr>
      </w:pPr>
      <w:r w:rsidRPr="006A1187">
        <w:rPr>
          <w:rFonts w:eastAsia="Times New Roman" w:cstheme="minorHAnsi"/>
          <w:iCs/>
        </w:rPr>
        <w:t>The debtor may apply for a moratorium on foreclosure and enforcement (also with regard to third-party security granted by the debtor’s affiliated companies). The Moratorium will initially be granted for a maximum period of three months. This period may be extended up to eight months, if the debtor has requested the judicial confirmation for a Restructuring Plan, approved by the creditors.</w:t>
      </w:r>
    </w:p>
    <w:p w14:paraId="39AF13F5" w14:textId="2804A5CB" w:rsidR="00175638" w:rsidRPr="008A398A" w:rsidRDefault="00175638" w:rsidP="00175638">
      <w:pPr>
        <w:rPr>
          <w:rFonts w:eastAsia="Times New Roman" w:cstheme="minorHAnsi"/>
          <w:bCs/>
          <w:i/>
          <w:iCs/>
        </w:rPr>
      </w:pPr>
      <w:r w:rsidRPr="008A398A">
        <w:rPr>
          <w:rFonts w:eastAsia="Times New Roman" w:cstheme="minorHAnsi"/>
          <w:bCs/>
          <w:i/>
          <w:iCs/>
        </w:rPr>
        <w:t>Restructuring Plan - Voting</w:t>
      </w:r>
    </w:p>
    <w:p w14:paraId="275B3B4E" w14:textId="2B2DC9E0" w:rsidR="00175638" w:rsidRPr="006A1187" w:rsidRDefault="00175638" w:rsidP="00175638">
      <w:pPr>
        <w:rPr>
          <w:rFonts w:eastAsia="Times New Roman" w:cstheme="minorHAnsi"/>
          <w:iCs/>
        </w:rPr>
      </w:pPr>
      <w:r w:rsidRPr="006A1187">
        <w:rPr>
          <w:rFonts w:eastAsia="Times New Roman" w:cstheme="minorHAnsi"/>
          <w:iCs/>
        </w:rPr>
        <w:t xml:space="preserve">The Restructuring Plan lies at the heart of the Preventive Restructuring Framework. </w:t>
      </w:r>
      <w:r w:rsidR="00FE6231" w:rsidRPr="006A1187">
        <w:rPr>
          <w:rFonts w:eastAsia="Times New Roman" w:cstheme="minorHAnsi"/>
          <w:iCs/>
        </w:rPr>
        <w:t xml:space="preserve">It </w:t>
      </w:r>
      <w:r w:rsidRPr="006A1187">
        <w:rPr>
          <w:rFonts w:eastAsia="Times New Roman" w:cstheme="minorHAnsi"/>
          <w:iCs/>
        </w:rPr>
        <w:t>allows for modifications of liabilities and security rights granted by the debtor as well as in certain cases the underlying contractual relationships (</w:t>
      </w:r>
      <w:proofErr w:type="spellStart"/>
      <w:r w:rsidRPr="006A1187">
        <w:rPr>
          <w:rFonts w:eastAsia="Times New Roman" w:cstheme="minorHAnsi"/>
          <w:i/>
          <w:iCs/>
        </w:rPr>
        <w:t>gestaltbare</w:t>
      </w:r>
      <w:proofErr w:type="spellEnd"/>
      <w:r w:rsidRPr="006A1187">
        <w:rPr>
          <w:rFonts w:eastAsia="Times New Roman" w:cstheme="minorHAnsi"/>
          <w:i/>
          <w:iCs/>
        </w:rPr>
        <w:t xml:space="preserve"> </w:t>
      </w:r>
      <w:proofErr w:type="spellStart"/>
      <w:r w:rsidRPr="006A1187">
        <w:rPr>
          <w:rFonts w:eastAsia="Times New Roman" w:cstheme="minorHAnsi"/>
          <w:i/>
          <w:iCs/>
        </w:rPr>
        <w:t>Rechtsverhältnisse</w:t>
      </w:r>
      <w:proofErr w:type="spellEnd"/>
      <w:r w:rsidRPr="006A1187">
        <w:rPr>
          <w:rFonts w:eastAsia="Times New Roman" w:cstheme="minorHAnsi"/>
          <w:iCs/>
        </w:rPr>
        <w:t xml:space="preserve">). </w:t>
      </w:r>
      <w:r w:rsidR="00FE6231" w:rsidRPr="006A1187">
        <w:rPr>
          <w:rFonts w:eastAsia="Times New Roman" w:cstheme="minorHAnsi"/>
          <w:iCs/>
        </w:rPr>
        <w:t xml:space="preserve"> </w:t>
      </w:r>
      <w:r w:rsidRPr="006A1187">
        <w:rPr>
          <w:rFonts w:eastAsia="Times New Roman" w:cstheme="minorHAnsi"/>
          <w:iCs/>
        </w:rPr>
        <w:t>Excluded are, inter alia, employee claims and certain tort claims. Further, an impairment of third-party security granted by the debtor’s affiliated companies can be agreed by the parties to the Restructuring Plan, but the secured creditors will need to be compensated for such an impairment. In addition, an infringement of shareholder rights, for example in the form of capital measures or the transfer of share or membership rights (including a debt-for-equity swap) can be part of the Restructuring Plan.</w:t>
      </w:r>
    </w:p>
    <w:p w14:paraId="51B4566D" w14:textId="77777777" w:rsidR="00175638" w:rsidRPr="006A1187" w:rsidRDefault="00175638" w:rsidP="00175638">
      <w:pPr>
        <w:rPr>
          <w:rFonts w:eastAsia="Times New Roman" w:cstheme="minorHAnsi"/>
          <w:iCs/>
        </w:rPr>
      </w:pPr>
      <w:r w:rsidRPr="006A1187">
        <w:rPr>
          <w:rFonts w:eastAsia="Times New Roman" w:cstheme="minorHAnsi"/>
          <w:iCs/>
        </w:rPr>
        <w:t xml:space="preserve">The debtor can flexibly choose which (groups of) stakeholders to include in the Restructuring Plan. The choice must be reasonable and within each group, all creditors shall receive the same rights. To adopt the Restructuring Plan, a majority of 75% by value of claims within each group is required. </w:t>
      </w:r>
    </w:p>
    <w:p w14:paraId="41732912" w14:textId="0DD1FD90" w:rsidR="00175638" w:rsidRPr="008A398A" w:rsidRDefault="00175638" w:rsidP="00175638">
      <w:pPr>
        <w:rPr>
          <w:rFonts w:eastAsia="Times New Roman" w:cstheme="minorHAnsi"/>
          <w:bCs/>
          <w:i/>
          <w:iCs/>
        </w:rPr>
      </w:pPr>
      <w:r w:rsidRPr="008A398A">
        <w:rPr>
          <w:rFonts w:eastAsia="Times New Roman" w:cstheme="minorHAnsi"/>
          <w:bCs/>
          <w:i/>
          <w:iCs/>
        </w:rPr>
        <w:t>Cross-class Cram Down</w:t>
      </w:r>
    </w:p>
    <w:p w14:paraId="0EBCE815" w14:textId="7DF42268" w:rsidR="00175638" w:rsidRPr="006A1187" w:rsidRDefault="00175638" w:rsidP="00175638">
      <w:pPr>
        <w:rPr>
          <w:rFonts w:eastAsia="Times New Roman" w:cstheme="minorHAnsi"/>
          <w:iCs/>
        </w:rPr>
      </w:pPr>
      <w:r w:rsidRPr="006A1187">
        <w:rPr>
          <w:rFonts w:eastAsia="Times New Roman" w:cstheme="minorHAnsi"/>
          <w:iCs/>
        </w:rPr>
        <w:t xml:space="preserve">Further, the </w:t>
      </w:r>
      <w:proofErr w:type="spellStart"/>
      <w:r w:rsidRPr="006A1187">
        <w:rPr>
          <w:rFonts w:eastAsia="Times New Roman" w:cstheme="minorHAnsi"/>
          <w:iCs/>
        </w:rPr>
        <w:t>StaRUG</w:t>
      </w:r>
      <w:proofErr w:type="spellEnd"/>
      <w:r w:rsidRPr="006A1187">
        <w:rPr>
          <w:rFonts w:eastAsia="Times New Roman" w:cstheme="minorHAnsi"/>
          <w:iCs/>
        </w:rPr>
        <w:t xml:space="preserve"> provides for a cross-class cram-down mechanism: A dissenting class can be “crammed down”, if</w:t>
      </w:r>
      <w:r w:rsidR="006A1187" w:rsidRPr="006A1187">
        <w:rPr>
          <w:rFonts w:eastAsia="Times New Roman" w:cstheme="minorHAnsi"/>
          <w:iCs/>
        </w:rPr>
        <w:t xml:space="preserve">: </w:t>
      </w:r>
      <w:r w:rsidRPr="006A1187">
        <w:rPr>
          <w:rFonts w:eastAsia="Times New Roman" w:cstheme="minorHAnsi"/>
          <w:iCs/>
        </w:rPr>
        <w:t>(i) the majority of classes vote in favour of the Restructuring Plan; (ii) members of the dissenting class can be expected to be in a position that is not worse than without the Restructuring Plan; and (iii) members of the dissenting class receive an adequate share in value created by the Restructuring Plan. A class will be deemed to participate adequately in the value of the Restructuring Plan, if</w:t>
      </w:r>
      <w:r w:rsidR="006A1187" w:rsidRPr="006A1187">
        <w:rPr>
          <w:rFonts w:eastAsia="Times New Roman" w:cstheme="minorHAnsi"/>
          <w:iCs/>
        </w:rPr>
        <w:t>:</w:t>
      </w:r>
      <w:r w:rsidRPr="006A1187">
        <w:rPr>
          <w:rFonts w:eastAsia="Times New Roman" w:cstheme="minorHAnsi"/>
          <w:iCs/>
        </w:rPr>
        <w:t xml:space="preserve"> (i) no other creditor receives any value in excess of the amount of its claim; (ii) neither a subordinated creditor, the debtor nor the shareholders receives a value not fully </w:t>
      </w:r>
      <w:r w:rsidRPr="006A1187">
        <w:rPr>
          <w:rFonts w:eastAsia="Times New Roman" w:cstheme="minorHAnsi"/>
          <w:iCs/>
        </w:rPr>
        <w:lastRenderedPageBreak/>
        <w:t>compensated by a contribution into the debtor's assets (the so-called absolute priority rule); and (iii) no equal ranking creditor is better off than the creditors of the class concerned. In certain cases the law provides for exceptions to the absolute priority rule, for example in situations where the debtor or shareholders retain an interest in the company’s assets, provided that their participation is necessary for the continuation of the company in order to achieve the added value of the Restructuring Plan, or the impairment of the rights of creditors is marginal, such as, for example, in case their rights are not impaired and the maturity dates of their claims are deferred by no more than 18 months.</w:t>
      </w:r>
    </w:p>
    <w:p w14:paraId="337DD3C9" w14:textId="019DA210" w:rsidR="00175638" w:rsidRPr="008A398A" w:rsidRDefault="00175638" w:rsidP="00175638">
      <w:pPr>
        <w:rPr>
          <w:rFonts w:eastAsia="Times New Roman" w:cstheme="minorHAnsi"/>
          <w:bCs/>
          <w:i/>
          <w:iCs/>
        </w:rPr>
      </w:pPr>
      <w:r w:rsidRPr="008A398A">
        <w:rPr>
          <w:rFonts w:eastAsia="Times New Roman" w:cstheme="minorHAnsi"/>
          <w:bCs/>
          <w:i/>
          <w:iCs/>
        </w:rPr>
        <w:t>Appointment of IP</w:t>
      </w:r>
    </w:p>
    <w:p w14:paraId="0D849429" w14:textId="7D2A0830" w:rsidR="00175638" w:rsidRPr="006A1187" w:rsidRDefault="00175638" w:rsidP="00175638">
      <w:pPr>
        <w:rPr>
          <w:rFonts w:eastAsia="Times New Roman" w:cstheme="minorHAnsi"/>
          <w:iCs/>
        </w:rPr>
      </w:pPr>
      <w:r w:rsidRPr="006A1187">
        <w:rPr>
          <w:rFonts w:eastAsia="Times New Roman" w:cstheme="minorHAnsi"/>
          <w:iCs/>
        </w:rPr>
        <w:t xml:space="preserve">Generally, the debtor's management remains in full control of the company and its business operations. However, in certain cases the Restructuring Court will appoint a so-called Restructuring Officer. Examples are where (i) the Restructuring Court orders a comprehensive set of stabilisation measures affecting substantially all creditors; or (ii) a cross-class cram-down is required. </w:t>
      </w:r>
    </w:p>
    <w:p w14:paraId="05A99D8F" w14:textId="79FE87F5" w:rsidR="00175638" w:rsidRPr="008A398A" w:rsidRDefault="00175638" w:rsidP="00175638">
      <w:pPr>
        <w:rPr>
          <w:rFonts w:eastAsia="Times New Roman" w:cstheme="minorHAnsi"/>
          <w:bCs/>
          <w:i/>
          <w:iCs/>
        </w:rPr>
      </w:pPr>
      <w:r w:rsidRPr="008A398A">
        <w:rPr>
          <w:rFonts w:eastAsia="Times New Roman" w:cstheme="minorHAnsi"/>
          <w:bCs/>
          <w:i/>
          <w:iCs/>
        </w:rPr>
        <w:t>Jurisdiction Test</w:t>
      </w:r>
    </w:p>
    <w:p w14:paraId="59569842" w14:textId="1438C704" w:rsidR="00175638" w:rsidRPr="006A1187" w:rsidRDefault="00175638" w:rsidP="00175638">
      <w:pPr>
        <w:rPr>
          <w:rFonts w:eastAsia="Times New Roman" w:cstheme="minorHAnsi"/>
          <w:iCs/>
        </w:rPr>
      </w:pPr>
      <w:r w:rsidRPr="006A1187">
        <w:rPr>
          <w:rFonts w:eastAsia="Times New Roman" w:cstheme="minorHAnsi"/>
          <w:iCs/>
        </w:rPr>
        <w:t>In general, all debtors with a COMI in Germany except for Financial Institutions are eligible for the Preventive Restructuring Framework.</w:t>
      </w:r>
    </w:p>
    <w:p w14:paraId="6137AA49" w14:textId="2103CEEB" w:rsidR="00175638" w:rsidRPr="008A398A" w:rsidRDefault="00175638" w:rsidP="00175638">
      <w:pPr>
        <w:rPr>
          <w:rFonts w:eastAsia="Times New Roman" w:cstheme="minorHAnsi"/>
          <w:bCs/>
          <w:i/>
          <w:iCs/>
        </w:rPr>
      </w:pPr>
      <w:r w:rsidRPr="008A398A">
        <w:rPr>
          <w:rFonts w:eastAsia="Times New Roman" w:cstheme="minorHAnsi"/>
          <w:bCs/>
          <w:i/>
          <w:iCs/>
        </w:rPr>
        <w:t>EU Recognition</w:t>
      </w:r>
    </w:p>
    <w:p w14:paraId="2A25BEC0" w14:textId="25FCF570" w:rsidR="00175638" w:rsidRPr="006A1187" w:rsidRDefault="00175638" w:rsidP="00175638">
      <w:pPr>
        <w:rPr>
          <w:rFonts w:eastAsia="Times New Roman" w:cstheme="minorHAnsi"/>
          <w:iCs/>
        </w:rPr>
      </w:pPr>
      <w:r w:rsidRPr="006A1187">
        <w:rPr>
          <w:rFonts w:eastAsia="Times New Roman" w:cstheme="minorHAnsi"/>
          <w:iCs/>
        </w:rPr>
        <w:t>Public Preventive Restructuring Fram</w:t>
      </w:r>
      <w:r w:rsidR="00DD1A6E" w:rsidRPr="006A1187">
        <w:rPr>
          <w:rFonts w:eastAsia="Times New Roman" w:cstheme="minorHAnsi"/>
          <w:iCs/>
        </w:rPr>
        <w:t>e</w:t>
      </w:r>
      <w:r w:rsidRPr="006A1187">
        <w:rPr>
          <w:rFonts w:eastAsia="Times New Roman" w:cstheme="minorHAnsi"/>
          <w:iCs/>
        </w:rPr>
        <w:t>works have been in included in Annex A of the EU Insolvency Regulation. Such proceedings will be recog</w:t>
      </w:r>
      <w:r w:rsidR="00DD1A6E" w:rsidRPr="006A1187">
        <w:rPr>
          <w:rFonts w:eastAsia="Times New Roman" w:cstheme="minorHAnsi"/>
          <w:iCs/>
        </w:rPr>
        <w:t>n</w:t>
      </w:r>
      <w:r w:rsidRPr="006A1187">
        <w:rPr>
          <w:rFonts w:eastAsia="Times New Roman" w:cstheme="minorHAnsi"/>
          <w:iCs/>
        </w:rPr>
        <w:t>ised within the EU automatically after 17 July 2022</w:t>
      </w:r>
      <w:r w:rsidR="00FE6231" w:rsidRPr="006A1187">
        <w:rPr>
          <w:rFonts w:eastAsia="Times New Roman" w:cstheme="minorHAnsi"/>
          <w:iCs/>
        </w:rPr>
        <w:t>,</w:t>
      </w:r>
      <w:r w:rsidRPr="006A1187">
        <w:rPr>
          <w:rFonts w:eastAsia="Times New Roman" w:cstheme="minorHAnsi"/>
          <w:iCs/>
        </w:rPr>
        <w:t xml:space="preserve"> once the respective rules for publication have come into effect. For non-public Preventive Restructuring Fram</w:t>
      </w:r>
      <w:r w:rsidR="00DD1A6E" w:rsidRPr="006A1187">
        <w:rPr>
          <w:rFonts w:eastAsia="Times New Roman" w:cstheme="minorHAnsi"/>
          <w:iCs/>
        </w:rPr>
        <w:t>e</w:t>
      </w:r>
      <w:r w:rsidRPr="006A1187">
        <w:rPr>
          <w:rFonts w:eastAsia="Times New Roman" w:cstheme="minorHAnsi"/>
          <w:iCs/>
        </w:rPr>
        <w:t>works there is no automatic recognition and it has yet to be determined by the courts whether recognition will be achieved pursuant to European legislation (other than the EU Insolvency Regulation) or local laws.</w:t>
      </w:r>
    </w:p>
    <w:p w14:paraId="7A1DBF08" w14:textId="04AB042C" w:rsidR="00175638" w:rsidRPr="008A398A" w:rsidRDefault="00175638" w:rsidP="00175638">
      <w:pPr>
        <w:rPr>
          <w:rFonts w:eastAsia="Times New Roman" w:cstheme="minorHAnsi"/>
          <w:bCs/>
          <w:i/>
          <w:iCs/>
        </w:rPr>
      </w:pPr>
      <w:r w:rsidRPr="008A398A">
        <w:rPr>
          <w:rFonts w:eastAsia="Times New Roman" w:cstheme="minorHAnsi"/>
          <w:bCs/>
          <w:i/>
          <w:iCs/>
        </w:rPr>
        <w:t>Challenges</w:t>
      </w:r>
    </w:p>
    <w:p w14:paraId="771DC69C" w14:textId="1B061C21" w:rsidR="00175638" w:rsidRPr="006A1187" w:rsidRDefault="00175638" w:rsidP="00175638">
      <w:pPr>
        <w:rPr>
          <w:rFonts w:eastAsia="Times New Roman" w:cstheme="minorHAnsi"/>
          <w:iCs/>
        </w:rPr>
      </w:pPr>
      <w:r w:rsidRPr="006A1187">
        <w:rPr>
          <w:rFonts w:eastAsia="Times New Roman" w:cstheme="minorHAnsi"/>
          <w:iCs/>
        </w:rPr>
        <w:t xml:space="preserve">The draft bill of the </w:t>
      </w:r>
      <w:proofErr w:type="spellStart"/>
      <w:r w:rsidRPr="006A1187">
        <w:rPr>
          <w:rFonts w:eastAsia="Times New Roman" w:cstheme="minorHAnsi"/>
          <w:iCs/>
        </w:rPr>
        <w:t>StaRUG</w:t>
      </w:r>
      <w:proofErr w:type="spellEnd"/>
      <w:r w:rsidRPr="006A1187">
        <w:rPr>
          <w:rFonts w:eastAsia="Times New Roman" w:cstheme="minorHAnsi"/>
          <w:iCs/>
        </w:rPr>
        <w:t xml:space="preserve"> contained a couple of helpful features which have no</w:t>
      </w:r>
      <w:r w:rsidR="00A22E4C" w:rsidRPr="006A1187">
        <w:rPr>
          <w:rFonts w:eastAsia="Times New Roman" w:cstheme="minorHAnsi"/>
          <w:iCs/>
        </w:rPr>
        <w:t>t</w:t>
      </w:r>
      <w:r w:rsidRPr="006A1187">
        <w:rPr>
          <w:rFonts w:eastAsia="Times New Roman" w:cstheme="minorHAnsi"/>
          <w:iCs/>
        </w:rPr>
        <w:t xml:space="preserve"> made it into the statute, such as e.g. the ability to terminate executory contracts</w:t>
      </w:r>
      <w:r w:rsidR="005C4F85" w:rsidRPr="006A1187">
        <w:rPr>
          <w:rFonts w:eastAsia="Times New Roman" w:cstheme="minorHAnsi"/>
          <w:iCs/>
        </w:rPr>
        <w:t xml:space="preserve"> (</w:t>
      </w:r>
      <w:r w:rsidR="00FB54D3" w:rsidRPr="006A1187">
        <w:rPr>
          <w:rFonts w:eastAsia="Times New Roman" w:cstheme="minorHAnsi"/>
          <w:iCs/>
        </w:rPr>
        <w:t>under</w:t>
      </w:r>
      <w:r w:rsidR="005C4F85" w:rsidRPr="006A1187">
        <w:rPr>
          <w:rFonts w:eastAsia="Times New Roman" w:cstheme="minorHAnsi"/>
          <w:iCs/>
        </w:rPr>
        <w:t xml:space="preserve"> certain conditions)</w:t>
      </w:r>
      <w:r w:rsidRPr="006A1187">
        <w:rPr>
          <w:rFonts w:eastAsia="Times New Roman" w:cstheme="minorHAnsi"/>
          <w:iCs/>
        </w:rPr>
        <w:t xml:space="preserve">. Accordingly, the </w:t>
      </w:r>
      <w:proofErr w:type="spellStart"/>
      <w:r w:rsidRPr="006A1187">
        <w:rPr>
          <w:rFonts w:eastAsia="Times New Roman" w:cstheme="minorHAnsi"/>
          <w:iCs/>
        </w:rPr>
        <w:t>StaRUG</w:t>
      </w:r>
      <w:proofErr w:type="spellEnd"/>
      <w:r w:rsidRPr="006A1187">
        <w:rPr>
          <w:rFonts w:eastAsia="Times New Roman" w:cstheme="minorHAnsi"/>
          <w:iCs/>
        </w:rPr>
        <w:t xml:space="preserve"> is likely to find its primary use in financial restructurings. </w:t>
      </w:r>
      <w:r w:rsidR="00FE6231" w:rsidRPr="006A1187">
        <w:rPr>
          <w:rFonts w:eastAsia="Times New Roman" w:cstheme="minorHAnsi"/>
          <w:iCs/>
        </w:rPr>
        <w:t xml:space="preserve">If the </w:t>
      </w:r>
      <w:r w:rsidRPr="006A1187">
        <w:rPr>
          <w:rFonts w:eastAsia="Times New Roman" w:cstheme="minorHAnsi"/>
          <w:iCs/>
        </w:rPr>
        <w:t xml:space="preserve">restructuring </w:t>
      </w:r>
      <w:r w:rsidR="00FE6231" w:rsidRPr="006A1187">
        <w:rPr>
          <w:rFonts w:eastAsia="Times New Roman" w:cstheme="minorHAnsi"/>
          <w:iCs/>
        </w:rPr>
        <w:t>of executory contracts cannot be achieved consensually</w:t>
      </w:r>
      <w:r w:rsidR="005C4F85" w:rsidRPr="006A1187">
        <w:rPr>
          <w:rFonts w:eastAsia="Times New Roman" w:cstheme="minorHAnsi"/>
          <w:iCs/>
        </w:rPr>
        <w:t>,</w:t>
      </w:r>
      <w:r w:rsidR="00FE6231" w:rsidRPr="006A1187">
        <w:rPr>
          <w:rFonts w:eastAsia="Times New Roman" w:cstheme="minorHAnsi"/>
          <w:iCs/>
        </w:rPr>
        <w:t xml:space="preserve"> </w:t>
      </w:r>
      <w:r w:rsidRPr="006A1187">
        <w:rPr>
          <w:rFonts w:eastAsia="Times New Roman" w:cstheme="minorHAnsi"/>
          <w:iCs/>
        </w:rPr>
        <w:t xml:space="preserve">German law offers the option of </w:t>
      </w:r>
      <w:r w:rsidR="00FE6231" w:rsidRPr="006A1187">
        <w:rPr>
          <w:rFonts w:eastAsia="Times New Roman" w:cstheme="minorHAnsi"/>
          <w:iCs/>
        </w:rPr>
        <w:t>full-</w:t>
      </w:r>
      <w:r w:rsidRPr="006A1187">
        <w:rPr>
          <w:rFonts w:eastAsia="Times New Roman" w:cstheme="minorHAnsi"/>
          <w:iCs/>
        </w:rPr>
        <w:t xml:space="preserve">functioning debtor in possession proceedings. </w:t>
      </w:r>
    </w:p>
    <w:p w14:paraId="3397B471" w14:textId="69175D8C" w:rsidR="00215488" w:rsidRPr="008A398A" w:rsidRDefault="00215488" w:rsidP="00D15772">
      <w:pPr>
        <w:rPr>
          <w:rFonts w:eastAsia="Times New Roman" w:cstheme="minorHAnsi"/>
          <w:bCs/>
          <w:i/>
          <w:iCs/>
        </w:rPr>
      </w:pPr>
      <w:r w:rsidRPr="008A398A">
        <w:rPr>
          <w:rFonts w:eastAsia="Times New Roman" w:cstheme="minorHAnsi"/>
          <w:bCs/>
          <w:i/>
          <w:iCs/>
        </w:rPr>
        <w:t>Final Word on Germany</w:t>
      </w:r>
    </w:p>
    <w:p w14:paraId="406CAEB5" w14:textId="131949F0" w:rsidR="00175638" w:rsidRDefault="00DD0D03" w:rsidP="00D15772">
      <w:pPr>
        <w:rPr>
          <w:rFonts w:eastAsia="Times New Roman" w:cstheme="minorHAnsi"/>
          <w:iCs/>
        </w:rPr>
      </w:pPr>
      <w:r w:rsidRPr="006A1187">
        <w:rPr>
          <w:rFonts w:eastAsia="Times New Roman" w:cstheme="minorHAnsi"/>
          <w:iCs/>
        </w:rPr>
        <w:t>With the Preventive Restructuring Framework</w:t>
      </w:r>
      <w:r w:rsidR="005C4F85" w:rsidRPr="006A1187">
        <w:rPr>
          <w:rFonts w:eastAsia="Times New Roman" w:cstheme="minorHAnsi"/>
          <w:iCs/>
        </w:rPr>
        <w:t>,</w:t>
      </w:r>
      <w:r w:rsidRPr="006A1187">
        <w:rPr>
          <w:rFonts w:eastAsia="Times New Roman" w:cstheme="minorHAnsi"/>
          <w:iCs/>
        </w:rPr>
        <w:t xml:space="preserve"> t</w:t>
      </w:r>
      <w:r w:rsidR="00175638" w:rsidRPr="006A1187">
        <w:rPr>
          <w:rFonts w:eastAsia="Times New Roman" w:cstheme="minorHAnsi"/>
          <w:iCs/>
        </w:rPr>
        <w:t xml:space="preserve">he </w:t>
      </w:r>
      <w:proofErr w:type="spellStart"/>
      <w:r w:rsidR="00175638" w:rsidRPr="006A1187">
        <w:rPr>
          <w:rFonts w:eastAsia="Times New Roman" w:cstheme="minorHAnsi"/>
          <w:iCs/>
        </w:rPr>
        <w:t>StaRUG</w:t>
      </w:r>
      <w:proofErr w:type="spellEnd"/>
      <w:r w:rsidR="00175638" w:rsidRPr="006A1187">
        <w:rPr>
          <w:rFonts w:eastAsia="Times New Roman" w:cstheme="minorHAnsi"/>
          <w:iCs/>
        </w:rPr>
        <w:t xml:space="preserve"> </w:t>
      </w:r>
      <w:r w:rsidRPr="006A1187">
        <w:rPr>
          <w:rFonts w:eastAsia="Times New Roman" w:cstheme="minorHAnsi"/>
          <w:iCs/>
        </w:rPr>
        <w:t xml:space="preserve">has added a </w:t>
      </w:r>
      <w:r w:rsidR="00175638" w:rsidRPr="006A1187">
        <w:rPr>
          <w:rFonts w:eastAsia="Times New Roman" w:cstheme="minorHAnsi"/>
          <w:iCs/>
        </w:rPr>
        <w:t>swift an</w:t>
      </w:r>
      <w:r w:rsidR="00FE6231" w:rsidRPr="006A1187">
        <w:rPr>
          <w:rFonts w:eastAsia="Times New Roman" w:cstheme="minorHAnsi"/>
          <w:iCs/>
        </w:rPr>
        <w:t>d</w:t>
      </w:r>
      <w:r w:rsidR="00175638" w:rsidRPr="006A1187">
        <w:rPr>
          <w:rFonts w:eastAsia="Times New Roman" w:cstheme="minorHAnsi"/>
          <w:iCs/>
        </w:rPr>
        <w:t xml:space="preserve"> flexible </w:t>
      </w:r>
      <w:r w:rsidRPr="006A1187">
        <w:rPr>
          <w:rFonts w:eastAsia="Times New Roman" w:cstheme="minorHAnsi"/>
          <w:iCs/>
        </w:rPr>
        <w:t>instrument to the toolbox</w:t>
      </w:r>
      <w:r w:rsidR="0082726A" w:rsidRPr="006A1187">
        <w:rPr>
          <w:rFonts w:eastAsia="Times New Roman" w:cstheme="minorHAnsi"/>
          <w:iCs/>
        </w:rPr>
        <w:t xml:space="preserve"> that allows, in particular, for an implementation of a restructuring plan by way of outvoting dissenting creditors and including the possibility of a cross-class cramdown</w:t>
      </w:r>
      <w:r w:rsidR="00FB54D3" w:rsidRPr="006A1187">
        <w:rPr>
          <w:rFonts w:eastAsia="Times New Roman" w:cstheme="minorHAnsi"/>
          <w:iCs/>
        </w:rPr>
        <w:t xml:space="preserve"> (see above)</w:t>
      </w:r>
      <w:r w:rsidR="00175638" w:rsidRPr="006A1187">
        <w:rPr>
          <w:rFonts w:eastAsia="Times New Roman" w:cstheme="minorHAnsi"/>
          <w:iCs/>
        </w:rPr>
        <w:t>. There have been twenty</w:t>
      </w:r>
      <w:r w:rsidR="005C4F85" w:rsidRPr="006A1187">
        <w:rPr>
          <w:rFonts w:eastAsia="Times New Roman" w:cstheme="minorHAnsi"/>
          <w:iCs/>
        </w:rPr>
        <w:t>-</w:t>
      </w:r>
      <w:r w:rsidR="00175638" w:rsidRPr="006A1187">
        <w:rPr>
          <w:rFonts w:eastAsia="Times New Roman" w:cstheme="minorHAnsi"/>
          <w:iCs/>
        </w:rPr>
        <w:t xml:space="preserve">two cases </w:t>
      </w:r>
      <w:r w:rsidRPr="006A1187">
        <w:rPr>
          <w:rFonts w:eastAsia="Times New Roman" w:cstheme="minorHAnsi"/>
          <w:iCs/>
        </w:rPr>
        <w:t xml:space="preserve">reported so far with four confirmed </w:t>
      </w:r>
      <w:r w:rsidR="00FE6231" w:rsidRPr="006A1187">
        <w:rPr>
          <w:rFonts w:eastAsia="Times New Roman" w:cstheme="minorHAnsi"/>
          <w:iCs/>
        </w:rPr>
        <w:t>R</w:t>
      </w:r>
      <w:r w:rsidRPr="006A1187">
        <w:rPr>
          <w:rFonts w:eastAsia="Times New Roman" w:cstheme="minorHAnsi"/>
          <w:iCs/>
        </w:rPr>
        <w:t xml:space="preserve">estructuring </w:t>
      </w:r>
      <w:r w:rsidR="00FE6231" w:rsidRPr="006A1187">
        <w:rPr>
          <w:rFonts w:eastAsia="Times New Roman" w:cstheme="minorHAnsi"/>
          <w:iCs/>
        </w:rPr>
        <w:t>P</w:t>
      </w:r>
      <w:r w:rsidRPr="006A1187">
        <w:rPr>
          <w:rFonts w:eastAsia="Times New Roman" w:cstheme="minorHAnsi"/>
          <w:iCs/>
        </w:rPr>
        <w:t>lans. In one case</w:t>
      </w:r>
      <w:r w:rsidR="005C4F85" w:rsidRPr="006A1187">
        <w:rPr>
          <w:rFonts w:eastAsia="Times New Roman" w:cstheme="minorHAnsi"/>
          <w:iCs/>
        </w:rPr>
        <w:t>,</w:t>
      </w:r>
      <w:r w:rsidRPr="006A1187">
        <w:rPr>
          <w:rFonts w:eastAsia="Times New Roman" w:cstheme="minorHAnsi"/>
          <w:iCs/>
        </w:rPr>
        <w:t xml:space="preserve"> the process has been implemented in just seventy</w:t>
      </w:r>
      <w:r w:rsidR="005C4F85" w:rsidRPr="006A1187">
        <w:rPr>
          <w:rFonts w:eastAsia="Times New Roman" w:cstheme="minorHAnsi"/>
          <w:iCs/>
        </w:rPr>
        <w:t>-</w:t>
      </w:r>
      <w:r w:rsidRPr="006A1187">
        <w:rPr>
          <w:rFonts w:eastAsia="Times New Roman" w:cstheme="minorHAnsi"/>
          <w:iCs/>
        </w:rPr>
        <w:t>five days</w:t>
      </w:r>
      <w:r w:rsidR="00FE6231" w:rsidRPr="006A1187">
        <w:rPr>
          <w:rFonts w:eastAsia="Times New Roman" w:cstheme="minorHAnsi"/>
          <w:iCs/>
        </w:rPr>
        <w:t xml:space="preserve"> from initi</w:t>
      </w:r>
      <w:r w:rsidR="005C4F85" w:rsidRPr="006A1187">
        <w:rPr>
          <w:rFonts w:eastAsia="Times New Roman" w:cstheme="minorHAnsi"/>
          <w:iCs/>
        </w:rPr>
        <w:t>a</w:t>
      </w:r>
      <w:r w:rsidR="00FE6231" w:rsidRPr="006A1187">
        <w:rPr>
          <w:rFonts w:eastAsia="Times New Roman" w:cstheme="minorHAnsi"/>
          <w:iCs/>
        </w:rPr>
        <w:t>tion to confirmation</w:t>
      </w:r>
      <w:r w:rsidRPr="006A1187">
        <w:rPr>
          <w:rFonts w:eastAsia="Times New Roman" w:cstheme="minorHAnsi"/>
          <w:iCs/>
        </w:rPr>
        <w:t>. The Pre</w:t>
      </w:r>
      <w:r w:rsidR="00FE6231" w:rsidRPr="006A1187">
        <w:rPr>
          <w:rFonts w:eastAsia="Times New Roman" w:cstheme="minorHAnsi"/>
          <w:iCs/>
        </w:rPr>
        <w:t>v</w:t>
      </w:r>
      <w:r w:rsidRPr="006A1187">
        <w:rPr>
          <w:rFonts w:eastAsia="Times New Roman" w:cstheme="minorHAnsi"/>
          <w:iCs/>
        </w:rPr>
        <w:t>entive Restructuring Framework has proven as a flexible tool that can deal</w:t>
      </w:r>
      <w:r w:rsidR="00FE6231" w:rsidRPr="006A1187">
        <w:rPr>
          <w:rFonts w:eastAsia="Times New Roman" w:cstheme="minorHAnsi"/>
          <w:iCs/>
        </w:rPr>
        <w:t>,</w:t>
      </w:r>
      <w:r w:rsidRPr="006A1187">
        <w:rPr>
          <w:rFonts w:eastAsia="Times New Roman" w:cstheme="minorHAnsi"/>
          <w:iCs/>
        </w:rPr>
        <w:t xml:space="preserve"> </w:t>
      </w:r>
      <w:r w:rsidR="00FE6231" w:rsidRPr="006A1187">
        <w:rPr>
          <w:rFonts w:eastAsia="Times New Roman" w:cstheme="minorHAnsi"/>
          <w:iCs/>
        </w:rPr>
        <w:t xml:space="preserve">for example, </w:t>
      </w:r>
      <w:r w:rsidRPr="006A1187">
        <w:rPr>
          <w:rFonts w:eastAsia="Times New Roman" w:cstheme="minorHAnsi"/>
          <w:iCs/>
        </w:rPr>
        <w:t>with disputes among shareholder</w:t>
      </w:r>
      <w:r w:rsidR="0082726A" w:rsidRPr="006A1187">
        <w:rPr>
          <w:rFonts w:eastAsia="Times New Roman" w:cstheme="minorHAnsi"/>
          <w:iCs/>
        </w:rPr>
        <w:t>s</w:t>
      </w:r>
      <w:r w:rsidRPr="006A1187">
        <w:rPr>
          <w:rFonts w:eastAsia="Times New Roman" w:cstheme="minorHAnsi"/>
          <w:iCs/>
        </w:rPr>
        <w:t xml:space="preserve">, the restructuring of bonds, dissenting lenders in </w:t>
      </w:r>
      <w:r w:rsidR="00FE6231" w:rsidRPr="006A1187">
        <w:rPr>
          <w:rFonts w:eastAsia="Times New Roman" w:cstheme="minorHAnsi"/>
          <w:iCs/>
        </w:rPr>
        <w:t xml:space="preserve">syndicated loans or </w:t>
      </w:r>
      <w:r w:rsidRPr="006A1187">
        <w:rPr>
          <w:rFonts w:eastAsia="Times New Roman" w:cstheme="minorHAnsi"/>
          <w:iCs/>
        </w:rPr>
        <w:t xml:space="preserve">assist with the restructuring of an individual group entity </w:t>
      </w:r>
      <w:r w:rsidR="00FE6231" w:rsidRPr="006A1187">
        <w:rPr>
          <w:rFonts w:eastAsia="Times New Roman" w:cstheme="minorHAnsi"/>
          <w:iCs/>
        </w:rPr>
        <w:t xml:space="preserve">during </w:t>
      </w:r>
      <w:r w:rsidRPr="006A1187">
        <w:rPr>
          <w:rFonts w:eastAsia="Times New Roman" w:cstheme="minorHAnsi"/>
          <w:iCs/>
        </w:rPr>
        <w:t xml:space="preserve">the </w:t>
      </w:r>
      <w:r w:rsidR="00FE6231" w:rsidRPr="006A1187">
        <w:rPr>
          <w:rFonts w:eastAsia="Times New Roman" w:cstheme="minorHAnsi"/>
          <w:iCs/>
        </w:rPr>
        <w:t xml:space="preserve">reorganisation of the </w:t>
      </w:r>
      <w:r w:rsidRPr="006A1187">
        <w:rPr>
          <w:rFonts w:eastAsia="Times New Roman" w:cstheme="minorHAnsi"/>
          <w:iCs/>
        </w:rPr>
        <w:t xml:space="preserve">group </w:t>
      </w:r>
      <w:r w:rsidR="00FE6231" w:rsidRPr="006A1187">
        <w:rPr>
          <w:rFonts w:eastAsia="Times New Roman" w:cstheme="minorHAnsi"/>
          <w:iCs/>
        </w:rPr>
        <w:t xml:space="preserve">in an </w:t>
      </w:r>
      <w:r w:rsidRPr="006A1187">
        <w:rPr>
          <w:rFonts w:eastAsia="Times New Roman" w:cstheme="minorHAnsi"/>
          <w:iCs/>
        </w:rPr>
        <w:t xml:space="preserve">in-court process. </w:t>
      </w:r>
    </w:p>
    <w:p w14:paraId="4C3647F1" w14:textId="77777777" w:rsidR="008A398A" w:rsidRPr="006A1187" w:rsidRDefault="008A398A" w:rsidP="00D15772">
      <w:pPr>
        <w:rPr>
          <w:rFonts w:eastAsia="Times New Roman" w:cstheme="minorHAnsi"/>
          <w:iCs/>
        </w:rPr>
      </w:pPr>
    </w:p>
    <w:p w14:paraId="5AAACCCE" w14:textId="657FF292" w:rsidR="00AB453F" w:rsidRPr="006A1187" w:rsidRDefault="00AB453F">
      <w:pPr>
        <w:rPr>
          <w:rFonts w:eastAsia="Times New Roman" w:cstheme="minorHAnsi"/>
          <w:u w:val="single"/>
        </w:rPr>
      </w:pPr>
    </w:p>
    <w:p w14:paraId="7889AEEA" w14:textId="4C16E462" w:rsidR="00AB453F" w:rsidRPr="006A1187" w:rsidRDefault="00AB453F">
      <w:pPr>
        <w:rPr>
          <w:rFonts w:eastAsia="Times New Roman" w:cstheme="minorHAnsi"/>
          <w:u w:val="single"/>
        </w:rPr>
      </w:pPr>
      <w:r w:rsidRPr="006A1187">
        <w:rPr>
          <w:rFonts w:eastAsia="Times New Roman" w:cstheme="minorHAnsi"/>
          <w:u w:val="single"/>
        </w:rPr>
        <w:lastRenderedPageBreak/>
        <w:t>Concluding remarks (by chair, Chris Laughton of Mercer &amp; Hole)</w:t>
      </w:r>
    </w:p>
    <w:p w14:paraId="25447199" w14:textId="6FF084E6" w:rsidR="004A5850" w:rsidRPr="006A1187" w:rsidRDefault="004A5850">
      <w:pPr>
        <w:rPr>
          <w:rFonts w:eastAsia="Times New Roman" w:cstheme="minorHAnsi"/>
        </w:rPr>
      </w:pPr>
      <w:r w:rsidRPr="006A1187">
        <w:rPr>
          <w:rFonts w:eastAsia="Times New Roman" w:cstheme="minorHAnsi"/>
        </w:rPr>
        <w:t xml:space="preserve">There is a striking similarity between many of these four regimes and where time and circumstances permit, the particular facts of the </w:t>
      </w:r>
      <w:r w:rsidR="00307B44" w:rsidRPr="006A1187">
        <w:rPr>
          <w:rFonts w:eastAsia="Times New Roman" w:cstheme="minorHAnsi"/>
        </w:rPr>
        <w:t xml:space="preserve">cross-border </w:t>
      </w:r>
      <w:r w:rsidRPr="006A1187">
        <w:rPr>
          <w:rFonts w:eastAsia="Times New Roman" w:cstheme="minorHAnsi"/>
        </w:rPr>
        <w:t>case in question may well dictate which restructuring regime is chosen.</w:t>
      </w:r>
      <w:r w:rsidR="007A25F9" w:rsidRPr="006A1187">
        <w:rPr>
          <w:rFonts w:eastAsia="Times New Roman" w:cstheme="minorHAnsi"/>
        </w:rPr>
        <w:t xml:space="preserve"> </w:t>
      </w:r>
      <w:r w:rsidR="00170398" w:rsidRPr="006A1187">
        <w:rPr>
          <w:rFonts w:eastAsia="Times New Roman" w:cstheme="minorHAnsi"/>
        </w:rPr>
        <w:t>Each regime claims flexibility and skilled practitioners and none stands out with all-round advantages for cross-border restructuring. Often these plans and schemes will support each other and run in parallel. As ever in cross-border restructuring the key to success is communication and cooperation</w:t>
      </w:r>
      <w:r w:rsidR="004526C1" w:rsidRPr="006A1187">
        <w:rPr>
          <w:rFonts w:eastAsia="Times New Roman" w:cstheme="minorHAnsi"/>
        </w:rPr>
        <w:t xml:space="preserve"> between professionals, as exemplified by the panel members.</w:t>
      </w:r>
    </w:p>
    <w:p w14:paraId="70D950F2" w14:textId="77777777" w:rsidR="00AB453F" w:rsidRPr="006A1187" w:rsidRDefault="00AB453F">
      <w:pPr>
        <w:rPr>
          <w:rFonts w:eastAsia="Times New Roman" w:cstheme="minorHAnsi"/>
          <w:u w:val="single"/>
        </w:rPr>
      </w:pPr>
    </w:p>
    <w:p w14:paraId="2B98DD65" w14:textId="1D825545" w:rsidR="0061404B" w:rsidRPr="006A1187" w:rsidRDefault="00AB453F">
      <w:pPr>
        <w:rPr>
          <w:rFonts w:eastAsia="Times New Roman" w:cstheme="minorHAnsi"/>
          <w:u w:val="single"/>
        </w:rPr>
      </w:pPr>
      <w:r w:rsidRPr="006A1187">
        <w:rPr>
          <w:rFonts w:eastAsia="Times New Roman" w:cstheme="minorHAnsi"/>
          <w:u w:val="single"/>
        </w:rPr>
        <w:t>Further research</w:t>
      </w:r>
    </w:p>
    <w:p w14:paraId="48AE58F8" w14:textId="5ACED6E5" w:rsidR="005067B3" w:rsidRPr="006A1187" w:rsidRDefault="005067B3">
      <w:pPr>
        <w:rPr>
          <w:rFonts w:eastAsia="Times New Roman" w:cstheme="minorHAnsi"/>
        </w:rPr>
      </w:pPr>
      <w:proofErr w:type="spellStart"/>
      <w:r w:rsidRPr="006A1187">
        <w:rPr>
          <w:rFonts w:eastAsia="Times New Roman" w:cstheme="minorHAnsi"/>
        </w:rPr>
        <w:t>LexisPSL</w:t>
      </w:r>
      <w:proofErr w:type="spellEnd"/>
      <w:r w:rsidRPr="006A1187">
        <w:rPr>
          <w:rFonts w:eastAsia="Times New Roman" w:cstheme="minorHAnsi"/>
        </w:rPr>
        <w:t xml:space="preserve"> R&amp;I is excited to be partnering with INSOL Europe to produce a research paper in 2022 </w:t>
      </w:r>
      <w:r w:rsidR="00AB453F" w:rsidRPr="006A1187">
        <w:rPr>
          <w:rFonts w:eastAsia="Times New Roman" w:cstheme="minorHAnsi"/>
        </w:rPr>
        <w:t>analysing</w:t>
      </w:r>
      <w:r w:rsidRPr="006A1187">
        <w:rPr>
          <w:rFonts w:eastAsia="Times New Roman" w:cstheme="minorHAnsi"/>
        </w:rPr>
        <w:t xml:space="preserve"> how various Member States have implemented the Restructuring and Second Chance Directive</w:t>
      </w:r>
      <w:r w:rsidR="00AB453F" w:rsidRPr="006A1187">
        <w:rPr>
          <w:rFonts w:eastAsia="Times New Roman" w:cstheme="minorHAnsi"/>
        </w:rPr>
        <w:t xml:space="preserve">. INSOL Europe’s national reporters will be asked to </w:t>
      </w:r>
      <w:proofErr w:type="spellStart"/>
      <w:r w:rsidR="00AB453F" w:rsidRPr="006A1187">
        <w:rPr>
          <w:rFonts w:eastAsia="Times New Roman" w:cstheme="minorHAnsi"/>
        </w:rPr>
        <w:t>analyize</w:t>
      </w:r>
      <w:proofErr w:type="spellEnd"/>
      <w:r w:rsidR="00AB453F" w:rsidRPr="006A1187">
        <w:rPr>
          <w:rFonts w:eastAsia="Times New Roman" w:cstheme="minorHAnsi"/>
        </w:rPr>
        <w:t xml:space="preserve"> their country’s regimes through a series of </w:t>
      </w:r>
      <w:r w:rsidR="004A5850" w:rsidRPr="006A1187">
        <w:rPr>
          <w:rFonts w:eastAsia="Times New Roman" w:cstheme="minorHAnsi"/>
        </w:rPr>
        <w:t>questions mapped to the Directive’s requirements</w:t>
      </w:r>
      <w:r w:rsidR="00AB453F" w:rsidRPr="006A1187">
        <w:rPr>
          <w:rFonts w:eastAsia="Times New Roman" w:cstheme="minorHAnsi"/>
        </w:rPr>
        <w:t>.</w:t>
      </w:r>
    </w:p>
    <w:p w14:paraId="45150448" w14:textId="4467189A" w:rsidR="00AB453F" w:rsidRPr="006A1187" w:rsidRDefault="00AB453F">
      <w:pPr>
        <w:rPr>
          <w:rFonts w:eastAsia="Times New Roman" w:cstheme="minorHAnsi"/>
        </w:rPr>
      </w:pPr>
      <w:r w:rsidRPr="006A1187">
        <w:rPr>
          <w:rFonts w:eastAsia="Times New Roman" w:cstheme="minorHAnsi"/>
        </w:rPr>
        <w:t>The findings will be published on INSOL Europe’s website (</w:t>
      </w:r>
      <w:hyperlink r:id="rId11" w:history="1">
        <w:r w:rsidRPr="006A1187">
          <w:rPr>
            <w:rStyle w:val="Hyperlink"/>
            <w:rFonts w:eastAsia="Times New Roman" w:cstheme="minorHAnsi"/>
            <w:color w:val="auto"/>
          </w:rPr>
          <w:t>https://www.insol-europe.org</w:t>
        </w:r>
      </w:hyperlink>
      <w:r w:rsidRPr="006A1187">
        <w:rPr>
          <w:rFonts w:eastAsia="Times New Roman" w:cstheme="minorHAnsi"/>
        </w:rPr>
        <w:t xml:space="preserve">) as well as on </w:t>
      </w:r>
      <w:proofErr w:type="spellStart"/>
      <w:r w:rsidRPr="006A1187">
        <w:rPr>
          <w:rFonts w:eastAsia="Times New Roman" w:cstheme="minorHAnsi"/>
        </w:rPr>
        <w:t>LexisPSL</w:t>
      </w:r>
      <w:proofErr w:type="spellEnd"/>
      <w:r w:rsidRPr="006A1187">
        <w:rPr>
          <w:rFonts w:eastAsia="Times New Roman" w:cstheme="minorHAnsi"/>
        </w:rPr>
        <w:t xml:space="preserve"> R&amp;I.</w:t>
      </w:r>
      <w:r w:rsidR="00C74644" w:rsidRPr="006A1187">
        <w:rPr>
          <w:rFonts w:eastAsia="Times New Roman" w:cstheme="minorHAnsi"/>
        </w:rPr>
        <w:t xml:space="preserve"> We will add reports as countries continue to implement new restructuring plan/scheme procedures before the EU’s </w:t>
      </w:r>
      <w:r w:rsidR="00872F5B" w:rsidRPr="006A1187">
        <w:rPr>
          <w:rFonts w:eastAsia="Times New Roman" w:cstheme="minorHAnsi"/>
        </w:rPr>
        <w:t>long stop date</w:t>
      </w:r>
      <w:r w:rsidR="00C74644" w:rsidRPr="006A1187">
        <w:rPr>
          <w:rFonts w:eastAsia="Times New Roman" w:cstheme="minorHAnsi"/>
        </w:rPr>
        <w:t xml:space="preserve"> of 17 July 2022 </w:t>
      </w:r>
      <w:r w:rsidR="00872F5B" w:rsidRPr="006A1187">
        <w:rPr>
          <w:rFonts w:eastAsia="Times New Roman" w:cstheme="minorHAnsi"/>
        </w:rPr>
        <w:t xml:space="preserve">(for Member States which have requested an extension) </w:t>
      </w:r>
      <w:r w:rsidR="00C74644" w:rsidRPr="006A1187">
        <w:rPr>
          <w:rFonts w:eastAsia="Times New Roman" w:cstheme="minorHAnsi"/>
        </w:rPr>
        <w:t>for implementation of the Restructuring and Second Chance Directive.</w:t>
      </w:r>
    </w:p>
    <w:p w14:paraId="11478D98" w14:textId="77777777" w:rsidR="0061404B" w:rsidRPr="006A1187" w:rsidRDefault="0061404B">
      <w:pPr>
        <w:rPr>
          <w:rFonts w:cstheme="minorHAnsi"/>
        </w:rPr>
      </w:pPr>
    </w:p>
    <w:sectPr w:rsidR="0061404B" w:rsidRPr="006A11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A3CBB"/>
    <w:multiLevelType w:val="hybridMultilevel"/>
    <w:tmpl w:val="DFE4AD46"/>
    <w:lvl w:ilvl="0" w:tplc="7792BEC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9D6C26"/>
    <w:multiLevelType w:val="hybridMultilevel"/>
    <w:tmpl w:val="99C0E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946357"/>
    <w:multiLevelType w:val="hybridMultilevel"/>
    <w:tmpl w:val="D8EC67D2"/>
    <w:lvl w:ilvl="0" w:tplc="FA26150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CC11E5"/>
    <w:multiLevelType w:val="hybridMultilevel"/>
    <w:tmpl w:val="42902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F2918"/>
    <w:multiLevelType w:val="hybridMultilevel"/>
    <w:tmpl w:val="6420BC08"/>
    <w:lvl w:ilvl="0" w:tplc="6124051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252CAF"/>
    <w:multiLevelType w:val="hybridMultilevel"/>
    <w:tmpl w:val="CBA8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6943D1"/>
    <w:multiLevelType w:val="hybridMultilevel"/>
    <w:tmpl w:val="F9562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A142F1"/>
    <w:multiLevelType w:val="hybridMultilevel"/>
    <w:tmpl w:val="A2B6C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6"/>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6E4"/>
    <w:rsid w:val="00053762"/>
    <w:rsid w:val="000618C6"/>
    <w:rsid w:val="00077BA1"/>
    <w:rsid w:val="00126565"/>
    <w:rsid w:val="00170398"/>
    <w:rsid w:val="00175638"/>
    <w:rsid w:val="001A10FB"/>
    <w:rsid w:val="00215488"/>
    <w:rsid w:val="002C438E"/>
    <w:rsid w:val="002E4BB7"/>
    <w:rsid w:val="00307B44"/>
    <w:rsid w:val="004526C1"/>
    <w:rsid w:val="004A5850"/>
    <w:rsid w:val="005067B3"/>
    <w:rsid w:val="00525A32"/>
    <w:rsid w:val="005B56E4"/>
    <w:rsid w:val="005C4F85"/>
    <w:rsid w:val="0061404B"/>
    <w:rsid w:val="006A1187"/>
    <w:rsid w:val="0071251F"/>
    <w:rsid w:val="007A25F9"/>
    <w:rsid w:val="007D2776"/>
    <w:rsid w:val="0082726A"/>
    <w:rsid w:val="00872F5B"/>
    <w:rsid w:val="00895758"/>
    <w:rsid w:val="008A398A"/>
    <w:rsid w:val="0092554D"/>
    <w:rsid w:val="00942866"/>
    <w:rsid w:val="00A22E4C"/>
    <w:rsid w:val="00A259BA"/>
    <w:rsid w:val="00A26C69"/>
    <w:rsid w:val="00AB453F"/>
    <w:rsid w:val="00AB5961"/>
    <w:rsid w:val="00AB622D"/>
    <w:rsid w:val="00B52F63"/>
    <w:rsid w:val="00BA3B21"/>
    <w:rsid w:val="00C53B88"/>
    <w:rsid w:val="00C74644"/>
    <w:rsid w:val="00D15772"/>
    <w:rsid w:val="00D53AC7"/>
    <w:rsid w:val="00DC6B15"/>
    <w:rsid w:val="00DD0D03"/>
    <w:rsid w:val="00DD1A6E"/>
    <w:rsid w:val="00E268D4"/>
    <w:rsid w:val="00F43379"/>
    <w:rsid w:val="00FA188A"/>
    <w:rsid w:val="00FB54D3"/>
    <w:rsid w:val="00FE6231"/>
    <w:rsid w:val="00FE6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3FA5F"/>
  <w15:chartTrackingRefBased/>
  <w15:docId w15:val="{28B1BD78-2695-4240-919D-2702112C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53F"/>
    <w:pPr>
      <w:ind w:left="720"/>
      <w:contextualSpacing/>
    </w:pPr>
  </w:style>
  <w:style w:type="character" w:styleId="Hyperlink">
    <w:name w:val="Hyperlink"/>
    <w:basedOn w:val="DefaultParagraphFont"/>
    <w:uiPriority w:val="99"/>
    <w:unhideWhenUsed/>
    <w:rsid w:val="00AB453F"/>
    <w:rPr>
      <w:color w:val="0563C1" w:themeColor="hyperlink"/>
      <w:u w:val="single"/>
    </w:rPr>
  </w:style>
  <w:style w:type="character" w:customStyle="1" w:styleId="UnresolvedMention1">
    <w:name w:val="Unresolved Mention1"/>
    <w:basedOn w:val="DefaultParagraphFont"/>
    <w:uiPriority w:val="99"/>
    <w:semiHidden/>
    <w:unhideWhenUsed/>
    <w:rsid w:val="00AB453F"/>
    <w:rPr>
      <w:color w:val="605E5C"/>
      <w:shd w:val="clear" w:color="auto" w:fill="E1DFDD"/>
    </w:rPr>
  </w:style>
  <w:style w:type="paragraph" w:styleId="BalloonText">
    <w:name w:val="Balloon Text"/>
    <w:basedOn w:val="Normal"/>
    <w:link w:val="BalloonTextChar"/>
    <w:uiPriority w:val="99"/>
    <w:semiHidden/>
    <w:unhideWhenUsed/>
    <w:rsid w:val="00175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638"/>
    <w:rPr>
      <w:rFonts w:ascii="Segoe UI" w:hAnsi="Segoe UI" w:cs="Segoe UI"/>
      <w:sz w:val="18"/>
      <w:szCs w:val="18"/>
    </w:rPr>
  </w:style>
  <w:style w:type="paragraph" w:styleId="Revision">
    <w:name w:val="Revision"/>
    <w:hidden/>
    <w:uiPriority w:val="99"/>
    <w:semiHidden/>
    <w:rsid w:val="0092554D"/>
    <w:pPr>
      <w:spacing w:after="0" w:line="240" w:lineRule="auto"/>
    </w:pPr>
  </w:style>
  <w:style w:type="character" w:styleId="CommentReference">
    <w:name w:val="annotation reference"/>
    <w:basedOn w:val="DefaultParagraphFont"/>
    <w:uiPriority w:val="99"/>
    <w:semiHidden/>
    <w:unhideWhenUsed/>
    <w:rsid w:val="006A1187"/>
    <w:rPr>
      <w:sz w:val="16"/>
      <w:szCs w:val="16"/>
    </w:rPr>
  </w:style>
  <w:style w:type="paragraph" w:styleId="CommentText">
    <w:name w:val="annotation text"/>
    <w:basedOn w:val="Normal"/>
    <w:link w:val="CommentTextChar"/>
    <w:uiPriority w:val="99"/>
    <w:semiHidden/>
    <w:unhideWhenUsed/>
    <w:rsid w:val="006A1187"/>
    <w:pPr>
      <w:spacing w:line="240" w:lineRule="auto"/>
    </w:pPr>
    <w:rPr>
      <w:sz w:val="20"/>
      <w:szCs w:val="20"/>
    </w:rPr>
  </w:style>
  <w:style w:type="character" w:customStyle="1" w:styleId="CommentTextChar">
    <w:name w:val="Comment Text Char"/>
    <w:basedOn w:val="DefaultParagraphFont"/>
    <w:link w:val="CommentText"/>
    <w:uiPriority w:val="99"/>
    <w:semiHidden/>
    <w:rsid w:val="006A1187"/>
    <w:rPr>
      <w:sz w:val="20"/>
      <w:szCs w:val="20"/>
    </w:rPr>
  </w:style>
  <w:style w:type="paragraph" w:styleId="CommentSubject">
    <w:name w:val="annotation subject"/>
    <w:basedOn w:val="CommentText"/>
    <w:next w:val="CommentText"/>
    <w:link w:val="CommentSubjectChar"/>
    <w:uiPriority w:val="99"/>
    <w:semiHidden/>
    <w:unhideWhenUsed/>
    <w:rsid w:val="006A1187"/>
    <w:rPr>
      <w:b/>
      <w:bCs/>
    </w:rPr>
  </w:style>
  <w:style w:type="character" w:customStyle="1" w:styleId="CommentSubjectChar">
    <w:name w:val="Comment Subject Char"/>
    <w:basedOn w:val="CommentTextChar"/>
    <w:link w:val="CommentSubject"/>
    <w:uiPriority w:val="99"/>
    <w:semiHidden/>
    <w:rsid w:val="006A11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07612">
      <w:bodyDiv w:val="1"/>
      <w:marLeft w:val="0"/>
      <w:marRight w:val="0"/>
      <w:marTop w:val="0"/>
      <w:marBottom w:val="0"/>
      <w:divBdr>
        <w:top w:val="none" w:sz="0" w:space="0" w:color="auto"/>
        <w:left w:val="none" w:sz="0" w:space="0" w:color="auto"/>
        <w:bottom w:val="none" w:sz="0" w:space="0" w:color="auto"/>
        <w:right w:val="none" w:sz="0" w:space="0" w:color="auto"/>
      </w:divBdr>
    </w:div>
    <w:div w:id="172748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insol-europe.org" TargetMode="Externa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37A378F6BAC4A4E9AEB37B216440247" ma:contentTypeVersion="1" ma:contentTypeDescription="Create a new document." ma:contentTypeScope="" ma:versionID="92511611a3e93e41ab4c17ba6f7b5345">
  <xsd:schema xmlns:xsd="http://www.w3.org/2001/XMLSchema" xmlns:xs="http://www.w3.org/2001/XMLSchema" xmlns:p="http://schemas.microsoft.com/office/2006/metadata/properties" xmlns:ns1="http://schemas.microsoft.com/sharepoint/v3" xmlns:ns2="c87fac54-c9ac-42aa-9477-268c36c0f9bb" targetNamespace="http://schemas.microsoft.com/office/2006/metadata/properties" ma:root="true" ma:fieldsID="887258b83b15e98580cfad654a76d2c0" ns1:_="" ns2:_="">
    <xsd:import namespace="http://schemas.microsoft.com/sharepoint/v3"/>
    <xsd:import namespace="c87fac54-c9ac-42aa-9477-268c36c0f9bb"/>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7fac54-c9ac-42aa-9477-268c36c0f9b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c87fac54-c9ac-42aa-9477-268c36c0f9bb">SRSR7Y6WPMTU-586410380-2826690</_dlc_DocId>
    <_dlc_DocIdUrl xmlns="c87fac54-c9ac-42aa-9477-268c36c0f9bb">
      <Url>http://hub.mercerhole.co.uk/sites/audit_accounts/non_client/_layouts/15/DocIdRedir.aspx?ID=SRSR7Y6WPMTU-586410380-2826690</Url>
      <Description>SRSR7Y6WPMTU-586410380-2826690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C1645-E037-43A1-A0AA-B9696EE7F418}">
  <ds:schemaRefs>
    <ds:schemaRef ds:uri="http://schemas.microsoft.com/sharepoint/v3/contenttype/forms"/>
  </ds:schemaRefs>
</ds:datastoreItem>
</file>

<file path=customXml/itemProps2.xml><?xml version="1.0" encoding="utf-8"?>
<ds:datastoreItem xmlns:ds="http://schemas.openxmlformats.org/officeDocument/2006/customXml" ds:itemID="{93D3906F-AA7C-4623-872E-D4056D39E8BF}">
  <ds:schemaRefs>
    <ds:schemaRef ds:uri="http://schemas.microsoft.com/sharepoint/events"/>
  </ds:schemaRefs>
</ds:datastoreItem>
</file>

<file path=customXml/itemProps3.xml><?xml version="1.0" encoding="utf-8"?>
<ds:datastoreItem xmlns:ds="http://schemas.openxmlformats.org/officeDocument/2006/customXml" ds:itemID="{391F08B4-7A3D-4AA6-BFB1-FD910AB2D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7fac54-c9ac-42aa-9477-268c36c0f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82B384-B948-4D20-882B-BC6422D68B38}">
  <ds:schemaRef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sharepoint/v3"/>
    <ds:schemaRef ds:uri="http://purl.org/dc/terms/"/>
    <ds:schemaRef ds:uri="http://purl.org/dc/dcmitype/"/>
    <ds:schemaRef ds:uri="http://schemas.microsoft.com/office/infopath/2007/PartnerControls"/>
    <ds:schemaRef ds:uri="c87fac54-c9ac-42aa-9477-268c36c0f9bb"/>
    <ds:schemaRef ds:uri="http://schemas.microsoft.com/office/2006/metadata/properties"/>
  </ds:schemaRefs>
</ds:datastoreItem>
</file>

<file path=customXml/itemProps5.xml><?xml version="1.0" encoding="utf-8"?>
<ds:datastoreItem xmlns:ds="http://schemas.openxmlformats.org/officeDocument/2006/customXml" ds:itemID="{ACF0EF8C-6F2E-42A9-B63B-E2FE8CBBA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2915</Words>
  <Characters>16622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Stones, Kathy S. (LNG-LON)</dc:creator>
  <cp:keywords/>
  <dc:description/>
  <cp:lastModifiedBy>Stones, Kathy S. (LNG-LON)</cp:lastModifiedBy>
  <cp:revision>2</cp:revision>
  <dcterms:created xsi:type="dcterms:W3CDTF">2022-03-28T13:59:00Z</dcterms:created>
  <dcterms:modified xsi:type="dcterms:W3CDTF">2022-03-28T13:59:00Z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2022-03-11T10:17:58Z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4eb426df-52c5-418e-8b36-ba7bb8cfdc9f</vt:lpwstr>
  </property>
  <property fmtid="{D5CDD505-2E9C-101B-9397-08002B2CF9AE}" pid="8" name="MSIP_Label_549ac42a-3eb4-4074-b885-aea26bd6241e_ContentBits">
    <vt:lpwstr>0</vt:lpwstr>
  </property>
  <property fmtid="{D5CDD505-2E9C-101B-9397-08002B2CF9AE}" pid="9" name="ContentTypeId">
    <vt:lpwstr>0x010100337A378F6BAC4A4E9AEB37B216440247</vt:lpwstr>
  </property>
  <property fmtid="{D5CDD505-2E9C-101B-9397-08002B2CF9AE}" pid="10" name="_dlc_DocIdItemGuid">
    <vt:lpwstr>67c9c431-c000-4a26-9fc2-e6c09d8f5dd3</vt:lpwstr>
  </property>
  <property fmtid="{D5CDD505-2E9C-101B-9397-08002B2CF9AE}" pid="11" name="NRT_DocNumber">
    <vt:lpwstr>138046635</vt:lpwstr>
  </property>
  <property fmtid="{D5CDD505-2E9C-101B-9397-08002B2CF9AE}" pid="12" name="NRT_DocVersion">
    <vt:lpwstr>1</vt:lpwstr>
  </property>
  <property fmtid="{D5CDD505-2E9C-101B-9397-08002B2CF9AE}" pid="13" name="NRT_DocName">
    <vt:lpwstr>INSOL Europe Dublin panel article (RJ)</vt:lpwstr>
  </property>
  <property fmtid="{D5CDD505-2E9C-101B-9397-08002B2CF9AE}" pid="14" name="NRT_AuthorDescription">
    <vt:lpwstr>Janjuah, Riaz</vt:lpwstr>
  </property>
  <property fmtid="{D5CDD505-2E9C-101B-9397-08002B2CF9AE}" pid="15" name="NRT_Author">
    <vt:lpwstr>JANJURI</vt:lpwstr>
  </property>
  <property fmtid="{D5CDD505-2E9C-101B-9397-08002B2CF9AE}" pid="16" name="NRT_Operator">
    <vt:lpwstr>janjuri</vt:lpwstr>
  </property>
  <property fmtid="{D5CDD505-2E9C-101B-9397-08002B2CF9AE}" pid="17" name="NRT_Database">
    <vt:lpwstr>EMEA</vt:lpwstr>
  </property>
  <property fmtid="{D5CDD505-2E9C-101B-9397-08002B2CF9AE}" pid="18" name="NRT_ELITE_CLIENT">
    <vt:lpwstr>9911025</vt:lpwstr>
  </property>
  <property fmtid="{D5CDD505-2E9C-101B-9397-08002B2CF9AE}" pid="19" name="NRT_ELITE_MATTER">
    <vt:lpwstr>0169</vt:lpwstr>
  </property>
  <property fmtid="{D5CDD505-2E9C-101B-9397-08002B2CF9AE}" pid="20" name="pDocRef">
    <vt:lpwstr>9911025-0169.JANJURI</vt:lpwstr>
  </property>
  <property fmtid="{D5CDD505-2E9C-101B-9397-08002B2CF9AE}" pid="21" name="pDocNumber">
    <vt:lpwstr>138046635_1 [EMEA]</vt:lpwstr>
  </property>
</Properties>
</file>