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67773DA1" w:rsidR="005D783E" w:rsidRPr="009542ED" w:rsidRDefault="005D783E" w:rsidP="003C338F">
      <w:pPr>
        <w:tabs>
          <w:tab w:val="left" w:pos="474"/>
        </w:tabs>
        <w:spacing w:after="0"/>
        <w:contextualSpacing/>
        <w:rPr>
          <w:rFonts w:ascii="Times New Roman" w:hAnsi="Times New Roman"/>
          <w:sz w:val="24"/>
          <w:szCs w:val="24"/>
        </w:rPr>
      </w:pPr>
    </w:p>
    <w:p w14:paraId="39E9118B" w14:textId="561C5F5A" w:rsidR="00617533" w:rsidRPr="009542ED" w:rsidRDefault="00492065" w:rsidP="008609CB">
      <w:pPr>
        <w:spacing w:after="0"/>
        <w:contextualSpacing/>
        <w:jc w:val="center"/>
        <w:rPr>
          <w:rFonts w:ascii="Times New Roman" w:hAnsi="Times New Roman"/>
          <w:b/>
          <w:sz w:val="24"/>
          <w:szCs w:val="24"/>
        </w:rPr>
      </w:pPr>
      <w:r w:rsidRPr="009542ED">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9542ED" w:rsidRDefault="00617533" w:rsidP="008609CB">
      <w:pPr>
        <w:spacing w:after="0"/>
        <w:contextualSpacing/>
        <w:jc w:val="center"/>
        <w:rPr>
          <w:rFonts w:ascii="Times New Roman" w:hAnsi="Times New Roman"/>
          <w:b/>
          <w:sz w:val="24"/>
          <w:szCs w:val="24"/>
        </w:rPr>
      </w:pPr>
    </w:p>
    <w:p w14:paraId="2C7EFD65" w14:textId="49BB6E4A" w:rsidR="00617533" w:rsidRPr="009542ED" w:rsidRDefault="00617533" w:rsidP="008609CB">
      <w:pPr>
        <w:spacing w:after="0"/>
        <w:contextualSpacing/>
        <w:jc w:val="center"/>
        <w:rPr>
          <w:rFonts w:ascii="Times New Roman" w:hAnsi="Times New Roman"/>
          <w:b/>
          <w:sz w:val="36"/>
          <w:szCs w:val="36"/>
        </w:rPr>
      </w:pPr>
      <w:r w:rsidRPr="009542ED">
        <w:rPr>
          <w:rFonts w:ascii="Times New Roman" w:hAnsi="Times New Roman"/>
          <w:b/>
          <w:sz w:val="36"/>
          <w:szCs w:val="36"/>
        </w:rPr>
        <w:t xml:space="preserve">Inside Story – </w:t>
      </w:r>
      <w:r w:rsidR="00994086" w:rsidRPr="009542ED">
        <w:rPr>
          <w:rFonts w:ascii="Times New Roman" w:hAnsi="Times New Roman"/>
          <w:b/>
          <w:sz w:val="36"/>
          <w:szCs w:val="36"/>
        </w:rPr>
        <w:t>May</w:t>
      </w:r>
      <w:r w:rsidR="00786CA6" w:rsidRPr="009542ED">
        <w:rPr>
          <w:rFonts w:ascii="Times New Roman" w:hAnsi="Times New Roman"/>
          <w:b/>
          <w:sz w:val="36"/>
          <w:szCs w:val="36"/>
        </w:rPr>
        <w:t xml:space="preserve"> </w:t>
      </w:r>
      <w:r w:rsidRPr="009542ED">
        <w:rPr>
          <w:rFonts w:ascii="Times New Roman" w:hAnsi="Times New Roman"/>
          <w:b/>
          <w:sz w:val="36"/>
          <w:szCs w:val="36"/>
        </w:rPr>
        <w:t>20</w:t>
      </w:r>
      <w:r w:rsidR="00782731" w:rsidRPr="009542ED">
        <w:rPr>
          <w:rFonts w:ascii="Times New Roman" w:hAnsi="Times New Roman"/>
          <w:b/>
          <w:sz w:val="36"/>
          <w:szCs w:val="36"/>
        </w:rPr>
        <w:t>2</w:t>
      </w:r>
      <w:r w:rsidR="00994086" w:rsidRPr="009542ED">
        <w:rPr>
          <w:rFonts w:ascii="Times New Roman" w:hAnsi="Times New Roman"/>
          <w:b/>
          <w:sz w:val="36"/>
          <w:szCs w:val="36"/>
        </w:rPr>
        <w:t>2</w:t>
      </w:r>
    </w:p>
    <w:p w14:paraId="1ECBC4F0" w14:textId="77777777" w:rsidR="00617533" w:rsidRPr="009542ED" w:rsidRDefault="00617533" w:rsidP="008609CB">
      <w:pPr>
        <w:spacing w:after="0"/>
        <w:contextualSpacing/>
        <w:jc w:val="center"/>
        <w:rPr>
          <w:rFonts w:ascii="Times New Roman" w:hAnsi="Times New Roman"/>
          <w:b/>
          <w:sz w:val="24"/>
          <w:szCs w:val="24"/>
        </w:rPr>
      </w:pPr>
    </w:p>
    <w:p w14:paraId="419043F1" w14:textId="6DCB30F0" w:rsidR="00640EFC" w:rsidRPr="009542ED" w:rsidRDefault="00640EFC" w:rsidP="00640EFC">
      <w:pPr>
        <w:spacing w:after="0"/>
        <w:jc w:val="center"/>
        <w:rPr>
          <w:rFonts w:ascii="Times New Roman" w:hAnsi="Times New Roman"/>
          <w:b/>
          <w:bCs/>
          <w:sz w:val="32"/>
          <w:szCs w:val="32"/>
        </w:rPr>
      </w:pPr>
      <w:r w:rsidRPr="009542ED">
        <w:rPr>
          <w:rFonts w:ascii="Times New Roman" w:hAnsi="Times New Roman"/>
          <w:b/>
          <w:bCs/>
          <w:sz w:val="32"/>
          <w:szCs w:val="32"/>
        </w:rPr>
        <w:t>A is for Adversity, W is for War.</w:t>
      </w:r>
    </w:p>
    <w:p w14:paraId="212AD21F" w14:textId="710DB1E5" w:rsidR="00640EFC" w:rsidRPr="009542ED" w:rsidRDefault="00640EFC" w:rsidP="00640EFC">
      <w:pPr>
        <w:spacing w:after="0"/>
        <w:jc w:val="center"/>
        <w:rPr>
          <w:rFonts w:ascii="Times New Roman" w:hAnsi="Times New Roman"/>
          <w:b/>
          <w:bCs/>
          <w:sz w:val="32"/>
          <w:szCs w:val="32"/>
        </w:rPr>
      </w:pPr>
      <w:r w:rsidRPr="009542ED">
        <w:rPr>
          <w:rFonts w:ascii="Times New Roman" w:hAnsi="Times New Roman"/>
          <w:b/>
          <w:bCs/>
          <w:sz w:val="32"/>
          <w:szCs w:val="32"/>
        </w:rPr>
        <w:t>Corporate and Restructuring Novelties in Ukraine resulting from the Russo-Ukrainian War</w:t>
      </w:r>
    </w:p>
    <w:p w14:paraId="75DFE654" w14:textId="77777777" w:rsidR="00E71E7B" w:rsidRPr="009542ED" w:rsidRDefault="00E71E7B" w:rsidP="008609CB">
      <w:pPr>
        <w:spacing w:after="0"/>
        <w:contextualSpacing/>
        <w:jc w:val="center"/>
        <w:rPr>
          <w:rFonts w:ascii="Times New Roman" w:hAnsi="Times New Roman"/>
          <w:sz w:val="24"/>
          <w:szCs w:val="24"/>
        </w:rPr>
      </w:pPr>
    </w:p>
    <w:p w14:paraId="716971A7" w14:textId="1D1594CC" w:rsidR="00104015" w:rsidRPr="009542ED" w:rsidRDefault="00640EFC" w:rsidP="007904A3">
      <w:pPr>
        <w:pStyle w:val="NoSpacing"/>
        <w:jc w:val="center"/>
        <w:rPr>
          <w:rFonts w:ascii="Times New Roman" w:hAnsi="Times New Roman" w:cs="Times New Roman"/>
          <w:i/>
          <w:iCs/>
          <w:shd w:val="clear" w:color="auto" w:fill="FFFFFF"/>
          <w:lang w:val="en-GB"/>
        </w:rPr>
      </w:pPr>
      <w:r w:rsidRPr="009542ED">
        <w:rPr>
          <w:rFonts w:ascii="Times New Roman" w:hAnsi="Times New Roman" w:cs="Times New Roman"/>
          <w:i/>
          <w:lang w:val="en-GB"/>
        </w:rPr>
        <w:t>Alesya Pavlynska</w:t>
      </w:r>
      <w:r w:rsidR="007904A3">
        <w:rPr>
          <w:rFonts w:ascii="Times New Roman" w:hAnsi="Times New Roman" w:cs="Times New Roman"/>
          <w:i/>
          <w:lang w:val="en-GB"/>
        </w:rPr>
        <w:t xml:space="preserve"> </w:t>
      </w:r>
      <w:r w:rsidRPr="009542ED">
        <w:rPr>
          <w:rFonts w:ascii="Times New Roman" w:hAnsi="Times New Roman" w:cs="Times New Roman"/>
          <w:i/>
          <w:iCs/>
          <w:shd w:val="clear" w:color="auto" w:fill="FFFFFF"/>
          <w:lang w:val="en-GB"/>
        </w:rPr>
        <w:t>and</w:t>
      </w:r>
      <w:r w:rsidR="007904A3">
        <w:rPr>
          <w:rFonts w:ascii="Times New Roman" w:hAnsi="Times New Roman" w:cs="Times New Roman"/>
          <w:i/>
          <w:iCs/>
          <w:shd w:val="clear" w:color="auto" w:fill="FFFFFF"/>
          <w:lang w:val="en-GB"/>
        </w:rPr>
        <w:t xml:space="preserve"> </w:t>
      </w:r>
      <w:r w:rsidRPr="009542ED">
        <w:rPr>
          <w:rFonts w:ascii="Times New Roman" w:hAnsi="Times New Roman" w:cs="Times New Roman"/>
          <w:i/>
          <w:lang w:val="en-GB"/>
        </w:rPr>
        <w:t>Anton Molchanov</w:t>
      </w:r>
      <w:r w:rsidR="007904A3">
        <w:rPr>
          <w:rFonts w:ascii="Times New Roman" w:hAnsi="Times New Roman" w:cs="Times New Roman"/>
          <w:i/>
          <w:iCs/>
          <w:lang w:val="en-GB"/>
        </w:rPr>
        <w:t xml:space="preserve">, </w:t>
      </w:r>
      <w:r w:rsidRPr="009542ED">
        <w:rPr>
          <w:rFonts w:ascii="Times New Roman" w:hAnsi="Times New Roman" w:cs="Times New Roman"/>
          <w:i/>
          <w:iCs/>
          <w:lang w:val="en-GB"/>
        </w:rPr>
        <w:t>Kyiv</w:t>
      </w:r>
      <w:r w:rsidR="007904A3">
        <w:rPr>
          <w:rFonts w:ascii="Times New Roman" w:hAnsi="Times New Roman" w:cs="Times New Roman"/>
          <w:i/>
          <w:iCs/>
          <w:lang w:val="en-GB"/>
        </w:rPr>
        <w:t>, Ukraine</w:t>
      </w:r>
      <w:bookmarkStart w:id="0" w:name="_GoBack"/>
      <w:bookmarkEnd w:id="0"/>
    </w:p>
    <w:p w14:paraId="127C267D" w14:textId="77777777" w:rsidR="00E71E7B" w:rsidRPr="009542ED" w:rsidRDefault="00E71E7B" w:rsidP="001E7A6F">
      <w:pPr>
        <w:spacing w:after="0"/>
        <w:contextualSpacing/>
        <w:rPr>
          <w:rFonts w:ascii="Times New Roman" w:hAnsi="Times New Roman"/>
          <w:i/>
          <w:sz w:val="24"/>
          <w:szCs w:val="24"/>
        </w:rPr>
      </w:pPr>
    </w:p>
    <w:p w14:paraId="3FDD4E1F" w14:textId="3DA5C6B1" w:rsidR="00E71E7B" w:rsidRPr="009542ED" w:rsidRDefault="00E71E7B" w:rsidP="00640EFC">
      <w:pPr>
        <w:spacing w:after="0"/>
        <w:contextualSpacing/>
        <w:rPr>
          <w:rFonts w:ascii="Times New Roman" w:hAnsi="Times New Roman"/>
          <w:sz w:val="24"/>
          <w:szCs w:val="24"/>
        </w:rPr>
      </w:pPr>
      <w:r w:rsidRPr="009542ED">
        <w:rPr>
          <w:rFonts w:ascii="Times New Roman" w:hAnsi="Times New Roman"/>
          <w:i/>
          <w:iCs/>
          <w:sz w:val="24"/>
          <w:szCs w:val="24"/>
        </w:rPr>
        <w:t>Introduction</w:t>
      </w:r>
    </w:p>
    <w:p w14:paraId="022788C5" w14:textId="77777777" w:rsidR="00E71E7B" w:rsidRPr="009542ED" w:rsidRDefault="00E71E7B" w:rsidP="00640EFC">
      <w:pPr>
        <w:spacing w:after="0"/>
        <w:contextualSpacing/>
        <w:rPr>
          <w:rFonts w:ascii="Times New Roman" w:hAnsi="Times New Roman"/>
          <w:sz w:val="24"/>
          <w:szCs w:val="24"/>
        </w:rPr>
      </w:pPr>
    </w:p>
    <w:p w14:paraId="5E9EE943" w14:textId="666B7F2C"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For the absolute majority of Ukrainians, their lives changed drastically on 24 February – with air defen</w:t>
      </w:r>
      <w:r w:rsidR="009542ED">
        <w:rPr>
          <w:rFonts w:ascii="Times New Roman" w:hAnsi="Times New Roman"/>
          <w:sz w:val="24"/>
          <w:szCs w:val="24"/>
        </w:rPr>
        <w:t>c</w:t>
      </w:r>
      <w:r w:rsidRPr="009542ED">
        <w:rPr>
          <w:rFonts w:ascii="Times New Roman" w:hAnsi="Times New Roman"/>
          <w:sz w:val="24"/>
          <w:szCs w:val="24"/>
        </w:rPr>
        <w:t>e alarms heard for the very first time since the end of WWII and the first Russian cruise rockets hitting Ukrainian infrastructure and housing. As the third month of the war is coming to an end, the Ukrainian Parliament (</w:t>
      </w:r>
      <w:r w:rsidRPr="009542ED">
        <w:rPr>
          <w:rFonts w:ascii="Times New Roman" w:hAnsi="Times New Roman"/>
          <w:i/>
          <w:sz w:val="24"/>
          <w:szCs w:val="24"/>
        </w:rPr>
        <w:t>Verkhovna Rada</w:t>
      </w:r>
      <w:r w:rsidRPr="009542ED">
        <w:rPr>
          <w:rFonts w:ascii="Times New Roman" w:hAnsi="Times New Roman"/>
          <w:sz w:val="24"/>
          <w:szCs w:val="24"/>
        </w:rPr>
        <w:t>) continues to introduce new legislation, not just aimed at tackling the consequences of the war, but also becoming a weapon itself against the aggressor.</w:t>
      </w:r>
    </w:p>
    <w:p w14:paraId="1167940C" w14:textId="77777777" w:rsidR="00640EFC" w:rsidRPr="009542ED" w:rsidRDefault="00640EFC" w:rsidP="00640EFC">
      <w:pPr>
        <w:spacing w:after="0"/>
        <w:rPr>
          <w:rFonts w:ascii="Times New Roman" w:hAnsi="Times New Roman"/>
          <w:sz w:val="24"/>
          <w:szCs w:val="24"/>
        </w:rPr>
      </w:pPr>
    </w:p>
    <w:p w14:paraId="4DA748A1" w14:textId="1F10244F" w:rsidR="00640EFC" w:rsidRPr="009542ED" w:rsidRDefault="00640EFC" w:rsidP="00640EFC">
      <w:pPr>
        <w:spacing w:after="0"/>
        <w:rPr>
          <w:rFonts w:ascii="Times New Roman" w:hAnsi="Times New Roman"/>
          <w:bCs/>
          <w:i/>
          <w:sz w:val="24"/>
          <w:szCs w:val="24"/>
        </w:rPr>
      </w:pPr>
      <w:r w:rsidRPr="009542ED">
        <w:rPr>
          <w:rFonts w:ascii="Times New Roman" w:hAnsi="Times New Roman"/>
          <w:bCs/>
          <w:i/>
          <w:sz w:val="24"/>
          <w:szCs w:val="24"/>
        </w:rPr>
        <w:t>Corporate Governance</w:t>
      </w:r>
    </w:p>
    <w:p w14:paraId="03FFB5A4" w14:textId="77777777" w:rsidR="00640EFC" w:rsidRPr="009542ED" w:rsidRDefault="00640EFC" w:rsidP="00640EFC">
      <w:pPr>
        <w:spacing w:after="0"/>
        <w:rPr>
          <w:rFonts w:ascii="Times New Roman" w:hAnsi="Times New Roman"/>
          <w:sz w:val="24"/>
          <w:szCs w:val="24"/>
        </w:rPr>
      </w:pPr>
    </w:p>
    <w:p w14:paraId="259A3224" w14:textId="49FF17C6"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 xml:space="preserve">With the start of the war and introduction of the martial law no major changes in corporate legislation have taken place in Ukraine. However, some restrictions implemented due to martial law have changed the corporate landscape directly or indirectly. Most of these restrictions affect </w:t>
      </w:r>
      <w:r w:rsidRPr="009542ED">
        <w:rPr>
          <w:rFonts w:ascii="Times New Roman" w:hAnsi="Times New Roman"/>
          <w:bCs/>
          <w:sz w:val="24"/>
          <w:szCs w:val="24"/>
        </w:rPr>
        <w:t>Russian-affiliated companies.</w:t>
      </w:r>
    </w:p>
    <w:p w14:paraId="6E81AB89" w14:textId="77777777" w:rsidR="00640EFC" w:rsidRPr="009542ED" w:rsidRDefault="00640EFC" w:rsidP="00640EFC">
      <w:pPr>
        <w:spacing w:after="0"/>
        <w:rPr>
          <w:rFonts w:ascii="Times New Roman" w:hAnsi="Times New Roman"/>
          <w:sz w:val="24"/>
          <w:szCs w:val="24"/>
        </w:rPr>
      </w:pPr>
    </w:p>
    <w:p w14:paraId="278246E7" w14:textId="6125A5A6"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For instance, the legislation currently provides for the following restrictions relevant to Ukrainian legal entities:</w:t>
      </w:r>
    </w:p>
    <w:p w14:paraId="7C50B9AD" w14:textId="77777777" w:rsidR="00640EFC" w:rsidRPr="009542ED" w:rsidRDefault="00640EFC" w:rsidP="00640EFC">
      <w:pPr>
        <w:spacing w:after="0"/>
        <w:rPr>
          <w:rFonts w:ascii="Times New Roman" w:hAnsi="Times New Roman"/>
          <w:sz w:val="24"/>
          <w:szCs w:val="24"/>
        </w:rPr>
      </w:pPr>
    </w:p>
    <w:p w14:paraId="4BE6CBC2" w14:textId="465E0E1C" w:rsidR="00640EFC" w:rsidRPr="009542ED" w:rsidRDefault="00640EFC" w:rsidP="00640EFC">
      <w:pPr>
        <w:pStyle w:val="ListParagraph"/>
        <w:numPr>
          <w:ilvl w:val="0"/>
          <w:numId w:val="45"/>
        </w:numPr>
        <w:spacing w:after="0" w:line="240" w:lineRule="auto"/>
        <w:ind w:left="357" w:hanging="357"/>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Moratorium on fulfilment of obligations</w:t>
      </w:r>
      <w:r w:rsidRPr="009542ED">
        <w:rPr>
          <w:rStyle w:val="FootnoteReference"/>
          <w:rFonts w:ascii="Times New Roman" w:hAnsi="Times New Roman" w:cs="Times New Roman"/>
          <w:sz w:val="24"/>
          <w:szCs w:val="24"/>
          <w:lang w:val="en-GB"/>
        </w:rPr>
        <w:footnoteReference w:id="1"/>
      </w:r>
      <w:r w:rsidRPr="009542ED">
        <w:rPr>
          <w:rFonts w:ascii="Times New Roman" w:hAnsi="Times New Roman" w:cs="Times New Roman"/>
          <w:sz w:val="24"/>
          <w:szCs w:val="24"/>
          <w:lang w:val="en-GB"/>
        </w:rPr>
        <w:t xml:space="preserve"> towards Ukrainian companies with Russian affiliation (i.e. those having Russian UBOs or shareholders holding ≥10% of the charter capital).</w:t>
      </w:r>
    </w:p>
    <w:p w14:paraId="7023A206" w14:textId="485AC557" w:rsidR="00640EFC" w:rsidRPr="009542ED" w:rsidRDefault="00640EFC" w:rsidP="00640EFC">
      <w:pPr>
        <w:pStyle w:val="ListParagraph"/>
        <w:numPr>
          <w:ilvl w:val="0"/>
          <w:numId w:val="45"/>
        </w:numPr>
        <w:spacing w:after="0" w:line="240" w:lineRule="auto"/>
        <w:ind w:left="357" w:hanging="357"/>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Moratorium on sale (or actions that may result in property title transfer)</w:t>
      </w:r>
      <w:r w:rsidRPr="009542ED">
        <w:rPr>
          <w:rStyle w:val="FootnoteReference"/>
          <w:rFonts w:ascii="Times New Roman" w:hAnsi="Times New Roman" w:cs="Times New Roman"/>
          <w:sz w:val="24"/>
          <w:szCs w:val="24"/>
          <w:lang w:val="en-GB"/>
        </w:rPr>
        <w:footnoteReference w:id="2"/>
      </w:r>
      <w:r w:rsidRPr="009542ED">
        <w:rPr>
          <w:rFonts w:ascii="Times New Roman" w:hAnsi="Times New Roman" w:cs="Times New Roman"/>
          <w:sz w:val="24"/>
          <w:szCs w:val="24"/>
          <w:lang w:val="en-GB"/>
        </w:rPr>
        <w:t xml:space="preserve"> of real estate, securities, shares, vehicles, aircrafts and vessels possessed by Russian-affiliated Ukrainian </w:t>
      </w:r>
      <w:r w:rsidRPr="009542ED">
        <w:rPr>
          <w:rFonts w:ascii="Times New Roman" w:hAnsi="Times New Roman" w:cs="Times New Roman"/>
          <w:sz w:val="24"/>
          <w:szCs w:val="24"/>
          <w:lang w:val="en-GB"/>
        </w:rPr>
        <w:lastRenderedPageBreak/>
        <w:t>companies. These restrictions are applied in both ways – neither sale nor acquisition is possible.</w:t>
      </w:r>
    </w:p>
    <w:p w14:paraId="220BA423" w14:textId="088E296A" w:rsidR="00640EFC" w:rsidRPr="009542ED" w:rsidRDefault="00640EFC" w:rsidP="00640EFC">
      <w:pPr>
        <w:pStyle w:val="ListParagraph"/>
        <w:numPr>
          <w:ilvl w:val="0"/>
          <w:numId w:val="45"/>
        </w:numPr>
        <w:spacing w:after="0" w:line="240" w:lineRule="auto"/>
        <w:ind w:left="357" w:hanging="357"/>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Prohibition to conclude notarial acts</w:t>
      </w:r>
      <w:r w:rsidRPr="009542ED">
        <w:rPr>
          <w:rStyle w:val="FootnoteReference"/>
          <w:rFonts w:ascii="Times New Roman" w:hAnsi="Times New Roman" w:cs="Times New Roman"/>
          <w:sz w:val="24"/>
          <w:szCs w:val="24"/>
          <w:lang w:val="en-GB"/>
        </w:rPr>
        <w:footnoteReference w:id="3"/>
      </w:r>
      <w:r w:rsidRPr="009542ED">
        <w:rPr>
          <w:rFonts w:ascii="Times New Roman" w:hAnsi="Times New Roman" w:cs="Times New Roman"/>
          <w:sz w:val="24"/>
          <w:szCs w:val="24"/>
          <w:lang w:val="en-GB"/>
        </w:rPr>
        <w:t xml:space="preserve"> at the request of Russian-affiliated Ukrainian companies.</w:t>
      </w:r>
    </w:p>
    <w:p w14:paraId="33A4922E" w14:textId="73E0FAE0" w:rsidR="00640EFC" w:rsidRPr="009542ED" w:rsidRDefault="00640EFC" w:rsidP="00640EFC">
      <w:pPr>
        <w:pStyle w:val="ListParagraph"/>
        <w:numPr>
          <w:ilvl w:val="0"/>
          <w:numId w:val="45"/>
        </w:numPr>
        <w:spacing w:after="0" w:line="240" w:lineRule="auto"/>
        <w:ind w:left="357" w:hanging="357"/>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Prohibition of foreign exchange transactions</w:t>
      </w:r>
      <w:r w:rsidRPr="009542ED">
        <w:rPr>
          <w:rStyle w:val="FootnoteReference"/>
          <w:rFonts w:ascii="Times New Roman" w:hAnsi="Times New Roman" w:cs="Times New Roman"/>
          <w:sz w:val="24"/>
          <w:szCs w:val="24"/>
          <w:lang w:val="en-GB"/>
        </w:rPr>
        <w:footnoteReference w:id="4"/>
      </w:r>
      <w:r w:rsidRPr="009542ED">
        <w:rPr>
          <w:rFonts w:ascii="Times New Roman" w:hAnsi="Times New Roman" w:cs="Times New Roman"/>
          <w:sz w:val="24"/>
          <w:szCs w:val="24"/>
          <w:lang w:val="en-GB"/>
        </w:rPr>
        <w:t xml:space="preserve"> (1) with Russian and Belarusian roubles, (2) with any individuals/companies residing/registered in the Russian Federation or the Republic of Belarus, (3) for the fulfilment of the obligations before individuals/companies residing/registered in the Russian federation or the Republic of Belarus.</w:t>
      </w:r>
    </w:p>
    <w:p w14:paraId="7ADBE3C6" w14:textId="77777777" w:rsidR="00640EFC" w:rsidRPr="009542ED" w:rsidRDefault="00640EFC" w:rsidP="00640EFC">
      <w:pPr>
        <w:spacing w:after="0"/>
        <w:rPr>
          <w:rFonts w:ascii="Times New Roman" w:hAnsi="Times New Roman"/>
          <w:sz w:val="24"/>
          <w:szCs w:val="24"/>
        </w:rPr>
      </w:pPr>
    </w:p>
    <w:p w14:paraId="4B88C2C8" w14:textId="0D69F3E7"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The above restrictions have affected all companies with Russian shareholdings, be it purely Russian businesses or international companies with Russian subsidiaries in the ownership chain.</w:t>
      </w:r>
    </w:p>
    <w:p w14:paraId="0D11C193" w14:textId="77777777" w:rsidR="00640EFC" w:rsidRPr="009542ED" w:rsidRDefault="00640EFC" w:rsidP="00640EFC">
      <w:pPr>
        <w:spacing w:after="0"/>
        <w:rPr>
          <w:rFonts w:ascii="Times New Roman" w:hAnsi="Times New Roman"/>
          <w:sz w:val="24"/>
          <w:szCs w:val="24"/>
        </w:rPr>
      </w:pPr>
    </w:p>
    <w:p w14:paraId="574F4300" w14:textId="22E11E67"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Moreover, even if the affected companies wish to restructure and change their shareholders (e.g., within the same group of international companies, transferring the shares held by the Russian subsidiaries to the headquarters) this is also now not technically possible. In practice, this means that it is impossible to change shareholders or UBOs in the Ukrainian corporate register even if legitimately changed at the foreign ownership level. This restriction is universal and refers even to companies without any Russian shareholdings in the chain.</w:t>
      </w:r>
    </w:p>
    <w:p w14:paraId="315815A2" w14:textId="77777777" w:rsidR="00640EFC" w:rsidRPr="009542ED" w:rsidRDefault="00640EFC" w:rsidP="00640EFC">
      <w:pPr>
        <w:spacing w:after="0"/>
        <w:rPr>
          <w:rFonts w:ascii="Times New Roman" w:hAnsi="Times New Roman"/>
          <w:sz w:val="24"/>
          <w:szCs w:val="24"/>
        </w:rPr>
      </w:pPr>
    </w:p>
    <w:p w14:paraId="656FFD65" w14:textId="68DDF73E"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On the other hand, the Ministry of Justice have identified a limited list of permissible registration actions, not including changes of the shareholders or UBOs (as registration of charitable organizations, NGOs and limited liability companies, change of the director and the address). Placement, turnover and redemption of securities, as well as operations in the depository system, have also been suspended (with some exceptions made for government securities). This means that joint stock share trading/transfers also remain blocked.</w:t>
      </w:r>
      <w:r w:rsidRPr="009542ED">
        <w:rPr>
          <w:rStyle w:val="FootnoteReference"/>
          <w:rFonts w:ascii="Times New Roman" w:hAnsi="Times New Roman"/>
          <w:sz w:val="24"/>
          <w:szCs w:val="24"/>
        </w:rPr>
        <w:footnoteReference w:id="5"/>
      </w:r>
    </w:p>
    <w:p w14:paraId="14590BBF" w14:textId="77777777" w:rsidR="00640EFC" w:rsidRPr="009542ED" w:rsidRDefault="00640EFC" w:rsidP="00640EFC">
      <w:pPr>
        <w:spacing w:after="0"/>
        <w:rPr>
          <w:rFonts w:ascii="Times New Roman" w:hAnsi="Times New Roman"/>
          <w:sz w:val="24"/>
          <w:szCs w:val="24"/>
        </w:rPr>
      </w:pPr>
    </w:p>
    <w:p w14:paraId="3724621F" w14:textId="3FABC492" w:rsidR="00640EFC" w:rsidRPr="009542ED" w:rsidRDefault="00640EFC" w:rsidP="00640EFC">
      <w:pPr>
        <w:spacing w:after="0"/>
        <w:rPr>
          <w:rFonts w:ascii="Times New Roman" w:hAnsi="Times New Roman"/>
          <w:b/>
          <w:bCs/>
          <w:sz w:val="24"/>
          <w:szCs w:val="24"/>
        </w:rPr>
      </w:pPr>
      <w:r w:rsidRPr="009542ED">
        <w:rPr>
          <w:rFonts w:ascii="Times New Roman" w:hAnsi="Times New Roman"/>
          <w:b/>
          <w:bCs/>
          <w:sz w:val="24"/>
          <w:szCs w:val="24"/>
        </w:rPr>
        <w:t>Possible Nationalization</w:t>
      </w:r>
    </w:p>
    <w:p w14:paraId="5B6AACE8" w14:textId="77777777" w:rsidR="00640EFC" w:rsidRPr="009542ED" w:rsidRDefault="00640EFC" w:rsidP="00640EFC">
      <w:pPr>
        <w:spacing w:after="0"/>
        <w:rPr>
          <w:rFonts w:ascii="Times New Roman" w:hAnsi="Times New Roman"/>
          <w:sz w:val="24"/>
          <w:szCs w:val="24"/>
        </w:rPr>
      </w:pPr>
    </w:p>
    <w:p w14:paraId="09D520E6" w14:textId="411B91F5"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 xml:space="preserve">A </w:t>
      </w:r>
      <w:r w:rsidR="002F54CA" w:rsidRPr="009542ED">
        <w:rPr>
          <w:rFonts w:ascii="Times New Roman" w:hAnsi="Times New Roman"/>
          <w:sz w:val="24"/>
          <w:szCs w:val="24"/>
        </w:rPr>
        <w:t>L</w:t>
      </w:r>
      <w:r w:rsidRPr="009542ED">
        <w:rPr>
          <w:rFonts w:ascii="Times New Roman" w:hAnsi="Times New Roman"/>
          <w:sz w:val="24"/>
          <w:szCs w:val="24"/>
        </w:rPr>
        <w:t xml:space="preserve">aw </w:t>
      </w:r>
      <w:r w:rsidR="002F54CA" w:rsidRPr="009542ED">
        <w:rPr>
          <w:rFonts w:ascii="Times New Roman" w:hAnsi="Times New Roman"/>
          <w:sz w:val="24"/>
          <w:szCs w:val="24"/>
        </w:rPr>
        <w:t>of 3 March 2022</w:t>
      </w:r>
      <w:r w:rsidR="002F54CA" w:rsidRPr="009542ED">
        <w:rPr>
          <w:rStyle w:val="FootnoteReference"/>
          <w:rFonts w:ascii="Times New Roman" w:hAnsi="Times New Roman"/>
          <w:sz w:val="24"/>
          <w:szCs w:val="24"/>
        </w:rPr>
        <w:footnoteReference w:id="6"/>
      </w:r>
      <w:r w:rsidR="002F54CA" w:rsidRPr="009542ED">
        <w:rPr>
          <w:rFonts w:ascii="Times New Roman" w:hAnsi="Times New Roman"/>
          <w:sz w:val="24"/>
          <w:szCs w:val="24"/>
        </w:rPr>
        <w:t xml:space="preserve"> has </w:t>
      </w:r>
      <w:r w:rsidRPr="009542ED">
        <w:rPr>
          <w:rFonts w:ascii="Times New Roman" w:hAnsi="Times New Roman"/>
          <w:sz w:val="24"/>
          <w:szCs w:val="24"/>
        </w:rPr>
        <w:t xml:space="preserve">established the following mechanism for the nationalization of the property of the Russian </w:t>
      </w:r>
      <w:r w:rsidR="002F54CA" w:rsidRPr="009542ED">
        <w:rPr>
          <w:rFonts w:ascii="Times New Roman" w:hAnsi="Times New Roman"/>
          <w:sz w:val="24"/>
          <w:szCs w:val="24"/>
        </w:rPr>
        <w:t>F</w:t>
      </w:r>
      <w:r w:rsidRPr="009542ED">
        <w:rPr>
          <w:rFonts w:ascii="Times New Roman" w:hAnsi="Times New Roman"/>
          <w:sz w:val="24"/>
          <w:szCs w:val="24"/>
        </w:rPr>
        <w:t>ederation in Ukraine:</w:t>
      </w:r>
    </w:p>
    <w:p w14:paraId="71D7F219" w14:textId="77777777" w:rsidR="002F54CA" w:rsidRPr="009542ED" w:rsidRDefault="002F54CA" w:rsidP="00640EFC">
      <w:pPr>
        <w:spacing w:after="0"/>
        <w:rPr>
          <w:rFonts w:ascii="Times New Roman" w:hAnsi="Times New Roman"/>
          <w:sz w:val="24"/>
          <w:szCs w:val="24"/>
        </w:rPr>
      </w:pPr>
    </w:p>
    <w:p w14:paraId="505BBEAB" w14:textId="546106FD" w:rsidR="00640EFC" w:rsidRPr="009542ED" w:rsidRDefault="00640EFC" w:rsidP="00640EFC">
      <w:pPr>
        <w:pStyle w:val="ListParagraph"/>
        <w:numPr>
          <w:ilvl w:val="0"/>
          <w:numId w:val="46"/>
        </w:numPr>
        <w:spacing w:after="0" w:line="240" w:lineRule="auto"/>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 xml:space="preserve">no compensation as </w:t>
      </w:r>
      <w:r w:rsidR="002F54CA" w:rsidRPr="009542ED">
        <w:rPr>
          <w:rFonts w:ascii="Times New Roman" w:hAnsi="Times New Roman" w:cs="Times New Roman"/>
          <w:sz w:val="24"/>
          <w:szCs w:val="24"/>
          <w:lang w:val="en-GB"/>
        </w:rPr>
        <w:t xml:space="preserve">the </w:t>
      </w:r>
      <w:r w:rsidRPr="009542ED">
        <w:rPr>
          <w:rFonts w:ascii="Times New Roman" w:hAnsi="Times New Roman" w:cs="Times New Roman"/>
          <w:sz w:val="24"/>
          <w:szCs w:val="24"/>
          <w:lang w:val="en-GB"/>
        </w:rPr>
        <w:t>by-default approach</w:t>
      </w:r>
      <w:r w:rsidR="002F54CA" w:rsidRPr="009542ED">
        <w:rPr>
          <w:rFonts w:ascii="Times New Roman" w:hAnsi="Times New Roman" w:cs="Times New Roman"/>
          <w:sz w:val="24"/>
          <w:szCs w:val="24"/>
          <w:lang w:val="en-GB"/>
        </w:rPr>
        <w:t>;</w:t>
      </w:r>
    </w:p>
    <w:p w14:paraId="6AAE78EA" w14:textId="6247977D" w:rsidR="00640EFC" w:rsidRPr="009542ED" w:rsidRDefault="00640EFC" w:rsidP="00640EFC">
      <w:pPr>
        <w:pStyle w:val="ListParagraph"/>
        <w:numPr>
          <w:ilvl w:val="0"/>
          <w:numId w:val="46"/>
        </w:numPr>
        <w:spacing w:after="0" w:line="240" w:lineRule="auto"/>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the procedure consists of the following stages: (1) submission of a draft decision with a list of objects by the Cabinet of Ministers of Ukraine to the National Security and Defence Council; (2) adoption of the decision by the National Security and Defence Council</w:t>
      </w:r>
      <w:r w:rsidR="002F54CA" w:rsidRPr="009542ED">
        <w:rPr>
          <w:rFonts w:ascii="Times New Roman" w:hAnsi="Times New Roman" w:cs="Times New Roman"/>
          <w:sz w:val="24"/>
          <w:szCs w:val="24"/>
          <w:lang w:val="en-GB"/>
        </w:rPr>
        <w:t>;</w:t>
      </w:r>
      <w:r w:rsidRPr="009542ED">
        <w:rPr>
          <w:rFonts w:ascii="Times New Roman" w:hAnsi="Times New Roman" w:cs="Times New Roman"/>
          <w:sz w:val="24"/>
          <w:szCs w:val="24"/>
          <w:lang w:val="en-GB"/>
        </w:rPr>
        <w:t xml:space="preserve"> and (3) its implementation by a decree of the President of Ukraine</w:t>
      </w:r>
      <w:r w:rsidR="002F54CA" w:rsidRPr="009542ED">
        <w:rPr>
          <w:rFonts w:ascii="Times New Roman" w:hAnsi="Times New Roman" w:cs="Times New Roman"/>
          <w:sz w:val="24"/>
          <w:szCs w:val="24"/>
          <w:lang w:val="en-GB"/>
        </w:rPr>
        <w:t>;</w:t>
      </w:r>
    </w:p>
    <w:p w14:paraId="42619E32" w14:textId="54C848A0" w:rsidR="00640EFC" w:rsidRPr="009542ED" w:rsidRDefault="00640EFC" w:rsidP="00640EFC">
      <w:pPr>
        <w:pStyle w:val="ListParagraph"/>
        <w:numPr>
          <w:ilvl w:val="0"/>
          <w:numId w:val="46"/>
        </w:numPr>
        <w:spacing w:after="0" w:line="240" w:lineRule="auto"/>
        <w:contextualSpacing w:val="0"/>
        <w:jc w:val="both"/>
        <w:rPr>
          <w:rFonts w:ascii="Times New Roman" w:hAnsi="Times New Roman" w:cs="Times New Roman"/>
          <w:sz w:val="24"/>
          <w:szCs w:val="24"/>
          <w:lang w:val="en-GB"/>
        </w:rPr>
      </w:pPr>
      <w:r w:rsidRPr="009542ED">
        <w:rPr>
          <w:rFonts w:ascii="Times New Roman" w:hAnsi="Times New Roman" w:cs="Times New Roman"/>
          <w:sz w:val="24"/>
          <w:szCs w:val="24"/>
          <w:lang w:val="en-GB"/>
        </w:rPr>
        <w:t xml:space="preserve">nationalization applies to the possessions of the Russian </w:t>
      </w:r>
      <w:r w:rsidR="002F54CA" w:rsidRPr="009542ED">
        <w:rPr>
          <w:rFonts w:ascii="Times New Roman" w:hAnsi="Times New Roman" w:cs="Times New Roman"/>
          <w:sz w:val="24"/>
          <w:szCs w:val="24"/>
          <w:lang w:val="en-GB"/>
        </w:rPr>
        <w:t>F</w:t>
      </w:r>
      <w:r w:rsidRPr="009542ED">
        <w:rPr>
          <w:rFonts w:ascii="Times New Roman" w:hAnsi="Times New Roman" w:cs="Times New Roman"/>
          <w:sz w:val="24"/>
          <w:szCs w:val="24"/>
          <w:lang w:val="en-GB"/>
        </w:rPr>
        <w:t>ederation and its residents.</w:t>
      </w:r>
    </w:p>
    <w:p w14:paraId="17E7E667" w14:textId="77777777" w:rsidR="002F54CA" w:rsidRPr="009542ED" w:rsidRDefault="002F54CA" w:rsidP="00640EFC">
      <w:pPr>
        <w:spacing w:after="0"/>
        <w:rPr>
          <w:rFonts w:ascii="Times New Roman" w:hAnsi="Times New Roman"/>
          <w:sz w:val="24"/>
          <w:szCs w:val="24"/>
        </w:rPr>
      </w:pPr>
    </w:p>
    <w:p w14:paraId="094A7859" w14:textId="5C682D37"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 xml:space="preserve">Currently, Ukrainian legal entities controlled by private Russian companies are not affected by this Law. </w:t>
      </w:r>
      <w:r w:rsidR="002F54CA" w:rsidRPr="009542ED">
        <w:rPr>
          <w:rFonts w:ascii="Times New Roman" w:hAnsi="Times New Roman"/>
          <w:sz w:val="24"/>
          <w:szCs w:val="24"/>
        </w:rPr>
        <w:t>Nevertheless,</w:t>
      </w:r>
      <w:r w:rsidRPr="009542ED">
        <w:rPr>
          <w:rFonts w:ascii="Times New Roman" w:hAnsi="Times New Roman"/>
          <w:sz w:val="24"/>
          <w:szCs w:val="24"/>
        </w:rPr>
        <w:t xml:space="preserve"> due to the changes </w:t>
      </w:r>
      <w:r w:rsidR="002F54CA" w:rsidRPr="009542ED">
        <w:rPr>
          <w:rFonts w:ascii="Times New Roman" w:hAnsi="Times New Roman"/>
          <w:sz w:val="24"/>
          <w:szCs w:val="24"/>
        </w:rPr>
        <w:t xml:space="preserve">soon </w:t>
      </w:r>
      <w:r w:rsidRPr="009542ED">
        <w:rPr>
          <w:rFonts w:ascii="Times New Roman" w:hAnsi="Times New Roman"/>
          <w:sz w:val="24"/>
          <w:szCs w:val="24"/>
        </w:rPr>
        <w:t>to be in force</w:t>
      </w:r>
      <w:r w:rsidR="002F54CA" w:rsidRPr="009542ED">
        <w:rPr>
          <w:rFonts w:ascii="Times New Roman" w:hAnsi="Times New Roman"/>
          <w:sz w:val="24"/>
          <w:szCs w:val="24"/>
        </w:rPr>
        <w:t>,</w:t>
      </w:r>
      <w:r w:rsidRPr="009542ED">
        <w:rPr>
          <w:rFonts w:ascii="Times New Roman" w:hAnsi="Times New Roman"/>
          <w:sz w:val="24"/>
          <w:szCs w:val="24"/>
        </w:rPr>
        <w:t xml:space="preserve"> either the National Security and Defence Council or a court will be granted a right to expand the nationalization to any </w:t>
      </w:r>
      <w:r w:rsidRPr="009542ED">
        <w:rPr>
          <w:rFonts w:ascii="Times New Roman" w:hAnsi="Times New Roman"/>
          <w:sz w:val="24"/>
          <w:szCs w:val="24"/>
        </w:rPr>
        <w:lastRenderedPageBreak/>
        <w:t>individuals or legal entities support</w:t>
      </w:r>
      <w:r w:rsidR="002F54CA" w:rsidRPr="009542ED">
        <w:rPr>
          <w:rFonts w:ascii="Times New Roman" w:hAnsi="Times New Roman"/>
          <w:sz w:val="24"/>
          <w:szCs w:val="24"/>
        </w:rPr>
        <w:t>ing</w:t>
      </w:r>
      <w:r w:rsidRPr="009542ED">
        <w:rPr>
          <w:rFonts w:ascii="Times New Roman" w:hAnsi="Times New Roman"/>
          <w:sz w:val="24"/>
          <w:szCs w:val="24"/>
        </w:rPr>
        <w:t xml:space="preserve"> the aggression and</w:t>
      </w:r>
      <w:r w:rsidR="002F54CA" w:rsidRPr="009542ED">
        <w:rPr>
          <w:rFonts w:ascii="Times New Roman" w:hAnsi="Times New Roman"/>
          <w:sz w:val="24"/>
          <w:szCs w:val="24"/>
        </w:rPr>
        <w:t>/</w:t>
      </w:r>
      <w:r w:rsidRPr="009542ED">
        <w:rPr>
          <w:rFonts w:ascii="Times New Roman" w:hAnsi="Times New Roman"/>
          <w:sz w:val="24"/>
          <w:szCs w:val="24"/>
        </w:rPr>
        <w:t xml:space="preserve">or not stopping their activities in the Russian </w:t>
      </w:r>
      <w:r w:rsidR="002F54CA" w:rsidRPr="009542ED">
        <w:rPr>
          <w:rFonts w:ascii="Times New Roman" w:hAnsi="Times New Roman"/>
          <w:sz w:val="24"/>
          <w:szCs w:val="24"/>
        </w:rPr>
        <w:t>F</w:t>
      </w:r>
      <w:r w:rsidRPr="009542ED">
        <w:rPr>
          <w:rFonts w:ascii="Times New Roman" w:hAnsi="Times New Roman"/>
          <w:sz w:val="24"/>
          <w:szCs w:val="24"/>
        </w:rPr>
        <w:t>ederation. This puts at risk even those companies with no direct nexus to Russia.</w:t>
      </w:r>
    </w:p>
    <w:p w14:paraId="6553D6E6" w14:textId="77777777" w:rsidR="002F54CA" w:rsidRPr="009542ED" w:rsidRDefault="002F54CA" w:rsidP="00640EFC">
      <w:pPr>
        <w:spacing w:after="0"/>
        <w:rPr>
          <w:rFonts w:ascii="Times New Roman" w:hAnsi="Times New Roman"/>
          <w:sz w:val="24"/>
          <w:szCs w:val="24"/>
        </w:rPr>
      </w:pPr>
    </w:p>
    <w:p w14:paraId="08F7ABDA" w14:textId="7FA26658" w:rsidR="00640EFC" w:rsidRPr="009542ED" w:rsidRDefault="00640EFC" w:rsidP="00640EFC">
      <w:pPr>
        <w:spacing w:after="0"/>
        <w:rPr>
          <w:rFonts w:ascii="Times New Roman" w:hAnsi="Times New Roman"/>
          <w:b/>
          <w:bCs/>
          <w:sz w:val="24"/>
          <w:szCs w:val="24"/>
        </w:rPr>
      </w:pPr>
      <w:r w:rsidRPr="009542ED">
        <w:rPr>
          <w:rFonts w:ascii="Times New Roman" w:hAnsi="Times New Roman"/>
          <w:b/>
          <w:bCs/>
          <w:sz w:val="24"/>
          <w:szCs w:val="24"/>
        </w:rPr>
        <w:t xml:space="preserve">Restructuring and </w:t>
      </w:r>
      <w:r w:rsidR="002F54CA" w:rsidRPr="009542ED">
        <w:rPr>
          <w:rFonts w:ascii="Times New Roman" w:hAnsi="Times New Roman"/>
          <w:b/>
          <w:bCs/>
          <w:sz w:val="24"/>
          <w:szCs w:val="24"/>
        </w:rPr>
        <w:t>W</w:t>
      </w:r>
      <w:r w:rsidRPr="009542ED">
        <w:rPr>
          <w:rFonts w:ascii="Times New Roman" w:hAnsi="Times New Roman"/>
          <w:b/>
          <w:bCs/>
          <w:sz w:val="24"/>
          <w:szCs w:val="24"/>
        </w:rPr>
        <w:t>orkout</w:t>
      </w:r>
      <w:r w:rsidR="002F54CA" w:rsidRPr="009542ED">
        <w:rPr>
          <w:rFonts w:ascii="Times New Roman" w:hAnsi="Times New Roman"/>
          <w:b/>
          <w:bCs/>
          <w:sz w:val="24"/>
          <w:szCs w:val="24"/>
        </w:rPr>
        <w:t>s</w:t>
      </w:r>
    </w:p>
    <w:p w14:paraId="0B5EDCFB" w14:textId="77777777" w:rsidR="002F54CA" w:rsidRPr="009542ED" w:rsidRDefault="002F54CA" w:rsidP="00640EFC">
      <w:pPr>
        <w:spacing w:after="0"/>
        <w:rPr>
          <w:rFonts w:ascii="Times New Roman" w:hAnsi="Times New Roman"/>
          <w:sz w:val="24"/>
          <w:szCs w:val="24"/>
        </w:rPr>
      </w:pPr>
    </w:p>
    <w:p w14:paraId="44FC17D0" w14:textId="37A050D2" w:rsidR="00640EFC" w:rsidRPr="009542ED" w:rsidRDefault="00640EFC" w:rsidP="00640EFC">
      <w:pPr>
        <w:spacing w:after="0"/>
        <w:rPr>
          <w:rFonts w:ascii="Times New Roman" w:hAnsi="Times New Roman"/>
          <w:sz w:val="24"/>
          <w:szCs w:val="24"/>
        </w:rPr>
      </w:pPr>
      <w:r w:rsidRPr="009542ED">
        <w:rPr>
          <w:rFonts w:ascii="Times New Roman" w:hAnsi="Times New Roman"/>
          <w:sz w:val="24"/>
          <w:szCs w:val="24"/>
        </w:rPr>
        <w:t>Immediately after the war began, the Ukrainian National Bank instructed domestic lenders to</w:t>
      </w:r>
      <w:r w:rsidR="002F54CA" w:rsidRPr="009542ED">
        <w:rPr>
          <w:rFonts w:ascii="Times New Roman" w:hAnsi="Times New Roman"/>
          <w:sz w:val="24"/>
          <w:szCs w:val="24"/>
        </w:rPr>
        <w:t xml:space="preserve"> s</w:t>
      </w:r>
      <w:r w:rsidRPr="009542ED">
        <w:rPr>
          <w:rFonts w:ascii="Times New Roman" w:hAnsi="Times New Roman"/>
          <w:sz w:val="24"/>
          <w:szCs w:val="24"/>
        </w:rPr>
        <w:t>uspend default interest and fines maturity prior to martial law</w:t>
      </w:r>
      <w:r w:rsidR="002F54CA" w:rsidRPr="009542ED">
        <w:rPr>
          <w:rFonts w:ascii="Times New Roman" w:hAnsi="Times New Roman"/>
          <w:sz w:val="24"/>
          <w:szCs w:val="24"/>
        </w:rPr>
        <w:t xml:space="preserve"> coming to an end as well as u</w:t>
      </w:r>
      <w:r w:rsidRPr="009542ED">
        <w:rPr>
          <w:rFonts w:ascii="Times New Roman" w:hAnsi="Times New Roman"/>
          <w:sz w:val="24"/>
          <w:szCs w:val="24"/>
        </w:rPr>
        <w:t>se long-range restructuring for NPLs arising from the war with a direct workout</w:t>
      </w:r>
      <w:r w:rsidR="002F54CA" w:rsidRPr="009542ED">
        <w:rPr>
          <w:rFonts w:ascii="Times New Roman" w:hAnsi="Times New Roman"/>
          <w:sz w:val="24"/>
          <w:szCs w:val="24"/>
        </w:rPr>
        <w:t xml:space="preserve"> </w:t>
      </w:r>
      <w:r w:rsidRPr="009542ED">
        <w:rPr>
          <w:rFonts w:ascii="Times New Roman" w:hAnsi="Times New Roman"/>
          <w:sz w:val="24"/>
          <w:szCs w:val="24"/>
        </w:rPr>
        <w:t>restriction.</w:t>
      </w:r>
    </w:p>
    <w:p w14:paraId="10B296A3" w14:textId="77777777" w:rsidR="002F54CA" w:rsidRPr="009542ED" w:rsidRDefault="002F54CA" w:rsidP="00640EFC">
      <w:pPr>
        <w:spacing w:after="0"/>
        <w:rPr>
          <w:rFonts w:ascii="Times New Roman" w:hAnsi="Times New Roman"/>
          <w:sz w:val="24"/>
          <w:szCs w:val="24"/>
        </w:rPr>
      </w:pPr>
    </w:p>
    <w:p w14:paraId="5761A948" w14:textId="7E381399" w:rsidR="0047439B" w:rsidRPr="009542ED" w:rsidRDefault="00640EFC" w:rsidP="00640EFC">
      <w:pPr>
        <w:spacing w:after="0"/>
        <w:rPr>
          <w:rFonts w:ascii="Times New Roman" w:hAnsi="Times New Roman"/>
          <w:sz w:val="24"/>
          <w:szCs w:val="24"/>
        </w:rPr>
      </w:pPr>
      <w:r w:rsidRPr="009542ED">
        <w:rPr>
          <w:rFonts w:ascii="Times New Roman" w:hAnsi="Times New Roman"/>
          <w:sz w:val="24"/>
          <w:szCs w:val="24"/>
        </w:rPr>
        <w:t>Later in March 2022</w:t>
      </w:r>
      <w:r w:rsidR="002F54CA" w:rsidRPr="009542ED">
        <w:rPr>
          <w:rFonts w:ascii="Times New Roman" w:hAnsi="Times New Roman"/>
          <w:sz w:val="24"/>
          <w:szCs w:val="24"/>
        </w:rPr>
        <w:t>,</w:t>
      </w:r>
      <w:r w:rsidRPr="009542ED">
        <w:rPr>
          <w:rFonts w:ascii="Times New Roman" w:hAnsi="Times New Roman"/>
          <w:sz w:val="24"/>
          <w:szCs w:val="24"/>
        </w:rPr>
        <w:t xml:space="preserve"> a separate law expanded the relief measures by</w:t>
      </w:r>
      <w:r w:rsidR="002F54CA" w:rsidRPr="009542ED">
        <w:rPr>
          <w:rFonts w:ascii="Times New Roman" w:hAnsi="Times New Roman"/>
          <w:sz w:val="24"/>
          <w:szCs w:val="24"/>
        </w:rPr>
        <w:t xml:space="preserve"> </w:t>
      </w:r>
      <w:r w:rsidRPr="009542ED">
        <w:rPr>
          <w:rFonts w:ascii="Times New Roman" w:hAnsi="Times New Roman"/>
          <w:sz w:val="24"/>
          <w:szCs w:val="24"/>
        </w:rPr>
        <w:t xml:space="preserve">suspending </w:t>
      </w:r>
      <w:r w:rsidR="002F54CA" w:rsidRPr="009542ED">
        <w:rPr>
          <w:rFonts w:ascii="Times New Roman" w:hAnsi="Times New Roman"/>
          <w:sz w:val="24"/>
          <w:szCs w:val="24"/>
        </w:rPr>
        <w:t xml:space="preserve">the </w:t>
      </w:r>
      <w:r w:rsidRPr="009542ED">
        <w:rPr>
          <w:rFonts w:ascii="Times New Roman" w:hAnsi="Times New Roman"/>
          <w:sz w:val="24"/>
          <w:szCs w:val="24"/>
        </w:rPr>
        <w:t xml:space="preserve">default 3-percent </w:t>
      </w:r>
      <w:r w:rsidR="002F54CA" w:rsidRPr="009542ED">
        <w:rPr>
          <w:rFonts w:ascii="Times New Roman" w:hAnsi="Times New Roman"/>
          <w:sz w:val="24"/>
          <w:szCs w:val="24"/>
        </w:rPr>
        <w:t>p.a.</w:t>
      </w:r>
      <w:r w:rsidRPr="009542ED">
        <w:rPr>
          <w:rFonts w:ascii="Times New Roman" w:hAnsi="Times New Roman"/>
          <w:sz w:val="24"/>
          <w:szCs w:val="24"/>
        </w:rPr>
        <w:t xml:space="preserve"> interest and inflation compensation accruals for all UAH defaults</w:t>
      </w:r>
      <w:r w:rsidR="002F54CA" w:rsidRPr="009542ED">
        <w:rPr>
          <w:rFonts w:ascii="Times New Roman" w:hAnsi="Times New Roman"/>
          <w:sz w:val="24"/>
          <w:szCs w:val="24"/>
        </w:rPr>
        <w:t xml:space="preserve"> and also </w:t>
      </w:r>
      <w:r w:rsidRPr="009542ED">
        <w:rPr>
          <w:rFonts w:ascii="Times New Roman" w:hAnsi="Times New Roman"/>
          <w:sz w:val="24"/>
          <w:szCs w:val="24"/>
        </w:rPr>
        <w:t>all default interests and fines (be those loan-related, commercial or private ones).</w:t>
      </w:r>
      <w:r w:rsidR="002F54CA" w:rsidRPr="009542ED">
        <w:rPr>
          <w:rFonts w:ascii="Times New Roman" w:hAnsi="Times New Roman"/>
          <w:sz w:val="24"/>
          <w:szCs w:val="24"/>
        </w:rPr>
        <w:t xml:space="preserve"> </w:t>
      </w:r>
      <w:r w:rsidRPr="009542ED">
        <w:rPr>
          <w:rFonts w:ascii="Times New Roman" w:hAnsi="Times New Roman"/>
          <w:sz w:val="24"/>
          <w:szCs w:val="24"/>
        </w:rPr>
        <w:t xml:space="preserve">At the same time, general interest accrual under pre-war loans </w:t>
      </w:r>
      <w:r w:rsidR="002F54CA" w:rsidRPr="009542ED">
        <w:rPr>
          <w:rFonts w:ascii="Times New Roman" w:hAnsi="Times New Roman"/>
          <w:sz w:val="24"/>
          <w:szCs w:val="24"/>
        </w:rPr>
        <w:t xml:space="preserve">have not been </w:t>
      </w:r>
      <w:r w:rsidRPr="009542ED">
        <w:rPr>
          <w:rFonts w:ascii="Times New Roman" w:hAnsi="Times New Roman"/>
          <w:sz w:val="24"/>
          <w:szCs w:val="24"/>
        </w:rPr>
        <w:t xml:space="preserve">suspended – nor </w:t>
      </w:r>
      <w:r w:rsidR="002F54CA" w:rsidRPr="009542ED">
        <w:rPr>
          <w:rFonts w:ascii="Times New Roman" w:hAnsi="Times New Roman"/>
          <w:sz w:val="24"/>
          <w:szCs w:val="24"/>
        </w:rPr>
        <w:t xml:space="preserve">have </w:t>
      </w:r>
      <w:r w:rsidRPr="009542ED">
        <w:rPr>
          <w:rFonts w:ascii="Times New Roman" w:hAnsi="Times New Roman"/>
          <w:sz w:val="24"/>
          <w:szCs w:val="24"/>
        </w:rPr>
        <w:t>principal loan payments. This</w:t>
      </w:r>
      <w:r w:rsidR="002F54CA" w:rsidRPr="009542ED">
        <w:rPr>
          <w:rFonts w:ascii="Times New Roman" w:hAnsi="Times New Roman"/>
          <w:sz w:val="24"/>
          <w:szCs w:val="24"/>
        </w:rPr>
        <w:t>,</w:t>
      </w:r>
      <w:r w:rsidRPr="009542ED">
        <w:rPr>
          <w:rFonts w:ascii="Times New Roman" w:hAnsi="Times New Roman"/>
          <w:sz w:val="24"/>
          <w:szCs w:val="24"/>
        </w:rPr>
        <w:t xml:space="preserve"> together with </w:t>
      </w:r>
      <w:r w:rsidR="002F54CA" w:rsidRPr="009542ED">
        <w:rPr>
          <w:rFonts w:ascii="Times New Roman" w:hAnsi="Times New Roman"/>
          <w:sz w:val="24"/>
          <w:szCs w:val="24"/>
        </w:rPr>
        <w:t xml:space="preserve">the </w:t>
      </w:r>
      <w:r w:rsidRPr="009542ED">
        <w:rPr>
          <w:rFonts w:ascii="Times New Roman" w:hAnsi="Times New Roman"/>
          <w:sz w:val="24"/>
          <w:szCs w:val="24"/>
        </w:rPr>
        <w:t>lack of insolvency-related moratoriums</w:t>
      </w:r>
      <w:r w:rsidR="002F54CA" w:rsidRPr="009542ED">
        <w:rPr>
          <w:rFonts w:ascii="Times New Roman" w:hAnsi="Times New Roman"/>
          <w:sz w:val="24"/>
          <w:szCs w:val="24"/>
        </w:rPr>
        <w:t>,</w:t>
      </w:r>
      <w:r w:rsidRPr="009542ED">
        <w:rPr>
          <w:rFonts w:ascii="Times New Roman" w:hAnsi="Times New Roman"/>
          <w:sz w:val="24"/>
          <w:szCs w:val="24"/>
        </w:rPr>
        <w:t xml:space="preserve"> threat</w:t>
      </w:r>
      <w:r w:rsidR="002F54CA" w:rsidRPr="009542ED">
        <w:rPr>
          <w:rFonts w:ascii="Times New Roman" w:hAnsi="Times New Roman"/>
          <w:sz w:val="24"/>
          <w:szCs w:val="24"/>
        </w:rPr>
        <w:t>ens</w:t>
      </w:r>
      <w:r w:rsidRPr="009542ED">
        <w:rPr>
          <w:rFonts w:ascii="Times New Roman" w:hAnsi="Times New Roman"/>
          <w:sz w:val="24"/>
          <w:szCs w:val="24"/>
        </w:rPr>
        <w:t xml:space="preserve"> debtors with a continued snowballing of NPLs and the following tsunami of war-related insolvencies driven by creditors.</w:t>
      </w:r>
    </w:p>
    <w:sectPr w:rsidR="0047439B" w:rsidRPr="009542ED"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46949" w14:textId="77777777" w:rsidR="00D27E58" w:rsidRDefault="00D27E58">
      <w:r>
        <w:separator/>
      </w:r>
    </w:p>
  </w:endnote>
  <w:endnote w:type="continuationSeparator" w:id="0">
    <w:p w14:paraId="1844AC58" w14:textId="77777777" w:rsidR="00D27E58" w:rsidRDefault="00D2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44F8D" w14:textId="77777777" w:rsidR="00D27E58" w:rsidRDefault="00D27E58">
      <w:r>
        <w:separator/>
      </w:r>
    </w:p>
  </w:footnote>
  <w:footnote w:type="continuationSeparator" w:id="0">
    <w:p w14:paraId="6CB5E8D4" w14:textId="77777777" w:rsidR="00D27E58" w:rsidRDefault="00D27E58">
      <w:r>
        <w:continuationSeparator/>
      </w:r>
    </w:p>
  </w:footnote>
  <w:footnote w:id="1">
    <w:p w14:paraId="14E85864" w14:textId="64B5A419" w:rsidR="00640EFC" w:rsidRPr="002F54CA" w:rsidRDefault="00640EFC" w:rsidP="002F54CA">
      <w:pPr>
        <w:pStyle w:val="FootnoteText"/>
        <w:rPr>
          <w:rFonts w:ascii="Times New Roman" w:hAnsi="Times New Roman"/>
          <w:lang w:val="en-US"/>
        </w:rPr>
      </w:pPr>
      <w:r w:rsidRPr="002F54CA">
        <w:rPr>
          <w:rStyle w:val="FootnoteReference"/>
          <w:rFonts w:ascii="Times New Roman" w:hAnsi="Times New Roman"/>
        </w:rPr>
        <w:footnoteRef/>
      </w:r>
      <w:r w:rsidRPr="002F54CA">
        <w:rPr>
          <w:rFonts w:ascii="Times New Roman" w:hAnsi="Times New Roman"/>
        </w:rPr>
        <w:t xml:space="preserve"> </w:t>
      </w:r>
      <w:hyperlink r:id="rId1" w:history="1">
        <w:r w:rsidRPr="002F54CA">
          <w:rPr>
            <w:rStyle w:val="Hyperlink"/>
            <w:rFonts w:ascii="Times New Roman" w:hAnsi="Times New Roman"/>
            <w:color w:val="auto"/>
            <w:u w:val="none"/>
          </w:rPr>
          <w:t xml:space="preserve">Resolution of the Cabinet of Ministers of Ukraine </w:t>
        </w:r>
        <w:r w:rsidR="002F54CA">
          <w:rPr>
            <w:rStyle w:val="Hyperlink"/>
            <w:rFonts w:ascii="Times New Roman" w:hAnsi="Times New Roman"/>
            <w:color w:val="auto"/>
            <w:u w:val="none"/>
          </w:rPr>
          <w:t>“</w:t>
        </w:r>
        <w:r w:rsidRPr="002F54CA">
          <w:rPr>
            <w:rStyle w:val="Hyperlink"/>
            <w:rFonts w:ascii="Times New Roman" w:hAnsi="Times New Roman"/>
            <w:color w:val="auto"/>
            <w:u w:val="none"/>
          </w:rPr>
          <w:t>On Protection of the National Interests on Ukraine in Future Claims related to the Military Aggression of the Russian Federation</w:t>
        </w:r>
        <w:r w:rsidR="002F54CA">
          <w:rPr>
            <w:rStyle w:val="Hyperlink"/>
            <w:rFonts w:ascii="Times New Roman" w:hAnsi="Times New Roman"/>
            <w:color w:val="auto"/>
            <w:u w:val="none"/>
          </w:rPr>
          <w:t>”</w:t>
        </w:r>
        <w:r w:rsidRPr="002F54CA">
          <w:rPr>
            <w:rStyle w:val="Hyperlink"/>
            <w:rFonts w:ascii="Times New Roman" w:hAnsi="Times New Roman"/>
            <w:color w:val="auto"/>
            <w:u w:val="none"/>
          </w:rPr>
          <w:t xml:space="preserve"> No. 187 of 03 March 2022</w:t>
        </w:r>
      </w:hyperlink>
      <w:r w:rsidR="002F54CA">
        <w:rPr>
          <w:rStyle w:val="Hyperlink"/>
          <w:rFonts w:ascii="Times New Roman" w:hAnsi="Times New Roman"/>
          <w:color w:val="auto"/>
          <w:u w:val="none"/>
        </w:rPr>
        <w:t>.</w:t>
      </w:r>
    </w:p>
  </w:footnote>
  <w:footnote w:id="2">
    <w:p w14:paraId="3093B059" w14:textId="1DF8D15C" w:rsidR="00640EFC" w:rsidRPr="002F54CA" w:rsidRDefault="00640EFC" w:rsidP="002F54CA">
      <w:pPr>
        <w:pStyle w:val="FootnoteText"/>
        <w:rPr>
          <w:rFonts w:ascii="Times New Roman" w:hAnsi="Times New Roman"/>
          <w:lang w:val="en-US"/>
        </w:rPr>
      </w:pPr>
      <w:r w:rsidRPr="002F54CA">
        <w:rPr>
          <w:rStyle w:val="FootnoteReference"/>
          <w:rFonts w:ascii="Times New Roman" w:hAnsi="Times New Roman"/>
        </w:rPr>
        <w:footnoteRef/>
      </w:r>
      <w:r w:rsidRPr="002F54CA">
        <w:rPr>
          <w:rFonts w:ascii="Times New Roman" w:hAnsi="Times New Roman"/>
        </w:rPr>
        <w:t xml:space="preserve"> </w:t>
      </w:r>
      <w:r w:rsidR="002F54CA">
        <w:rPr>
          <w:rFonts w:ascii="Times New Roman" w:hAnsi="Times New Roman"/>
        </w:rPr>
        <w:t>Ibid.</w:t>
      </w:r>
    </w:p>
  </w:footnote>
  <w:footnote w:id="3">
    <w:p w14:paraId="2CE10CC4" w14:textId="1093D80B" w:rsidR="00640EFC" w:rsidRPr="002F54CA" w:rsidRDefault="00640EFC" w:rsidP="002F54CA">
      <w:pPr>
        <w:pStyle w:val="FootnoteText"/>
        <w:rPr>
          <w:rFonts w:ascii="Times New Roman" w:hAnsi="Times New Roman"/>
          <w:lang w:val="en-US"/>
        </w:rPr>
      </w:pPr>
      <w:r w:rsidRPr="002F54CA">
        <w:rPr>
          <w:rStyle w:val="FootnoteReference"/>
          <w:rFonts w:ascii="Times New Roman" w:hAnsi="Times New Roman"/>
        </w:rPr>
        <w:footnoteRef/>
      </w:r>
      <w:r w:rsidRPr="002F54CA">
        <w:rPr>
          <w:rFonts w:ascii="Times New Roman" w:hAnsi="Times New Roman"/>
        </w:rPr>
        <w:t xml:space="preserve"> </w:t>
      </w:r>
      <w:hyperlink r:id="rId2" w:anchor="Text" w:history="1">
        <w:r w:rsidRPr="002F54CA">
          <w:rPr>
            <w:rStyle w:val="Hyperlink"/>
            <w:rFonts w:ascii="Times New Roman" w:hAnsi="Times New Roman"/>
            <w:color w:val="auto"/>
            <w:u w:val="none"/>
          </w:rPr>
          <w:t xml:space="preserve">Resolution of the Cabinet of Ministers of Ukraine </w:t>
        </w:r>
        <w:r w:rsidR="002F54CA">
          <w:rPr>
            <w:rStyle w:val="Hyperlink"/>
            <w:rFonts w:ascii="Times New Roman" w:hAnsi="Times New Roman"/>
            <w:color w:val="auto"/>
            <w:u w:val="none"/>
          </w:rPr>
          <w:t>“</w:t>
        </w:r>
        <w:r w:rsidRPr="002F54CA">
          <w:rPr>
            <w:rStyle w:val="Hyperlink"/>
            <w:rFonts w:ascii="Times New Roman" w:hAnsi="Times New Roman"/>
            <w:color w:val="auto"/>
            <w:u w:val="none"/>
          </w:rPr>
          <w:t>On Certain Matters of the State Registration Under Martial Law</w:t>
        </w:r>
        <w:r w:rsidR="002F54CA">
          <w:rPr>
            <w:rStyle w:val="Hyperlink"/>
            <w:rFonts w:ascii="Times New Roman" w:hAnsi="Times New Roman"/>
            <w:color w:val="auto"/>
            <w:u w:val="none"/>
          </w:rPr>
          <w:t>”</w:t>
        </w:r>
        <w:r w:rsidRPr="002F54CA">
          <w:rPr>
            <w:rStyle w:val="Hyperlink"/>
            <w:rFonts w:ascii="Times New Roman" w:hAnsi="Times New Roman"/>
            <w:color w:val="auto"/>
            <w:u w:val="none"/>
          </w:rPr>
          <w:t xml:space="preserve"> No. 164 of 28 February 2022</w:t>
        </w:r>
      </w:hyperlink>
      <w:r w:rsidR="002F54CA">
        <w:rPr>
          <w:rStyle w:val="Hyperlink"/>
          <w:rFonts w:ascii="Times New Roman" w:hAnsi="Times New Roman"/>
          <w:color w:val="auto"/>
          <w:u w:val="none"/>
        </w:rPr>
        <w:t>.</w:t>
      </w:r>
    </w:p>
  </w:footnote>
  <w:footnote w:id="4">
    <w:p w14:paraId="12EE29BE" w14:textId="62FB21EC" w:rsidR="00640EFC" w:rsidRPr="002F54CA" w:rsidRDefault="00640EFC" w:rsidP="002F54CA">
      <w:pPr>
        <w:spacing w:after="0"/>
        <w:rPr>
          <w:rFonts w:ascii="Times New Roman" w:hAnsi="Times New Roman"/>
          <w:sz w:val="20"/>
        </w:rPr>
      </w:pPr>
      <w:r w:rsidRPr="002F54CA">
        <w:rPr>
          <w:rStyle w:val="FootnoteReference"/>
          <w:rFonts w:ascii="Times New Roman" w:hAnsi="Times New Roman"/>
          <w:sz w:val="20"/>
        </w:rPr>
        <w:footnoteRef/>
      </w:r>
      <w:r w:rsidRPr="002F54CA">
        <w:rPr>
          <w:rFonts w:ascii="Times New Roman" w:hAnsi="Times New Roman"/>
          <w:sz w:val="20"/>
        </w:rPr>
        <w:t xml:space="preserve"> </w:t>
      </w:r>
      <w:hyperlink r:id="rId3" w:history="1">
        <w:r w:rsidRPr="002F54CA">
          <w:rPr>
            <w:rStyle w:val="Hyperlink"/>
            <w:rFonts w:ascii="Times New Roman" w:hAnsi="Times New Roman"/>
            <w:color w:val="auto"/>
            <w:sz w:val="20"/>
            <w:u w:val="none"/>
          </w:rPr>
          <w:t xml:space="preserve">Resolution of the National Bank of Ukraine </w:t>
        </w:r>
        <w:r w:rsidR="002F54CA">
          <w:rPr>
            <w:rStyle w:val="Hyperlink"/>
            <w:rFonts w:ascii="Times New Roman" w:hAnsi="Times New Roman"/>
            <w:color w:val="auto"/>
            <w:sz w:val="20"/>
            <w:u w:val="none"/>
          </w:rPr>
          <w:t>“</w:t>
        </w:r>
        <w:r w:rsidRPr="002F54CA">
          <w:rPr>
            <w:rStyle w:val="Hyperlink"/>
            <w:rFonts w:ascii="Times New Roman" w:hAnsi="Times New Roman"/>
            <w:color w:val="auto"/>
            <w:sz w:val="20"/>
            <w:u w:val="none"/>
          </w:rPr>
          <w:t xml:space="preserve">On Amending the Resolution of the National Bank of Ukraine </w:t>
        </w:r>
        <w:r w:rsidR="002F54CA">
          <w:rPr>
            <w:rStyle w:val="Hyperlink"/>
            <w:rFonts w:ascii="Times New Roman" w:hAnsi="Times New Roman"/>
            <w:color w:val="auto"/>
            <w:sz w:val="20"/>
            <w:u w:val="none"/>
          </w:rPr>
          <w:t>“</w:t>
        </w:r>
        <w:r w:rsidRPr="002F54CA">
          <w:rPr>
            <w:rStyle w:val="Hyperlink"/>
            <w:rFonts w:ascii="Times New Roman" w:hAnsi="Times New Roman"/>
            <w:color w:val="auto"/>
            <w:sz w:val="20"/>
            <w:u w:val="none"/>
          </w:rPr>
          <w:t>On the Operation of the Banking System Under Martial Law</w:t>
        </w:r>
        <w:r w:rsidR="002F54CA">
          <w:rPr>
            <w:rStyle w:val="Hyperlink"/>
            <w:rFonts w:ascii="Times New Roman" w:hAnsi="Times New Roman"/>
            <w:color w:val="auto"/>
            <w:sz w:val="20"/>
            <w:u w:val="none"/>
          </w:rPr>
          <w:t>”</w:t>
        </w:r>
        <w:r w:rsidRPr="002F54CA">
          <w:rPr>
            <w:rStyle w:val="Hyperlink"/>
            <w:rFonts w:ascii="Times New Roman" w:hAnsi="Times New Roman"/>
            <w:color w:val="auto"/>
            <w:sz w:val="20"/>
            <w:u w:val="none"/>
          </w:rPr>
          <w:t xml:space="preserve"> No. 18 Dated 24 February 2022</w:t>
        </w:r>
        <w:r w:rsidR="002F54CA">
          <w:rPr>
            <w:rStyle w:val="Hyperlink"/>
            <w:rFonts w:ascii="Times New Roman" w:hAnsi="Times New Roman"/>
            <w:color w:val="auto"/>
            <w:sz w:val="20"/>
            <w:u w:val="none"/>
          </w:rPr>
          <w:t>”</w:t>
        </w:r>
        <w:r w:rsidRPr="002F54CA">
          <w:rPr>
            <w:rStyle w:val="Hyperlink"/>
            <w:rFonts w:ascii="Times New Roman" w:hAnsi="Times New Roman"/>
            <w:color w:val="auto"/>
            <w:sz w:val="20"/>
            <w:u w:val="none"/>
          </w:rPr>
          <w:t xml:space="preserve"> No. 21 of 24 February 2022</w:t>
        </w:r>
      </w:hyperlink>
      <w:r w:rsidR="002F54CA">
        <w:rPr>
          <w:rStyle w:val="Hyperlink"/>
          <w:rFonts w:ascii="Times New Roman" w:hAnsi="Times New Roman"/>
          <w:color w:val="auto"/>
          <w:sz w:val="20"/>
          <w:u w:val="none"/>
        </w:rPr>
        <w:t>.</w:t>
      </w:r>
    </w:p>
  </w:footnote>
  <w:footnote w:id="5">
    <w:p w14:paraId="55C417F1" w14:textId="61B6B8EF" w:rsidR="00640EFC" w:rsidRPr="002F54CA" w:rsidRDefault="00640EFC" w:rsidP="002F54CA">
      <w:pPr>
        <w:pStyle w:val="FootnoteText"/>
        <w:rPr>
          <w:rFonts w:ascii="Times New Roman" w:hAnsi="Times New Roman"/>
          <w:lang w:val="en-US"/>
        </w:rPr>
      </w:pPr>
      <w:r w:rsidRPr="002F54CA">
        <w:rPr>
          <w:rStyle w:val="FootnoteReference"/>
          <w:rFonts w:ascii="Times New Roman" w:hAnsi="Times New Roman"/>
        </w:rPr>
        <w:footnoteRef/>
      </w:r>
      <w:r w:rsidRPr="002F54CA">
        <w:rPr>
          <w:rFonts w:ascii="Times New Roman" w:hAnsi="Times New Roman"/>
        </w:rPr>
        <w:t xml:space="preserve"> </w:t>
      </w:r>
      <w:hyperlink r:id="rId4" w:history="1">
        <w:r w:rsidRPr="002F54CA">
          <w:rPr>
            <w:rStyle w:val="Hyperlink"/>
            <w:rFonts w:ascii="Times New Roman" w:hAnsi="Times New Roman"/>
            <w:color w:val="auto"/>
            <w:u w:val="none"/>
          </w:rPr>
          <w:t>Decision of the National Securities and Stock Market Commission No. 136 of 24 February 2022</w:t>
        </w:r>
      </w:hyperlink>
      <w:r w:rsidR="002F54CA">
        <w:rPr>
          <w:rStyle w:val="Hyperlink"/>
          <w:rFonts w:ascii="Times New Roman" w:hAnsi="Times New Roman"/>
          <w:color w:val="auto"/>
          <w:u w:val="none"/>
        </w:rPr>
        <w:t>.</w:t>
      </w:r>
    </w:p>
  </w:footnote>
  <w:footnote w:id="6">
    <w:p w14:paraId="1F28EEC8" w14:textId="0B84551B" w:rsidR="002F54CA" w:rsidRPr="002F54CA" w:rsidRDefault="002F54CA" w:rsidP="002F54CA">
      <w:pPr>
        <w:pStyle w:val="FootnoteText"/>
        <w:rPr>
          <w:rFonts w:ascii="Times New Roman" w:hAnsi="Times New Roman"/>
        </w:rPr>
      </w:pPr>
      <w:r w:rsidRPr="002F54CA">
        <w:rPr>
          <w:rStyle w:val="FootnoteReference"/>
          <w:rFonts w:ascii="Times New Roman" w:hAnsi="Times New Roman"/>
        </w:rPr>
        <w:footnoteRef/>
      </w:r>
      <w:r w:rsidRPr="002F54CA">
        <w:rPr>
          <w:rFonts w:ascii="Times New Roman" w:hAnsi="Times New Roman"/>
        </w:rPr>
        <w:t xml:space="preserve"> See: &lt; https://zakon.rada.gov.ua/laws/show/2116-IX#Text&gt;.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C893" w14:textId="01EB7004"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994086">
      <w:rPr>
        <w:rFonts w:ascii="Arial" w:hAnsi="Arial" w:cs="Arial"/>
        <w:b/>
        <w:sz w:val="20"/>
      </w:rPr>
      <w:t>May</w:t>
    </w:r>
    <w:r w:rsidR="002A5779" w:rsidRPr="002331CA">
      <w:rPr>
        <w:rFonts w:ascii="Arial" w:hAnsi="Arial" w:cs="Arial"/>
        <w:b/>
        <w:sz w:val="20"/>
      </w:rPr>
      <w:t xml:space="preserve"> 20</w:t>
    </w:r>
    <w:r w:rsidR="00087612" w:rsidRPr="002331CA">
      <w:rPr>
        <w:rFonts w:ascii="Arial" w:hAnsi="Arial" w:cs="Arial"/>
        <w:b/>
        <w:sz w:val="20"/>
      </w:rPr>
      <w:t>2</w:t>
    </w:r>
    <w:r w:rsidR="00994086">
      <w:rPr>
        <w:rFonts w:ascii="Arial" w:hAnsi="Arial" w:cs="Arial"/>
        <w:b/>
        <w:sz w:val="20"/>
      </w:rPr>
      <w:t>2</w:t>
    </w:r>
    <w:r w:rsidR="00D90E9D">
      <w:rPr>
        <w:rFonts w:ascii="Arial" w:hAnsi="Arial" w:cs="Arial"/>
        <w:b/>
        <w:sz w:val="20"/>
      </w:rPr>
      <w:t>)</w:t>
    </w:r>
  </w:p>
  <w:p w14:paraId="0F2C5C5A" w14:textId="473988A6" w:rsidR="00BF3D3E" w:rsidRPr="009224B4" w:rsidRDefault="00640EFC" w:rsidP="00D90E9D">
    <w:pPr>
      <w:pStyle w:val="Header"/>
      <w:spacing w:after="0"/>
      <w:rPr>
        <w:rFonts w:ascii="Arial" w:hAnsi="Arial" w:cs="Arial"/>
        <w:b/>
        <w:sz w:val="20"/>
        <w:lang w:val="fr-FR"/>
      </w:rPr>
    </w:pPr>
    <w:r>
      <w:rPr>
        <w:rFonts w:ascii="Arial" w:hAnsi="Arial" w:cs="Arial"/>
        <w:b/>
        <w:sz w:val="20"/>
        <w:lang w:val="fr-FR"/>
      </w:rPr>
      <w:t>Alesya Pavlynska and Anton Molchanov (</w:t>
    </w:r>
    <w:r w:rsidR="009224B4">
      <w:rPr>
        <w:rFonts w:ascii="Arial" w:hAnsi="Arial" w:cs="Arial"/>
        <w:b/>
        <w:sz w:val="20"/>
        <w:lang w:val="fr-FR"/>
      </w:rPr>
      <w:t>U</w:t>
    </w:r>
    <w:r>
      <w:rPr>
        <w:rFonts w:ascii="Arial" w:hAnsi="Arial" w:cs="Arial"/>
        <w:b/>
        <w:sz w:val="20"/>
        <w:lang w:val="fr-FR"/>
      </w:rPr>
      <w:t>A</w:t>
    </w:r>
    <w:r w:rsidR="00BF3D3E" w:rsidRPr="009224B4">
      <w:rPr>
        <w:rFonts w:ascii="Arial" w:hAnsi="Arial" w:cs="Arial"/>
        <w:b/>
        <w:sz w:val="20"/>
        <w:lang w:val="fr-FR"/>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6170A4A"/>
    <w:multiLevelType w:val="hybridMultilevel"/>
    <w:tmpl w:val="51DE230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6447E7"/>
    <w:multiLevelType w:val="hybridMultilevel"/>
    <w:tmpl w:val="4556686C"/>
    <w:lvl w:ilvl="0" w:tplc="B226FDA8">
      <w:start w:val="1"/>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8">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2">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4"/>
  </w:num>
  <w:num w:numId="4">
    <w:abstractNumId w:val="15"/>
  </w:num>
  <w:num w:numId="5">
    <w:abstractNumId w:val="19"/>
  </w:num>
  <w:num w:numId="6">
    <w:abstractNumId w:val="35"/>
  </w:num>
  <w:num w:numId="7">
    <w:abstractNumId w:val="0"/>
  </w:num>
  <w:num w:numId="8">
    <w:abstractNumId w:val="12"/>
  </w:num>
  <w:num w:numId="9">
    <w:abstractNumId w:val="2"/>
  </w:num>
  <w:num w:numId="10">
    <w:abstractNumId w:val="1"/>
  </w:num>
  <w:num w:numId="11">
    <w:abstractNumId w:val="29"/>
  </w:num>
  <w:num w:numId="12">
    <w:abstractNumId w:val="11"/>
  </w:num>
  <w:num w:numId="13">
    <w:abstractNumId w:val="27"/>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9"/>
  </w:num>
  <w:num w:numId="21">
    <w:abstractNumId w:val="34"/>
  </w:num>
  <w:num w:numId="22">
    <w:abstractNumId w:val="19"/>
  </w:num>
  <w:num w:numId="23">
    <w:abstractNumId w:val="15"/>
  </w:num>
  <w:num w:numId="24">
    <w:abstractNumId w:val="30"/>
  </w:num>
  <w:num w:numId="25">
    <w:abstractNumId w:val="22"/>
  </w:num>
  <w:num w:numId="26">
    <w:abstractNumId w:val="25"/>
  </w:num>
  <w:num w:numId="27">
    <w:abstractNumId w:val="20"/>
  </w:num>
  <w:num w:numId="28">
    <w:abstractNumId w:val="23"/>
  </w:num>
  <w:num w:numId="29">
    <w:abstractNumId w:val="7"/>
  </w:num>
  <w:num w:numId="30">
    <w:abstractNumId w:val="14"/>
  </w:num>
  <w:num w:numId="31">
    <w:abstractNumId w:val="4"/>
  </w:num>
  <w:num w:numId="32">
    <w:abstractNumId w:val="3"/>
  </w:num>
  <w:num w:numId="33">
    <w:abstractNumId w:val="33"/>
  </w:num>
  <w:num w:numId="34">
    <w:abstractNumId w:val="24"/>
  </w:num>
  <w:num w:numId="35">
    <w:abstractNumId w:val="28"/>
  </w:num>
  <w:num w:numId="36">
    <w:abstractNumId w:val="10"/>
  </w:num>
  <w:num w:numId="37">
    <w:abstractNumId w:val="5"/>
  </w:num>
  <w:num w:numId="38">
    <w:abstractNumId w:val="17"/>
  </w:num>
  <w:num w:numId="39">
    <w:abstractNumId w:val="6"/>
  </w:num>
  <w:num w:numId="40">
    <w:abstractNumId w:val="31"/>
  </w:num>
  <w:num w:numId="41">
    <w:abstractNumId w:val="32"/>
  </w:num>
  <w:num w:numId="42">
    <w:abstractNumId w:val="16"/>
  </w:num>
  <w:num w:numId="43">
    <w:abstractNumId w:val="8"/>
  </w:num>
  <w:num w:numId="44">
    <w:abstractNumId w:val="21"/>
  </w:num>
  <w:num w:numId="45">
    <w:abstractNumId w:val="18"/>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4A3"/>
    <w:rsid w:val="00790DFB"/>
    <w:rsid w:val="007A0387"/>
    <w:rsid w:val="007C4484"/>
    <w:rsid w:val="007D39E7"/>
    <w:rsid w:val="007E1590"/>
    <w:rsid w:val="00807744"/>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E09C4"/>
    <w:rsid w:val="00D03DC1"/>
    <w:rsid w:val="00D05F7C"/>
    <w:rsid w:val="00D2584B"/>
    <w:rsid w:val="00D27E58"/>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ank.gov.ua/ua/legislation/Resolution_24022022_21" TargetMode="External"/><Relationship Id="rId4" Type="http://schemas.openxmlformats.org/officeDocument/2006/relationships/hyperlink" Target="https://www.nssmc.gov.ua/wp-content/uploads/2022/02/24.02.2022.pdf" TargetMode="External"/><Relationship Id="rId1" Type="http://schemas.openxmlformats.org/officeDocument/2006/relationships/hyperlink" Target="https://www.kmu.gov.ua/npas/pro-zabezpechennya-zahistu-nacionalnih-interesiv-za-majbutnimi-pozovami-derzhavi-ukrayina-u-zvyazku-z-vijskovoyu-agresiyeyu-rosijskoyi-federaciyi-187" TargetMode="External"/><Relationship Id="rId2" Type="http://schemas.openxmlformats.org/officeDocument/2006/relationships/hyperlink" Target="https://zakon.rada.gov.ua/laws/show/164-202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8BFA-128D-1D48-80EC-A7979501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799</Words>
  <Characters>4556</Characters>
  <Application>Microsoft Macintosh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5345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10</cp:revision>
  <cp:lastPrinted>2017-11-20T20:14:00Z</cp:lastPrinted>
  <dcterms:created xsi:type="dcterms:W3CDTF">2021-05-25T19:44:00Z</dcterms:created>
  <dcterms:modified xsi:type="dcterms:W3CDTF">2022-05-24T15:46:00Z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