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A0E11D" w14:textId="67773DA1" w:rsidR="005D783E" w:rsidRPr="00573EFA" w:rsidRDefault="005D783E" w:rsidP="003C338F">
      <w:pPr>
        <w:tabs>
          <w:tab w:val="left" w:pos="474"/>
        </w:tabs>
        <w:spacing w:after="0"/>
        <w:contextualSpacing/>
        <w:rPr>
          <w:rFonts w:ascii="Times New Roman" w:hAnsi="Times New Roman"/>
          <w:sz w:val="24"/>
          <w:szCs w:val="24"/>
        </w:rPr>
      </w:pPr>
    </w:p>
    <w:p w14:paraId="39E9118B" w14:textId="561C5F5A" w:rsidR="00617533" w:rsidRPr="00573EFA" w:rsidRDefault="00492065" w:rsidP="008609CB">
      <w:pPr>
        <w:spacing w:after="0"/>
        <w:contextualSpacing/>
        <w:jc w:val="center"/>
        <w:rPr>
          <w:rFonts w:ascii="Times New Roman" w:hAnsi="Times New Roman"/>
          <w:b/>
          <w:sz w:val="24"/>
          <w:szCs w:val="24"/>
        </w:rPr>
      </w:pPr>
      <w:r w:rsidRPr="00573EFA">
        <w:rPr>
          <w:rFonts w:ascii="Times New Roman" w:hAnsi="Times New Roman"/>
          <w:b/>
          <w:noProof/>
          <w:sz w:val="24"/>
          <w:szCs w:val="24"/>
        </w:rPr>
        <w:drawing>
          <wp:inline distT="0" distB="0" distL="0" distR="0" wp14:anchorId="1982D471" wp14:editId="528F6F1F">
            <wp:extent cx="3946525" cy="157843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OL Europe Logo RGB Small.jpg"/>
                    <pic:cNvPicPr/>
                  </pic:nvPicPr>
                  <pic:blipFill>
                    <a:blip r:embed="rId8">
                      <a:extLst>
                        <a:ext uri="{28A0092B-C50C-407E-A947-70E740481C1C}">
                          <a14:useLocalDpi xmlns:a14="http://schemas.microsoft.com/office/drawing/2010/main" val="0"/>
                        </a:ext>
                      </a:extLst>
                    </a:blip>
                    <a:stretch>
                      <a:fillRect/>
                    </a:stretch>
                  </pic:blipFill>
                  <pic:spPr>
                    <a:xfrm>
                      <a:off x="0" y="0"/>
                      <a:ext cx="4010933" cy="1604197"/>
                    </a:xfrm>
                    <a:prstGeom prst="rect">
                      <a:avLst/>
                    </a:prstGeom>
                  </pic:spPr>
                </pic:pic>
              </a:graphicData>
            </a:graphic>
          </wp:inline>
        </w:drawing>
      </w:r>
    </w:p>
    <w:p w14:paraId="3D52CC93" w14:textId="77777777" w:rsidR="00617533" w:rsidRPr="00573EFA" w:rsidRDefault="00617533" w:rsidP="008609CB">
      <w:pPr>
        <w:spacing w:after="0"/>
        <w:contextualSpacing/>
        <w:jc w:val="center"/>
        <w:rPr>
          <w:rFonts w:ascii="Times New Roman" w:hAnsi="Times New Roman"/>
          <w:b/>
          <w:sz w:val="24"/>
          <w:szCs w:val="24"/>
        </w:rPr>
      </w:pPr>
    </w:p>
    <w:p w14:paraId="2C7EFD65" w14:textId="083E1396" w:rsidR="00617533" w:rsidRPr="00573EFA" w:rsidRDefault="00617533" w:rsidP="008609CB">
      <w:pPr>
        <w:spacing w:after="0"/>
        <w:contextualSpacing/>
        <w:jc w:val="center"/>
        <w:rPr>
          <w:rFonts w:ascii="Times New Roman" w:hAnsi="Times New Roman"/>
          <w:b/>
          <w:sz w:val="36"/>
          <w:szCs w:val="36"/>
        </w:rPr>
      </w:pPr>
      <w:r w:rsidRPr="00573EFA">
        <w:rPr>
          <w:rFonts w:ascii="Times New Roman" w:hAnsi="Times New Roman"/>
          <w:b/>
          <w:sz w:val="36"/>
          <w:szCs w:val="36"/>
        </w:rPr>
        <w:t xml:space="preserve">Inside Story – </w:t>
      </w:r>
      <w:r w:rsidR="00433501">
        <w:rPr>
          <w:rFonts w:ascii="Times New Roman" w:hAnsi="Times New Roman"/>
          <w:b/>
          <w:sz w:val="36"/>
          <w:szCs w:val="36"/>
        </w:rPr>
        <w:t>June</w:t>
      </w:r>
      <w:bookmarkStart w:id="0" w:name="_GoBack"/>
      <w:bookmarkEnd w:id="0"/>
      <w:r w:rsidR="00786CA6" w:rsidRPr="00573EFA">
        <w:rPr>
          <w:rFonts w:ascii="Times New Roman" w:hAnsi="Times New Roman"/>
          <w:b/>
          <w:sz w:val="36"/>
          <w:szCs w:val="36"/>
        </w:rPr>
        <w:t xml:space="preserve"> </w:t>
      </w:r>
      <w:r w:rsidRPr="00573EFA">
        <w:rPr>
          <w:rFonts w:ascii="Times New Roman" w:hAnsi="Times New Roman"/>
          <w:b/>
          <w:sz w:val="36"/>
          <w:szCs w:val="36"/>
        </w:rPr>
        <w:t>20</w:t>
      </w:r>
      <w:r w:rsidR="00782731" w:rsidRPr="00573EFA">
        <w:rPr>
          <w:rFonts w:ascii="Times New Roman" w:hAnsi="Times New Roman"/>
          <w:b/>
          <w:sz w:val="36"/>
          <w:szCs w:val="36"/>
        </w:rPr>
        <w:t>2</w:t>
      </w:r>
      <w:r w:rsidR="00994086" w:rsidRPr="00573EFA">
        <w:rPr>
          <w:rFonts w:ascii="Times New Roman" w:hAnsi="Times New Roman"/>
          <w:b/>
          <w:sz w:val="36"/>
          <w:szCs w:val="36"/>
        </w:rPr>
        <w:t>2</w:t>
      </w:r>
    </w:p>
    <w:p w14:paraId="1ECBC4F0" w14:textId="77777777" w:rsidR="00617533" w:rsidRPr="00573EFA" w:rsidRDefault="00617533" w:rsidP="008609CB">
      <w:pPr>
        <w:spacing w:after="0"/>
        <w:contextualSpacing/>
        <w:jc w:val="center"/>
        <w:rPr>
          <w:rFonts w:ascii="Times New Roman" w:hAnsi="Times New Roman"/>
          <w:b/>
          <w:sz w:val="24"/>
          <w:szCs w:val="24"/>
        </w:rPr>
      </w:pPr>
    </w:p>
    <w:p w14:paraId="458F00F8" w14:textId="66DCBAB3" w:rsidR="001E7A6F" w:rsidRPr="00573EFA" w:rsidRDefault="009224B4" w:rsidP="00A21078">
      <w:pPr>
        <w:spacing w:after="0"/>
        <w:contextualSpacing/>
        <w:jc w:val="center"/>
        <w:rPr>
          <w:rFonts w:ascii="Times New Roman" w:hAnsi="Times New Roman"/>
          <w:b/>
          <w:bCs/>
          <w:sz w:val="28"/>
          <w:szCs w:val="28"/>
        </w:rPr>
      </w:pPr>
      <w:r w:rsidRPr="00573EFA">
        <w:rPr>
          <w:rFonts w:ascii="Times New Roman" w:hAnsi="Times New Roman"/>
          <w:b/>
          <w:bCs/>
          <w:sz w:val="28"/>
          <w:szCs w:val="28"/>
        </w:rPr>
        <w:t xml:space="preserve">UNCITRAL Working Group V and </w:t>
      </w:r>
      <w:r w:rsidR="00994086" w:rsidRPr="00573EFA">
        <w:rPr>
          <w:rFonts w:ascii="Times New Roman" w:hAnsi="Times New Roman"/>
          <w:b/>
          <w:bCs/>
          <w:sz w:val="28"/>
          <w:szCs w:val="28"/>
        </w:rPr>
        <w:t>Further Projects in Applicable Law and Asset</w:t>
      </w:r>
      <w:r w:rsidR="00573EFA">
        <w:rPr>
          <w:rFonts w:ascii="Times New Roman" w:hAnsi="Times New Roman"/>
          <w:b/>
          <w:bCs/>
          <w:sz w:val="28"/>
          <w:szCs w:val="28"/>
        </w:rPr>
        <w:t>-</w:t>
      </w:r>
      <w:r w:rsidR="00994086" w:rsidRPr="00573EFA">
        <w:rPr>
          <w:rFonts w:ascii="Times New Roman" w:hAnsi="Times New Roman"/>
          <w:b/>
          <w:bCs/>
          <w:sz w:val="28"/>
          <w:szCs w:val="28"/>
        </w:rPr>
        <w:t>Tracing</w:t>
      </w:r>
    </w:p>
    <w:p w14:paraId="75DFE654" w14:textId="77777777" w:rsidR="00E71E7B" w:rsidRPr="00573EFA" w:rsidRDefault="00E71E7B" w:rsidP="008609CB">
      <w:pPr>
        <w:spacing w:after="0"/>
        <w:contextualSpacing/>
        <w:jc w:val="center"/>
        <w:rPr>
          <w:rFonts w:ascii="Times New Roman" w:hAnsi="Times New Roman"/>
          <w:sz w:val="24"/>
          <w:szCs w:val="24"/>
        </w:rPr>
      </w:pPr>
    </w:p>
    <w:p w14:paraId="716971A7" w14:textId="7C29AC31" w:rsidR="00104015" w:rsidRPr="00573EFA" w:rsidRDefault="009224B4" w:rsidP="00D90E9D">
      <w:pPr>
        <w:pStyle w:val="NoSpacing"/>
        <w:jc w:val="center"/>
        <w:rPr>
          <w:rFonts w:ascii="Times New Roman" w:hAnsi="Times New Roman" w:cs="Times New Roman"/>
          <w:i/>
          <w:iCs/>
          <w:shd w:val="clear" w:color="auto" w:fill="FFFFFF"/>
          <w:lang w:val="en-GB"/>
        </w:rPr>
      </w:pPr>
      <w:r w:rsidRPr="00573EFA">
        <w:rPr>
          <w:rFonts w:ascii="Times New Roman" w:hAnsi="Times New Roman" w:cs="Times New Roman"/>
          <w:i/>
          <w:iCs/>
          <w:lang w:val="en-GB"/>
        </w:rPr>
        <w:t>Dr Jennifer L. L. Gant</w:t>
      </w:r>
      <w:r w:rsidR="00D90E9D" w:rsidRPr="00573EFA">
        <w:rPr>
          <w:rFonts w:ascii="Times New Roman" w:hAnsi="Times New Roman" w:cs="Times New Roman"/>
          <w:i/>
          <w:iCs/>
          <w:lang w:val="en-GB"/>
        </w:rPr>
        <w:t xml:space="preserve">, </w:t>
      </w:r>
      <w:r w:rsidR="00994086" w:rsidRPr="00573EFA">
        <w:rPr>
          <w:rFonts w:ascii="Times New Roman" w:hAnsi="Times New Roman" w:cs="Times New Roman"/>
          <w:i/>
          <w:iCs/>
          <w:lang w:val="en-GB"/>
        </w:rPr>
        <w:t>Lecturer</w:t>
      </w:r>
      <w:r w:rsidRPr="00573EFA">
        <w:rPr>
          <w:rFonts w:ascii="Times New Roman" w:hAnsi="Times New Roman" w:cs="Times New Roman"/>
          <w:i/>
          <w:iCs/>
          <w:lang w:val="en-GB"/>
        </w:rPr>
        <w:t xml:space="preserve">, University </w:t>
      </w:r>
      <w:r w:rsidR="00994086" w:rsidRPr="00573EFA">
        <w:rPr>
          <w:rFonts w:ascii="Times New Roman" w:hAnsi="Times New Roman" w:cs="Times New Roman"/>
          <w:i/>
          <w:iCs/>
          <w:lang w:val="en-GB"/>
        </w:rPr>
        <w:t>of Derby</w:t>
      </w:r>
      <w:r w:rsidRPr="00573EFA">
        <w:rPr>
          <w:rFonts w:ascii="Times New Roman" w:hAnsi="Times New Roman" w:cs="Times New Roman"/>
          <w:i/>
          <w:iCs/>
          <w:lang w:val="en-GB"/>
        </w:rPr>
        <w:t xml:space="preserve">, </w:t>
      </w:r>
      <w:r w:rsidR="00994086" w:rsidRPr="00573EFA">
        <w:rPr>
          <w:rFonts w:ascii="Times New Roman" w:hAnsi="Times New Roman" w:cs="Times New Roman"/>
          <w:i/>
          <w:iCs/>
          <w:lang w:val="en-GB"/>
        </w:rPr>
        <w:t>UK</w:t>
      </w:r>
      <w:r w:rsidRPr="00573EFA">
        <w:rPr>
          <w:rFonts w:ascii="Times New Roman" w:hAnsi="Times New Roman" w:cs="Times New Roman"/>
          <w:i/>
          <w:iCs/>
          <w:lang w:val="en-GB"/>
        </w:rPr>
        <w:t>; INSOL Europe Delegate to UNCITRAL</w:t>
      </w:r>
      <w:r w:rsidR="00B37C12" w:rsidRPr="00573EFA">
        <w:rPr>
          <w:rFonts w:ascii="Times New Roman" w:hAnsi="Times New Roman" w:cs="Times New Roman"/>
          <w:i/>
          <w:iCs/>
          <w:lang w:val="en-GB"/>
        </w:rPr>
        <w:t xml:space="preserve"> WGV</w:t>
      </w:r>
      <w:r w:rsidR="002331CA" w:rsidRPr="00573EFA">
        <w:rPr>
          <w:rFonts w:ascii="Times New Roman" w:hAnsi="Times New Roman" w:cs="Times New Roman"/>
          <w:i/>
          <w:iCs/>
          <w:lang w:val="en-GB"/>
        </w:rPr>
        <w:t xml:space="preserve">; </w:t>
      </w:r>
      <w:r w:rsidR="002331CA" w:rsidRPr="00573EFA">
        <w:rPr>
          <w:rFonts w:ascii="Times New Roman" w:hAnsi="Times New Roman" w:cs="Times New Roman"/>
          <w:i/>
          <w:iCs/>
          <w:shd w:val="clear" w:color="auto" w:fill="FFFFFF"/>
          <w:lang w:val="en-GB"/>
        </w:rPr>
        <w:t>Email: &lt;</w:t>
      </w:r>
      <w:r w:rsidRPr="00573EFA">
        <w:rPr>
          <w:rFonts w:ascii="Times New Roman" w:hAnsi="Times New Roman" w:cs="Times New Roman"/>
          <w:i/>
          <w:iCs/>
          <w:lang w:val="en-GB"/>
        </w:rPr>
        <w:t>jenniferl.l.gant</w:t>
      </w:r>
      <w:r w:rsidR="00D90E9D" w:rsidRPr="00573EFA">
        <w:rPr>
          <w:rFonts w:ascii="Times New Roman" w:hAnsi="Times New Roman" w:cs="Times New Roman"/>
          <w:i/>
          <w:iCs/>
          <w:lang w:val="en-GB"/>
        </w:rPr>
        <w:t>@gmail.com</w:t>
      </w:r>
      <w:r w:rsidR="002331CA" w:rsidRPr="00573EFA">
        <w:rPr>
          <w:rFonts w:ascii="Times New Roman" w:hAnsi="Times New Roman" w:cs="Times New Roman"/>
          <w:i/>
          <w:iCs/>
          <w:shd w:val="clear" w:color="auto" w:fill="FFFFFF"/>
          <w:lang w:val="en-GB"/>
        </w:rPr>
        <w:t>&gt;</w:t>
      </w:r>
      <w:r w:rsidR="001E7A6F" w:rsidRPr="00573EFA">
        <w:rPr>
          <w:rFonts w:ascii="Times New Roman" w:hAnsi="Times New Roman" w:cs="Times New Roman"/>
          <w:i/>
          <w:iCs/>
          <w:shd w:val="clear" w:color="auto" w:fill="FFFFFF"/>
          <w:lang w:val="en-GB"/>
        </w:rPr>
        <w:t>.</w:t>
      </w:r>
    </w:p>
    <w:p w14:paraId="127C267D" w14:textId="77777777" w:rsidR="00E71E7B" w:rsidRPr="00573EFA" w:rsidRDefault="00E71E7B" w:rsidP="001E7A6F">
      <w:pPr>
        <w:spacing w:after="0"/>
        <w:contextualSpacing/>
        <w:rPr>
          <w:rFonts w:ascii="Times New Roman" w:hAnsi="Times New Roman"/>
          <w:i/>
          <w:sz w:val="24"/>
          <w:szCs w:val="24"/>
        </w:rPr>
      </w:pPr>
    </w:p>
    <w:p w14:paraId="3FDD4E1F" w14:textId="3DA5C6B1" w:rsidR="00E71E7B" w:rsidRPr="00573EFA" w:rsidRDefault="00E71E7B" w:rsidP="00994086">
      <w:pPr>
        <w:spacing w:after="0"/>
        <w:contextualSpacing/>
        <w:rPr>
          <w:rFonts w:ascii="Times New Roman" w:hAnsi="Times New Roman"/>
          <w:sz w:val="24"/>
          <w:szCs w:val="24"/>
        </w:rPr>
      </w:pPr>
      <w:r w:rsidRPr="00573EFA">
        <w:rPr>
          <w:rFonts w:ascii="Times New Roman" w:hAnsi="Times New Roman"/>
          <w:i/>
          <w:iCs/>
          <w:sz w:val="24"/>
          <w:szCs w:val="24"/>
        </w:rPr>
        <w:t>Introduction</w:t>
      </w:r>
    </w:p>
    <w:p w14:paraId="022788C5" w14:textId="77777777" w:rsidR="00E71E7B" w:rsidRPr="00573EFA" w:rsidRDefault="00E71E7B" w:rsidP="00994086">
      <w:pPr>
        <w:spacing w:after="0"/>
        <w:contextualSpacing/>
        <w:rPr>
          <w:rFonts w:ascii="Times New Roman" w:hAnsi="Times New Roman"/>
          <w:sz w:val="24"/>
          <w:szCs w:val="24"/>
        </w:rPr>
      </w:pPr>
    </w:p>
    <w:p w14:paraId="52693EE8" w14:textId="0BB23120" w:rsidR="00994086" w:rsidRPr="00573EFA" w:rsidRDefault="00994086" w:rsidP="00994086">
      <w:pPr>
        <w:spacing w:after="0"/>
        <w:rPr>
          <w:rFonts w:ascii="Times New Roman" w:hAnsi="Times New Roman"/>
          <w:sz w:val="24"/>
          <w:szCs w:val="24"/>
        </w:rPr>
      </w:pPr>
      <w:r w:rsidRPr="00573EFA">
        <w:rPr>
          <w:rFonts w:ascii="Times New Roman" w:hAnsi="Times New Roman"/>
          <w:sz w:val="24"/>
          <w:szCs w:val="24"/>
        </w:rPr>
        <w:t>New York City. The Big Apple. Gotham. The City that Never Sleeps, where the Bronx is up and the Battery down. Although Central Park beckons avid runners and matinee performances of favourite musicals play in the day, many delegates and some observers from the world over gathered in at UNCITRAL headquarters to discuss a number of issues the enhance and improve cross-border insolvency law. Although not many of the delegates and observers shared the joy of this trip to the Big Apple given the hybrid approach taken this year due to the continuing impact of COVID, many did attend in person to enjoy once again the camaraderie and fellowship with colleagues from all over the world.</w:t>
      </w:r>
    </w:p>
    <w:p w14:paraId="4E134D39" w14:textId="77777777" w:rsidR="00994086" w:rsidRPr="00573EFA" w:rsidRDefault="00994086" w:rsidP="00994086">
      <w:pPr>
        <w:spacing w:after="0"/>
        <w:rPr>
          <w:rFonts w:ascii="Times New Roman" w:hAnsi="Times New Roman"/>
          <w:sz w:val="24"/>
          <w:szCs w:val="24"/>
        </w:rPr>
      </w:pPr>
    </w:p>
    <w:p w14:paraId="2A9F2B47" w14:textId="21B0B3A6" w:rsidR="00994086" w:rsidRPr="00573EFA" w:rsidRDefault="00994086" w:rsidP="00994086">
      <w:pPr>
        <w:spacing w:after="0"/>
        <w:rPr>
          <w:rFonts w:ascii="Times New Roman" w:hAnsi="Times New Roman"/>
          <w:i/>
          <w:iCs/>
          <w:sz w:val="24"/>
          <w:szCs w:val="24"/>
        </w:rPr>
      </w:pPr>
      <w:r w:rsidRPr="00573EFA">
        <w:rPr>
          <w:rFonts w:ascii="Times New Roman" w:hAnsi="Times New Roman"/>
          <w:i/>
          <w:iCs/>
          <w:sz w:val="24"/>
          <w:szCs w:val="24"/>
        </w:rPr>
        <w:t>Updates to the UNCITRAL Model Law on Cross-Border Insolvency: The Judicial Perspective</w:t>
      </w:r>
    </w:p>
    <w:p w14:paraId="12E8BB27" w14:textId="77777777" w:rsidR="00994086" w:rsidRPr="00573EFA" w:rsidRDefault="00994086" w:rsidP="00994086">
      <w:pPr>
        <w:spacing w:after="0"/>
        <w:rPr>
          <w:rFonts w:ascii="Times New Roman" w:hAnsi="Times New Roman"/>
          <w:i/>
          <w:iCs/>
          <w:sz w:val="24"/>
          <w:szCs w:val="24"/>
        </w:rPr>
      </w:pPr>
    </w:p>
    <w:p w14:paraId="374C0E9F" w14:textId="62C66CAB" w:rsidR="00994086" w:rsidRPr="00573EFA" w:rsidRDefault="00994086" w:rsidP="00994086">
      <w:pPr>
        <w:spacing w:after="0"/>
        <w:rPr>
          <w:rFonts w:ascii="Times New Roman" w:hAnsi="Times New Roman"/>
          <w:sz w:val="24"/>
          <w:szCs w:val="24"/>
        </w:rPr>
      </w:pPr>
      <w:r w:rsidRPr="00573EFA">
        <w:rPr>
          <w:rFonts w:ascii="Times New Roman" w:hAnsi="Times New Roman"/>
          <w:sz w:val="24"/>
          <w:szCs w:val="24"/>
        </w:rPr>
        <w:t xml:space="preserve">During this session, the UNCITRAL Working Group V met to discuss firstly a few updates on the </w:t>
      </w:r>
      <w:r w:rsidRPr="00573EFA">
        <w:rPr>
          <w:rFonts w:ascii="Times New Roman" w:hAnsi="Times New Roman"/>
          <w:i/>
          <w:iCs/>
          <w:sz w:val="24"/>
          <w:szCs w:val="24"/>
        </w:rPr>
        <w:t>UNCITRAL Model Law on Cross-Border Insolvency: the Judicial Perspective</w:t>
      </w:r>
      <w:r w:rsidRPr="00573EFA">
        <w:rPr>
          <w:rFonts w:ascii="Times New Roman" w:hAnsi="Times New Roman"/>
          <w:sz w:val="24"/>
          <w:szCs w:val="24"/>
        </w:rPr>
        <w:t>. This document aims to acknowledge the international origin of the Model Law on Cross-Border Insolvency and to promote the uniformity in its application. The updates to the Judicial Perspective cover developments by other international bodies such as newly adopted UNCITRAL texts like the Model Law on Recognition and Enforcement of Insolvency Related Judgments; the Model Law on Enterprise Group Insolvency; Part V of the Legislative Guide on Insolvency Law covering Micro- Small and Medium Sized Enterprises; as well as the EU Insolvency Regulation (Recast) and other developments after 2013.</w:t>
      </w:r>
    </w:p>
    <w:p w14:paraId="7143D919" w14:textId="77777777" w:rsidR="00994086" w:rsidRPr="00573EFA" w:rsidRDefault="00994086" w:rsidP="00994086">
      <w:pPr>
        <w:spacing w:after="0"/>
        <w:rPr>
          <w:rFonts w:ascii="Times New Roman" w:hAnsi="Times New Roman"/>
          <w:sz w:val="24"/>
          <w:szCs w:val="24"/>
        </w:rPr>
      </w:pPr>
    </w:p>
    <w:p w14:paraId="7BD9BCB4" w14:textId="25097E52" w:rsidR="00994086" w:rsidRPr="00573EFA" w:rsidRDefault="00994086" w:rsidP="00994086">
      <w:pPr>
        <w:spacing w:after="0"/>
        <w:rPr>
          <w:rFonts w:ascii="Times New Roman" w:hAnsi="Times New Roman"/>
          <w:sz w:val="24"/>
          <w:szCs w:val="24"/>
        </w:rPr>
      </w:pPr>
      <w:r w:rsidRPr="00573EFA">
        <w:rPr>
          <w:rFonts w:ascii="Times New Roman" w:hAnsi="Times New Roman"/>
          <w:sz w:val="24"/>
          <w:szCs w:val="24"/>
        </w:rPr>
        <w:t xml:space="preserve">The update will also necessarily cover the interpretations of the MLCBI by judiciaries across the world. These interpretations were given in cases dealing with the public policy exception, which was interpreted restrictively in </w:t>
      </w:r>
      <w:r w:rsidRPr="00573EFA">
        <w:rPr>
          <w:rFonts w:ascii="Times New Roman" w:hAnsi="Times New Roman"/>
          <w:i/>
          <w:iCs/>
          <w:sz w:val="24"/>
          <w:szCs w:val="24"/>
        </w:rPr>
        <w:t>Zetta Jet</w:t>
      </w:r>
      <w:r w:rsidRPr="00573EFA">
        <w:rPr>
          <w:rFonts w:ascii="Times New Roman" w:hAnsi="Times New Roman"/>
          <w:sz w:val="24"/>
          <w:szCs w:val="24"/>
        </w:rPr>
        <w:t xml:space="preserve">. Its consideration in cases of bad faith, such as </w:t>
      </w:r>
      <w:r w:rsidRPr="00573EFA">
        <w:rPr>
          <w:rFonts w:ascii="Times New Roman" w:hAnsi="Times New Roman"/>
          <w:i/>
          <w:iCs/>
          <w:sz w:val="24"/>
          <w:szCs w:val="24"/>
        </w:rPr>
        <w:t xml:space="preserve">Creative Finance </w:t>
      </w:r>
      <w:r w:rsidRPr="00573EFA">
        <w:rPr>
          <w:rFonts w:ascii="Times New Roman" w:hAnsi="Times New Roman"/>
          <w:sz w:val="24"/>
          <w:szCs w:val="24"/>
        </w:rPr>
        <w:t xml:space="preserve">and </w:t>
      </w:r>
      <w:r w:rsidRPr="00573EFA">
        <w:rPr>
          <w:rFonts w:ascii="Times New Roman" w:hAnsi="Times New Roman"/>
          <w:i/>
          <w:iCs/>
          <w:sz w:val="24"/>
          <w:szCs w:val="24"/>
        </w:rPr>
        <w:t>Ivan Cherkasov</w:t>
      </w:r>
      <w:r w:rsidRPr="00573EFA">
        <w:rPr>
          <w:rFonts w:ascii="Times New Roman" w:hAnsi="Times New Roman"/>
          <w:sz w:val="24"/>
          <w:szCs w:val="24"/>
        </w:rPr>
        <w:t>, were also important developments in this area that were to be covered in the update.</w:t>
      </w:r>
    </w:p>
    <w:p w14:paraId="7F3BC85F" w14:textId="77777777" w:rsidR="00994086" w:rsidRPr="00573EFA" w:rsidRDefault="00994086" w:rsidP="00994086">
      <w:pPr>
        <w:spacing w:after="0"/>
        <w:rPr>
          <w:rFonts w:ascii="Times New Roman" w:hAnsi="Times New Roman"/>
          <w:sz w:val="24"/>
          <w:szCs w:val="24"/>
        </w:rPr>
      </w:pPr>
    </w:p>
    <w:p w14:paraId="6B294883" w14:textId="43A85D0D" w:rsidR="00994086" w:rsidRPr="00573EFA" w:rsidRDefault="00994086" w:rsidP="00994086">
      <w:pPr>
        <w:spacing w:after="0"/>
        <w:rPr>
          <w:rFonts w:ascii="Times New Roman" w:hAnsi="Times New Roman"/>
          <w:sz w:val="24"/>
          <w:szCs w:val="24"/>
        </w:rPr>
      </w:pPr>
      <w:r w:rsidRPr="00573EFA">
        <w:rPr>
          <w:rFonts w:ascii="Times New Roman" w:hAnsi="Times New Roman"/>
          <w:sz w:val="24"/>
          <w:szCs w:val="24"/>
        </w:rPr>
        <w:lastRenderedPageBreak/>
        <w:t xml:space="preserve">The Updates proposed were accepted with a few additions during the session which covered additional cases for the most part, such as </w:t>
      </w:r>
      <w:r w:rsidRPr="00573EFA">
        <w:rPr>
          <w:rFonts w:ascii="Times New Roman" w:hAnsi="Times New Roman"/>
          <w:i/>
          <w:iCs/>
          <w:sz w:val="24"/>
          <w:szCs w:val="24"/>
        </w:rPr>
        <w:t xml:space="preserve">Leitzbach </w:t>
      </w:r>
      <w:r w:rsidRPr="00573EFA">
        <w:rPr>
          <w:rFonts w:ascii="Times New Roman" w:hAnsi="Times New Roman"/>
          <w:sz w:val="24"/>
          <w:szCs w:val="24"/>
        </w:rPr>
        <w:t>and</w:t>
      </w:r>
      <w:r w:rsidRPr="00573EFA">
        <w:rPr>
          <w:rFonts w:ascii="Times New Roman" w:hAnsi="Times New Roman"/>
          <w:i/>
          <w:iCs/>
          <w:sz w:val="24"/>
          <w:szCs w:val="24"/>
        </w:rPr>
        <w:t xml:space="preserve"> LATAM Airlines Group SA/Technical Latam SA</w:t>
      </w:r>
      <w:r w:rsidRPr="00573EFA">
        <w:rPr>
          <w:rFonts w:ascii="Times New Roman" w:hAnsi="Times New Roman"/>
          <w:sz w:val="24"/>
          <w:szCs w:val="24"/>
        </w:rPr>
        <w:t xml:space="preserve"> and other cases dealing with COMI issues. Additional updates that the Working Group delegations consider important will be transmitted to the Commission to be considered during the 55</w:t>
      </w:r>
      <w:r w:rsidRPr="00573EFA">
        <w:rPr>
          <w:rFonts w:ascii="Times New Roman" w:hAnsi="Times New Roman"/>
          <w:sz w:val="24"/>
          <w:szCs w:val="24"/>
          <w:vertAlign w:val="superscript"/>
        </w:rPr>
        <w:t>th</w:t>
      </w:r>
      <w:r w:rsidRPr="00573EFA">
        <w:rPr>
          <w:rFonts w:ascii="Times New Roman" w:hAnsi="Times New Roman"/>
          <w:sz w:val="24"/>
          <w:szCs w:val="24"/>
        </w:rPr>
        <w:t xml:space="preserve"> session.</w:t>
      </w:r>
    </w:p>
    <w:p w14:paraId="2D06A765" w14:textId="77777777" w:rsidR="00994086" w:rsidRPr="00573EFA" w:rsidRDefault="00994086" w:rsidP="00994086">
      <w:pPr>
        <w:spacing w:after="0"/>
        <w:rPr>
          <w:rFonts w:ascii="Times New Roman" w:hAnsi="Times New Roman"/>
          <w:sz w:val="24"/>
          <w:szCs w:val="24"/>
        </w:rPr>
      </w:pPr>
    </w:p>
    <w:p w14:paraId="29CFC500" w14:textId="3DACE209" w:rsidR="00994086" w:rsidRPr="00573EFA" w:rsidRDefault="00994086" w:rsidP="00994086">
      <w:pPr>
        <w:spacing w:after="0"/>
        <w:rPr>
          <w:rFonts w:ascii="Times New Roman" w:hAnsi="Times New Roman"/>
          <w:i/>
          <w:iCs/>
          <w:sz w:val="24"/>
          <w:szCs w:val="24"/>
        </w:rPr>
      </w:pPr>
      <w:r w:rsidRPr="00573EFA">
        <w:rPr>
          <w:rFonts w:ascii="Times New Roman" w:hAnsi="Times New Roman"/>
          <w:i/>
          <w:iCs/>
          <w:sz w:val="24"/>
          <w:szCs w:val="24"/>
        </w:rPr>
        <w:t>Civil Asset-Tracing and Recovery in Insolvency Proceedings</w:t>
      </w:r>
    </w:p>
    <w:p w14:paraId="7851BCE9" w14:textId="77777777" w:rsidR="00994086" w:rsidRPr="00573EFA" w:rsidRDefault="00994086" w:rsidP="00994086">
      <w:pPr>
        <w:spacing w:after="0"/>
        <w:rPr>
          <w:rFonts w:ascii="Times New Roman" w:hAnsi="Times New Roman"/>
          <w:sz w:val="24"/>
          <w:szCs w:val="24"/>
        </w:rPr>
      </w:pPr>
    </w:p>
    <w:p w14:paraId="22C54AC6" w14:textId="35216259" w:rsidR="00994086" w:rsidRPr="00573EFA" w:rsidRDefault="00994086" w:rsidP="00994086">
      <w:pPr>
        <w:spacing w:after="0"/>
        <w:rPr>
          <w:rFonts w:ascii="Times New Roman" w:hAnsi="Times New Roman"/>
          <w:sz w:val="24"/>
          <w:szCs w:val="24"/>
        </w:rPr>
      </w:pPr>
      <w:r w:rsidRPr="00573EFA">
        <w:rPr>
          <w:rFonts w:ascii="Times New Roman" w:hAnsi="Times New Roman"/>
          <w:sz w:val="24"/>
          <w:szCs w:val="24"/>
        </w:rPr>
        <w:t>The second important topic on the agenda revolved around the introduction of some kind of harmonising instrument that deals with civil asset-tracing and recovery in insolvency proceedings.  At an earlier session, it was agreed that a document providing a description of the many possible tools that are used to recover assets in jurisdictions would be useful as a pedagogical tool to guide other jurisdictions to implement more effective regimes. It has been largely agreed that this guide, in whatever form it takes, should adopt a pedagogical approach rather than directive in order for jurisdictions that are relatively less developed in their procedures in this area to draw from the experience of those with more developed regimes.</w:t>
      </w:r>
    </w:p>
    <w:p w14:paraId="5CC6CF91" w14:textId="77777777" w:rsidR="00994086" w:rsidRPr="00573EFA" w:rsidRDefault="00994086" w:rsidP="00994086">
      <w:pPr>
        <w:spacing w:after="0"/>
        <w:rPr>
          <w:rFonts w:ascii="Times New Roman" w:hAnsi="Times New Roman"/>
          <w:sz w:val="24"/>
          <w:szCs w:val="24"/>
        </w:rPr>
      </w:pPr>
    </w:p>
    <w:p w14:paraId="05D24322" w14:textId="27CD8D8D" w:rsidR="00994086" w:rsidRPr="00573EFA" w:rsidRDefault="00994086" w:rsidP="00994086">
      <w:pPr>
        <w:spacing w:after="0"/>
        <w:rPr>
          <w:rFonts w:ascii="Times New Roman" w:hAnsi="Times New Roman"/>
          <w:sz w:val="24"/>
          <w:szCs w:val="24"/>
        </w:rPr>
      </w:pPr>
      <w:r w:rsidRPr="00573EFA">
        <w:rPr>
          <w:rFonts w:ascii="Times New Roman" w:hAnsi="Times New Roman"/>
          <w:sz w:val="24"/>
          <w:szCs w:val="24"/>
        </w:rPr>
        <w:t>There were a number of interesting discussions around this topic with some seemingly insurmountable conceptual differences. With that being said, there was agreement that some harmonisation in this area would be useful for the efficient progress of cross-border insolvencies. However, it was also acknowledged that any substantive consolidation should be treated with caution due to the sensitive issues it raised, including the need to respect the principal of separate legal identity and issues surrounding intermingled assets.</w:t>
      </w:r>
    </w:p>
    <w:p w14:paraId="13BC1D10" w14:textId="77777777" w:rsidR="00994086" w:rsidRPr="00573EFA" w:rsidRDefault="00994086" w:rsidP="00994086">
      <w:pPr>
        <w:spacing w:after="0"/>
        <w:rPr>
          <w:rFonts w:ascii="Times New Roman" w:hAnsi="Times New Roman"/>
          <w:sz w:val="24"/>
          <w:szCs w:val="24"/>
        </w:rPr>
      </w:pPr>
    </w:p>
    <w:p w14:paraId="6E66217A" w14:textId="0D0AF97B" w:rsidR="00994086" w:rsidRPr="00573EFA" w:rsidRDefault="00994086" w:rsidP="00994086">
      <w:pPr>
        <w:spacing w:after="0"/>
        <w:rPr>
          <w:rFonts w:ascii="Times New Roman" w:hAnsi="Times New Roman"/>
          <w:sz w:val="24"/>
          <w:szCs w:val="24"/>
        </w:rPr>
      </w:pPr>
      <w:r w:rsidRPr="00573EFA">
        <w:rPr>
          <w:rFonts w:ascii="Times New Roman" w:hAnsi="Times New Roman"/>
          <w:sz w:val="24"/>
          <w:szCs w:val="24"/>
        </w:rPr>
        <w:t>Views differed on the scope of powers that should be afforded to an insolvency representative in asset-tracing and recovery, particularly where such representatives were not required to seek court authorisation. This included reservations about an insolvency practitioner’s access to privileged or confidential information. Whereas some delegations argued that sufficient safeguards should already be in place to allow extensive access, a more cautious approach was promoted by others, citing the implications on the debtor, creditor, third party rights and privileges.</w:t>
      </w:r>
    </w:p>
    <w:p w14:paraId="7911AB89" w14:textId="77777777" w:rsidR="00994086" w:rsidRPr="00573EFA" w:rsidRDefault="00994086" w:rsidP="00994086">
      <w:pPr>
        <w:spacing w:after="0"/>
        <w:rPr>
          <w:rFonts w:ascii="Times New Roman" w:hAnsi="Times New Roman"/>
          <w:sz w:val="24"/>
          <w:szCs w:val="24"/>
        </w:rPr>
      </w:pPr>
    </w:p>
    <w:p w14:paraId="5F1F3304" w14:textId="5B2FB746" w:rsidR="00994086" w:rsidRPr="00573EFA" w:rsidRDefault="00994086" w:rsidP="00994086">
      <w:pPr>
        <w:spacing w:after="0"/>
        <w:rPr>
          <w:rFonts w:ascii="Times New Roman" w:hAnsi="Times New Roman"/>
          <w:sz w:val="24"/>
          <w:szCs w:val="24"/>
        </w:rPr>
      </w:pPr>
      <w:r w:rsidRPr="00573EFA">
        <w:rPr>
          <w:rFonts w:ascii="Times New Roman" w:hAnsi="Times New Roman"/>
          <w:sz w:val="24"/>
          <w:szCs w:val="24"/>
        </w:rPr>
        <w:t>One area where there was quite a lot of discussion and argument focused on the existence and extent of sanctions to be applied in the context of asset</w:t>
      </w:r>
      <w:r w:rsidR="00573EFA">
        <w:rPr>
          <w:rFonts w:ascii="Times New Roman" w:hAnsi="Times New Roman"/>
          <w:sz w:val="24"/>
          <w:szCs w:val="24"/>
        </w:rPr>
        <w:t>-</w:t>
      </w:r>
      <w:r w:rsidRPr="00573EFA">
        <w:rPr>
          <w:rFonts w:ascii="Times New Roman" w:hAnsi="Times New Roman"/>
          <w:sz w:val="24"/>
          <w:szCs w:val="24"/>
        </w:rPr>
        <w:t>tracing. Although it was recognised that sanctions could facilitate asset-tracing and recovery in the domestic and cross-border contexts,  a majority of the delegation agreed that in reality and from the perspective of creditors, the main focus of asset-tracing and recovery should be to facilitate the recovery of insolvency estate assets. In this context, preventive measures were viewed as more important than sanctioning after the fact. These measures could include capacity-building, training, awareness raising, and education.</w:t>
      </w:r>
    </w:p>
    <w:p w14:paraId="7241EE38" w14:textId="77777777" w:rsidR="00994086" w:rsidRPr="00573EFA" w:rsidRDefault="00994086" w:rsidP="00994086">
      <w:pPr>
        <w:spacing w:after="0"/>
        <w:rPr>
          <w:rFonts w:ascii="Times New Roman" w:hAnsi="Times New Roman"/>
          <w:sz w:val="24"/>
          <w:szCs w:val="24"/>
        </w:rPr>
      </w:pPr>
    </w:p>
    <w:p w14:paraId="4AF4F74B" w14:textId="1283E6AF" w:rsidR="00994086" w:rsidRPr="00573EFA" w:rsidRDefault="00994086" w:rsidP="00994086">
      <w:pPr>
        <w:spacing w:after="0"/>
        <w:rPr>
          <w:rFonts w:ascii="Times New Roman" w:hAnsi="Times New Roman"/>
          <w:sz w:val="24"/>
          <w:szCs w:val="24"/>
        </w:rPr>
      </w:pPr>
      <w:r w:rsidRPr="00573EFA">
        <w:rPr>
          <w:rFonts w:ascii="Times New Roman" w:hAnsi="Times New Roman"/>
          <w:sz w:val="24"/>
          <w:szCs w:val="24"/>
        </w:rPr>
        <w:t>Although views differed on issues such as whether creditors rights to commence avoidance should be restricted in this and other seemingly contentious areas, it was agreed to adopt similar approaches taken elsewhere in UNCITRAL model laws and guides.</w:t>
      </w:r>
    </w:p>
    <w:p w14:paraId="693571AF" w14:textId="77777777" w:rsidR="00994086" w:rsidRPr="00573EFA" w:rsidRDefault="00994086" w:rsidP="00994086">
      <w:pPr>
        <w:spacing w:after="0"/>
        <w:rPr>
          <w:rFonts w:ascii="Times New Roman" w:hAnsi="Times New Roman"/>
          <w:sz w:val="24"/>
          <w:szCs w:val="24"/>
        </w:rPr>
      </w:pPr>
    </w:p>
    <w:p w14:paraId="32BFE618" w14:textId="16A5C949" w:rsidR="00994086" w:rsidRPr="00573EFA" w:rsidRDefault="00994086" w:rsidP="00994086">
      <w:pPr>
        <w:spacing w:after="0"/>
        <w:rPr>
          <w:rFonts w:ascii="Times New Roman" w:hAnsi="Times New Roman"/>
          <w:sz w:val="24"/>
          <w:szCs w:val="24"/>
        </w:rPr>
      </w:pPr>
      <w:r w:rsidRPr="00573EFA">
        <w:rPr>
          <w:rFonts w:ascii="Times New Roman" w:hAnsi="Times New Roman"/>
          <w:sz w:val="24"/>
          <w:szCs w:val="24"/>
        </w:rPr>
        <w:t xml:space="preserve">It is unclear as yet what form this will take, and despite some reservations expressed about sanctions and liability regimes, there was broad agreement that this project should progress to a stage wherein the Working Group V and the UNCITRAL Secretariat would create some kind of instrument that would cover this important topic at a future session. What is absolutely clear is that any instrument should include an illustrative list of asset-tracing and </w:t>
      </w:r>
      <w:r w:rsidRPr="00573EFA">
        <w:rPr>
          <w:rFonts w:ascii="Times New Roman" w:hAnsi="Times New Roman"/>
          <w:sz w:val="24"/>
          <w:szCs w:val="24"/>
        </w:rPr>
        <w:lastRenderedPageBreak/>
        <w:t>recovery that could facilitate and expedite asset-tracing and recovery across borders, including through recognition of provisional determinations by courts that a particular asset should belong to the insolvency estate.</w:t>
      </w:r>
    </w:p>
    <w:p w14:paraId="7127B8F4" w14:textId="77777777" w:rsidR="00994086" w:rsidRPr="00573EFA" w:rsidRDefault="00994086" w:rsidP="00994086">
      <w:pPr>
        <w:spacing w:after="0"/>
        <w:rPr>
          <w:rFonts w:ascii="Times New Roman" w:hAnsi="Times New Roman"/>
          <w:sz w:val="24"/>
          <w:szCs w:val="24"/>
        </w:rPr>
      </w:pPr>
    </w:p>
    <w:p w14:paraId="06EAE523" w14:textId="77777777" w:rsidR="00994086" w:rsidRPr="00573EFA" w:rsidRDefault="00994086" w:rsidP="00994086">
      <w:pPr>
        <w:spacing w:after="0"/>
        <w:rPr>
          <w:rFonts w:ascii="Times New Roman" w:hAnsi="Times New Roman"/>
          <w:i/>
          <w:iCs/>
          <w:sz w:val="24"/>
          <w:szCs w:val="24"/>
        </w:rPr>
      </w:pPr>
      <w:r w:rsidRPr="00573EFA">
        <w:rPr>
          <w:rFonts w:ascii="Times New Roman" w:hAnsi="Times New Roman"/>
          <w:i/>
          <w:iCs/>
          <w:sz w:val="24"/>
          <w:szCs w:val="24"/>
        </w:rPr>
        <w:t>Applicable Law in Insolvency Proceedings</w:t>
      </w:r>
    </w:p>
    <w:p w14:paraId="47939AE0" w14:textId="77777777" w:rsidR="00994086" w:rsidRPr="00573EFA" w:rsidRDefault="00994086" w:rsidP="00994086">
      <w:pPr>
        <w:spacing w:after="0"/>
        <w:rPr>
          <w:rFonts w:ascii="Times New Roman" w:hAnsi="Times New Roman"/>
          <w:sz w:val="24"/>
          <w:szCs w:val="24"/>
        </w:rPr>
      </w:pPr>
    </w:p>
    <w:p w14:paraId="7C652EF3" w14:textId="702D7B5E" w:rsidR="00994086" w:rsidRPr="00573EFA" w:rsidRDefault="00994086" w:rsidP="00994086">
      <w:pPr>
        <w:spacing w:after="0"/>
        <w:rPr>
          <w:rFonts w:ascii="Times New Roman" w:hAnsi="Times New Roman"/>
          <w:sz w:val="24"/>
          <w:szCs w:val="24"/>
        </w:rPr>
      </w:pPr>
      <w:r w:rsidRPr="00573EFA">
        <w:rPr>
          <w:rFonts w:ascii="Times New Roman" w:hAnsi="Times New Roman"/>
          <w:sz w:val="24"/>
          <w:szCs w:val="24"/>
        </w:rPr>
        <w:t>Finally, the Working Group considered the topic of applicable law in insolvency proceedings. It was agreed that the introduction of a harmonising instrument would promote certainty and predictability thereby enhancing efficiency while reducing the propensity for abusive forum shopping and filling the gaps in the current applicable law structure governing cross-border insolvency.</w:t>
      </w:r>
    </w:p>
    <w:p w14:paraId="1BE2A85B" w14:textId="77777777" w:rsidR="00994086" w:rsidRPr="00573EFA" w:rsidRDefault="00994086" w:rsidP="00994086">
      <w:pPr>
        <w:spacing w:after="0"/>
        <w:rPr>
          <w:rFonts w:ascii="Times New Roman" w:hAnsi="Times New Roman"/>
          <w:sz w:val="24"/>
          <w:szCs w:val="24"/>
        </w:rPr>
      </w:pPr>
    </w:p>
    <w:p w14:paraId="50C72C2B" w14:textId="2E5174A4" w:rsidR="00994086" w:rsidRPr="00573EFA" w:rsidRDefault="00994086" w:rsidP="00994086">
      <w:pPr>
        <w:spacing w:after="0"/>
        <w:rPr>
          <w:rFonts w:ascii="Times New Roman" w:hAnsi="Times New Roman"/>
          <w:sz w:val="24"/>
          <w:szCs w:val="24"/>
        </w:rPr>
      </w:pPr>
      <w:r w:rsidRPr="00573EFA">
        <w:rPr>
          <w:rFonts w:ascii="Times New Roman" w:hAnsi="Times New Roman"/>
          <w:sz w:val="24"/>
          <w:szCs w:val="24"/>
        </w:rPr>
        <w:t xml:space="preserve">The discussion revolved around the consistent and appropriate use of </w:t>
      </w:r>
      <w:r w:rsidRPr="00573EFA">
        <w:rPr>
          <w:rFonts w:ascii="Times New Roman" w:hAnsi="Times New Roman"/>
          <w:i/>
          <w:iCs/>
          <w:sz w:val="24"/>
          <w:szCs w:val="24"/>
        </w:rPr>
        <w:t>lex fori concursus</w:t>
      </w:r>
      <w:r w:rsidRPr="00573EFA">
        <w:rPr>
          <w:rFonts w:ascii="Times New Roman" w:hAnsi="Times New Roman"/>
          <w:sz w:val="24"/>
          <w:szCs w:val="24"/>
        </w:rPr>
        <w:t xml:space="preserve"> in a cross-border insolvency proceedings. The purpose of further legislative provisions in this area should therefore reinforce the consistent application of the </w:t>
      </w:r>
      <w:r w:rsidRPr="00573EFA">
        <w:rPr>
          <w:rFonts w:ascii="Times New Roman" w:hAnsi="Times New Roman"/>
          <w:i/>
          <w:iCs/>
          <w:sz w:val="24"/>
          <w:szCs w:val="24"/>
        </w:rPr>
        <w:t>lex fori concursus</w:t>
      </w:r>
      <w:r w:rsidRPr="00573EFA">
        <w:rPr>
          <w:rFonts w:ascii="Times New Roman" w:hAnsi="Times New Roman"/>
          <w:sz w:val="24"/>
          <w:szCs w:val="24"/>
        </w:rPr>
        <w:t>. The meaning of this term was therefore important to establish and it was agreed that insolvency law should be interpreted broadly as encompassing not just liquidation but also those procedures aimed at rescue and even preventive restructuring, as long as there was a sufficient connection with insolvency.</w:t>
      </w:r>
    </w:p>
    <w:p w14:paraId="05F495D7" w14:textId="77777777" w:rsidR="00994086" w:rsidRPr="00573EFA" w:rsidRDefault="00994086" w:rsidP="00994086">
      <w:pPr>
        <w:spacing w:after="0"/>
        <w:rPr>
          <w:rFonts w:ascii="Times New Roman" w:hAnsi="Times New Roman"/>
          <w:sz w:val="24"/>
          <w:szCs w:val="24"/>
        </w:rPr>
      </w:pPr>
    </w:p>
    <w:p w14:paraId="03F64C42" w14:textId="77777777" w:rsidR="00994086" w:rsidRPr="00573EFA" w:rsidRDefault="00994086" w:rsidP="00994086">
      <w:pPr>
        <w:spacing w:after="0"/>
        <w:rPr>
          <w:rFonts w:ascii="Times New Roman" w:hAnsi="Times New Roman"/>
          <w:sz w:val="24"/>
          <w:szCs w:val="24"/>
        </w:rPr>
      </w:pPr>
      <w:r w:rsidRPr="00573EFA">
        <w:rPr>
          <w:rFonts w:ascii="Times New Roman" w:hAnsi="Times New Roman"/>
          <w:sz w:val="24"/>
          <w:szCs w:val="24"/>
        </w:rPr>
        <w:t xml:space="preserve">Many ancillary issues to insolvency were discussed where </w:t>
      </w:r>
      <w:r w:rsidRPr="00573EFA">
        <w:rPr>
          <w:rFonts w:ascii="Times New Roman" w:hAnsi="Times New Roman"/>
          <w:i/>
          <w:iCs/>
          <w:sz w:val="24"/>
          <w:szCs w:val="24"/>
        </w:rPr>
        <w:t xml:space="preserve">lex fori concursus </w:t>
      </w:r>
      <w:r w:rsidRPr="00573EFA">
        <w:rPr>
          <w:rFonts w:ascii="Times New Roman" w:hAnsi="Times New Roman"/>
          <w:sz w:val="24"/>
          <w:szCs w:val="24"/>
        </w:rPr>
        <w:t xml:space="preserve">may or may not apply. These would need to be determined before a firm conclusion could be reached on the scope of applicable law for digital assets, intellectual property rights and licences, which were confounding issues in the </w:t>
      </w:r>
      <w:r w:rsidRPr="00573EFA">
        <w:rPr>
          <w:rFonts w:ascii="Times New Roman" w:hAnsi="Times New Roman"/>
          <w:i/>
          <w:iCs/>
          <w:sz w:val="24"/>
          <w:szCs w:val="24"/>
        </w:rPr>
        <w:t>Nortel</w:t>
      </w:r>
      <w:r w:rsidRPr="00573EFA">
        <w:rPr>
          <w:rFonts w:ascii="Times New Roman" w:hAnsi="Times New Roman"/>
          <w:sz w:val="24"/>
          <w:szCs w:val="24"/>
        </w:rPr>
        <w:t xml:space="preserve"> case, for example.</w:t>
      </w:r>
    </w:p>
    <w:p w14:paraId="12462070" w14:textId="77777777" w:rsidR="00994086" w:rsidRPr="00573EFA" w:rsidRDefault="00994086" w:rsidP="00994086">
      <w:pPr>
        <w:spacing w:after="0"/>
        <w:rPr>
          <w:rFonts w:ascii="Times New Roman" w:hAnsi="Times New Roman"/>
          <w:sz w:val="24"/>
          <w:szCs w:val="24"/>
        </w:rPr>
      </w:pPr>
    </w:p>
    <w:p w14:paraId="1AD84344" w14:textId="275726A8" w:rsidR="00994086" w:rsidRPr="00573EFA" w:rsidRDefault="00994086" w:rsidP="00994086">
      <w:pPr>
        <w:spacing w:after="0"/>
        <w:rPr>
          <w:rFonts w:ascii="Times New Roman" w:hAnsi="Times New Roman"/>
          <w:sz w:val="24"/>
          <w:szCs w:val="24"/>
        </w:rPr>
      </w:pPr>
      <w:r w:rsidRPr="00573EFA">
        <w:rPr>
          <w:rFonts w:ascii="Times New Roman" w:hAnsi="Times New Roman"/>
          <w:sz w:val="24"/>
          <w:szCs w:val="24"/>
        </w:rPr>
        <w:t>Avoidance actions are another area where it is unclear at all times which law should be applicable. While an example was drawn from the operation of the EU Insolvency Regulation (Recast) which has largely resolved the issue of avoidance actions in terms of applicable law for EU member states (with some exceptions), applying the COMI rule, this was viewed by some as being too cumbersome for the purpose of an UNCITRAL instrument, particularly as applied to the digital world. The extra protection provided to some creditors was also viewed as unjustified in terms of the need to ensure equal treatment in an insolvency context, which was contrasted with the safeguards already available within UNCITRAL texts in the form of public policy exceptions and adequate protection.</w:t>
      </w:r>
    </w:p>
    <w:p w14:paraId="5572B6D3" w14:textId="77777777" w:rsidR="00994086" w:rsidRPr="00573EFA" w:rsidRDefault="00994086" w:rsidP="00994086">
      <w:pPr>
        <w:spacing w:after="0"/>
        <w:rPr>
          <w:rFonts w:ascii="Times New Roman" w:hAnsi="Times New Roman"/>
          <w:sz w:val="24"/>
          <w:szCs w:val="24"/>
        </w:rPr>
      </w:pPr>
    </w:p>
    <w:p w14:paraId="75993F86" w14:textId="253B74CF" w:rsidR="00994086" w:rsidRPr="00573EFA" w:rsidRDefault="00994086" w:rsidP="00994086">
      <w:pPr>
        <w:spacing w:after="0"/>
        <w:rPr>
          <w:rFonts w:ascii="Times New Roman" w:hAnsi="Times New Roman"/>
          <w:sz w:val="24"/>
          <w:szCs w:val="24"/>
        </w:rPr>
      </w:pPr>
      <w:r w:rsidRPr="00573EFA">
        <w:rPr>
          <w:rFonts w:ascii="Times New Roman" w:hAnsi="Times New Roman"/>
          <w:sz w:val="24"/>
          <w:szCs w:val="24"/>
        </w:rPr>
        <w:t>A number of other distinct areas were considered in terms of their inclusion in an applicable law instrument. Explicitly excepted from this list were payment and settlement systems and regulated financial markets and labour contracts.</w:t>
      </w:r>
    </w:p>
    <w:p w14:paraId="74FCFAA5" w14:textId="77777777" w:rsidR="00994086" w:rsidRPr="00573EFA" w:rsidRDefault="00994086" w:rsidP="00994086">
      <w:pPr>
        <w:spacing w:after="0"/>
        <w:rPr>
          <w:rFonts w:ascii="Times New Roman" w:hAnsi="Times New Roman"/>
          <w:sz w:val="24"/>
          <w:szCs w:val="24"/>
        </w:rPr>
      </w:pPr>
    </w:p>
    <w:p w14:paraId="1326DDE3" w14:textId="3361FE1F" w:rsidR="00994086" w:rsidRPr="00573EFA" w:rsidRDefault="00994086" w:rsidP="00994086">
      <w:pPr>
        <w:spacing w:after="0"/>
        <w:rPr>
          <w:rFonts w:ascii="Times New Roman" w:hAnsi="Times New Roman"/>
          <w:sz w:val="24"/>
          <w:szCs w:val="24"/>
        </w:rPr>
      </w:pPr>
      <w:r w:rsidRPr="00573EFA">
        <w:rPr>
          <w:rFonts w:ascii="Times New Roman" w:hAnsi="Times New Roman"/>
          <w:sz w:val="24"/>
          <w:szCs w:val="24"/>
        </w:rPr>
        <w:t>It was also agreed to include a public policy exception to ensure respect for state sovereignty. Concern was specifically expressed about the manipulative use of insolvency proceedings for attaining political goals. A number of delegations emphasised that the interpretation of this exception should be restrictive and used in only exceptional circumstances in order to ensure that the legislative project could be meaningful.</w:t>
      </w:r>
    </w:p>
    <w:p w14:paraId="515EC3D4" w14:textId="77777777" w:rsidR="00994086" w:rsidRPr="00573EFA" w:rsidRDefault="00994086" w:rsidP="00994086">
      <w:pPr>
        <w:spacing w:after="0"/>
        <w:rPr>
          <w:rFonts w:ascii="Times New Roman" w:hAnsi="Times New Roman"/>
          <w:sz w:val="24"/>
          <w:szCs w:val="24"/>
        </w:rPr>
      </w:pPr>
    </w:p>
    <w:p w14:paraId="551AF7A6" w14:textId="6E7A7825" w:rsidR="00994086" w:rsidRPr="00573EFA" w:rsidRDefault="00994086" w:rsidP="00994086">
      <w:pPr>
        <w:spacing w:after="0"/>
        <w:rPr>
          <w:rFonts w:ascii="Times New Roman" w:hAnsi="Times New Roman"/>
          <w:sz w:val="24"/>
          <w:szCs w:val="24"/>
        </w:rPr>
      </w:pPr>
      <w:r w:rsidRPr="00573EFA">
        <w:rPr>
          <w:rFonts w:ascii="Times New Roman" w:hAnsi="Times New Roman"/>
          <w:sz w:val="24"/>
          <w:szCs w:val="24"/>
        </w:rPr>
        <w:t xml:space="preserve">Views on the form such an instrument should take differed, but a number of solutions were mooted: a model new law; an ad-hoc approached based on the identification of gaps in current rules; amendment of the Legislative Guide filling the gaps identified; or a gradual approach that may take include each of the previous options. Most delegations favoured preparing a model law to be discussed at the next session of the Working Group; whereas this was greeted </w:t>
      </w:r>
      <w:r w:rsidRPr="00573EFA">
        <w:rPr>
          <w:rFonts w:ascii="Times New Roman" w:hAnsi="Times New Roman"/>
          <w:sz w:val="24"/>
          <w:szCs w:val="24"/>
        </w:rPr>
        <w:lastRenderedPageBreak/>
        <w:t>as being potentially premature given the number of substantive issues that remain to be resolved.</w:t>
      </w:r>
    </w:p>
    <w:p w14:paraId="6B6011A9" w14:textId="77777777" w:rsidR="00994086" w:rsidRPr="00573EFA" w:rsidRDefault="00994086" w:rsidP="00994086">
      <w:pPr>
        <w:spacing w:after="0"/>
        <w:rPr>
          <w:rFonts w:ascii="Times New Roman" w:hAnsi="Times New Roman"/>
          <w:sz w:val="24"/>
          <w:szCs w:val="24"/>
        </w:rPr>
      </w:pPr>
    </w:p>
    <w:p w14:paraId="069B7F43" w14:textId="77777777" w:rsidR="00994086" w:rsidRPr="00573EFA" w:rsidRDefault="00994086" w:rsidP="00994086">
      <w:pPr>
        <w:spacing w:after="0"/>
        <w:rPr>
          <w:rFonts w:ascii="Times New Roman" w:hAnsi="Times New Roman"/>
          <w:i/>
          <w:iCs/>
          <w:sz w:val="24"/>
          <w:szCs w:val="24"/>
        </w:rPr>
      </w:pPr>
      <w:r w:rsidRPr="00573EFA">
        <w:rPr>
          <w:rFonts w:ascii="Times New Roman" w:hAnsi="Times New Roman"/>
          <w:i/>
          <w:iCs/>
          <w:sz w:val="24"/>
          <w:szCs w:val="24"/>
        </w:rPr>
        <w:t>Conclusion</w:t>
      </w:r>
    </w:p>
    <w:p w14:paraId="0DBBF49D" w14:textId="77777777" w:rsidR="00994086" w:rsidRPr="00573EFA" w:rsidRDefault="00994086" w:rsidP="00994086">
      <w:pPr>
        <w:pStyle w:val="Default"/>
        <w:jc w:val="both"/>
      </w:pPr>
    </w:p>
    <w:p w14:paraId="5761A948" w14:textId="317B6883" w:rsidR="0047439B" w:rsidRPr="00573EFA" w:rsidRDefault="00994086" w:rsidP="00994086">
      <w:pPr>
        <w:pStyle w:val="Default"/>
        <w:jc w:val="both"/>
      </w:pPr>
      <w:r w:rsidRPr="00573EFA">
        <w:t>It will be interesting to see how the asset-tracing and recovery and applicable law areas develop given the wide differences that appear to exist between the approach to asset-tracing and recovery in many advanced jurisdictions. In any event, the next session (61) in Vienna will hopefully be attended by INSOL Europe’s observers in person with schnitzel and glühwein overflowing after intensive hours of deliberation and discussion with the other delegates in attendance.</w:t>
      </w:r>
    </w:p>
    <w:sectPr w:rsidR="0047439B" w:rsidRPr="00573EFA" w:rsidSect="00086E49">
      <w:headerReference w:type="default" r:id="rId9"/>
      <w:footerReference w:type="default" r:id="rId10"/>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2924C9" w14:textId="77777777" w:rsidR="0082248F" w:rsidRDefault="0082248F">
      <w:r>
        <w:separator/>
      </w:r>
    </w:p>
  </w:endnote>
  <w:endnote w:type="continuationSeparator" w:id="0">
    <w:p w14:paraId="0B5369F0" w14:textId="77777777" w:rsidR="0082248F" w:rsidRDefault="00822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Times New Roman Bold">
    <w:altName w:val="Times New Roman"/>
    <w:charset w:val="00"/>
    <w:family w:val="auto"/>
    <w:pitch w:val="variable"/>
    <w:sig w:usb0="E0002AF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Garamond">
    <w:panose1 w:val="02020404030301010803"/>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3B342"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B50FD" w14:textId="77777777" w:rsidR="0082248F" w:rsidRDefault="0082248F">
      <w:r>
        <w:separator/>
      </w:r>
    </w:p>
  </w:footnote>
  <w:footnote w:type="continuationSeparator" w:id="0">
    <w:p w14:paraId="61B0F8EF" w14:textId="77777777" w:rsidR="0082248F" w:rsidRDefault="0082248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8C893" w14:textId="01EB7004" w:rsidR="00D90E9D" w:rsidRDefault="00BF3D3E" w:rsidP="00D90E9D">
    <w:pPr>
      <w:pStyle w:val="Header"/>
      <w:spacing w:after="0"/>
      <w:rPr>
        <w:rFonts w:ascii="Arial" w:hAnsi="Arial" w:cs="Arial"/>
        <w:b/>
        <w:sz w:val="20"/>
      </w:rPr>
    </w:pPr>
    <w:r w:rsidRPr="002331CA">
      <w:rPr>
        <w:rFonts w:ascii="Arial" w:hAnsi="Arial" w:cs="Arial"/>
        <w:b/>
        <w:sz w:val="20"/>
      </w:rPr>
      <w:t>Inside Story (</w:t>
    </w:r>
    <w:r w:rsidR="00994086">
      <w:rPr>
        <w:rFonts w:ascii="Arial" w:hAnsi="Arial" w:cs="Arial"/>
        <w:b/>
        <w:sz w:val="20"/>
      </w:rPr>
      <w:t>May</w:t>
    </w:r>
    <w:r w:rsidR="002A5779" w:rsidRPr="002331CA">
      <w:rPr>
        <w:rFonts w:ascii="Arial" w:hAnsi="Arial" w:cs="Arial"/>
        <w:b/>
        <w:sz w:val="20"/>
      </w:rPr>
      <w:t xml:space="preserve"> 20</w:t>
    </w:r>
    <w:r w:rsidR="00087612" w:rsidRPr="002331CA">
      <w:rPr>
        <w:rFonts w:ascii="Arial" w:hAnsi="Arial" w:cs="Arial"/>
        <w:b/>
        <w:sz w:val="20"/>
      </w:rPr>
      <w:t>2</w:t>
    </w:r>
    <w:r w:rsidR="00994086">
      <w:rPr>
        <w:rFonts w:ascii="Arial" w:hAnsi="Arial" w:cs="Arial"/>
        <w:b/>
        <w:sz w:val="20"/>
      </w:rPr>
      <w:t>2</w:t>
    </w:r>
    <w:r w:rsidR="00D90E9D">
      <w:rPr>
        <w:rFonts w:ascii="Arial" w:hAnsi="Arial" w:cs="Arial"/>
        <w:b/>
        <w:sz w:val="20"/>
      </w:rPr>
      <w:t>)</w:t>
    </w:r>
  </w:p>
  <w:p w14:paraId="0F2C5C5A" w14:textId="362F0DBE" w:rsidR="00BF3D3E" w:rsidRPr="009224B4" w:rsidRDefault="009224B4" w:rsidP="00D90E9D">
    <w:pPr>
      <w:pStyle w:val="Header"/>
      <w:spacing w:after="0"/>
      <w:rPr>
        <w:rFonts w:ascii="Arial" w:hAnsi="Arial" w:cs="Arial"/>
        <w:b/>
        <w:sz w:val="20"/>
        <w:lang w:val="fr-FR"/>
      </w:rPr>
    </w:pPr>
    <w:r w:rsidRPr="009224B4">
      <w:rPr>
        <w:rFonts w:ascii="Arial" w:hAnsi="Arial" w:cs="Arial"/>
        <w:b/>
        <w:sz w:val="20"/>
        <w:lang w:val="fr-FR"/>
      </w:rPr>
      <w:t>Dr Jennifer L. L. Gant</w:t>
    </w:r>
    <w:r>
      <w:rPr>
        <w:rFonts w:ascii="Arial" w:hAnsi="Arial" w:cs="Arial"/>
        <w:b/>
        <w:sz w:val="20"/>
        <w:lang w:val="fr-FR"/>
      </w:rPr>
      <w:t xml:space="preserve"> </w:t>
    </w:r>
    <w:r w:rsidR="00BF3D3E" w:rsidRPr="009224B4">
      <w:rPr>
        <w:rFonts w:ascii="Arial" w:hAnsi="Arial" w:cs="Arial"/>
        <w:b/>
        <w:sz w:val="20"/>
        <w:lang w:val="fr-FR"/>
      </w:rPr>
      <w:t>(</w:t>
    </w:r>
    <w:r>
      <w:rPr>
        <w:rFonts w:ascii="Arial" w:hAnsi="Arial" w:cs="Arial"/>
        <w:b/>
        <w:sz w:val="20"/>
        <w:lang w:val="fr-FR"/>
      </w:rPr>
      <w:t>UN</w:t>
    </w:r>
    <w:r w:rsidR="00BF3D3E" w:rsidRPr="009224B4">
      <w:rPr>
        <w:rFonts w:ascii="Arial" w:hAnsi="Arial" w:cs="Arial"/>
        <w:b/>
        <w:sz w:val="20"/>
        <w:lang w:val="fr-FR"/>
      </w:rPr>
      <w: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1E96E526"/>
    <w:lvl w:ilvl="0">
      <w:start w:val="1"/>
      <w:numFmt w:val="decimal"/>
      <w:lvlText w:val="%1."/>
      <w:lvlJc w:val="left"/>
      <w:pPr>
        <w:tabs>
          <w:tab w:val="num" w:pos="1209"/>
        </w:tabs>
        <w:ind w:left="1209" w:hanging="360"/>
      </w:pPr>
    </w:lvl>
  </w:abstractNum>
  <w:abstractNum w:abstractNumId="1">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nsid w:val="011A77C2"/>
    <w:multiLevelType w:val="hybridMultilevel"/>
    <w:tmpl w:val="199AA478"/>
    <w:lvl w:ilvl="0" w:tplc="89D656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06767F4E"/>
    <w:multiLevelType w:val="hybridMultilevel"/>
    <w:tmpl w:val="725CC10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07A74F4A"/>
    <w:multiLevelType w:val="hybridMultilevel"/>
    <w:tmpl w:val="45FEA5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7F14876"/>
    <w:multiLevelType w:val="hybridMultilevel"/>
    <w:tmpl w:val="2356F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0C066818"/>
    <w:multiLevelType w:val="hybridMultilevel"/>
    <w:tmpl w:val="A9BC44DE"/>
    <w:lvl w:ilvl="0" w:tplc="E564CF20">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13666FBE"/>
    <w:multiLevelType w:val="hybridMultilevel"/>
    <w:tmpl w:val="1584AA5A"/>
    <w:lvl w:ilvl="0" w:tplc="AD9CF0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14">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6">
    <w:nsid w:val="1F5D6789"/>
    <w:multiLevelType w:val="hybridMultilevel"/>
    <w:tmpl w:val="85963F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2600123"/>
    <w:multiLevelType w:val="hybridMultilevel"/>
    <w:tmpl w:val="8DE2A4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9">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0BF2113"/>
    <w:multiLevelType w:val="hybridMultilevel"/>
    <w:tmpl w:val="5D3A0458"/>
    <w:lvl w:ilvl="0" w:tplc="5DEA4A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44C209D3"/>
    <w:multiLevelType w:val="hybridMultilevel"/>
    <w:tmpl w:val="A55A20CC"/>
    <w:lvl w:ilvl="0" w:tplc="A19ED84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6">
    <w:nsid w:val="52622E5C"/>
    <w:multiLevelType w:val="hybridMultilevel"/>
    <w:tmpl w:val="4CEA025C"/>
    <w:lvl w:ilvl="0" w:tplc="8B5A78E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C5730A6"/>
    <w:multiLevelType w:val="multilevel"/>
    <w:tmpl w:val="1B6A0F2A"/>
    <w:lvl w:ilvl="0">
      <w:start w:val="1"/>
      <w:numFmt w:val="bullet"/>
      <w:pStyle w:val="DPBullet"/>
      <w:lvlText w:val=""/>
      <w:lvlJc w:val="left"/>
      <w:pPr>
        <w:ind w:left="340" w:hanging="340"/>
      </w:pPr>
      <w:rPr>
        <w:rFonts w:ascii="Symbol" w:hAnsi="Symbol" w:hint="default"/>
      </w:rPr>
    </w:lvl>
    <w:lvl w:ilvl="1">
      <w:start w:val="1"/>
      <w:numFmt w:val="bullet"/>
      <w:pStyle w:val="DPBullet1"/>
      <w:lvlText w:val="−"/>
      <w:lvlJc w:val="left"/>
      <w:pPr>
        <w:ind w:left="680" w:hanging="340"/>
      </w:pPr>
      <w:rPr>
        <w:rFonts w:ascii="Times New Roman" w:hAnsi="Times New Roman" w:cs="Times New Roman" w:hint="default"/>
      </w:rPr>
    </w:lvl>
    <w:lvl w:ilvl="2">
      <w:start w:val="1"/>
      <w:numFmt w:val="bullet"/>
      <w:pStyle w:val="DPBullet2"/>
      <w:lvlText w:val="−"/>
      <w:lvlJc w:val="left"/>
      <w:pPr>
        <w:ind w:left="1021" w:hanging="341"/>
      </w:pPr>
      <w:rPr>
        <w:rFonts w:ascii="Times New Roman" w:hAnsi="Times New Roman" w:cs="Times New Roman" w:hint="default"/>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suff w:val="nothing"/>
      <w:lvlText w:val=""/>
      <w:lvlJc w:val="left"/>
      <w:pPr>
        <w:ind w:left="3240" w:hanging="360"/>
      </w:pPr>
      <w:rPr>
        <w:rFonts w:hint="default"/>
      </w:rPr>
    </w:lvl>
  </w:abstractNum>
  <w:abstractNum w:abstractNumId="30">
    <w:nsid w:val="61386B6E"/>
    <w:multiLevelType w:val="hybridMultilevel"/>
    <w:tmpl w:val="5C5815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17B6BD9"/>
    <w:multiLevelType w:val="hybridMultilevel"/>
    <w:tmpl w:val="E44824D4"/>
    <w:lvl w:ilvl="0" w:tplc="7526BE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num w:numId="1">
    <w:abstractNumId w:val="13"/>
  </w:num>
  <w:num w:numId="2">
    <w:abstractNumId w:val="9"/>
  </w:num>
  <w:num w:numId="3">
    <w:abstractNumId w:val="32"/>
  </w:num>
  <w:num w:numId="4">
    <w:abstractNumId w:val="15"/>
  </w:num>
  <w:num w:numId="5">
    <w:abstractNumId w:val="18"/>
  </w:num>
  <w:num w:numId="6">
    <w:abstractNumId w:val="33"/>
  </w:num>
  <w:num w:numId="7">
    <w:abstractNumId w:val="0"/>
  </w:num>
  <w:num w:numId="8">
    <w:abstractNumId w:val="12"/>
  </w:num>
  <w:num w:numId="9">
    <w:abstractNumId w:val="2"/>
  </w:num>
  <w:num w:numId="10">
    <w:abstractNumId w:val="1"/>
  </w:num>
  <w:num w:numId="11">
    <w:abstractNumId w:val="27"/>
  </w:num>
  <w:num w:numId="12">
    <w:abstractNumId w:val="11"/>
  </w:num>
  <w:num w:numId="13">
    <w:abstractNumId w:val="25"/>
  </w:num>
  <w:num w:numId="14">
    <w:abstractNumId w:val="18"/>
  </w:num>
  <w:num w:numId="15">
    <w:abstractNumId w:val="18"/>
  </w:num>
  <w:num w:numId="16">
    <w:abstractNumId w:val="18"/>
  </w:num>
  <w:num w:numId="17">
    <w:abstractNumId w:val="18"/>
  </w:num>
  <w:num w:numId="18">
    <w:abstractNumId w:val="18"/>
  </w:num>
  <w:num w:numId="19">
    <w:abstractNumId w:val="18"/>
  </w:num>
  <w:num w:numId="20">
    <w:abstractNumId w:val="9"/>
  </w:num>
  <w:num w:numId="21">
    <w:abstractNumId w:val="32"/>
  </w:num>
  <w:num w:numId="22">
    <w:abstractNumId w:val="18"/>
  </w:num>
  <w:num w:numId="23">
    <w:abstractNumId w:val="15"/>
  </w:num>
  <w:num w:numId="24">
    <w:abstractNumId w:val="28"/>
  </w:num>
  <w:num w:numId="25">
    <w:abstractNumId w:val="21"/>
  </w:num>
  <w:num w:numId="26">
    <w:abstractNumId w:val="24"/>
  </w:num>
  <w:num w:numId="27">
    <w:abstractNumId w:val="19"/>
  </w:num>
  <w:num w:numId="28">
    <w:abstractNumId w:val="22"/>
  </w:num>
  <w:num w:numId="29">
    <w:abstractNumId w:val="7"/>
  </w:num>
  <w:num w:numId="30">
    <w:abstractNumId w:val="14"/>
  </w:num>
  <w:num w:numId="31">
    <w:abstractNumId w:val="4"/>
  </w:num>
  <w:num w:numId="32">
    <w:abstractNumId w:val="3"/>
  </w:num>
  <w:num w:numId="33">
    <w:abstractNumId w:val="31"/>
  </w:num>
  <w:num w:numId="34">
    <w:abstractNumId w:val="23"/>
  </w:num>
  <w:num w:numId="35">
    <w:abstractNumId w:val="26"/>
  </w:num>
  <w:num w:numId="36">
    <w:abstractNumId w:val="10"/>
  </w:num>
  <w:num w:numId="37">
    <w:abstractNumId w:val="5"/>
  </w:num>
  <w:num w:numId="38">
    <w:abstractNumId w:val="17"/>
  </w:num>
  <w:num w:numId="39">
    <w:abstractNumId w:val="6"/>
  </w:num>
  <w:num w:numId="40">
    <w:abstractNumId w:val="29"/>
  </w:num>
  <w:num w:numId="41">
    <w:abstractNumId w:val="30"/>
  </w:num>
  <w:num w:numId="42">
    <w:abstractNumId w:val="16"/>
  </w:num>
  <w:num w:numId="43">
    <w:abstractNumId w:val="8"/>
  </w:num>
  <w:num w:numId="44">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433C5"/>
    <w:rsid w:val="00001C5A"/>
    <w:rsid w:val="000033DF"/>
    <w:rsid w:val="00065DA6"/>
    <w:rsid w:val="00086E49"/>
    <w:rsid w:val="00087612"/>
    <w:rsid w:val="000921F0"/>
    <w:rsid w:val="00092307"/>
    <w:rsid w:val="000C4532"/>
    <w:rsid w:val="000C7620"/>
    <w:rsid w:val="000D3C8B"/>
    <w:rsid w:val="00104015"/>
    <w:rsid w:val="0011181C"/>
    <w:rsid w:val="001258A8"/>
    <w:rsid w:val="00127C4A"/>
    <w:rsid w:val="00141375"/>
    <w:rsid w:val="00145356"/>
    <w:rsid w:val="00167198"/>
    <w:rsid w:val="001835B2"/>
    <w:rsid w:val="001934CC"/>
    <w:rsid w:val="001A713B"/>
    <w:rsid w:val="001A72DC"/>
    <w:rsid w:val="001B1AA8"/>
    <w:rsid w:val="001C5080"/>
    <w:rsid w:val="001D3A90"/>
    <w:rsid w:val="001E7A6F"/>
    <w:rsid w:val="001F119D"/>
    <w:rsid w:val="0020085B"/>
    <w:rsid w:val="00222353"/>
    <w:rsid w:val="002331CA"/>
    <w:rsid w:val="00247BAC"/>
    <w:rsid w:val="002756AD"/>
    <w:rsid w:val="00276632"/>
    <w:rsid w:val="00280030"/>
    <w:rsid w:val="00284601"/>
    <w:rsid w:val="002A4C95"/>
    <w:rsid w:val="002A5779"/>
    <w:rsid w:val="002A5C92"/>
    <w:rsid w:val="002E09E9"/>
    <w:rsid w:val="003021B6"/>
    <w:rsid w:val="003217E3"/>
    <w:rsid w:val="0032563F"/>
    <w:rsid w:val="003267D1"/>
    <w:rsid w:val="00340FF0"/>
    <w:rsid w:val="003441B9"/>
    <w:rsid w:val="003518FD"/>
    <w:rsid w:val="00355F21"/>
    <w:rsid w:val="003666A0"/>
    <w:rsid w:val="00367985"/>
    <w:rsid w:val="00372D4C"/>
    <w:rsid w:val="0039013D"/>
    <w:rsid w:val="00395D89"/>
    <w:rsid w:val="00396E5A"/>
    <w:rsid w:val="003978ED"/>
    <w:rsid w:val="003B0263"/>
    <w:rsid w:val="003C284E"/>
    <w:rsid w:val="003C338F"/>
    <w:rsid w:val="003C69AB"/>
    <w:rsid w:val="00404D9A"/>
    <w:rsid w:val="004131ED"/>
    <w:rsid w:val="00415AEE"/>
    <w:rsid w:val="00415DDB"/>
    <w:rsid w:val="00424A47"/>
    <w:rsid w:val="00433501"/>
    <w:rsid w:val="004356E2"/>
    <w:rsid w:val="00437BFE"/>
    <w:rsid w:val="004408B0"/>
    <w:rsid w:val="00440CF8"/>
    <w:rsid w:val="004433C5"/>
    <w:rsid w:val="00470254"/>
    <w:rsid w:val="0047439B"/>
    <w:rsid w:val="00484F6D"/>
    <w:rsid w:val="00492065"/>
    <w:rsid w:val="004B3FED"/>
    <w:rsid w:val="004D1D7E"/>
    <w:rsid w:val="004F1265"/>
    <w:rsid w:val="004F57B8"/>
    <w:rsid w:val="00535342"/>
    <w:rsid w:val="00557280"/>
    <w:rsid w:val="00557A0F"/>
    <w:rsid w:val="00565029"/>
    <w:rsid w:val="00573EFA"/>
    <w:rsid w:val="005764A7"/>
    <w:rsid w:val="00577785"/>
    <w:rsid w:val="00581DAF"/>
    <w:rsid w:val="00593E77"/>
    <w:rsid w:val="0059441E"/>
    <w:rsid w:val="005D6C09"/>
    <w:rsid w:val="005D783E"/>
    <w:rsid w:val="005D79E3"/>
    <w:rsid w:val="005E270C"/>
    <w:rsid w:val="005E7C6B"/>
    <w:rsid w:val="00603657"/>
    <w:rsid w:val="00617533"/>
    <w:rsid w:val="00623598"/>
    <w:rsid w:val="00631F24"/>
    <w:rsid w:val="006441B0"/>
    <w:rsid w:val="00674D11"/>
    <w:rsid w:val="00694350"/>
    <w:rsid w:val="006945CB"/>
    <w:rsid w:val="006D0A86"/>
    <w:rsid w:val="006E7E8D"/>
    <w:rsid w:val="00703D03"/>
    <w:rsid w:val="00707113"/>
    <w:rsid w:val="00740F50"/>
    <w:rsid w:val="00752792"/>
    <w:rsid w:val="00753FB5"/>
    <w:rsid w:val="00772427"/>
    <w:rsid w:val="00772DFE"/>
    <w:rsid w:val="00782731"/>
    <w:rsid w:val="00785E77"/>
    <w:rsid w:val="00786CA6"/>
    <w:rsid w:val="00790DFB"/>
    <w:rsid w:val="007A0387"/>
    <w:rsid w:val="007C4484"/>
    <w:rsid w:val="007D39E7"/>
    <w:rsid w:val="007E1590"/>
    <w:rsid w:val="00807744"/>
    <w:rsid w:val="0082248F"/>
    <w:rsid w:val="008432D1"/>
    <w:rsid w:val="00847988"/>
    <w:rsid w:val="008506FC"/>
    <w:rsid w:val="008609CB"/>
    <w:rsid w:val="00867725"/>
    <w:rsid w:val="00872A8B"/>
    <w:rsid w:val="00876BCD"/>
    <w:rsid w:val="00877CBB"/>
    <w:rsid w:val="00886023"/>
    <w:rsid w:val="008979BB"/>
    <w:rsid w:val="008A229B"/>
    <w:rsid w:val="008B0583"/>
    <w:rsid w:val="009069C9"/>
    <w:rsid w:val="009224B4"/>
    <w:rsid w:val="00933B42"/>
    <w:rsid w:val="0093601D"/>
    <w:rsid w:val="009656AB"/>
    <w:rsid w:val="00976F27"/>
    <w:rsid w:val="00977889"/>
    <w:rsid w:val="0098305D"/>
    <w:rsid w:val="00994086"/>
    <w:rsid w:val="009B447C"/>
    <w:rsid w:val="009B5E68"/>
    <w:rsid w:val="009D62BA"/>
    <w:rsid w:val="009E51C4"/>
    <w:rsid w:val="009F52F0"/>
    <w:rsid w:val="00A07FE0"/>
    <w:rsid w:val="00A21078"/>
    <w:rsid w:val="00A34959"/>
    <w:rsid w:val="00A3654A"/>
    <w:rsid w:val="00A36F76"/>
    <w:rsid w:val="00A708AD"/>
    <w:rsid w:val="00A81F5B"/>
    <w:rsid w:val="00AA741E"/>
    <w:rsid w:val="00AD3470"/>
    <w:rsid w:val="00AD6AE4"/>
    <w:rsid w:val="00B021F0"/>
    <w:rsid w:val="00B05548"/>
    <w:rsid w:val="00B10912"/>
    <w:rsid w:val="00B37C12"/>
    <w:rsid w:val="00B40F88"/>
    <w:rsid w:val="00B46BCC"/>
    <w:rsid w:val="00B53B8D"/>
    <w:rsid w:val="00B64744"/>
    <w:rsid w:val="00B80DEB"/>
    <w:rsid w:val="00BA1EF1"/>
    <w:rsid w:val="00BC225C"/>
    <w:rsid w:val="00BC4C0D"/>
    <w:rsid w:val="00BD0697"/>
    <w:rsid w:val="00BE2B07"/>
    <w:rsid w:val="00BF3D3E"/>
    <w:rsid w:val="00C16DFA"/>
    <w:rsid w:val="00C2522B"/>
    <w:rsid w:val="00C378D4"/>
    <w:rsid w:val="00C900E1"/>
    <w:rsid w:val="00C96534"/>
    <w:rsid w:val="00CA2E89"/>
    <w:rsid w:val="00CA53BB"/>
    <w:rsid w:val="00CB7636"/>
    <w:rsid w:val="00CE09C4"/>
    <w:rsid w:val="00D03DC1"/>
    <w:rsid w:val="00D05F7C"/>
    <w:rsid w:val="00D2584B"/>
    <w:rsid w:val="00D31877"/>
    <w:rsid w:val="00D32C99"/>
    <w:rsid w:val="00D5309A"/>
    <w:rsid w:val="00D6291C"/>
    <w:rsid w:val="00D74A36"/>
    <w:rsid w:val="00D90E9D"/>
    <w:rsid w:val="00DE5F99"/>
    <w:rsid w:val="00E007BF"/>
    <w:rsid w:val="00E0090D"/>
    <w:rsid w:val="00E22801"/>
    <w:rsid w:val="00E2501C"/>
    <w:rsid w:val="00E37A5D"/>
    <w:rsid w:val="00E53ABF"/>
    <w:rsid w:val="00E71E7B"/>
    <w:rsid w:val="00EA5386"/>
    <w:rsid w:val="00EA585B"/>
    <w:rsid w:val="00EB6116"/>
    <w:rsid w:val="00EF5D02"/>
    <w:rsid w:val="00EF6269"/>
    <w:rsid w:val="00F07427"/>
    <w:rsid w:val="00F20AC6"/>
    <w:rsid w:val="00F36532"/>
    <w:rsid w:val="00F419E1"/>
    <w:rsid w:val="00F55F2D"/>
    <w:rsid w:val="00F76C1F"/>
    <w:rsid w:val="00F77372"/>
    <w:rsid w:val="00F90C01"/>
    <w:rsid w:val="00FA08CE"/>
    <w:rsid w:val="00FA16B1"/>
    <w:rsid w:val="00FB5C70"/>
    <w:rsid w:val="00FB7C3C"/>
    <w:rsid w:val="00FD0D6F"/>
    <w:rsid w:val="00FD1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33E90"/>
  <w15:docId w15:val="{236A4FBB-290B-4B2B-BAC7-040F139B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uiPriority w:val="99"/>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aliases w:val="Carattere,Carattere Carattere Carattere Carattere,Testo nota a piè di pagina Carattere Carattere,Testo nota a piè di pagina Carattere Carattere Carattere Carattere,Testo nota a piè di pagina Carattere1 Carattere Carattere"/>
    <w:basedOn w:val="Normal"/>
    <w:link w:val="FootnoteTextChar"/>
    <w:uiPriority w:val="99"/>
    <w:qFormat/>
    <w:rsid w:val="00740F50"/>
    <w:pPr>
      <w:spacing w:after="0"/>
    </w:pPr>
    <w:rPr>
      <w:sz w:val="20"/>
    </w:rPr>
  </w:style>
  <w:style w:type="character" w:customStyle="1" w:styleId="FootnoteTextChar">
    <w:name w:val="Footnote Text Char"/>
    <w:aliases w:val="Carattere Char,Carattere Carattere Carattere Carattere Char,Testo nota a piè di pagina Carattere Carattere Char,Testo nota a piè di pagina Carattere Carattere Carattere Carattere Char"/>
    <w:basedOn w:val="DefaultParagraphFont"/>
    <w:link w:val="FootnoteText"/>
    <w:uiPriority w:val="99"/>
    <w:rsid w:val="00740F50"/>
    <w:rPr>
      <w:rFonts w:ascii="Calibri" w:hAnsi="Calibri"/>
      <w:sz w:val="20"/>
      <w:szCs w:val="20"/>
    </w:rPr>
  </w:style>
  <w:style w:type="character" w:styleId="FootnoteReference">
    <w:name w:val="footnote reference"/>
    <w:aliases w:val="Footnote Refernece,BVI fnr,callout,16 Point,Superscript 6 Point,Footnote Reference Superscript,Ref,de nota al pie,-E Fußnotenzeichen,number,SUPERS,EN Footnote Reference,-E Fuﬂnotenzeichen,-E Fuûnotenzeichen,Footnote number,F"/>
    <w:basedOn w:val="DefaultParagraphFont"/>
    <w:uiPriority w:val="99"/>
    <w:qFormat/>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1">
    <w:name w:val="Unresolved Mention1"/>
    <w:basedOn w:val="DefaultParagraphFont"/>
    <w:uiPriority w:val="99"/>
    <w:semiHidden/>
    <w:unhideWhenUsed/>
    <w:rsid w:val="00D32C99"/>
    <w:rPr>
      <w:color w:val="808080"/>
      <w:shd w:val="clear" w:color="auto" w:fill="E6E6E6"/>
    </w:rPr>
  </w:style>
  <w:style w:type="paragraph" w:styleId="NormalWeb">
    <w:name w:val="Normal (Web)"/>
    <w:basedOn w:val="Normal"/>
    <w:uiPriority w:val="99"/>
    <w:unhideWhenUsed/>
    <w:rsid w:val="00BD0697"/>
    <w:pPr>
      <w:spacing w:before="100" w:beforeAutospacing="1" w:after="100" w:afterAutospacing="1"/>
      <w:jc w:val="left"/>
    </w:pPr>
    <w:rPr>
      <w:rFonts w:ascii="Times New Roman" w:hAnsi="Times New Roman"/>
      <w:sz w:val="24"/>
      <w:szCs w:val="24"/>
      <w:lang w:val="hu-HU" w:eastAsia="hu-HU"/>
    </w:rPr>
  </w:style>
  <w:style w:type="character" w:styleId="Strong">
    <w:name w:val="Strong"/>
    <w:basedOn w:val="DefaultParagraphFont"/>
    <w:uiPriority w:val="22"/>
    <w:qFormat/>
    <w:rsid w:val="00B05548"/>
    <w:rPr>
      <w:b/>
      <w:bCs/>
    </w:rPr>
  </w:style>
  <w:style w:type="character" w:customStyle="1" w:styleId="tlid-translation">
    <w:name w:val="tlid-translation"/>
    <w:basedOn w:val="DefaultParagraphFont"/>
    <w:rsid w:val="00631F24"/>
  </w:style>
  <w:style w:type="paragraph" w:styleId="NoSpacing">
    <w:name w:val="No Spacing"/>
    <w:uiPriority w:val="1"/>
    <w:qFormat/>
    <w:rsid w:val="00631F24"/>
    <w:rPr>
      <w:rFonts w:asciiTheme="minorHAnsi" w:eastAsiaTheme="minorHAnsi" w:hAnsiTheme="minorHAnsi" w:cstheme="minorBidi"/>
      <w:sz w:val="22"/>
      <w:szCs w:val="22"/>
      <w:lang w:val="en-US" w:eastAsia="en-US"/>
    </w:rPr>
  </w:style>
  <w:style w:type="character" w:customStyle="1" w:styleId="st">
    <w:name w:val="st"/>
    <w:basedOn w:val="DefaultParagraphFont"/>
    <w:rsid w:val="00631F24"/>
  </w:style>
  <w:style w:type="character" w:customStyle="1" w:styleId="gt-baf-cell">
    <w:name w:val="gt-baf-cell"/>
    <w:basedOn w:val="DefaultParagraphFont"/>
    <w:rsid w:val="00782731"/>
  </w:style>
  <w:style w:type="character" w:customStyle="1" w:styleId="UnresolvedMention">
    <w:name w:val="Unresolved Mention"/>
    <w:basedOn w:val="DefaultParagraphFont"/>
    <w:uiPriority w:val="99"/>
    <w:semiHidden/>
    <w:unhideWhenUsed/>
    <w:rsid w:val="00492065"/>
    <w:rPr>
      <w:color w:val="605E5C"/>
      <w:shd w:val="clear" w:color="auto" w:fill="E1DFDD"/>
    </w:rPr>
  </w:style>
  <w:style w:type="character" w:customStyle="1" w:styleId="text">
    <w:name w:val="text"/>
    <w:basedOn w:val="DefaultParagraphFont"/>
    <w:rsid w:val="00492065"/>
  </w:style>
  <w:style w:type="character" w:styleId="Emphasis">
    <w:name w:val="Emphasis"/>
    <w:basedOn w:val="DefaultParagraphFont"/>
    <w:uiPriority w:val="20"/>
    <w:qFormat/>
    <w:rsid w:val="00492065"/>
    <w:rPr>
      <w:i/>
      <w:iCs/>
    </w:rPr>
  </w:style>
  <w:style w:type="paragraph" w:customStyle="1" w:styleId="DPBullet">
    <w:name w:val="DPBullet"/>
    <w:basedOn w:val="Normal"/>
    <w:uiPriority w:val="6"/>
    <w:qFormat/>
    <w:rsid w:val="008609CB"/>
    <w:pPr>
      <w:numPr>
        <w:numId w:val="40"/>
      </w:numPr>
      <w:spacing w:after="120" w:line="264" w:lineRule="auto"/>
      <w:contextualSpacing/>
      <w:jc w:val="left"/>
    </w:pPr>
    <w:rPr>
      <w:rFonts w:ascii="Garamond" w:eastAsiaTheme="minorHAnsi" w:hAnsi="Garamond"/>
      <w:lang w:eastAsia="en-US"/>
    </w:rPr>
  </w:style>
  <w:style w:type="paragraph" w:customStyle="1" w:styleId="DPBullet1">
    <w:name w:val="DPBullet1"/>
    <w:basedOn w:val="Normal"/>
    <w:uiPriority w:val="6"/>
    <w:rsid w:val="008609CB"/>
    <w:pPr>
      <w:numPr>
        <w:ilvl w:val="1"/>
        <w:numId w:val="40"/>
      </w:numPr>
      <w:spacing w:after="120" w:line="264" w:lineRule="auto"/>
      <w:contextualSpacing/>
      <w:jc w:val="left"/>
    </w:pPr>
    <w:rPr>
      <w:rFonts w:ascii="Garamond" w:eastAsiaTheme="minorHAnsi" w:hAnsi="Garamond"/>
      <w:lang w:eastAsia="en-US"/>
    </w:rPr>
  </w:style>
  <w:style w:type="paragraph" w:customStyle="1" w:styleId="DPBullet2">
    <w:name w:val="DPBullet2"/>
    <w:basedOn w:val="Normal"/>
    <w:uiPriority w:val="6"/>
    <w:rsid w:val="008609CB"/>
    <w:pPr>
      <w:numPr>
        <w:ilvl w:val="2"/>
        <w:numId w:val="40"/>
      </w:numPr>
      <w:spacing w:after="120" w:line="264" w:lineRule="auto"/>
      <w:contextualSpacing/>
      <w:jc w:val="left"/>
    </w:pPr>
    <w:rPr>
      <w:rFonts w:ascii="Garamond" w:eastAsiaTheme="minorHAnsi" w:hAnsi="Garamond"/>
      <w:lang w:eastAsia="en-US"/>
    </w:rPr>
  </w:style>
  <w:style w:type="paragraph" w:customStyle="1" w:styleId="DPHead2">
    <w:name w:val="DPHead2"/>
    <w:basedOn w:val="Normal"/>
    <w:next w:val="DPBodytxt"/>
    <w:uiPriority w:val="2"/>
    <w:qFormat/>
    <w:rsid w:val="008609CB"/>
    <w:pPr>
      <w:spacing w:after="60"/>
      <w:jc w:val="left"/>
      <w:outlineLvl w:val="2"/>
    </w:pPr>
    <w:rPr>
      <w:rFonts w:ascii="Arial" w:eastAsiaTheme="minorHAnsi" w:hAnsi="Arial" w:cs="Arial"/>
      <w:color w:val="4BACC6" w:themeColor="accent5"/>
      <w:sz w:val="24"/>
      <w:szCs w:val="24"/>
      <w:lang w:eastAsia="en-US"/>
    </w:rPr>
  </w:style>
  <w:style w:type="paragraph" w:customStyle="1" w:styleId="DPOpeningPara">
    <w:name w:val="DPOpeningPara"/>
    <w:basedOn w:val="Normal"/>
    <w:next w:val="DPBodytxt"/>
    <w:uiPriority w:val="5"/>
    <w:qFormat/>
    <w:rsid w:val="008609CB"/>
    <w:pPr>
      <w:spacing w:after="120" w:line="264" w:lineRule="auto"/>
      <w:jc w:val="left"/>
    </w:pPr>
    <w:rPr>
      <w:rFonts w:ascii="Garamond" w:eastAsiaTheme="minorHAnsi" w:hAnsi="Garamond" w:cs="Arial"/>
      <w:sz w:val="30"/>
      <w:lang w:eastAsia="en-US"/>
    </w:rPr>
  </w:style>
  <w:style w:type="paragraph" w:customStyle="1" w:styleId="DPBodytxt">
    <w:name w:val="DPBodytxt"/>
    <w:basedOn w:val="Normal"/>
    <w:uiPriority w:val="6"/>
    <w:qFormat/>
    <w:rsid w:val="008609CB"/>
    <w:pPr>
      <w:spacing w:after="120" w:line="264" w:lineRule="auto"/>
      <w:jc w:val="left"/>
    </w:pPr>
    <w:rPr>
      <w:rFonts w:ascii="Arial" w:eastAsiaTheme="minorHAnsi" w:hAnsi="Arial"/>
      <w:lang w:eastAsia="en-US"/>
    </w:rPr>
  </w:style>
  <w:style w:type="paragraph" w:customStyle="1" w:styleId="Bullet">
    <w:name w:val="Bullet"/>
    <w:basedOn w:val="DPBullet"/>
    <w:rsid w:val="008609CB"/>
    <w:pPr>
      <w:jc w:val="both"/>
    </w:pPr>
    <w:rPr>
      <w:rFonts w:ascii="Arial" w:hAnsi="Arial"/>
    </w:rPr>
  </w:style>
  <w:style w:type="character" w:customStyle="1" w:styleId="jlqj4b">
    <w:name w:val="jlqj4b"/>
    <w:basedOn w:val="DefaultParagraphFont"/>
    <w:rsid w:val="00D90E9D"/>
  </w:style>
  <w:style w:type="character" w:customStyle="1" w:styleId="hps">
    <w:name w:val="hps"/>
    <w:basedOn w:val="DefaultParagraphFont"/>
    <w:rsid w:val="00D90E9D"/>
  </w:style>
  <w:style w:type="character" w:customStyle="1" w:styleId="hgkelc">
    <w:name w:val="hgkelc"/>
    <w:basedOn w:val="DefaultParagraphFont"/>
    <w:rsid w:val="00D90E9D"/>
  </w:style>
  <w:style w:type="character" w:customStyle="1" w:styleId="Nmerodepgina1">
    <w:name w:val="Número de página1"/>
    <w:rsid w:val="00D90E9D"/>
    <w:rPr>
      <w:lang w:val="en-US"/>
    </w:rPr>
  </w:style>
  <w:style w:type="character" w:customStyle="1" w:styleId="FootnoteTextChar1">
    <w:name w:val="Footnote Text Char1"/>
    <w:uiPriority w:val="99"/>
    <w:rsid w:val="009224B4"/>
    <w:rPr>
      <w:rFonts w:ascii="Times New Roman" w:hAnsi="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178665220">
      <w:bodyDiv w:val="1"/>
      <w:marLeft w:val="0"/>
      <w:marRight w:val="0"/>
      <w:marTop w:val="0"/>
      <w:marBottom w:val="0"/>
      <w:divBdr>
        <w:top w:val="none" w:sz="0" w:space="0" w:color="auto"/>
        <w:left w:val="none" w:sz="0" w:space="0" w:color="auto"/>
        <w:bottom w:val="none" w:sz="0" w:space="0" w:color="auto"/>
        <w:right w:val="none" w:sz="0" w:space="0" w:color="auto"/>
      </w:divBdr>
    </w:div>
    <w:div w:id="1851983977">
      <w:bodyDiv w:val="1"/>
      <w:marLeft w:val="0"/>
      <w:marRight w:val="0"/>
      <w:marTop w:val="0"/>
      <w:marBottom w:val="0"/>
      <w:divBdr>
        <w:top w:val="none" w:sz="0" w:space="0" w:color="auto"/>
        <w:left w:val="none" w:sz="0" w:space="0" w:color="auto"/>
        <w:bottom w:val="none" w:sz="0" w:space="0" w:color="auto"/>
        <w:right w:val="none" w:sz="0" w:space="0" w:color="auto"/>
      </w:divBdr>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A24C3-899F-CC44-B4E0-468917350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1481</Words>
  <Characters>8445</Characters>
  <Application>Microsoft Macintosh Word</Application>
  <DocSecurity>0</DocSecurity>
  <PresentationFormat/>
  <Lines>70</Lines>
  <Paragraphs>19</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9907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Newson</cp:lastModifiedBy>
  <cp:revision>7</cp:revision>
  <cp:lastPrinted>2017-11-20T20:14:00Z</cp:lastPrinted>
  <dcterms:created xsi:type="dcterms:W3CDTF">2021-05-25T19:44:00Z</dcterms:created>
  <dcterms:modified xsi:type="dcterms:W3CDTF">2022-06-08T09:32:00Z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