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0E11D" w14:textId="67773DA1" w:rsidR="005D783E" w:rsidRPr="00E10C3E" w:rsidRDefault="005D783E" w:rsidP="003C338F">
      <w:pPr>
        <w:tabs>
          <w:tab w:val="left" w:pos="474"/>
        </w:tabs>
        <w:spacing w:after="0"/>
        <w:contextualSpacing/>
        <w:rPr>
          <w:rFonts w:ascii="Times New Roman" w:hAnsi="Times New Roman"/>
          <w:sz w:val="24"/>
          <w:szCs w:val="24"/>
        </w:rPr>
      </w:pPr>
      <w:bookmarkStart w:id="0" w:name="_GoBack"/>
      <w:bookmarkEnd w:id="0"/>
    </w:p>
    <w:p w14:paraId="39E9118B" w14:textId="561C5F5A" w:rsidR="00617533" w:rsidRPr="00E10C3E" w:rsidRDefault="00492065" w:rsidP="008609CB">
      <w:pPr>
        <w:spacing w:after="0"/>
        <w:contextualSpacing/>
        <w:jc w:val="center"/>
        <w:rPr>
          <w:rFonts w:ascii="Times New Roman" w:hAnsi="Times New Roman"/>
          <w:b/>
          <w:sz w:val="24"/>
          <w:szCs w:val="24"/>
        </w:rPr>
      </w:pPr>
      <w:r w:rsidRPr="00E10C3E">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E10C3E" w:rsidRDefault="00617533" w:rsidP="008609CB">
      <w:pPr>
        <w:spacing w:after="0"/>
        <w:contextualSpacing/>
        <w:jc w:val="center"/>
        <w:rPr>
          <w:rFonts w:ascii="Times New Roman" w:hAnsi="Times New Roman"/>
          <w:b/>
          <w:sz w:val="24"/>
          <w:szCs w:val="24"/>
        </w:rPr>
      </w:pPr>
    </w:p>
    <w:p w14:paraId="2C7EFD65" w14:textId="7A134479" w:rsidR="00617533" w:rsidRPr="00E10C3E" w:rsidRDefault="00617533" w:rsidP="008609CB">
      <w:pPr>
        <w:spacing w:after="0"/>
        <w:contextualSpacing/>
        <w:jc w:val="center"/>
        <w:rPr>
          <w:rFonts w:ascii="Times New Roman" w:hAnsi="Times New Roman"/>
          <w:b/>
          <w:sz w:val="36"/>
          <w:szCs w:val="36"/>
        </w:rPr>
      </w:pPr>
      <w:r w:rsidRPr="00E10C3E">
        <w:rPr>
          <w:rFonts w:ascii="Times New Roman" w:hAnsi="Times New Roman"/>
          <w:b/>
          <w:sz w:val="36"/>
          <w:szCs w:val="36"/>
        </w:rPr>
        <w:t xml:space="preserve">Inside Story – </w:t>
      </w:r>
      <w:r w:rsidR="001256EF" w:rsidRPr="00E10C3E">
        <w:rPr>
          <w:rFonts w:ascii="Times New Roman" w:hAnsi="Times New Roman"/>
          <w:b/>
          <w:sz w:val="36"/>
          <w:szCs w:val="36"/>
        </w:rPr>
        <w:t>July</w:t>
      </w:r>
      <w:r w:rsidR="00786CA6" w:rsidRPr="00E10C3E">
        <w:rPr>
          <w:rFonts w:ascii="Times New Roman" w:hAnsi="Times New Roman"/>
          <w:b/>
          <w:sz w:val="36"/>
          <w:szCs w:val="36"/>
        </w:rPr>
        <w:t xml:space="preserve"> </w:t>
      </w:r>
      <w:r w:rsidRPr="00E10C3E">
        <w:rPr>
          <w:rFonts w:ascii="Times New Roman" w:hAnsi="Times New Roman"/>
          <w:b/>
          <w:sz w:val="36"/>
          <w:szCs w:val="36"/>
        </w:rPr>
        <w:t>20</w:t>
      </w:r>
      <w:r w:rsidR="00782731" w:rsidRPr="00E10C3E">
        <w:rPr>
          <w:rFonts w:ascii="Times New Roman" w:hAnsi="Times New Roman"/>
          <w:b/>
          <w:sz w:val="36"/>
          <w:szCs w:val="36"/>
        </w:rPr>
        <w:t>2</w:t>
      </w:r>
      <w:r w:rsidR="001256EF" w:rsidRPr="00E10C3E">
        <w:rPr>
          <w:rFonts w:ascii="Times New Roman" w:hAnsi="Times New Roman"/>
          <w:b/>
          <w:sz w:val="36"/>
          <w:szCs w:val="36"/>
        </w:rPr>
        <w:t>2</w:t>
      </w:r>
    </w:p>
    <w:p w14:paraId="1ECBC4F0" w14:textId="77777777" w:rsidR="00617533" w:rsidRPr="00E10C3E" w:rsidRDefault="00617533" w:rsidP="008609CB">
      <w:pPr>
        <w:spacing w:after="0"/>
        <w:contextualSpacing/>
        <w:jc w:val="center"/>
        <w:rPr>
          <w:rFonts w:ascii="Times New Roman" w:hAnsi="Times New Roman"/>
          <w:b/>
          <w:sz w:val="24"/>
          <w:szCs w:val="24"/>
        </w:rPr>
      </w:pPr>
    </w:p>
    <w:p w14:paraId="458F00F8" w14:textId="61B5EC21" w:rsidR="001E7A6F" w:rsidRPr="00E10C3E" w:rsidRDefault="001256EF" w:rsidP="00A21078">
      <w:pPr>
        <w:spacing w:after="0"/>
        <w:contextualSpacing/>
        <w:jc w:val="center"/>
        <w:rPr>
          <w:rFonts w:ascii="Times New Roman" w:hAnsi="Times New Roman"/>
          <w:b/>
          <w:bCs/>
          <w:sz w:val="28"/>
          <w:szCs w:val="28"/>
        </w:rPr>
      </w:pPr>
      <w:r w:rsidRPr="00E10C3E">
        <w:rPr>
          <w:rFonts w:ascii="Times New Roman" w:hAnsi="Times New Roman"/>
          <w:b/>
          <w:bCs/>
          <w:sz w:val="28"/>
          <w:szCs w:val="28"/>
        </w:rPr>
        <w:t>The Transposition of the Directive on Restructuring and Insolvency: The Goal of Harmonisation assessed from the Portuguese Example</w:t>
      </w:r>
    </w:p>
    <w:p w14:paraId="75DFE654" w14:textId="77777777" w:rsidR="00E71E7B" w:rsidRPr="00E10C3E" w:rsidRDefault="00E71E7B" w:rsidP="008609CB">
      <w:pPr>
        <w:spacing w:after="0"/>
        <w:contextualSpacing/>
        <w:jc w:val="center"/>
        <w:rPr>
          <w:rFonts w:ascii="Times New Roman" w:hAnsi="Times New Roman"/>
          <w:sz w:val="24"/>
          <w:szCs w:val="24"/>
        </w:rPr>
      </w:pPr>
    </w:p>
    <w:p w14:paraId="716971A7" w14:textId="4C5E87CF" w:rsidR="00104015" w:rsidRPr="00E10C3E" w:rsidRDefault="00D90E9D" w:rsidP="00D90E9D">
      <w:pPr>
        <w:pStyle w:val="NoSpacing"/>
        <w:jc w:val="center"/>
        <w:rPr>
          <w:rFonts w:ascii="Times New Roman" w:hAnsi="Times New Roman" w:cs="Times New Roman"/>
          <w:i/>
          <w:iCs/>
          <w:shd w:val="clear" w:color="auto" w:fill="FFFFFF"/>
          <w:lang w:val="en-GB"/>
        </w:rPr>
      </w:pPr>
      <w:r w:rsidRPr="00E10C3E">
        <w:rPr>
          <w:rFonts w:ascii="Times New Roman" w:hAnsi="Times New Roman" w:cs="Times New Roman"/>
          <w:i/>
          <w:iCs/>
          <w:lang w:val="en-GB"/>
        </w:rPr>
        <w:t>Judge Catarina Serra, Justice of the Supreme Court, Portugal</w:t>
      </w:r>
      <w:r w:rsidR="002331CA" w:rsidRPr="00E10C3E">
        <w:rPr>
          <w:rFonts w:ascii="Times New Roman" w:hAnsi="Times New Roman" w:cs="Times New Roman"/>
          <w:i/>
          <w:iCs/>
          <w:lang w:val="en-GB"/>
        </w:rPr>
        <w:t xml:space="preserve">; </w:t>
      </w:r>
      <w:r w:rsidR="002331CA" w:rsidRPr="00E10C3E">
        <w:rPr>
          <w:rFonts w:ascii="Times New Roman" w:hAnsi="Times New Roman" w:cs="Times New Roman"/>
          <w:i/>
          <w:iCs/>
          <w:shd w:val="clear" w:color="auto" w:fill="FFFFFF"/>
          <w:lang w:val="en-GB"/>
        </w:rPr>
        <w:t>Email: &lt;</w:t>
      </w:r>
      <w:r w:rsidRPr="00E10C3E">
        <w:rPr>
          <w:rFonts w:ascii="Times New Roman" w:hAnsi="Times New Roman" w:cs="Times New Roman"/>
          <w:i/>
          <w:iCs/>
          <w:lang w:val="en-GB"/>
        </w:rPr>
        <w:t>cssserra@gmail.com</w:t>
      </w:r>
      <w:r w:rsidR="002331CA" w:rsidRPr="00E10C3E">
        <w:rPr>
          <w:rFonts w:ascii="Times New Roman" w:hAnsi="Times New Roman" w:cs="Times New Roman"/>
          <w:i/>
          <w:iCs/>
          <w:shd w:val="clear" w:color="auto" w:fill="FFFFFF"/>
          <w:lang w:val="en-GB"/>
        </w:rPr>
        <w:t>&gt;</w:t>
      </w:r>
      <w:r w:rsidR="001E7A6F" w:rsidRPr="00E10C3E">
        <w:rPr>
          <w:rFonts w:ascii="Times New Roman" w:hAnsi="Times New Roman" w:cs="Times New Roman"/>
          <w:i/>
          <w:iCs/>
          <w:shd w:val="clear" w:color="auto" w:fill="FFFFFF"/>
          <w:lang w:val="en-GB"/>
        </w:rPr>
        <w:t>.</w:t>
      </w:r>
    </w:p>
    <w:p w14:paraId="127C267D" w14:textId="77777777" w:rsidR="00E71E7B" w:rsidRPr="00E10C3E" w:rsidRDefault="00E71E7B" w:rsidP="001E7A6F">
      <w:pPr>
        <w:spacing w:after="0"/>
        <w:contextualSpacing/>
        <w:rPr>
          <w:rFonts w:ascii="Times New Roman" w:hAnsi="Times New Roman"/>
          <w:i/>
          <w:sz w:val="24"/>
          <w:szCs w:val="24"/>
        </w:rPr>
      </w:pPr>
    </w:p>
    <w:p w14:paraId="6594C8B0" w14:textId="52A5118C" w:rsidR="001256EF" w:rsidRPr="00E10C3E" w:rsidRDefault="00E71E7B" w:rsidP="001256EF">
      <w:pPr>
        <w:spacing w:after="0"/>
        <w:contextualSpacing/>
        <w:rPr>
          <w:rFonts w:ascii="Times New Roman" w:hAnsi="Times New Roman"/>
          <w:i/>
          <w:sz w:val="24"/>
          <w:szCs w:val="24"/>
        </w:rPr>
      </w:pPr>
      <w:r w:rsidRPr="00E10C3E">
        <w:rPr>
          <w:rFonts w:ascii="Times New Roman" w:hAnsi="Times New Roman"/>
          <w:i/>
          <w:iCs/>
          <w:sz w:val="24"/>
          <w:szCs w:val="24"/>
        </w:rPr>
        <w:t>Introduction</w:t>
      </w:r>
      <w:r w:rsidR="001256EF" w:rsidRPr="00E10C3E">
        <w:rPr>
          <w:rFonts w:ascii="Times New Roman" w:hAnsi="Times New Roman"/>
          <w:i/>
          <w:iCs/>
          <w:sz w:val="24"/>
          <w:szCs w:val="24"/>
        </w:rPr>
        <w:t xml:space="preserve">: </w:t>
      </w:r>
      <w:r w:rsidR="001256EF" w:rsidRPr="00E10C3E">
        <w:rPr>
          <w:rFonts w:ascii="Times New Roman" w:hAnsi="Times New Roman"/>
          <w:bCs/>
          <w:i/>
          <w:sz w:val="24"/>
          <w:szCs w:val="24"/>
        </w:rPr>
        <w:t xml:space="preserve">The </w:t>
      </w:r>
      <w:r w:rsidR="001256EF" w:rsidRPr="00E10C3E">
        <w:rPr>
          <w:rFonts w:ascii="Times New Roman" w:hAnsi="Times New Roman"/>
          <w:bCs/>
          <w:i/>
          <w:sz w:val="24"/>
          <w:szCs w:val="24"/>
        </w:rPr>
        <w:t>T</w:t>
      </w:r>
      <w:r w:rsidR="001256EF" w:rsidRPr="00E10C3E">
        <w:rPr>
          <w:rFonts w:ascii="Times New Roman" w:hAnsi="Times New Roman"/>
          <w:bCs/>
          <w:i/>
          <w:sz w:val="24"/>
          <w:szCs w:val="24"/>
        </w:rPr>
        <w:t xml:space="preserve">ransposition </w:t>
      </w:r>
      <w:r w:rsidR="001256EF" w:rsidRPr="00E10C3E">
        <w:rPr>
          <w:rFonts w:ascii="Times New Roman" w:hAnsi="Times New Roman"/>
          <w:bCs/>
          <w:i/>
          <w:sz w:val="24"/>
          <w:szCs w:val="24"/>
        </w:rPr>
        <w:t>P</w:t>
      </w:r>
      <w:r w:rsidR="001256EF" w:rsidRPr="00E10C3E">
        <w:rPr>
          <w:rFonts w:ascii="Times New Roman" w:hAnsi="Times New Roman"/>
          <w:bCs/>
          <w:i/>
          <w:sz w:val="24"/>
          <w:szCs w:val="24"/>
        </w:rPr>
        <w:t>rocess</w:t>
      </w:r>
    </w:p>
    <w:p w14:paraId="5757D22D" w14:textId="77777777" w:rsidR="001256EF" w:rsidRPr="00E10C3E" w:rsidRDefault="001256EF" w:rsidP="001256EF">
      <w:pPr>
        <w:spacing w:after="0"/>
        <w:rPr>
          <w:rFonts w:ascii="Times New Roman" w:hAnsi="Times New Roman"/>
          <w:sz w:val="24"/>
          <w:szCs w:val="24"/>
        </w:rPr>
      </w:pPr>
    </w:p>
    <w:p w14:paraId="17E3F09D" w14:textId="52925218" w:rsidR="001256EF" w:rsidRPr="00E10C3E" w:rsidRDefault="001256EF" w:rsidP="001256EF">
      <w:pPr>
        <w:spacing w:after="0"/>
        <w:rPr>
          <w:rFonts w:ascii="Times New Roman" w:hAnsi="Times New Roman"/>
          <w:sz w:val="24"/>
          <w:szCs w:val="24"/>
        </w:rPr>
      </w:pPr>
      <w:r w:rsidRPr="00E10C3E">
        <w:rPr>
          <w:rFonts w:ascii="Times New Roman" w:hAnsi="Times New Roman"/>
          <w:sz w:val="24"/>
          <w:szCs w:val="24"/>
        </w:rPr>
        <w:t xml:space="preserve">The transposition of the Directive on </w:t>
      </w:r>
      <w:r w:rsidRPr="00E10C3E">
        <w:rPr>
          <w:rFonts w:ascii="Times New Roman" w:hAnsi="Times New Roman"/>
          <w:sz w:val="24"/>
          <w:szCs w:val="24"/>
        </w:rPr>
        <w:t>R</w:t>
      </w:r>
      <w:r w:rsidRPr="00E10C3E">
        <w:rPr>
          <w:rFonts w:ascii="Times New Roman" w:hAnsi="Times New Roman"/>
          <w:sz w:val="24"/>
          <w:szCs w:val="24"/>
        </w:rPr>
        <w:t xml:space="preserve">estructuring and </w:t>
      </w:r>
      <w:r w:rsidRPr="00E10C3E">
        <w:rPr>
          <w:rFonts w:ascii="Times New Roman" w:hAnsi="Times New Roman"/>
          <w:sz w:val="24"/>
          <w:szCs w:val="24"/>
        </w:rPr>
        <w:t>I</w:t>
      </w:r>
      <w:r w:rsidRPr="00E10C3E">
        <w:rPr>
          <w:rFonts w:ascii="Times New Roman" w:hAnsi="Times New Roman"/>
          <w:sz w:val="24"/>
          <w:szCs w:val="24"/>
        </w:rPr>
        <w:t>nsolvency (</w:t>
      </w:r>
      <w:r w:rsidR="00E10C3E" w:rsidRPr="00E10C3E">
        <w:rPr>
          <w:rFonts w:ascii="Times New Roman" w:hAnsi="Times New Roman"/>
          <w:sz w:val="24"/>
          <w:szCs w:val="24"/>
        </w:rPr>
        <w:t>“</w:t>
      </w:r>
      <w:r w:rsidRPr="00E10C3E">
        <w:rPr>
          <w:rFonts w:ascii="Times New Roman" w:hAnsi="Times New Roman"/>
          <w:sz w:val="24"/>
          <w:szCs w:val="24"/>
        </w:rPr>
        <w:t>Directive</w:t>
      </w:r>
      <w:r w:rsidR="00E10C3E" w:rsidRPr="00E10C3E">
        <w:rPr>
          <w:rFonts w:ascii="Times New Roman" w:hAnsi="Times New Roman"/>
          <w:sz w:val="24"/>
          <w:szCs w:val="24"/>
        </w:rPr>
        <w:t>”</w:t>
      </w:r>
      <w:r w:rsidRPr="00E10C3E">
        <w:rPr>
          <w:rFonts w:ascii="Times New Roman" w:hAnsi="Times New Roman"/>
          <w:sz w:val="24"/>
          <w:szCs w:val="24"/>
        </w:rPr>
        <w:t>) in Portugal was carried out by Law No 9/2022, of 9 January, in force since 9 April. It is no secret that the transposition was made with little time, hence without much reflection. The COVID-19 reason may be invoked</w:t>
      </w:r>
      <w:r w:rsidRPr="00E10C3E">
        <w:rPr>
          <w:rFonts w:ascii="Times New Roman" w:hAnsi="Times New Roman"/>
          <w:sz w:val="24"/>
          <w:szCs w:val="24"/>
        </w:rPr>
        <w:t>,</w:t>
      </w:r>
      <w:r w:rsidRPr="00E10C3E">
        <w:rPr>
          <w:rFonts w:ascii="Times New Roman" w:hAnsi="Times New Roman"/>
          <w:sz w:val="24"/>
          <w:szCs w:val="24"/>
        </w:rPr>
        <w:t xml:space="preserve"> but the fact remains that the main lines of the Directive have been known since the Commission Recommendation of 12 March 2014.</w:t>
      </w:r>
    </w:p>
    <w:p w14:paraId="76A1AD6C" w14:textId="77777777" w:rsidR="001256EF" w:rsidRPr="00E10C3E" w:rsidRDefault="001256EF" w:rsidP="001256EF">
      <w:pPr>
        <w:spacing w:after="0"/>
        <w:rPr>
          <w:rFonts w:ascii="Times New Roman" w:hAnsi="Times New Roman"/>
          <w:sz w:val="24"/>
          <w:szCs w:val="24"/>
        </w:rPr>
      </w:pPr>
    </w:p>
    <w:p w14:paraId="765FA378" w14:textId="124BA714" w:rsidR="001256EF" w:rsidRPr="00E10C3E" w:rsidRDefault="001256EF" w:rsidP="001256EF">
      <w:pPr>
        <w:spacing w:after="0"/>
        <w:rPr>
          <w:rFonts w:ascii="Times New Roman" w:hAnsi="Times New Roman"/>
          <w:sz w:val="24"/>
          <w:szCs w:val="24"/>
        </w:rPr>
      </w:pPr>
      <w:r w:rsidRPr="00E10C3E">
        <w:rPr>
          <w:rFonts w:ascii="Times New Roman" w:hAnsi="Times New Roman"/>
          <w:sz w:val="24"/>
          <w:szCs w:val="24"/>
        </w:rPr>
        <w:t xml:space="preserve">Some of the measures </w:t>
      </w:r>
      <w:r w:rsidRPr="00E10C3E">
        <w:rPr>
          <w:rFonts w:ascii="Times New Roman" w:hAnsi="Times New Roman"/>
          <w:sz w:val="24"/>
          <w:szCs w:val="24"/>
        </w:rPr>
        <w:t xml:space="preserve">in </w:t>
      </w:r>
      <w:r w:rsidRPr="00E10C3E">
        <w:rPr>
          <w:rFonts w:ascii="Times New Roman" w:hAnsi="Times New Roman"/>
          <w:sz w:val="24"/>
          <w:szCs w:val="24"/>
        </w:rPr>
        <w:t>the Directive present a considerable degree of novelty and of complexity and even some syncretism (aggravated, the latter, by a poor translation of the Portuguese version). Inevitably, there are discrepancies or non-conformities with regard to what the Directive required.</w:t>
      </w:r>
      <w:r w:rsidRPr="00E10C3E">
        <w:rPr>
          <w:rFonts w:ascii="Times New Roman" w:hAnsi="Times New Roman"/>
          <w:sz w:val="24"/>
          <w:szCs w:val="24"/>
        </w:rPr>
        <w:t xml:space="preserve"> </w:t>
      </w:r>
      <w:r w:rsidRPr="00E10C3E">
        <w:rPr>
          <w:rFonts w:ascii="Times New Roman" w:hAnsi="Times New Roman"/>
          <w:sz w:val="24"/>
          <w:szCs w:val="24"/>
        </w:rPr>
        <w:t>A general consequence may be drawn just from the Portuguese example: it is doubtful that the Directive will achieve the much-coveted harmonisation of insolvency law.</w:t>
      </w:r>
    </w:p>
    <w:p w14:paraId="4E0F24A2" w14:textId="77777777" w:rsidR="001256EF" w:rsidRPr="00E10C3E" w:rsidRDefault="001256EF" w:rsidP="001256EF">
      <w:pPr>
        <w:spacing w:after="0"/>
        <w:rPr>
          <w:rFonts w:ascii="Times New Roman" w:hAnsi="Times New Roman"/>
          <w:sz w:val="24"/>
          <w:szCs w:val="24"/>
        </w:rPr>
      </w:pPr>
    </w:p>
    <w:p w14:paraId="35FD4660" w14:textId="6F260CD1" w:rsidR="001256EF" w:rsidRPr="00E10C3E" w:rsidRDefault="001256EF" w:rsidP="001256EF">
      <w:pPr>
        <w:spacing w:after="0"/>
        <w:rPr>
          <w:rFonts w:ascii="Times New Roman" w:hAnsi="Times New Roman"/>
          <w:bCs/>
          <w:i/>
          <w:sz w:val="24"/>
          <w:szCs w:val="24"/>
        </w:rPr>
      </w:pPr>
      <w:r w:rsidRPr="00E10C3E">
        <w:rPr>
          <w:rFonts w:ascii="Times New Roman" w:hAnsi="Times New Roman"/>
          <w:bCs/>
          <w:i/>
          <w:sz w:val="24"/>
          <w:szCs w:val="24"/>
        </w:rPr>
        <w:t xml:space="preserve">The </w:t>
      </w:r>
      <w:r w:rsidRPr="00E10C3E">
        <w:rPr>
          <w:rFonts w:ascii="Times New Roman" w:hAnsi="Times New Roman"/>
          <w:bCs/>
          <w:i/>
          <w:sz w:val="24"/>
          <w:szCs w:val="24"/>
        </w:rPr>
        <w:t>S</w:t>
      </w:r>
      <w:r w:rsidRPr="00E10C3E">
        <w:rPr>
          <w:rFonts w:ascii="Times New Roman" w:hAnsi="Times New Roman"/>
          <w:bCs/>
          <w:i/>
          <w:sz w:val="24"/>
          <w:szCs w:val="24"/>
        </w:rPr>
        <w:t>cope of Law No. 9/2022</w:t>
      </w:r>
    </w:p>
    <w:p w14:paraId="739D111D" w14:textId="77777777" w:rsidR="001256EF" w:rsidRPr="00E10C3E" w:rsidRDefault="001256EF" w:rsidP="001256EF">
      <w:pPr>
        <w:spacing w:after="0"/>
        <w:rPr>
          <w:rStyle w:val="y2iqfc"/>
          <w:rFonts w:ascii="Times New Roman" w:hAnsi="Times New Roman"/>
          <w:sz w:val="24"/>
          <w:szCs w:val="24"/>
        </w:rPr>
      </w:pPr>
    </w:p>
    <w:p w14:paraId="1782370C" w14:textId="721265DB" w:rsidR="001256EF" w:rsidRPr="00E10C3E" w:rsidRDefault="001256EF" w:rsidP="001256EF">
      <w:pPr>
        <w:spacing w:after="0"/>
        <w:rPr>
          <w:rStyle w:val="y2iqfc"/>
          <w:rFonts w:ascii="Times New Roman" w:hAnsi="Times New Roman"/>
          <w:b/>
          <w:bCs/>
          <w:sz w:val="24"/>
          <w:szCs w:val="24"/>
        </w:rPr>
      </w:pPr>
      <w:r w:rsidRPr="00E10C3E">
        <w:rPr>
          <w:rStyle w:val="y2iqfc"/>
          <w:rFonts w:ascii="Times New Roman" w:hAnsi="Times New Roman"/>
          <w:sz w:val="24"/>
          <w:szCs w:val="24"/>
        </w:rPr>
        <w:t>The scope of Law No. 9/2022 roughly corresponds to the scope of the Directive on restructuring and insolvency and reflected in its title – “</w:t>
      </w:r>
      <w:r w:rsidRPr="00E10C3E">
        <w:rPr>
          <w:rStyle w:val="y2iqfc"/>
          <w:rFonts w:ascii="Times New Roman" w:hAnsi="Times New Roman"/>
          <w:i/>
          <w:iCs/>
          <w:sz w:val="24"/>
          <w:szCs w:val="24"/>
        </w:rPr>
        <w:t>preventive restructuring frameworks</w:t>
      </w:r>
      <w:r w:rsidRPr="00E10C3E">
        <w:rPr>
          <w:rStyle w:val="y2iqfc"/>
          <w:rFonts w:ascii="Times New Roman" w:hAnsi="Times New Roman"/>
          <w:sz w:val="24"/>
          <w:szCs w:val="24"/>
        </w:rPr>
        <w:t>” and “</w:t>
      </w:r>
      <w:r w:rsidRPr="00E10C3E">
        <w:rPr>
          <w:rStyle w:val="y2iqfc"/>
          <w:rFonts w:ascii="Times New Roman" w:hAnsi="Times New Roman"/>
          <w:i/>
          <w:iCs/>
          <w:sz w:val="24"/>
          <w:szCs w:val="24"/>
        </w:rPr>
        <w:t>discharge of debt and disqualifications</w:t>
      </w:r>
      <w:r w:rsidRPr="00E10C3E">
        <w:rPr>
          <w:rStyle w:val="y2iqfc"/>
          <w:rFonts w:ascii="Times New Roman" w:hAnsi="Times New Roman"/>
          <w:sz w:val="24"/>
          <w:szCs w:val="24"/>
        </w:rPr>
        <w:t>”.</w:t>
      </w:r>
      <w:r w:rsidRPr="00E10C3E">
        <w:rPr>
          <w:rStyle w:val="y2iqfc"/>
          <w:rFonts w:ascii="Times New Roman" w:hAnsi="Times New Roman"/>
          <w:b/>
          <w:bCs/>
          <w:sz w:val="24"/>
          <w:szCs w:val="24"/>
        </w:rPr>
        <w:t xml:space="preserve"> </w:t>
      </w:r>
      <w:r w:rsidRPr="00E10C3E">
        <w:rPr>
          <w:rStyle w:val="y2iqfc"/>
          <w:rFonts w:ascii="Times New Roman" w:hAnsi="Times New Roman"/>
          <w:sz w:val="24"/>
          <w:szCs w:val="24"/>
        </w:rPr>
        <w:t xml:space="preserve">The amendments with the greatest impact </w:t>
      </w:r>
      <w:r w:rsidRPr="00E10C3E">
        <w:rPr>
          <w:rStyle w:val="y2iqfc"/>
          <w:rFonts w:ascii="Times New Roman" w:hAnsi="Times New Roman"/>
          <w:sz w:val="24"/>
          <w:szCs w:val="24"/>
        </w:rPr>
        <w:t xml:space="preserve">are </w:t>
      </w:r>
      <w:r w:rsidRPr="00E10C3E">
        <w:rPr>
          <w:rStyle w:val="y2iqfc"/>
          <w:rFonts w:ascii="Times New Roman" w:hAnsi="Times New Roman"/>
          <w:sz w:val="24"/>
          <w:szCs w:val="24"/>
        </w:rPr>
        <w:t>regard</w:t>
      </w:r>
      <w:r w:rsidRPr="00E10C3E">
        <w:rPr>
          <w:rStyle w:val="y2iqfc"/>
          <w:rFonts w:ascii="Times New Roman" w:hAnsi="Times New Roman"/>
          <w:sz w:val="24"/>
          <w:szCs w:val="24"/>
        </w:rPr>
        <w:t>ing</w:t>
      </w:r>
      <w:r w:rsidRPr="00E10C3E">
        <w:rPr>
          <w:rStyle w:val="y2iqfc"/>
          <w:rFonts w:ascii="Times New Roman" w:hAnsi="Times New Roman"/>
          <w:sz w:val="24"/>
          <w:szCs w:val="24"/>
        </w:rPr>
        <w:t>, therefore, the Special Revitalisation Proceedings (</w:t>
      </w:r>
      <w:r w:rsidR="00E10C3E" w:rsidRPr="00E10C3E">
        <w:rPr>
          <w:rFonts w:ascii="Times New Roman" w:hAnsi="Times New Roman"/>
          <w:sz w:val="24"/>
          <w:szCs w:val="24"/>
        </w:rPr>
        <w:t>“</w:t>
      </w:r>
      <w:r w:rsidRPr="00E10C3E">
        <w:rPr>
          <w:rStyle w:val="y2iqfc"/>
          <w:rFonts w:ascii="Times New Roman" w:hAnsi="Times New Roman"/>
          <w:sz w:val="24"/>
          <w:szCs w:val="24"/>
        </w:rPr>
        <w:t>PER</w:t>
      </w:r>
      <w:r w:rsidR="00E10C3E" w:rsidRPr="00E10C3E">
        <w:rPr>
          <w:rStyle w:val="y2iqfc"/>
          <w:rFonts w:ascii="Times New Roman" w:hAnsi="Times New Roman"/>
          <w:sz w:val="24"/>
          <w:szCs w:val="24"/>
        </w:rPr>
        <w:t>”</w:t>
      </w:r>
      <w:r w:rsidRPr="00E10C3E">
        <w:rPr>
          <w:rStyle w:val="y2iqfc"/>
          <w:rFonts w:ascii="Times New Roman" w:hAnsi="Times New Roman"/>
          <w:sz w:val="24"/>
          <w:szCs w:val="24"/>
        </w:rPr>
        <w:t>)</w:t>
      </w:r>
      <w:r w:rsidRPr="00E10C3E">
        <w:rPr>
          <w:rStyle w:val="FootnoteReference"/>
          <w:rFonts w:ascii="Times New Roman" w:hAnsi="Times New Roman"/>
          <w:sz w:val="24"/>
          <w:szCs w:val="24"/>
        </w:rPr>
        <w:footnoteReference w:id="1"/>
      </w:r>
      <w:r w:rsidRPr="00E10C3E">
        <w:rPr>
          <w:rStyle w:val="y2iqfc"/>
          <w:rFonts w:ascii="Times New Roman" w:hAnsi="Times New Roman"/>
          <w:sz w:val="24"/>
          <w:szCs w:val="24"/>
        </w:rPr>
        <w:t xml:space="preserve"> and the discharge.</w:t>
      </w:r>
    </w:p>
    <w:p w14:paraId="18D9DFA0" w14:textId="77777777" w:rsidR="001256EF" w:rsidRPr="00E10C3E" w:rsidRDefault="001256EF" w:rsidP="001256EF">
      <w:pPr>
        <w:spacing w:after="0"/>
        <w:rPr>
          <w:rStyle w:val="y2iqfc"/>
          <w:rFonts w:ascii="Times New Roman" w:hAnsi="Times New Roman"/>
          <w:sz w:val="24"/>
          <w:szCs w:val="24"/>
        </w:rPr>
      </w:pPr>
    </w:p>
    <w:p w14:paraId="37261549" w14:textId="71F0CADC" w:rsidR="001256EF" w:rsidRPr="00E10C3E" w:rsidRDefault="001256EF" w:rsidP="001256EF">
      <w:pPr>
        <w:spacing w:after="0"/>
        <w:rPr>
          <w:rFonts w:ascii="Times New Roman" w:hAnsi="Times New Roman"/>
          <w:sz w:val="24"/>
          <w:szCs w:val="24"/>
        </w:rPr>
      </w:pPr>
      <w:r w:rsidRPr="00E10C3E">
        <w:rPr>
          <w:rStyle w:val="y2iqfc"/>
          <w:rFonts w:ascii="Times New Roman" w:hAnsi="Times New Roman"/>
          <w:sz w:val="24"/>
          <w:szCs w:val="24"/>
        </w:rPr>
        <w:t xml:space="preserve">As mentioned, </w:t>
      </w:r>
      <w:r w:rsidRPr="00E10C3E">
        <w:rPr>
          <w:rStyle w:val="y2iqfc"/>
          <w:rFonts w:ascii="Times New Roman" w:hAnsi="Times New Roman"/>
          <w:sz w:val="24"/>
          <w:szCs w:val="24"/>
        </w:rPr>
        <w:t xml:space="preserve">at </w:t>
      </w:r>
      <w:r w:rsidRPr="00E10C3E">
        <w:rPr>
          <w:rStyle w:val="y2iqfc"/>
          <w:rFonts w:ascii="Times New Roman" w:hAnsi="Times New Roman"/>
          <w:sz w:val="24"/>
          <w:szCs w:val="24"/>
        </w:rPr>
        <w:t>several points, the regime presents discrepancies, non-conformities or deviations from the provisions of the Directive</w:t>
      </w:r>
      <w:r w:rsidRPr="00E10C3E">
        <w:rPr>
          <w:rStyle w:val="y2iqfc"/>
          <w:rFonts w:ascii="Times New Roman" w:hAnsi="Times New Roman"/>
          <w:sz w:val="24"/>
          <w:szCs w:val="24"/>
        </w:rPr>
        <w:t xml:space="preserve">. </w:t>
      </w:r>
      <w:r w:rsidRPr="00E10C3E">
        <w:rPr>
          <w:rStyle w:val="y2iqfc"/>
          <w:rFonts w:ascii="Times New Roman" w:hAnsi="Times New Roman"/>
          <w:sz w:val="24"/>
          <w:szCs w:val="24"/>
        </w:rPr>
        <w:t>Th</w:t>
      </w:r>
      <w:r w:rsidRPr="00E10C3E">
        <w:rPr>
          <w:rStyle w:val="y2iqfc"/>
          <w:rFonts w:ascii="Times New Roman" w:hAnsi="Times New Roman"/>
          <w:sz w:val="24"/>
          <w:szCs w:val="24"/>
        </w:rPr>
        <w:t>is</w:t>
      </w:r>
      <w:r w:rsidRPr="00E10C3E">
        <w:rPr>
          <w:rStyle w:val="y2iqfc"/>
          <w:rFonts w:ascii="Times New Roman" w:hAnsi="Times New Roman"/>
          <w:sz w:val="24"/>
          <w:szCs w:val="24"/>
        </w:rPr>
        <w:t xml:space="preserve"> assertion may be illustrated with only two (emblematic) examples: the rule on the formation of separate classes and the rule on </w:t>
      </w:r>
      <w:r w:rsidRPr="00E10C3E">
        <w:rPr>
          <w:rStyle w:val="y2iqfc"/>
          <w:rFonts w:ascii="Times New Roman" w:hAnsi="Times New Roman"/>
          <w:i/>
          <w:iCs/>
          <w:sz w:val="24"/>
          <w:szCs w:val="24"/>
        </w:rPr>
        <w:t xml:space="preserve">ipso facto </w:t>
      </w:r>
      <w:r w:rsidRPr="00E10C3E">
        <w:rPr>
          <w:rStyle w:val="y2iqfc"/>
          <w:rFonts w:ascii="Times New Roman" w:hAnsi="Times New Roman"/>
          <w:sz w:val="24"/>
          <w:szCs w:val="24"/>
        </w:rPr>
        <w:t>clauses.</w:t>
      </w:r>
    </w:p>
    <w:p w14:paraId="4B0B66DD" w14:textId="77777777" w:rsidR="001256EF" w:rsidRPr="00E10C3E" w:rsidRDefault="001256EF" w:rsidP="001256EF">
      <w:pPr>
        <w:spacing w:after="0"/>
        <w:rPr>
          <w:rFonts w:ascii="Times New Roman" w:hAnsi="Times New Roman"/>
          <w:sz w:val="24"/>
          <w:szCs w:val="24"/>
        </w:rPr>
      </w:pPr>
    </w:p>
    <w:p w14:paraId="0F7601DB" w14:textId="16C8E398" w:rsidR="001256EF" w:rsidRPr="00E10C3E" w:rsidRDefault="001256EF" w:rsidP="001256EF">
      <w:pPr>
        <w:spacing w:after="0"/>
        <w:rPr>
          <w:rFonts w:ascii="Times New Roman" w:hAnsi="Times New Roman"/>
          <w:bCs/>
          <w:i/>
          <w:color w:val="000000"/>
          <w:sz w:val="24"/>
          <w:szCs w:val="24"/>
        </w:rPr>
      </w:pPr>
      <w:r w:rsidRPr="00E10C3E">
        <w:rPr>
          <w:rFonts w:ascii="Times New Roman" w:hAnsi="Times New Roman"/>
          <w:bCs/>
          <w:i/>
          <w:color w:val="000000"/>
          <w:sz w:val="24"/>
          <w:szCs w:val="24"/>
        </w:rPr>
        <w:lastRenderedPageBreak/>
        <w:t xml:space="preserve">The </w:t>
      </w:r>
      <w:r w:rsidRPr="00E10C3E">
        <w:rPr>
          <w:rFonts w:ascii="Times New Roman" w:hAnsi="Times New Roman"/>
          <w:bCs/>
          <w:i/>
          <w:color w:val="000000"/>
          <w:sz w:val="24"/>
          <w:szCs w:val="24"/>
        </w:rPr>
        <w:t>F</w:t>
      </w:r>
      <w:r w:rsidRPr="00E10C3E">
        <w:rPr>
          <w:rFonts w:ascii="Times New Roman" w:hAnsi="Times New Roman"/>
          <w:bCs/>
          <w:i/>
          <w:color w:val="000000"/>
          <w:sz w:val="24"/>
          <w:szCs w:val="24"/>
        </w:rPr>
        <w:t xml:space="preserve">ormation of </w:t>
      </w:r>
      <w:r w:rsidRPr="00E10C3E">
        <w:rPr>
          <w:rFonts w:ascii="Times New Roman" w:hAnsi="Times New Roman"/>
          <w:bCs/>
          <w:i/>
          <w:color w:val="000000"/>
          <w:sz w:val="24"/>
          <w:szCs w:val="24"/>
        </w:rPr>
        <w:t>S</w:t>
      </w:r>
      <w:r w:rsidRPr="00E10C3E">
        <w:rPr>
          <w:rFonts w:ascii="Times New Roman" w:hAnsi="Times New Roman"/>
          <w:bCs/>
          <w:i/>
          <w:color w:val="000000"/>
          <w:sz w:val="24"/>
          <w:szCs w:val="24"/>
        </w:rPr>
        <w:t xml:space="preserve">eparate </w:t>
      </w:r>
      <w:r w:rsidRPr="00E10C3E">
        <w:rPr>
          <w:rFonts w:ascii="Times New Roman" w:hAnsi="Times New Roman"/>
          <w:bCs/>
          <w:i/>
          <w:color w:val="000000"/>
          <w:sz w:val="24"/>
          <w:szCs w:val="24"/>
        </w:rPr>
        <w:t>C</w:t>
      </w:r>
      <w:r w:rsidRPr="00E10C3E">
        <w:rPr>
          <w:rFonts w:ascii="Times New Roman" w:hAnsi="Times New Roman"/>
          <w:bCs/>
          <w:i/>
          <w:color w:val="000000"/>
          <w:sz w:val="24"/>
          <w:szCs w:val="24"/>
        </w:rPr>
        <w:t>lasses</w:t>
      </w:r>
    </w:p>
    <w:p w14:paraId="4B330E70" w14:textId="77777777" w:rsidR="001256EF" w:rsidRPr="00E10C3E" w:rsidRDefault="001256EF" w:rsidP="001256EF">
      <w:pPr>
        <w:spacing w:after="0"/>
        <w:rPr>
          <w:rFonts w:ascii="Times New Roman" w:hAnsi="Times New Roman"/>
          <w:sz w:val="24"/>
          <w:szCs w:val="24"/>
        </w:rPr>
      </w:pPr>
    </w:p>
    <w:p w14:paraId="4037683B" w14:textId="332CE09F" w:rsidR="001256EF" w:rsidRPr="00E10C3E" w:rsidRDefault="001256EF" w:rsidP="001256EF">
      <w:pPr>
        <w:spacing w:after="0"/>
        <w:rPr>
          <w:rStyle w:val="y2iqfc"/>
          <w:rFonts w:ascii="Times New Roman" w:hAnsi="Times New Roman"/>
          <w:sz w:val="24"/>
          <w:szCs w:val="24"/>
        </w:rPr>
      </w:pPr>
      <w:r w:rsidRPr="00E10C3E">
        <w:rPr>
          <w:rFonts w:ascii="Times New Roman" w:hAnsi="Times New Roman"/>
          <w:sz w:val="24"/>
          <w:szCs w:val="24"/>
        </w:rPr>
        <w:t>The possibility of treating affected parties in separate classes has two well-known virtues.</w:t>
      </w:r>
      <w:r w:rsidRPr="00E10C3E">
        <w:rPr>
          <w:rFonts w:ascii="Times New Roman" w:hAnsi="Times New Roman"/>
          <w:sz w:val="24"/>
          <w:szCs w:val="24"/>
        </w:rPr>
        <w:t xml:space="preserve"> </w:t>
      </w:r>
      <w:r w:rsidRPr="00E10C3E">
        <w:rPr>
          <w:rFonts w:ascii="Times New Roman" w:hAnsi="Times New Roman"/>
          <w:sz w:val="24"/>
          <w:szCs w:val="24"/>
        </w:rPr>
        <w:t xml:space="preserve">In the first place, it </w:t>
      </w:r>
      <w:r w:rsidRPr="00E10C3E">
        <w:rPr>
          <w:rStyle w:val="y2iqfc"/>
          <w:rFonts w:ascii="Times New Roman" w:hAnsi="Times New Roman"/>
          <w:sz w:val="24"/>
          <w:szCs w:val="24"/>
        </w:rPr>
        <w:t>converts the adoption of the plan into an operation that certifies the ability of the plan to satisfy a diversified majority of interests</w:t>
      </w:r>
      <w:r w:rsidRPr="00E10C3E">
        <w:rPr>
          <w:rStyle w:val="y2iqfc"/>
          <w:rFonts w:ascii="Times New Roman" w:hAnsi="Times New Roman"/>
          <w:sz w:val="24"/>
          <w:szCs w:val="24"/>
        </w:rPr>
        <w:t>,</w:t>
      </w:r>
      <w:r w:rsidRPr="00E10C3E">
        <w:rPr>
          <w:rStyle w:val="y2iqfc"/>
          <w:rFonts w:ascii="Times New Roman" w:hAnsi="Times New Roman"/>
          <w:sz w:val="24"/>
          <w:szCs w:val="24"/>
        </w:rPr>
        <w:t xml:space="preserve"> rather than perpetuating it as a mere quantitative operation.</w:t>
      </w:r>
    </w:p>
    <w:p w14:paraId="39C3348B" w14:textId="77777777" w:rsidR="001256EF" w:rsidRPr="00E10C3E" w:rsidRDefault="001256EF" w:rsidP="001256EF">
      <w:pPr>
        <w:spacing w:after="0"/>
        <w:rPr>
          <w:rStyle w:val="y2iqfc"/>
          <w:rFonts w:ascii="Times New Roman" w:hAnsi="Times New Roman"/>
          <w:sz w:val="24"/>
          <w:szCs w:val="24"/>
        </w:rPr>
      </w:pPr>
    </w:p>
    <w:p w14:paraId="551B853F" w14:textId="317CB504" w:rsidR="001256EF" w:rsidRPr="00E10C3E" w:rsidRDefault="001256EF" w:rsidP="001256EF">
      <w:pPr>
        <w:spacing w:after="0"/>
        <w:rPr>
          <w:rFonts w:ascii="Times New Roman" w:hAnsi="Times New Roman"/>
          <w:sz w:val="24"/>
          <w:szCs w:val="24"/>
        </w:rPr>
      </w:pPr>
      <w:r w:rsidRPr="00E10C3E">
        <w:rPr>
          <w:rStyle w:val="y2iqfc"/>
          <w:rFonts w:ascii="Times New Roman" w:hAnsi="Times New Roman"/>
          <w:sz w:val="24"/>
          <w:szCs w:val="24"/>
        </w:rPr>
        <w:t xml:space="preserve">In the second place, it facilitates preventive restructuring. It is easier, in principle, to take the conditions of cross-class cram-down for granted when it is not necessary to compare the treatment of each individual with the treatment of the whole of the </w:t>
      </w:r>
      <w:r w:rsidRPr="00E10C3E">
        <w:rPr>
          <w:rFonts w:ascii="Times New Roman" w:hAnsi="Times New Roman"/>
          <w:sz w:val="24"/>
          <w:szCs w:val="24"/>
        </w:rPr>
        <w:t>individuals</w:t>
      </w:r>
      <w:r w:rsidRPr="00E10C3E">
        <w:rPr>
          <w:rFonts w:ascii="Times New Roman" w:hAnsi="Times New Roman"/>
          <w:b/>
          <w:bCs/>
          <w:sz w:val="24"/>
          <w:szCs w:val="24"/>
        </w:rPr>
        <w:t xml:space="preserve"> </w:t>
      </w:r>
      <w:r w:rsidRPr="00E10C3E">
        <w:rPr>
          <w:rFonts w:ascii="Times New Roman" w:hAnsi="Times New Roman"/>
          <w:sz w:val="24"/>
          <w:szCs w:val="24"/>
        </w:rPr>
        <w:t>and it suffices</w:t>
      </w:r>
      <w:r w:rsidRPr="00E10C3E">
        <w:rPr>
          <w:rFonts w:ascii="Times New Roman" w:hAnsi="Times New Roman"/>
          <w:b/>
          <w:bCs/>
          <w:sz w:val="24"/>
          <w:szCs w:val="24"/>
        </w:rPr>
        <w:t xml:space="preserve"> </w:t>
      </w:r>
      <w:r w:rsidRPr="00E10C3E">
        <w:rPr>
          <w:rFonts w:ascii="Times New Roman" w:hAnsi="Times New Roman"/>
          <w:sz w:val="24"/>
          <w:szCs w:val="24"/>
        </w:rPr>
        <w:t>to compare it with the treatment of the individuals of the same class or of classes of the same ranking.</w:t>
      </w:r>
      <w:r w:rsidRPr="00E10C3E">
        <w:rPr>
          <w:rFonts w:ascii="Times New Roman" w:hAnsi="Times New Roman"/>
          <w:sz w:val="24"/>
          <w:szCs w:val="24"/>
        </w:rPr>
        <w:t xml:space="preserve"> </w:t>
      </w:r>
      <w:r w:rsidRPr="00E10C3E">
        <w:rPr>
          <w:rFonts w:ascii="Times New Roman" w:hAnsi="Times New Roman"/>
          <w:sz w:val="24"/>
          <w:szCs w:val="24"/>
        </w:rPr>
        <w:t>Pursuant to the Insolvency Act (hereinafter IA)</w:t>
      </w:r>
      <w:r w:rsidRPr="00E10C3E">
        <w:rPr>
          <w:rFonts w:ascii="Times New Roman" w:hAnsi="Times New Roman"/>
          <w:sz w:val="24"/>
          <w:szCs w:val="24"/>
        </w:rPr>
        <w:t>,</w:t>
      </w:r>
      <w:r w:rsidRPr="00E10C3E">
        <w:rPr>
          <w:rFonts w:ascii="Times New Roman" w:hAnsi="Times New Roman"/>
          <w:sz w:val="24"/>
          <w:szCs w:val="24"/>
        </w:rPr>
        <w:t xml:space="preserve"> as amended by Law </w:t>
      </w:r>
      <w:r w:rsidRPr="00E10C3E">
        <w:rPr>
          <w:rStyle w:val="y2iqfc"/>
          <w:rFonts w:ascii="Times New Roman" w:hAnsi="Times New Roman"/>
          <w:sz w:val="24"/>
          <w:szCs w:val="24"/>
        </w:rPr>
        <w:t>No. 9/2022</w:t>
      </w:r>
      <w:r w:rsidRPr="00E10C3E">
        <w:rPr>
          <w:rFonts w:ascii="Times New Roman" w:hAnsi="Times New Roman"/>
          <w:sz w:val="24"/>
          <w:szCs w:val="24"/>
        </w:rPr>
        <w:t>, there are two classifications of the affected parties: one, compulsory, in basic classes (secured, privileged, unsecured, and subordinated creditors), and the other, optional, in ulterior classes.</w:t>
      </w:r>
    </w:p>
    <w:p w14:paraId="1FF8C105" w14:textId="77777777" w:rsidR="001256EF" w:rsidRPr="00E10C3E" w:rsidRDefault="001256EF" w:rsidP="001256EF">
      <w:pPr>
        <w:spacing w:after="0"/>
        <w:rPr>
          <w:rFonts w:ascii="Times New Roman" w:hAnsi="Times New Roman"/>
          <w:sz w:val="24"/>
          <w:szCs w:val="24"/>
        </w:rPr>
      </w:pPr>
    </w:p>
    <w:p w14:paraId="5A54D891" w14:textId="1101419E" w:rsidR="001256EF" w:rsidRPr="00E10C3E" w:rsidRDefault="001256EF" w:rsidP="001256EF">
      <w:pPr>
        <w:spacing w:after="0"/>
        <w:rPr>
          <w:rFonts w:ascii="Times New Roman" w:hAnsi="Times New Roman"/>
          <w:sz w:val="24"/>
          <w:szCs w:val="24"/>
        </w:rPr>
      </w:pPr>
      <w:r w:rsidRPr="00E10C3E">
        <w:rPr>
          <w:rFonts w:ascii="Times New Roman" w:hAnsi="Times New Roman"/>
          <w:sz w:val="24"/>
          <w:szCs w:val="24"/>
        </w:rPr>
        <w:t>The second classification presents several discrepancies regarding the Directive.</w:t>
      </w:r>
      <w:r w:rsidRPr="00E10C3E">
        <w:rPr>
          <w:rFonts w:ascii="Times New Roman" w:hAnsi="Times New Roman"/>
          <w:sz w:val="24"/>
          <w:szCs w:val="24"/>
        </w:rPr>
        <w:t xml:space="preserve"> </w:t>
      </w:r>
      <w:r w:rsidRPr="00E10C3E">
        <w:rPr>
          <w:rFonts w:ascii="Times New Roman" w:hAnsi="Times New Roman"/>
          <w:sz w:val="24"/>
          <w:szCs w:val="24"/>
        </w:rPr>
        <w:t>Firstly, the Directive refers to the need that separate classes reflect “</w:t>
      </w:r>
      <w:r w:rsidRPr="00E10C3E">
        <w:rPr>
          <w:rFonts w:ascii="Times New Roman" w:hAnsi="Times New Roman"/>
          <w:i/>
          <w:iCs/>
          <w:sz w:val="24"/>
          <w:szCs w:val="24"/>
        </w:rPr>
        <w:t>sufficient commonality of interest based on verifiable criteria</w:t>
      </w:r>
      <w:r w:rsidRPr="00E10C3E">
        <w:rPr>
          <w:rFonts w:ascii="Times New Roman" w:hAnsi="Times New Roman"/>
          <w:sz w:val="24"/>
          <w:szCs w:val="24"/>
        </w:rPr>
        <w:t>” [Article 9 (4), 1</w:t>
      </w:r>
      <w:r w:rsidRPr="00E10C3E">
        <w:rPr>
          <w:rFonts w:ascii="Times New Roman" w:hAnsi="Times New Roman"/>
          <w:sz w:val="24"/>
          <w:szCs w:val="24"/>
          <w:vertAlign w:val="superscript"/>
        </w:rPr>
        <w:t>st</w:t>
      </w:r>
      <w:r w:rsidRPr="00E10C3E">
        <w:rPr>
          <w:rFonts w:ascii="Times New Roman" w:hAnsi="Times New Roman"/>
          <w:sz w:val="24"/>
          <w:szCs w:val="24"/>
        </w:rPr>
        <w:t xml:space="preserve"> paragraph], which points to the necessity of general and objective criteria being made available in national law</w:t>
      </w:r>
      <w:r w:rsidRPr="00E10C3E">
        <w:rPr>
          <w:rFonts w:ascii="Times New Roman" w:hAnsi="Times New Roman"/>
          <w:sz w:val="24"/>
          <w:szCs w:val="24"/>
        </w:rPr>
        <w:t>.</w:t>
      </w:r>
      <w:r w:rsidRPr="00E10C3E">
        <w:rPr>
          <w:rStyle w:val="FootnoteReference"/>
          <w:rFonts w:ascii="Times New Roman" w:hAnsi="Times New Roman"/>
          <w:sz w:val="24"/>
          <w:szCs w:val="24"/>
        </w:rPr>
        <w:footnoteReference w:id="2"/>
      </w:r>
    </w:p>
    <w:p w14:paraId="783F03A4" w14:textId="77777777" w:rsidR="001256EF" w:rsidRPr="00E10C3E" w:rsidRDefault="001256EF" w:rsidP="001256EF">
      <w:pPr>
        <w:spacing w:after="0"/>
        <w:rPr>
          <w:rFonts w:ascii="Times New Roman" w:hAnsi="Times New Roman"/>
          <w:sz w:val="24"/>
          <w:szCs w:val="24"/>
        </w:rPr>
      </w:pPr>
    </w:p>
    <w:p w14:paraId="04050D6B" w14:textId="77777777" w:rsidR="001256EF" w:rsidRPr="00E10C3E" w:rsidRDefault="001256EF" w:rsidP="001256EF">
      <w:pPr>
        <w:spacing w:after="0"/>
        <w:rPr>
          <w:rFonts w:ascii="Times New Roman" w:hAnsi="Times New Roman"/>
          <w:sz w:val="24"/>
          <w:szCs w:val="24"/>
        </w:rPr>
      </w:pPr>
      <w:r w:rsidRPr="00E10C3E">
        <w:rPr>
          <w:rFonts w:ascii="Times New Roman" w:hAnsi="Times New Roman"/>
          <w:sz w:val="24"/>
          <w:szCs w:val="24"/>
        </w:rPr>
        <w:t xml:space="preserve">Ignoring this, the Portuguese legislator provides just for an exemplary cast of five classes (employees, regardless of the type of contract; equity holders; </w:t>
      </w:r>
      <w:r w:rsidRPr="00E10C3E">
        <w:rPr>
          <w:rStyle w:val="y2iqfc"/>
          <w:rFonts w:ascii="Times New Roman" w:hAnsi="Times New Roman"/>
          <w:sz w:val="24"/>
          <w:szCs w:val="24"/>
        </w:rPr>
        <w:t>banking entities that have financed the company; suppliers of goods and service providers; and public creditors)</w:t>
      </w:r>
      <w:r w:rsidRPr="00E10C3E">
        <w:rPr>
          <w:rFonts w:ascii="Times New Roman" w:hAnsi="Times New Roman"/>
          <w:sz w:val="24"/>
          <w:szCs w:val="24"/>
        </w:rPr>
        <w:t xml:space="preserve">. </w:t>
      </w:r>
      <w:r w:rsidRPr="00E10C3E">
        <w:rPr>
          <w:rStyle w:val="y2iqfc"/>
          <w:rFonts w:ascii="Times New Roman" w:hAnsi="Times New Roman"/>
          <w:sz w:val="24"/>
          <w:szCs w:val="24"/>
        </w:rPr>
        <w:t>There is the risk that each debtor adopts its own (subjective) criteria, the criteria which appears to him more likely to facilitate the approval or the confirmation of the plan.</w:t>
      </w:r>
    </w:p>
    <w:p w14:paraId="36061B68" w14:textId="77777777" w:rsidR="001256EF" w:rsidRPr="00E10C3E" w:rsidRDefault="001256EF" w:rsidP="001256EF">
      <w:pPr>
        <w:spacing w:after="0"/>
        <w:rPr>
          <w:rFonts w:ascii="Times New Roman" w:hAnsi="Times New Roman"/>
          <w:sz w:val="24"/>
          <w:szCs w:val="24"/>
        </w:rPr>
      </w:pPr>
    </w:p>
    <w:p w14:paraId="4DD1CB34" w14:textId="5BB1F972" w:rsidR="001256EF" w:rsidRPr="00E10C3E" w:rsidRDefault="001256EF" w:rsidP="001256EF">
      <w:pPr>
        <w:spacing w:after="0"/>
        <w:rPr>
          <w:rFonts w:ascii="Times New Roman" w:hAnsi="Times New Roman"/>
          <w:sz w:val="24"/>
          <w:szCs w:val="24"/>
        </w:rPr>
      </w:pPr>
      <w:r w:rsidRPr="00E10C3E">
        <w:rPr>
          <w:rFonts w:ascii="Times New Roman" w:hAnsi="Times New Roman"/>
          <w:sz w:val="24"/>
          <w:szCs w:val="24"/>
        </w:rPr>
        <w:t>Secondly, the Directive refers to classes of “</w:t>
      </w:r>
      <w:r w:rsidRPr="00E10C3E">
        <w:rPr>
          <w:rFonts w:ascii="Times New Roman" w:hAnsi="Times New Roman"/>
          <w:i/>
          <w:iCs/>
          <w:sz w:val="24"/>
          <w:szCs w:val="24"/>
        </w:rPr>
        <w:t>affected parties</w:t>
      </w:r>
      <w:r w:rsidRPr="00E10C3E">
        <w:rPr>
          <w:rFonts w:ascii="Times New Roman" w:hAnsi="Times New Roman"/>
          <w:sz w:val="24"/>
          <w:szCs w:val="24"/>
        </w:rPr>
        <w:t>” [Article 9 (4), 1</w:t>
      </w:r>
      <w:r w:rsidRPr="00E10C3E">
        <w:rPr>
          <w:rFonts w:ascii="Times New Roman" w:hAnsi="Times New Roman"/>
          <w:sz w:val="24"/>
          <w:szCs w:val="24"/>
          <w:vertAlign w:val="superscript"/>
        </w:rPr>
        <w:t>st</w:t>
      </w:r>
      <w:r w:rsidRPr="00E10C3E">
        <w:rPr>
          <w:rFonts w:ascii="Times New Roman" w:hAnsi="Times New Roman"/>
          <w:sz w:val="24"/>
          <w:szCs w:val="24"/>
        </w:rPr>
        <w:t xml:space="preserve"> paragraph]</w:t>
      </w:r>
      <w:r w:rsidRPr="00E10C3E">
        <w:rPr>
          <w:rFonts w:ascii="Times New Roman" w:hAnsi="Times New Roman"/>
          <w:sz w:val="24"/>
          <w:szCs w:val="24"/>
        </w:rPr>
        <w:t>,</w:t>
      </w:r>
      <w:r w:rsidRPr="00E10C3E">
        <w:rPr>
          <w:rFonts w:ascii="Times New Roman" w:hAnsi="Times New Roman"/>
          <w:sz w:val="24"/>
          <w:szCs w:val="24"/>
        </w:rPr>
        <w:t xml:space="preserve"> whereas the Portuguese laws systematically refers to classes of “</w:t>
      </w:r>
      <w:r w:rsidRPr="00E10C3E">
        <w:rPr>
          <w:rFonts w:ascii="Times New Roman" w:hAnsi="Times New Roman"/>
          <w:i/>
          <w:iCs/>
          <w:sz w:val="24"/>
          <w:szCs w:val="24"/>
        </w:rPr>
        <w:t>creditors</w:t>
      </w:r>
      <w:r w:rsidRPr="00E10C3E">
        <w:rPr>
          <w:rFonts w:ascii="Times New Roman" w:hAnsi="Times New Roman"/>
          <w:sz w:val="24"/>
          <w:szCs w:val="24"/>
        </w:rPr>
        <w:t>”.</w:t>
      </w:r>
      <w:r w:rsidRPr="00E10C3E">
        <w:rPr>
          <w:rFonts w:ascii="Times New Roman" w:hAnsi="Times New Roman"/>
          <w:sz w:val="24"/>
          <w:szCs w:val="24"/>
        </w:rPr>
        <w:t xml:space="preserve"> </w:t>
      </w:r>
      <w:r w:rsidRPr="00E10C3E">
        <w:rPr>
          <w:rFonts w:ascii="Times New Roman" w:hAnsi="Times New Roman"/>
          <w:sz w:val="24"/>
          <w:szCs w:val="24"/>
        </w:rPr>
        <w:t>It is true that, in the exemplary cast, one finds the class of equity holders, but it is never clarified that they may only form a class in so far as they are not creditors [Article 2 (1), (2) and (3)].</w:t>
      </w:r>
    </w:p>
    <w:p w14:paraId="097E7663" w14:textId="77777777" w:rsidR="001256EF" w:rsidRPr="00E10C3E" w:rsidRDefault="001256EF" w:rsidP="001256EF">
      <w:pPr>
        <w:spacing w:after="0"/>
        <w:rPr>
          <w:rFonts w:ascii="Times New Roman" w:hAnsi="Times New Roman"/>
          <w:sz w:val="24"/>
          <w:szCs w:val="24"/>
        </w:rPr>
      </w:pPr>
    </w:p>
    <w:p w14:paraId="046D5C9E" w14:textId="65C34CE2" w:rsidR="001256EF" w:rsidRPr="00E10C3E" w:rsidRDefault="001256EF" w:rsidP="001256EF">
      <w:pPr>
        <w:spacing w:after="0"/>
        <w:rPr>
          <w:rFonts w:ascii="Times New Roman" w:hAnsi="Times New Roman"/>
          <w:sz w:val="24"/>
          <w:szCs w:val="24"/>
        </w:rPr>
      </w:pPr>
      <w:r w:rsidRPr="00E10C3E">
        <w:rPr>
          <w:rFonts w:ascii="Times New Roman" w:hAnsi="Times New Roman"/>
          <w:sz w:val="24"/>
          <w:szCs w:val="24"/>
        </w:rPr>
        <w:t>Then, and more importantly, in the Directive</w:t>
      </w:r>
      <w:r w:rsidRPr="00E10C3E">
        <w:rPr>
          <w:rFonts w:ascii="Times New Roman" w:hAnsi="Times New Roman"/>
          <w:sz w:val="24"/>
          <w:szCs w:val="24"/>
        </w:rPr>
        <w:t>,</w:t>
      </w:r>
      <w:r w:rsidRPr="00E10C3E">
        <w:rPr>
          <w:rFonts w:ascii="Times New Roman" w:hAnsi="Times New Roman"/>
          <w:sz w:val="24"/>
          <w:szCs w:val="24"/>
        </w:rPr>
        <w:t xml:space="preserve"> there is a separate provision on the adoption of the plan. </w:t>
      </w:r>
      <w:r w:rsidRPr="00E10C3E">
        <w:rPr>
          <w:rStyle w:val="y2iqfc"/>
          <w:rFonts w:ascii="Times New Roman" w:hAnsi="Times New Roman"/>
          <w:sz w:val="24"/>
          <w:szCs w:val="24"/>
        </w:rPr>
        <w:t xml:space="preserve">More precisely, the Directive requires that </w:t>
      </w:r>
      <w:r w:rsidRPr="00E10C3E">
        <w:rPr>
          <w:rFonts w:ascii="Times New Roman" w:hAnsi="Times New Roman"/>
          <w:sz w:val="24"/>
          <w:szCs w:val="24"/>
        </w:rPr>
        <w:t xml:space="preserve">a majority in the amount of their claims or interests is obtained in each class [Article 9 (6)]. It follows that cross-class cram-down is an instrument designed to overcome the situations where </w:t>
      </w:r>
      <w:r w:rsidRPr="00E10C3E">
        <w:rPr>
          <w:rStyle w:val="y2iqfc"/>
          <w:rFonts w:ascii="Times New Roman" w:hAnsi="Times New Roman"/>
          <w:sz w:val="24"/>
          <w:szCs w:val="24"/>
        </w:rPr>
        <w:t>the plan “</w:t>
      </w:r>
      <w:r w:rsidRPr="00E10C3E">
        <w:rPr>
          <w:rFonts w:ascii="Times New Roman" w:hAnsi="Times New Roman"/>
          <w:i/>
          <w:iCs/>
          <w:sz w:val="24"/>
          <w:szCs w:val="24"/>
        </w:rPr>
        <w:t>is not approved by affected parties, as provided for in Article 9(6), in every voting class</w:t>
      </w:r>
      <w:r w:rsidRPr="00E10C3E">
        <w:rPr>
          <w:rFonts w:ascii="Times New Roman" w:hAnsi="Times New Roman"/>
          <w:sz w:val="24"/>
          <w:szCs w:val="24"/>
        </w:rPr>
        <w:t>” [Article 11 (1)].</w:t>
      </w:r>
    </w:p>
    <w:p w14:paraId="10697895" w14:textId="77777777" w:rsidR="001256EF" w:rsidRPr="00E10C3E" w:rsidRDefault="001256EF" w:rsidP="001256EF">
      <w:pPr>
        <w:spacing w:after="0"/>
        <w:rPr>
          <w:rFonts w:ascii="Times New Roman" w:hAnsi="Times New Roman"/>
          <w:sz w:val="24"/>
          <w:szCs w:val="24"/>
        </w:rPr>
      </w:pPr>
    </w:p>
    <w:p w14:paraId="35BC9E16" w14:textId="1968112B" w:rsidR="001256EF" w:rsidRPr="00E10C3E" w:rsidRDefault="001256EF" w:rsidP="001256EF">
      <w:pPr>
        <w:spacing w:after="0"/>
        <w:rPr>
          <w:rFonts w:ascii="Times New Roman" w:hAnsi="Times New Roman"/>
          <w:sz w:val="24"/>
          <w:szCs w:val="24"/>
        </w:rPr>
      </w:pPr>
      <w:r w:rsidRPr="00E10C3E">
        <w:rPr>
          <w:rStyle w:val="y2iqfc"/>
          <w:rFonts w:ascii="Times New Roman" w:hAnsi="Times New Roman"/>
          <w:sz w:val="24"/>
          <w:szCs w:val="24"/>
        </w:rPr>
        <w:t>The</w:t>
      </w:r>
      <w:r w:rsidRPr="00E10C3E">
        <w:rPr>
          <w:rStyle w:val="y2iqfc"/>
          <w:rFonts w:ascii="Times New Roman" w:hAnsi="Times New Roman"/>
          <w:sz w:val="24"/>
          <w:szCs w:val="24"/>
        </w:rPr>
        <w:t xml:space="preserve"> preference for unanimity</w:t>
      </w:r>
      <w:r w:rsidRPr="00E10C3E">
        <w:rPr>
          <w:rStyle w:val="y2iqfc"/>
          <w:rFonts w:ascii="Times New Roman" w:hAnsi="Times New Roman"/>
          <w:sz w:val="24"/>
          <w:szCs w:val="24"/>
        </w:rPr>
        <w:t xml:space="preserve"> </w:t>
      </w:r>
      <w:r w:rsidRPr="00E10C3E">
        <w:rPr>
          <w:rStyle w:val="y2iqfc"/>
          <w:rFonts w:ascii="Times New Roman" w:hAnsi="Times New Roman"/>
          <w:sz w:val="24"/>
          <w:szCs w:val="24"/>
        </w:rPr>
        <w:t>is noticeable: the plan should be approved, primarily, by all classes and</w:t>
      </w:r>
      <w:r w:rsidRPr="00E10C3E">
        <w:rPr>
          <w:rStyle w:val="y2iqfc"/>
          <w:rFonts w:ascii="Times New Roman" w:hAnsi="Times New Roman"/>
          <w:sz w:val="24"/>
          <w:szCs w:val="24"/>
        </w:rPr>
        <w:t>,</w:t>
      </w:r>
      <w:r w:rsidRPr="00E10C3E">
        <w:rPr>
          <w:rStyle w:val="y2iqfc"/>
          <w:rFonts w:ascii="Times New Roman" w:hAnsi="Times New Roman"/>
          <w:sz w:val="24"/>
          <w:szCs w:val="24"/>
        </w:rPr>
        <w:t xml:space="preserve"> only subsidiarily, as a condition for cross-class cram-down, by a majority or by part of the classes. In addition, the Directive requires that majority of the claims / interests in each class is in favour of the plan. </w:t>
      </w:r>
      <w:r w:rsidRPr="00E10C3E">
        <w:rPr>
          <w:rFonts w:ascii="Times New Roman" w:hAnsi="Times New Roman"/>
          <w:sz w:val="24"/>
          <w:szCs w:val="24"/>
        </w:rPr>
        <w:t xml:space="preserve">In contrast, the Portuguese law regulates the different modalities of approval of the plan all together [Article 17-F (5) </w:t>
      </w:r>
      <w:r w:rsidRPr="00E10C3E">
        <w:rPr>
          <w:rFonts w:ascii="Times New Roman" w:hAnsi="Times New Roman"/>
          <w:i/>
          <w:iCs/>
          <w:sz w:val="24"/>
          <w:szCs w:val="24"/>
        </w:rPr>
        <w:t xml:space="preserve">a), i), ii), iii) </w:t>
      </w:r>
      <w:r w:rsidRPr="00E10C3E">
        <w:rPr>
          <w:rFonts w:ascii="Times New Roman" w:hAnsi="Times New Roman"/>
          <w:sz w:val="24"/>
          <w:szCs w:val="24"/>
        </w:rPr>
        <w:t>and</w:t>
      </w:r>
      <w:r w:rsidRPr="00E10C3E">
        <w:rPr>
          <w:rFonts w:ascii="Times New Roman" w:hAnsi="Times New Roman"/>
          <w:i/>
          <w:iCs/>
          <w:sz w:val="24"/>
          <w:szCs w:val="24"/>
        </w:rPr>
        <w:t xml:space="preserve"> iv)</w:t>
      </w:r>
      <w:r w:rsidRPr="00E10C3E">
        <w:rPr>
          <w:rFonts w:ascii="Times New Roman" w:hAnsi="Times New Roman"/>
          <w:sz w:val="24"/>
          <w:szCs w:val="24"/>
        </w:rPr>
        <w:t>, IA], as equivalents for the purpose of cross-class cram-down [Article 17-F (7), IA].</w:t>
      </w:r>
    </w:p>
    <w:p w14:paraId="486756BE" w14:textId="77777777" w:rsidR="001256EF" w:rsidRPr="00E10C3E" w:rsidRDefault="001256EF" w:rsidP="001256EF">
      <w:pPr>
        <w:spacing w:after="0"/>
        <w:rPr>
          <w:rFonts w:ascii="Times New Roman" w:hAnsi="Times New Roman"/>
          <w:sz w:val="24"/>
          <w:szCs w:val="24"/>
        </w:rPr>
      </w:pPr>
    </w:p>
    <w:p w14:paraId="20098324" w14:textId="3F7792BC" w:rsidR="001256EF" w:rsidRPr="00E10C3E" w:rsidRDefault="001256EF" w:rsidP="001256EF">
      <w:pPr>
        <w:spacing w:after="0"/>
        <w:rPr>
          <w:rStyle w:val="y2iqfc"/>
          <w:rFonts w:ascii="Times New Roman" w:hAnsi="Times New Roman"/>
          <w:sz w:val="24"/>
          <w:szCs w:val="24"/>
        </w:rPr>
      </w:pPr>
      <w:r w:rsidRPr="00E10C3E">
        <w:rPr>
          <w:rFonts w:ascii="Times New Roman" w:hAnsi="Times New Roman"/>
          <w:sz w:val="24"/>
          <w:szCs w:val="24"/>
        </w:rPr>
        <w:t xml:space="preserve">To make it worse, pursuant to </w:t>
      </w:r>
      <w:r w:rsidRPr="00E10C3E">
        <w:rPr>
          <w:rStyle w:val="y2iqfc"/>
          <w:rFonts w:ascii="Times New Roman" w:hAnsi="Times New Roman"/>
          <w:sz w:val="24"/>
          <w:szCs w:val="24"/>
        </w:rPr>
        <w:t>Article 17-F (5), a), IA, for the plan to be considered adopted in each class, it is sufficient for it to obtain “</w:t>
      </w:r>
      <w:r w:rsidRPr="00E10C3E">
        <w:rPr>
          <w:rStyle w:val="y2iqfc"/>
          <w:rFonts w:ascii="Times New Roman" w:hAnsi="Times New Roman"/>
          <w:i/>
          <w:iCs/>
          <w:sz w:val="24"/>
          <w:szCs w:val="24"/>
        </w:rPr>
        <w:t>more than two-thirds of the total votes cast</w:t>
      </w:r>
      <w:r w:rsidRPr="00E10C3E">
        <w:rPr>
          <w:rStyle w:val="y2iqfc"/>
          <w:rFonts w:ascii="Times New Roman" w:hAnsi="Times New Roman"/>
          <w:sz w:val="24"/>
          <w:szCs w:val="24"/>
        </w:rPr>
        <w:t>”, which does not correspond to a majority of the claims or interests represented in that each class.</w:t>
      </w:r>
    </w:p>
    <w:p w14:paraId="69451CB9" w14:textId="77777777" w:rsidR="001256EF" w:rsidRPr="00E10C3E" w:rsidRDefault="001256EF" w:rsidP="001256EF">
      <w:pPr>
        <w:spacing w:after="0"/>
        <w:rPr>
          <w:rStyle w:val="y2iqfc"/>
          <w:rFonts w:ascii="Times New Roman" w:hAnsi="Times New Roman"/>
          <w:sz w:val="24"/>
          <w:szCs w:val="24"/>
        </w:rPr>
      </w:pPr>
    </w:p>
    <w:p w14:paraId="0E929CCC" w14:textId="528065DC" w:rsidR="001256EF" w:rsidRPr="00E10C3E" w:rsidRDefault="001256EF" w:rsidP="001256EF">
      <w:pPr>
        <w:spacing w:after="0"/>
        <w:rPr>
          <w:rStyle w:val="y2iqfc"/>
          <w:rFonts w:ascii="Times New Roman" w:hAnsi="Times New Roman"/>
          <w:sz w:val="24"/>
          <w:szCs w:val="24"/>
        </w:rPr>
      </w:pPr>
      <w:r w:rsidRPr="00E10C3E">
        <w:rPr>
          <w:rStyle w:val="y2iqfc"/>
          <w:rFonts w:ascii="Times New Roman" w:hAnsi="Times New Roman"/>
          <w:sz w:val="24"/>
          <w:szCs w:val="24"/>
        </w:rPr>
        <w:t>Nevertheless, t</w:t>
      </w:r>
      <w:r w:rsidRPr="00E10C3E">
        <w:rPr>
          <w:rStyle w:val="y2iqfc"/>
          <w:rFonts w:ascii="Times New Roman" w:hAnsi="Times New Roman"/>
          <w:sz w:val="24"/>
          <w:szCs w:val="24"/>
        </w:rPr>
        <w:t>he absence of a provision on the adoption of the plan separately from the conditions for cross-class cram-down has yet another harmful consequence.</w:t>
      </w:r>
      <w:r w:rsidRPr="00E10C3E">
        <w:rPr>
          <w:rStyle w:val="y2iqfc"/>
          <w:rFonts w:ascii="Times New Roman" w:hAnsi="Times New Roman"/>
          <w:sz w:val="24"/>
          <w:szCs w:val="24"/>
        </w:rPr>
        <w:t xml:space="preserve"> </w:t>
      </w:r>
      <w:r w:rsidRPr="00E10C3E">
        <w:rPr>
          <w:rFonts w:ascii="Times New Roman" w:hAnsi="Times New Roman"/>
          <w:sz w:val="24"/>
          <w:szCs w:val="24"/>
        </w:rPr>
        <w:t>According to the Directive,</w:t>
      </w:r>
      <w:r w:rsidRPr="00E10C3E">
        <w:rPr>
          <w:rStyle w:val="y2iqfc"/>
          <w:rFonts w:ascii="Times New Roman" w:hAnsi="Times New Roman"/>
          <w:sz w:val="24"/>
          <w:szCs w:val="24"/>
        </w:rPr>
        <w:t xml:space="preserve"> cross-class cram-down may only take place “</w:t>
      </w:r>
      <w:r w:rsidRPr="00E10C3E">
        <w:rPr>
          <w:rFonts w:ascii="Times New Roman" w:hAnsi="Times New Roman"/>
          <w:i/>
          <w:iCs/>
          <w:sz w:val="24"/>
          <w:szCs w:val="24"/>
        </w:rPr>
        <w:t>upon the proposal of a debtor or with the debtor's agreement</w:t>
      </w:r>
      <w:r w:rsidRPr="00E10C3E">
        <w:rPr>
          <w:rFonts w:ascii="Times New Roman" w:hAnsi="Times New Roman"/>
          <w:sz w:val="24"/>
          <w:szCs w:val="24"/>
        </w:rPr>
        <w:t xml:space="preserve">” [Article 11 (1)], </w:t>
      </w:r>
      <w:r w:rsidRPr="00E10C3E">
        <w:rPr>
          <w:rStyle w:val="y2iqfc"/>
          <w:rFonts w:ascii="Times New Roman" w:hAnsi="Times New Roman"/>
          <w:sz w:val="24"/>
          <w:szCs w:val="24"/>
        </w:rPr>
        <w:t xml:space="preserve">but </w:t>
      </w:r>
      <w:r w:rsidRPr="00E10C3E">
        <w:rPr>
          <w:rFonts w:ascii="Times New Roman" w:hAnsi="Times New Roman"/>
          <w:sz w:val="24"/>
          <w:szCs w:val="24"/>
        </w:rPr>
        <w:t xml:space="preserve">Member States may limit this requirement to cases where debtors are SMEs [Article 11 (1), </w:t>
      </w:r>
      <w:r w:rsidRPr="00E10C3E">
        <w:rPr>
          <w:rStyle w:val="y2iqfc"/>
          <w:rFonts w:ascii="Times New Roman" w:hAnsi="Times New Roman"/>
          <w:sz w:val="24"/>
          <w:szCs w:val="24"/>
        </w:rPr>
        <w:t>2nd paragraph]</w:t>
      </w:r>
      <w:r w:rsidRPr="00E10C3E">
        <w:rPr>
          <w:rFonts w:ascii="Times New Roman" w:hAnsi="Times New Roman"/>
          <w:sz w:val="24"/>
          <w:szCs w:val="24"/>
        </w:rPr>
        <w:t xml:space="preserve">. This means that, at least in the case of SMEs, the debtor must give </w:t>
      </w:r>
      <w:r w:rsidRPr="00E10C3E">
        <w:rPr>
          <w:rStyle w:val="y2iqfc"/>
          <w:rFonts w:ascii="Times New Roman" w:hAnsi="Times New Roman"/>
          <w:sz w:val="24"/>
          <w:szCs w:val="24"/>
        </w:rPr>
        <w:t>his agreement so that the plan proceeds to the cross-class cram-down stage.</w:t>
      </w:r>
    </w:p>
    <w:p w14:paraId="22D07833" w14:textId="77777777" w:rsidR="001256EF" w:rsidRPr="00E10C3E" w:rsidRDefault="001256EF" w:rsidP="001256EF">
      <w:pPr>
        <w:spacing w:after="0"/>
        <w:rPr>
          <w:rStyle w:val="y2iqfc"/>
          <w:rFonts w:ascii="Times New Roman" w:hAnsi="Times New Roman"/>
          <w:sz w:val="24"/>
          <w:szCs w:val="24"/>
        </w:rPr>
      </w:pPr>
    </w:p>
    <w:p w14:paraId="2996073E" w14:textId="3DC9DC65" w:rsidR="001256EF" w:rsidRPr="00E10C3E" w:rsidRDefault="001256EF" w:rsidP="001256EF">
      <w:pPr>
        <w:spacing w:after="0"/>
        <w:rPr>
          <w:rFonts w:ascii="Times New Roman" w:hAnsi="Times New Roman"/>
          <w:sz w:val="24"/>
          <w:szCs w:val="24"/>
        </w:rPr>
      </w:pPr>
      <w:r w:rsidRPr="00E10C3E">
        <w:rPr>
          <w:rStyle w:val="y2iqfc"/>
          <w:rFonts w:ascii="Times New Roman" w:hAnsi="Times New Roman"/>
          <w:sz w:val="24"/>
          <w:szCs w:val="24"/>
        </w:rPr>
        <w:t xml:space="preserve">In </w:t>
      </w:r>
      <w:r w:rsidRPr="00E10C3E">
        <w:rPr>
          <w:rStyle w:val="y2iqfc"/>
          <w:rFonts w:ascii="Times New Roman" w:hAnsi="Times New Roman"/>
          <w:sz w:val="24"/>
          <w:szCs w:val="24"/>
        </w:rPr>
        <w:t>R</w:t>
      </w:r>
      <w:r w:rsidRPr="00E10C3E">
        <w:rPr>
          <w:rStyle w:val="y2iqfc"/>
          <w:rFonts w:ascii="Times New Roman" w:hAnsi="Times New Roman"/>
          <w:sz w:val="24"/>
          <w:szCs w:val="24"/>
        </w:rPr>
        <w:t>ecital 58 of the Directive, this safeguard is reiterated: “</w:t>
      </w:r>
      <w:r w:rsidRPr="00E10C3E">
        <w:rPr>
          <w:rFonts w:ascii="Times New Roman" w:hAnsi="Times New Roman"/>
          <w:i/>
          <w:iCs/>
          <w:sz w:val="24"/>
          <w:szCs w:val="24"/>
        </w:rPr>
        <w:t>Equity holders of SMEs that are not mere investors, but are the owners of the enterprise and contribute to the enterprise in other ways, such as managerial expertise, might not have an incentive to restructure under such conditions. For this reason, the cross-class cram-down should remain optional for debtors that are SMEs</w:t>
      </w:r>
      <w:r w:rsidRPr="00E10C3E">
        <w:rPr>
          <w:rFonts w:ascii="Times New Roman" w:hAnsi="Times New Roman"/>
          <w:sz w:val="24"/>
          <w:szCs w:val="24"/>
        </w:rPr>
        <w:t>”.</w:t>
      </w:r>
    </w:p>
    <w:p w14:paraId="4C74E5DE" w14:textId="77777777" w:rsidR="001256EF" w:rsidRPr="00E10C3E" w:rsidRDefault="001256EF" w:rsidP="001256EF">
      <w:pPr>
        <w:spacing w:after="0"/>
        <w:rPr>
          <w:rStyle w:val="y2iqfc"/>
          <w:rFonts w:ascii="Times New Roman" w:hAnsi="Times New Roman"/>
          <w:sz w:val="24"/>
          <w:szCs w:val="24"/>
        </w:rPr>
      </w:pPr>
    </w:p>
    <w:p w14:paraId="5A52840C" w14:textId="7F302026" w:rsidR="001256EF" w:rsidRPr="00E10C3E" w:rsidRDefault="001256EF" w:rsidP="001256EF">
      <w:pPr>
        <w:spacing w:after="0"/>
        <w:rPr>
          <w:rStyle w:val="y2iqfc"/>
          <w:rFonts w:ascii="Times New Roman" w:hAnsi="Times New Roman"/>
          <w:sz w:val="24"/>
          <w:szCs w:val="24"/>
        </w:rPr>
      </w:pPr>
      <w:r w:rsidRPr="00E10C3E">
        <w:rPr>
          <w:rStyle w:val="y2iqfc"/>
          <w:rFonts w:ascii="Times New Roman" w:hAnsi="Times New Roman"/>
          <w:sz w:val="24"/>
          <w:szCs w:val="24"/>
        </w:rPr>
        <w:t>The Portuguese legislator did not accommodate this opt-out scheme. Under the Portuguese law, the approval of the plan, involving the approval by all the classes or not, is inevitably followed by the cross-class cram-down (</w:t>
      </w:r>
      <w:r w:rsidRPr="00E10C3E">
        <w:rPr>
          <w:rStyle w:val="y2iqfc"/>
          <w:rFonts w:ascii="Times New Roman" w:hAnsi="Times New Roman"/>
          <w:i/>
          <w:iCs/>
          <w:sz w:val="24"/>
          <w:szCs w:val="24"/>
        </w:rPr>
        <w:t>rectius</w:t>
      </w:r>
      <w:r w:rsidRPr="00E10C3E">
        <w:rPr>
          <w:rStyle w:val="y2iqfc"/>
          <w:rFonts w:ascii="Times New Roman" w:hAnsi="Times New Roman"/>
          <w:sz w:val="24"/>
          <w:szCs w:val="24"/>
        </w:rPr>
        <w:t>: the assessment of conditions for the cross-class cram-down).</w:t>
      </w:r>
      <w:r w:rsidRPr="00E10C3E">
        <w:rPr>
          <w:rStyle w:val="y2iqfc"/>
          <w:rFonts w:ascii="Times New Roman" w:hAnsi="Times New Roman"/>
          <w:sz w:val="24"/>
          <w:szCs w:val="24"/>
        </w:rPr>
        <w:t xml:space="preserve"> </w:t>
      </w:r>
      <w:r w:rsidRPr="00E10C3E">
        <w:rPr>
          <w:rFonts w:ascii="Times New Roman" w:hAnsi="Times New Roman"/>
          <w:sz w:val="24"/>
          <w:szCs w:val="24"/>
        </w:rPr>
        <w:t xml:space="preserve">Against this background, it is likely that Portuguese entrepreneurs </w:t>
      </w:r>
      <w:r w:rsidRPr="00E10C3E">
        <w:rPr>
          <w:rFonts w:ascii="Times New Roman" w:hAnsi="Times New Roman"/>
          <w:sz w:val="24"/>
          <w:szCs w:val="24"/>
        </w:rPr>
        <w:t xml:space="preserve">will </w:t>
      </w:r>
      <w:r w:rsidRPr="00E10C3E">
        <w:rPr>
          <w:rFonts w:ascii="Times New Roman" w:hAnsi="Times New Roman"/>
          <w:sz w:val="24"/>
          <w:szCs w:val="24"/>
        </w:rPr>
        <w:t xml:space="preserve">refrain from forming classes, which will </w:t>
      </w:r>
      <w:r w:rsidRPr="00E10C3E">
        <w:rPr>
          <w:rStyle w:val="y2iqfc"/>
          <w:rFonts w:ascii="Times New Roman" w:hAnsi="Times New Roman"/>
          <w:sz w:val="24"/>
          <w:szCs w:val="24"/>
        </w:rPr>
        <w:t xml:space="preserve">dictate the practical uselessness of a system that would be very important in facilitating preventive restructuring and ensuring </w:t>
      </w:r>
      <w:r w:rsidRPr="00E10C3E">
        <w:rPr>
          <w:rStyle w:val="y2iqfc"/>
          <w:rFonts w:ascii="Times New Roman" w:hAnsi="Times New Roman"/>
          <w:sz w:val="24"/>
          <w:szCs w:val="24"/>
        </w:rPr>
        <w:t xml:space="preserve">the </w:t>
      </w:r>
      <w:r w:rsidRPr="00E10C3E">
        <w:rPr>
          <w:rStyle w:val="y2iqfc"/>
          <w:rFonts w:ascii="Times New Roman" w:hAnsi="Times New Roman"/>
          <w:sz w:val="24"/>
          <w:szCs w:val="24"/>
        </w:rPr>
        <w:t>fair treatment of affected parties.</w:t>
      </w:r>
    </w:p>
    <w:p w14:paraId="2AA0AE48" w14:textId="77777777" w:rsidR="001256EF" w:rsidRPr="00E10C3E" w:rsidRDefault="001256EF" w:rsidP="001256EF">
      <w:pPr>
        <w:spacing w:after="0"/>
        <w:rPr>
          <w:rStyle w:val="y2iqfc"/>
          <w:rFonts w:ascii="Times New Roman" w:hAnsi="Times New Roman"/>
          <w:sz w:val="24"/>
          <w:szCs w:val="24"/>
        </w:rPr>
      </w:pPr>
    </w:p>
    <w:p w14:paraId="714AC58A" w14:textId="479B5619" w:rsidR="001256EF" w:rsidRPr="00E10C3E" w:rsidRDefault="001256EF" w:rsidP="001256EF">
      <w:pPr>
        <w:spacing w:after="0"/>
        <w:rPr>
          <w:rStyle w:val="y2iqfc"/>
          <w:rFonts w:ascii="Times New Roman" w:hAnsi="Times New Roman"/>
          <w:bCs/>
          <w:sz w:val="24"/>
          <w:szCs w:val="24"/>
        </w:rPr>
      </w:pPr>
      <w:r w:rsidRPr="00E10C3E">
        <w:rPr>
          <w:rStyle w:val="y2iqfc"/>
          <w:rFonts w:ascii="Times New Roman" w:hAnsi="Times New Roman"/>
          <w:bCs/>
          <w:i/>
          <w:iCs/>
          <w:sz w:val="24"/>
          <w:szCs w:val="24"/>
        </w:rPr>
        <w:t xml:space="preserve">Ipso facto </w:t>
      </w:r>
      <w:r w:rsidRPr="00E10C3E">
        <w:rPr>
          <w:rStyle w:val="y2iqfc"/>
          <w:rFonts w:ascii="Times New Roman" w:hAnsi="Times New Roman"/>
          <w:bCs/>
          <w:i/>
          <w:sz w:val="24"/>
          <w:szCs w:val="24"/>
        </w:rPr>
        <w:t>C</w:t>
      </w:r>
      <w:r w:rsidRPr="00E10C3E">
        <w:rPr>
          <w:rStyle w:val="y2iqfc"/>
          <w:rFonts w:ascii="Times New Roman" w:hAnsi="Times New Roman"/>
          <w:bCs/>
          <w:i/>
          <w:sz w:val="24"/>
          <w:szCs w:val="24"/>
        </w:rPr>
        <w:t>lauses</w:t>
      </w:r>
    </w:p>
    <w:p w14:paraId="77E5B148" w14:textId="77777777" w:rsidR="001256EF" w:rsidRPr="00E10C3E" w:rsidRDefault="001256EF" w:rsidP="001256EF">
      <w:pPr>
        <w:spacing w:after="0"/>
        <w:rPr>
          <w:rStyle w:val="y2iqfc"/>
          <w:rFonts w:ascii="Times New Roman" w:hAnsi="Times New Roman"/>
          <w:sz w:val="24"/>
          <w:szCs w:val="24"/>
        </w:rPr>
      </w:pPr>
    </w:p>
    <w:p w14:paraId="5C89209D" w14:textId="357390DD" w:rsidR="001256EF" w:rsidRPr="00E10C3E" w:rsidRDefault="001256EF" w:rsidP="001256EF">
      <w:pPr>
        <w:spacing w:after="0"/>
        <w:rPr>
          <w:rFonts w:ascii="Times New Roman" w:hAnsi="Times New Roman"/>
          <w:sz w:val="24"/>
          <w:szCs w:val="24"/>
        </w:rPr>
      </w:pPr>
      <w:r w:rsidRPr="00E10C3E">
        <w:rPr>
          <w:rStyle w:val="y2iqfc"/>
          <w:rFonts w:ascii="Times New Roman" w:hAnsi="Times New Roman"/>
          <w:sz w:val="24"/>
          <w:szCs w:val="24"/>
        </w:rPr>
        <w:t xml:space="preserve">It is well known that the expression </w:t>
      </w:r>
      <w:r w:rsidRPr="00E10C3E">
        <w:rPr>
          <w:rStyle w:val="y2iqfc"/>
          <w:rFonts w:ascii="Times New Roman" w:hAnsi="Times New Roman"/>
          <w:i/>
          <w:iCs/>
          <w:sz w:val="24"/>
          <w:szCs w:val="24"/>
        </w:rPr>
        <w:t>ipso facto</w:t>
      </w:r>
      <w:r w:rsidRPr="00E10C3E">
        <w:rPr>
          <w:rStyle w:val="y2iqfc"/>
          <w:rFonts w:ascii="Times New Roman" w:hAnsi="Times New Roman"/>
          <w:sz w:val="24"/>
          <w:szCs w:val="24"/>
        </w:rPr>
        <w:t xml:space="preserve"> (literally: for that fact) clauses traditionally designates th</w:t>
      </w:r>
      <w:r w:rsidRPr="00E10C3E">
        <w:rPr>
          <w:rStyle w:val="y2iqfc"/>
          <w:rFonts w:ascii="Times New Roman" w:hAnsi="Times New Roman"/>
          <w:sz w:val="24"/>
          <w:szCs w:val="24"/>
        </w:rPr>
        <w:t>os</w:t>
      </w:r>
      <w:r w:rsidRPr="00E10C3E">
        <w:rPr>
          <w:rStyle w:val="y2iqfc"/>
          <w:rFonts w:ascii="Times New Roman" w:hAnsi="Times New Roman"/>
          <w:sz w:val="24"/>
          <w:szCs w:val="24"/>
        </w:rPr>
        <w:t>e clauses which give one of the parties the right to terminate the contract when a certain fact occurs. That is to say: the effect is produced by force of the mere occurrence of the fact (</w:t>
      </w:r>
      <w:r w:rsidRPr="00E10C3E">
        <w:rPr>
          <w:rStyle w:val="y2iqfc"/>
          <w:rFonts w:ascii="Times New Roman" w:hAnsi="Times New Roman"/>
          <w:i/>
          <w:iCs/>
          <w:sz w:val="24"/>
          <w:szCs w:val="24"/>
        </w:rPr>
        <w:t>ipso facto</w:t>
      </w:r>
      <w:r w:rsidRPr="00E10C3E">
        <w:rPr>
          <w:rStyle w:val="y2iqfc"/>
          <w:rFonts w:ascii="Times New Roman" w:hAnsi="Times New Roman"/>
          <w:sz w:val="24"/>
          <w:szCs w:val="24"/>
        </w:rPr>
        <w:t>), even if the debtor has not failed to fulfil any obligation</w:t>
      </w:r>
      <w:r w:rsidRPr="00E10C3E">
        <w:rPr>
          <w:rStyle w:val="y2iqfc"/>
          <w:rFonts w:ascii="Times New Roman" w:hAnsi="Times New Roman"/>
          <w:sz w:val="24"/>
          <w:szCs w:val="24"/>
        </w:rPr>
        <w:t>.</w:t>
      </w:r>
      <w:r w:rsidRPr="00E10C3E">
        <w:rPr>
          <w:rStyle w:val="FootnoteReference"/>
          <w:rFonts w:ascii="Times New Roman" w:hAnsi="Times New Roman"/>
          <w:sz w:val="24"/>
          <w:szCs w:val="24"/>
        </w:rPr>
        <w:footnoteReference w:id="3"/>
      </w:r>
    </w:p>
    <w:p w14:paraId="03E8C99B" w14:textId="77777777" w:rsidR="006E0761" w:rsidRPr="00E10C3E" w:rsidRDefault="006E0761" w:rsidP="001256EF">
      <w:pPr>
        <w:spacing w:after="0"/>
        <w:rPr>
          <w:rStyle w:val="y2iqfc"/>
          <w:rFonts w:ascii="Times New Roman" w:hAnsi="Times New Roman"/>
          <w:sz w:val="24"/>
          <w:szCs w:val="24"/>
        </w:rPr>
      </w:pPr>
    </w:p>
    <w:p w14:paraId="13B50D04" w14:textId="3C938F2F" w:rsidR="001256EF" w:rsidRPr="00E10C3E" w:rsidRDefault="001256EF" w:rsidP="001256EF">
      <w:pPr>
        <w:spacing w:after="0"/>
        <w:rPr>
          <w:rFonts w:ascii="Times New Roman" w:hAnsi="Times New Roman"/>
          <w:sz w:val="24"/>
          <w:szCs w:val="24"/>
        </w:rPr>
      </w:pPr>
      <w:r w:rsidRPr="00E10C3E">
        <w:rPr>
          <w:rStyle w:val="y2iqfc"/>
          <w:rFonts w:ascii="Times New Roman" w:hAnsi="Times New Roman"/>
          <w:sz w:val="24"/>
          <w:szCs w:val="24"/>
        </w:rPr>
        <w:t xml:space="preserve">The regulation of </w:t>
      </w:r>
      <w:r w:rsidRPr="00E10C3E">
        <w:rPr>
          <w:rStyle w:val="y2iqfc"/>
          <w:rFonts w:ascii="Times New Roman" w:hAnsi="Times New Roman"/>
          <w:i/>
          <w:iCs/>
          <w:sz w:val="24"/>
          <w:szCs w:val="24"/>
        </w:rPr>
        <w:t>ipso facto</w:t>
      </w:r>
      <w:r w:rsidRPr="00E10C3E">
        <w:rPr>
          <w:rStyle w:val="y2iqfc"/>
          <w:rFonts w:ascii="Times New Roman" w:hAnsi="Times New Roman"/>
          <w:sz w:val="24"/>
          <w:szCs w:val="24"/>
        </w:rPr>
        <w:t xml:space="preserve"> clauses in the context of insolvency and pre-insolvency is noteworthy: by removing the risk of the company being penalized for the mere fact of adopting preventive restructuring measures, it works as a mechanism to promote timely action.</w:t>
      </w:r>
    </w:p>
    <w:p w14:paraId="321AD47C" w14:textId="77777777" w:rsidR="006E0761" w:rsidRPr="00E10C3E" w:rsidRDefault="006E0761" w:rsidP="001256EF">
      <w:pPr>
        <w:spacing w:after="0"/>
        <w:contextualSpacing/>
        <w:rPr>
          <w:rFonts w:ascii="Times New Roman" w:hAnsi="Times New Roman"/>
          <w:sz w:val="24"/>
          <w:szCs w:val="24"/>
        </w:rPr>
      </w:pPr>
    </w:p>
    <w:p w14:paraId="40469F09" w14:textId="708B0B42" w:rsidR="001256EF" w:rsidRPr="00E10C3E" w:rsidRDefault="001256EF" w:rsidP="001256EF">
      <w:pPr>
        <w:spacing w:after="0"/>
        <w:contextualSpacing/>
        <w:rPr>
          <w:rFonts w:ascii="Times New Roman" w:hAnsi="Times New Roman"/>
          <w:sz w:val="24"/>
          <w:szCs w:val="24"/>
        </w:rPr>
      </w:pPr>
      <w:r w:rsidRPr="00E10C3E">
        <w:rPr>
          <w:rFonts w:ascii="Times New Roman" w:hAnsi="Times New Roman"/>
          <w:sz w:val="24"/>
          <w:szCs w:val="24"/>
        </w:rPr>
        <w:t>Article 7 (5) of the Directive lays down:</w:t>
      </w:r>
      <w:r w:rsidR="006E0761" w:rsidRPr="00E10C3E">
        <w:rPr>
          <w:rFonts w:ascii="Times New Roman" w:hAnsi="Times New Roman"/>
          <w:sz w:val="24"/>
          <w:szCs w:val="24"/>
        </w:rPr>
        <w:t xml:space="preserve"> </w:t>
      </w:r>
      <w:r w:rsidRPr="00E10C3E">
        <w:rPr>
          <w:rFonts w:ascii="Times New Roman" w:hAnsi="Times New Roman"/>
          <w:sz w:val="24"/>
          <w:szCs w:val="24"/>
        </w:rPr>
        <w:t>“</w:t>
      </w:r>
      <w:r w:rsidRPr="00E10C3E">
        <w:rPr>
          <w:rFonts w:ascii="Times New Roman" w:hAnsi="Times New Roman"/>
          <w:i/>
          <w:iCs/>
          <w:sz w:val="24"/>
          <w:szCs w:val="24"/>
        </w:rPr>
        <w:t>Member States shall ensure that creditors are not allowed to withhold performance or terminate, accelerate or, in any other way, modify executory contracts to the detriment of the debtor by virtue of a contractual clause providing for such measures, solely by reason of: (a) a request for the opening of preventive restructuring proceedings; (b) a request for a stay of individual enforcement actions; (c) the opening of preventive restructuring proceedings; or (d) the granting of a stay of individual enforcement actions as such</w:t>
      </w:r>
      <w:r w:rsidRPr="00E10C3E">
        <w:rPr>
          <w:rFonts w:ascii="Times New Roman" w:hAnsi="Times New Roman"/>
          <w:sz w:val="24"/>
          <w:szCs w:val="24"/>
        </w:rPr>
        <w:t>”.</w:t>
      </w:r>
    </w:p>
    <w:p w14:paraId="483C6F5A" w14:textId="0D14E0AD" w:rsidR="001256EF" w:rsidRPr="00E10C3E" w:rsidRDefault="001256EF" w:rsidP="001256EF">
      <w:pPr>
        <w:spacing w:after="0"/>
        <w:rPr>
          <w:rFonts w:ascii="Times New Roman" w:hAnsi="Times New Roman"/>
          <w:sz w:val="24"/>
          <w:szCs w:val="24"/>
        </w:rPr>
      </w:pPr>
      <w:r w:rsidRPr="00E10C3E">
        <w:rPr>
          <w:rFonts w:ascii="Times New Roman" w:hAnsi="Times New Roman"/>
          <w:sz w:val="24"/>
          <w:szCs w:val="24"/>
        </w:rPr>
        <w:t>In its turn, Article 17-E (13), IA lays down:</w:t>
      </w:r>
      <w:r w:rsidR="006E0761" w:rsidRPr="00E10C3E">
        <w:rPr>
          <w:rFonts w:ascii="Times New Roman" w:hAnsi="Times New Roman"/>
          <w:sz w:val="24"/>
          <w:szCs w:val="24"/>
        </w:rPr>
        <w:t xml:space="preserve"> </w:t>
      </w:r>
      <w:r w:rsidRPr="00E10C3E">
        <w:rPr>
          <w:rStyle w:val="y2iqfc"/>
          <w:rFonts w:ascii="Times New Roman" w:hAnsi="Times New Roman"/>
          <w:sz w:val="24"/>
          <w:szCs w:val="24"/>
        </w:rPr>
        <w:t>“</w:t>
      </w:r>
      <w:r w:rsidRPr="00E10C3E">
        <w:rPr>
          <w:rStyle w:val="y2iqfc"/>
          <w:rFonts w:ascii="Times New Roman" w:hAnsi="Times New Roman"/>
          <w:i/>
          <w:iCs/>
          <w:sz w:val="24"/>
          <w:szCs w:val="24"/>
        </w:rPr>
        <w:t xml:space="preserve">A contractual clause that attributes to the request for the opening a special revitalisation process, the opening of a special revitalisation process, the request for an extension of the stay of individual enforcement actions or the granting of the extension of the stay of individual enforcement actions the value of a </w:t>
      </w:r>
      <w:r w:rsidRPr="00E10C3E">
        <w:rPr>
          <w:rStyle w:val="y2iqfc"/>
          <w:rFonts w:ascii="Times New Roman" w:hAnsi="Times New Roman"/>
          <w:i/>
          <w:iCs/>
          <w:sz w:val="24"/>
          <w:szCs w:val="24"/>
        </w:rPr>
        <w:lastRenderedPageBreak/>
        <w:t>resolutive condition of the contract, or, in that case, confers to the counterparty a right to compensation or termination of the contract is null and void</w:t>
      </w:r>
      <w:r w:rsidRPr="00E10C3E">
        <w:rPr>
          <w:rStyle w:val="y2iqfc"/>
          <w:rFonts w:ascii="Times New Roman" w:hAnsi="Times New Roman"/>
          <w:sz w:val="24"/>
          <w:szCs w:val="24"/>
        </w:rPr>
        <w:t>”.</w:t>
      </w:r>
    </w:p>
    <w:p w14:paraId="00F8F519" w14:textId="77777777" w:rsidR="006E0761" w:rsidRPr="00E10C3E" w:rsidRDefault="006E0761" w:rsidP="001256EF">
      <w:pPr>
        <w:spacing w:after="0"/>
        <w:rPr>
          <w:rFonts w:ascii="Times New Roman" w:hAnsi="Times New Roman"/>
          <w:sz w:val="24"/>
          <w:szCs w:val="24"/>
        </w:rPr>
      </w:pPr>
    </w:p>
    <w:p w14:paraId="11403738" w14:textId="7373C9F9" w:rsidR="001256EF" w:rsidRPr="00E10C3E" w:rsidRDefault="001256EF" w:rsidP="001256EF">
      <w:pPr>
        <w:spacing w:after="0"/>
        <w:rPr>
          <w:rStyle w:val="y2iqfc"/>
          <w:rFonts w:ascii="Times New Roman" w:hAnsi="Times New Roman"/>
          <w:sz w:val="24"/>
          <w:szCs w:val="24"/>
        </w:rPr>
      </w:pPr>
      <w:r w:rsidRPr="00E10C3E">
        <w:rPr>
          <w:rFonts w:ascii="Times New Roman" w:hAnsi="Times New Roman"/>
          <w:sz w:val="24"/>
          <w:szCs w:val="24"/>
        </w:rPr>
        <w:t>From the outset, the differences between the two regimes are visible.</w:t>
      </w:r>
      <w:r w:rsidR="006E0761" w:rsidRPr="00E10C3E">
        <w:rPr>
          <w:rFonts w:ascii="Times New Roman" w:hAnsi="Times New Roman"/>
          <w:sz w:val="24"/>
          <w:szCs w:val="24"/>
        </w:rPr>
        <w:t xml:space="preserve"> </w:t>
      </w:r>
      <w:r w:rsidRPr="00E10C3E">
        <w:rPr>
          <w:rFonts w:ascii="Times New Roman" w:hAnsi="Times New Roman"/>
          <w:sz w:val="24"/>
          <w:szCs w:val="24"/>
        </w:rPr>
        <w:t>The scope of the Portuguese regime is broader and narrower: it covers all contracts (not only executory contracts) but only comprehends termination and compensation clauses (not also clauses allowing for modification, as, for example, acceleration clauses).</w:t>
      </w:r>
      <w:r w:rsidR="006E0761" w:rsidRPr="00E10C3E">
        <w:rPr>
          <w:rFonts w:ascii="Times New Roman" w:hAnsi="Times New Roman"/>
          <w:sz w:val="24"/>
          <w:szCs w:val="24"/>
        </w:rPr>
        <w:t xml:space="preserve"> </w:t>
      </w:r>
      <w:r w:rsidRPr="00E10C3E">
        <w:rPr>
          <w:rFonts w:ascii="Times New Roman" w:hAnsi="Times New Roman"/>
          <w:sz w:val="24"/>
          <w:szCs w:val="24"/>
        </w:rPr>
        <w:t xml:space="preserve">Then, </w:t>
      </w:r>
      <w:r w:rsidRPr="00E10C3E">
        <w:rPr>
          <w:rFonts w:ascii="Times New Roman" w:hAnsi="Times New Roman"/>
          <w:i/>
          <w:iCs/>
          <w:sz w:val="24"/>
          <w:szCs w:val="24"/>
        </w:rPr>
        <w:t xml:space="preserve">ipso facto </w:t>
      </w:r>
      <w:r w:rsidRPr="00E10C3E">
        <w:rPr>
          <w:rFonts w:ascii="Times New Roman" w:hAnsi="Times New Roman"/>
          <w:sz w:val="24"/>
          <w:szCs w:val="24"/>
        </w:rPr>
        <w:t xml:space="preserve">clauses are sanctioned with nullity, which is different from the prohibition to </w:t>
      </w:r>
      <w:r w:rsidRPr="00E10C3E">
        <w:rPr>
          <w:rStyle w:val="y2iqfc"/>
          <w:rFonts w:ascii="Times New Roman" w:hAnsi="Times New Roman"/>
          <w:sz w:val="24"/>
          <w:szCs w:val="24"/>
        </w:rPr>
        <w:t>exercise the contractual rights deriving from these clauses.</w:t>
      </w:r>
    </w:p>
    <w:p w14:paraId="0DCBB870" w14:textId="77777777" w:rsidR="006E0761" w:rsidRPr="00E10C3E" w:rsidRDefault="006E0761" w:rsidP="001256EF">
      <w:pPr>
        <w:spacing w:after="0"/>
        <w:contextualSpacing/>
        <w:rPr>
          <w:rStyle w:val="y2iqfc"/>
          <w:rFonts w:ascii="Times New Roman" w:hAnsi="Times New Roman"/>
          <w:sz w:val="24"/>
          <w:szCs w:val="24"/>
        </w:rPr>
      </w:pPr>
    </w:p>
    <w:p w14:paraId="67930CC0" w14:textId="1E2EB9FD" w:rsidR="001256EF" w:rsidRPr="00E10C3E" w:rsidRDefault="001256EF" w:rsidP="001256EF">
      <w:pPr>
        <w:spacing w:after="0"/>
        <w:contextualSpacing/>
        <w:rPr>
          <w:rStyle w:val="y2iqfc"/>
          <w:rFonts w:ascii="Times New Roman" w:hAnsi="Times New Roman"/>
          <w:sz w:val="24"/>
          <w:szCs w:val="24"/>
        </w:rPr>
      </w:pPr>
      <w:r w:rsidRPr="00E10C3E">
        <w:rPr>
          <w:rStyle w:val="y2iqfc"/>
          <w:rFonts w:ascii="Times New Roman" w:hAnsi="Times New Roman"/>
          <w:sz w:val="24"/>
          <w:szCs w:val="24"/>
        </w:rPr>
        <w:t xml:space="preserve">In any case, the most striking difference is that the Portuguese regime of </w:t>
      </w:r>
      <w:r w:rsidRPr="00E10C3E">
        <w:rPr>
          <w:rStyle w:val="y2iqfc"/>
          <w:rFonts w:ascii="Times New Roman" w:hAnsi="Times New Roman"/>
          <w:i/>
          <w:iCs/>
          <w:sz w:val="24"/>
          <w:szCs w:val="24"/>
        </w:rPr>
        <w:t xml:space="preserve">ipso facto </w:t>
      </w:r>
      <w:r w:rsidRPr="00E10C3E">
        <w:rPr>
          <w:rStyle w:val="y2iqfc"/>
          <w:rFonts w:ascii="Times New Roman" w:hAnsi="Times New Roman"/>
          <w:sz w:val="24"/>
          <w:szCs w:val="24"/>
        </w:rPr>
        <w:t>clauses was conceived as if the only restructuring instrument that existed was the PER and the measures taking place in the framework of the PER.</w:t>
      </w:r>
    </w:p>
    <w:p w14:paraId="57BD8F49" w14:textId="77777777" w:rsidR="006E0761" w:rsidRPr="00E10C3E" w:rsidRDefault="006E0761" w:rsidP="001256EF">
      <w:pPr>
        <w:spacing w:after="0"/>
        <w:rPr>
          <w:rStyle w:val="y2iqfc"/>
          <w:rFonts w:ascii="Times New Roman" w:hAnsi="Times New Roman"/>
          <w:sz w:val="24"/>
          <w:szCs w:val="24"/>
        </w:rPr>
      </w:pPr>
    </w:p>
    <w:p w14:paraId="0F5D09F1" w14:textId="0E79C88E" w:rsidR="001256EF" w:rsidRPr="00E10C3E" w:rsidRDefault="001256EF" w:rsidP="001256EF">
      <w:pPr>
        <w:spacing w:after="0"/>
        <w:rPr>
          <w:rStyle w:val="y2iqfc"/>
          <w:rFonts w:ascii="Times New Roman" w:hAnsi="Times New Roman"/>
          <w:sz w:val="24"/>
          <w:szCs w:val="24"/>
        </w:rPr>
      </w:pPr>
      <w:r w:rsidRPr="00E10C3E">
        <w:rPr>
          <w:rStyle w:val="y2iqfc"/>
          <w:rFonts w:ascii="Times New Roman" w:hAnsi="Times New Roman"/>
          <w:sz w:val="24"/>
          <w:szCs w:val="24"/>
        </w:rPr>
        <w:t xml:space="preserve">This constitutes a significative shortcoming – and a deviation from the Directive, considering </w:t>
      </w:r>
      <w:r w:rsidRPr="00E10C3E">
        <w:rPr>
          <w:rFonts w:ascii="Times New Roman" w:hAnsi="Times New Roman"/>
          <w:sz w:val="24"/>
          <w:szCs w:val="24"/>
        </w:rPr>
        <w:t>recital 40, which, as a complement to Article 7 (5), clarifies that</w:t>
      </w:r>
      <w:r w:rsidR="006E0761" w:rsidRPr="00E10C3E">
        <w:rPr>
          <w:rFonts w:ascii="Times New Roman" w:hAnsi="Times New Roman"/>
          <w:sz w:val="24"/>
          <w:szCs w:val="24"/>
        </w:rPr>
        <w:t>:</w:t>
      </w:r>
      <w:r w:rsidRPr="00E10C3E">
        <w:rPr>
          <w:rFonts w:ascii="Times New Roman" w:hAnsi="Times New Roman"/>
          <w:sz w:val="24"/>
          <w:szCs w:val="24"/>
        </w:rPr>
        <w:t xml:space="preserve"> “</w:t>
      </w:r>
      <w:r w:rsidRPr="00E10C3E">
        <w:rPr>
          <w:rFonts w:ascii="Times New Roman" w:hAnsi="Times New Roman"/>
          <w:i/>
          <w:iCs/>
          <w:sz w:val="24"/>
          <w:szCs w:val="24"/>
        </w:rPr>
        <w:t>it is necessary to provide that creditors are not allowed to invoke ipso facto clauses which make reference to negotiations of a restructuring plan or a stay or any similar event connected to the stay</w:t>
      </w:r>
      <w:r w:rsidRPr="00E10C3E">
        <w:rPr>
          <w:rFonts w:ascii="Times New Roman" w:hAnsi="Times New Roman"/>
          <w:sz w:val="24"/>
          <w:szCs w:val="24"/>
        </w:rPr>
        <w:t>”</w:t>
      </w:r>
      <w:r w:rsidR="006E0761" w:rsidRPr="00E10C3E">
        <w:rPr>
          <w:rFonts w:ascii="Times New Roman" w:hAnsi="Times New Roman"/>
          <w:sz w:val="24"/>
          <w:szCs w:val="24"/>
        </w:rPr>
        <w:t>.</w:t>
      </w:r>
      <w:r w:rsidRPr="00E10C3E">
        <w:rPr>
          <w:rStyle w:val="FootnoteReference"/>
          <w:rFonts w:ascii="Times New Roman" w:hAnsi="Times New Roman"/>
          <w:sz w:val="24"/>
          <w:szCs w:val="24"/>
        </w:rPr>
        <w:footnoteReference w:id="4"/>
      </w:r>
      <w:r w:rsidRPr="00E10C3E">
        <w:rPr>
          <w:rStyle w:val="FootnoteReference"/>
          <w:rFonts w:ascii="Times New Roman" w:hAnsi="Times New Roman"/>
          <w:sz w:val="24"/>
          <w:szCs w:val="24"/>
        </w:rPr>
        <w:footnoteReference w:id="5"/>
      </w:r>
    </w:p>
    <w:p w14:paraId="0000ADB6" w14:textId="77777777" w:rsidR="006E0761" w:rsidRPr="00E10C3E" w:rsidRDefault="006E0761" w:rsidP="001256EF">
      <w:pPr>
        <w:spacing w:after="0"/>
        <w:contextualSpacing/>
        <w:rPr>
          <w:rStyle w:val="y2iqfc"/>
          <w:rFonts w:ascii="Times New Roman" w:hAnsi="Times New Roman"/>
          <w:sz w:val="24"/>
          <w:szCs w:val="24"/>
        </w:rPr>
      </w:pPr>
    </w:p>
    <w:p w14:paraId="31EB376E" w14:textId="0742717E" w:rsidR="001256EF" w:rsidRPr="00E10C3E" w:rsidRDefault="001256EF" w:rsidP="001256EF">
      <w:pPr>
        <w:spacing w:after="0"/>
        <w:contextualSpacing/>
        <w:rPr>
          <w:rFonts w:ascii="Times New Roman" w:hAnsi="Times New Roman"/>
          <w:sz w:val="24"/>
          <w:szCs w:val="24"/>
        </w:rPr>
      </w:pPr>
      <w:r w:rsidRPr="00E10C3E">
        <w:rPr>
          <w:rStyle w:val="y2iqfc"/>
          <w:rFonts w:ascii="Times New Roman" w:hAnsi="Times New Roman"/>
          <w:sz w:val="24"/>
          <w:szCs w:val="24"/>
        </w:rPr>
        <w:t xml:space="preserve">It is convenient to call upon Article 119 IA (on </w:t>
      </w:r>
      <w:r w:rsidRPr="00E10C3E">
        <w:rPr>
          <w:rStyle w:val="y2iqfc"/>
          <w:rFonts w:ascii="Times New Roman" w:hAnsi="Times New Roman"/>
          <w:i/>
          <w:iCs/>
          <w:sz w:val="24"/>
          <w:szCs w:val="24"/>
        </w:rPr>
        <w:t>ipso facto</w:t>
      </w:r>
      <w:r w:rsidRPr="00E10C3E">
        <w:rPr>
          <w:rStyle w:val="y2iqfc"/>
          <w:rFonts w:ascii="Times New Roman" w:hAnsi="Times New Roman"/>
          <w:sz w:val="24"/>
          <w:szCs w:val="24"/>
        </w:rPr>
        <w:t xml:space="preserve"> clauses in insolvency proceedings) so as to understand the dimension of the problem.</w:t>
      </w:r>
      <w:r w:rsidR="006E0761" w:rsidRPr="00E10C3E">
        <w:rPr>
          <w:rStyle w:val="y2iqfc"/>
          <w:rFonts w:ascii="Times New Roman" w:hAnsi="Times New Roman"/>
          <w:sz w:val="24"/>
          <w:szCs w:val="24"/>
        </w:rPr>
        <w:t xml:space="preserve"> </w:t>
      </w:r>
      <w:r w:rsidRPr="00E10C3E">
        <w:rPr>
          <w:rStyle w:val="y2iqfc"/>
          <w:rFonts w:ascii="Times New Roman" w:hAnsi="Times New Roman"/>
          <w:sz w:val="24"/>
          <w:szCs w:val="24"/>
        </w:rPr>
        <w:t>Article 119 (3) IA, also amended by Law</w:t>
      </w:r>
      <w:r w:rsidRPr="00E10C3E">
        <w:rPr>
          <w:rFonts w:ascii="Times New Roman" w:hAnsi="Times New Roman"/>
          <w:sz w:val="24"/>
          <w:szCs w:val="24"/>
        </w:rPr>
        <w:t xml:space="preserve"> No 9/2022</w:t>
      </w:r>
      <w:r w:rsidRPr="00E10C3E">
        <w:rPr>
          <w:rStyle w:val="y2iqfc"/>
          <w:rFonts w:ascii="Times New Roman" w:hAnsi="Times New Roman"/>
          <w:sz w:val="24"/>
          <w:szCs w:val="24"/>
        </w:rPr>
        <w:t xml:space="preserve">, determines that </w:t>
      </w:r>
      <w:r w:rsidRPr="00E10C3E">
        <w:rPr>
          <w:rStyle w:val="y2iqfc"/>
          <w:rFonts w:ascii="Times New Roman" w:hAnsi="Times New Roman"/>
          <w:i/>
          <w:iCs/>
          <w:sz w:val="24"/>
          <w:szCs w:val="24"/>
        </w:rPr>
        <w:t>ipso facto</w:t>
      </w:r>
      <w:r w:rsidRPr="00E10C3E">
        <w:rPr>
          <w:rStyle w:val="y2iqfc"/>
          <w:rFonts w:ascii="Times New Roman" w:hAnsi="Times New Roman"/>
          <w:sz w:val="24"/>
          <w:szCs w:val="24"/>
        </w:rPr>
        <w:t xml:space="preserve"> clauses referring </w:t>
      </w:r>
      <w:r w:rsidRPr="00E10C3E">
        <w:rPr>
          <w:rFonts w:ascii="Times New Roman" w:hAnsi="Times New Roman"/>
          <w:sz w:val="24"/>
          <w:szCs w:val="24"/>
        </w:rPr>
        <w:t xml:space="preserve">to </w:t>
      </w:r>
      <w:r w:rsidRPr="00E10C3E">
        <w:rPr>
          <w:rFonts w:ascii="Times New Roman" w:hAnsi="Times New Roman"/>
          <w:i/>
          <w:iCs/>
          <w:sz w:val="24"/>
          <w:szCs w:val="24"/>
        </w:rPr>
        <w:t>any situations</w:t>
      </w:r>
      <w:r w:rsidRPr="00E10C3E">
        <w:rPr>
          <w:rFonts w:ascii="Times New Roman" w:hAnsi="Times New Roman"/>
          <w:sz w:val="24"/>
          <w:szCs w:val="24"/>
        </w:rPr>
        <w:t xml:space="preserve"> prior to the declaration of insolvency </w:t>
      </w:r>
      <w:r w:rsidRPr="00E10C3E">
        <w:rPr>
          <w:rFonts w:ascii="Times New Roman" w:hAnsi="Times New Roman"/>
          <w:sz w:val="24"/>
          <w:szCs w:val="24"/>
          <w:lang w:eastAsia="pt-PT"/>
        </w:rPr>
        <w:t>are lawful/valid</w:t>
      </w:r>
      <w:r w:rsidRPr="00E10C3E">
        <w:rPr>
          <w:rStyle w:val="y2iqfc"/>
          <w:rFonts w:ascii="Times New Roman" w:hAnsi="Times New Roman"/>
          <w:sz w:val="24"/>
          <w:szCs w:val="24"/>
        </w:rPr>
        <w:t>.</w:t>
      </w:r>
      <w:bookmarkStart w:id="1" w:name="_Hlk102939502"/>
      <w:r w:rsidRPr="00E10C3E">
        <w:rPr>
          <w:rFonts w:ascii="Times New Roman" w:hAnsi="Times New Roman"/>
          <w:sz w:val="24"/>
          <w:szCs w:val="24"/>
        </w:rPr>
        <w:t xml:space="preserve"> Inexplicably, the new text of </w:t>
      </w:r>
      <w:r w:rsidRPr="00E10C3E">
        <w:rPr>
          <w:rStyle w:val="y2iqfc"/>
          <w:rFonts w:ascii="Times New Roman" w:hAnsi="Times New Roman"/>
          <w:sz w:val="24"/>
          <w:szCs w:val="24"/>
        </w:rPr>
        <w:t>Article 119 (3) IA</w:t>
      </w:r>
      <w:r w:rsidRPr="00E10C3E">
        <w:rPr>
          <w:rFonts w:ascii="Times New Roman" w:hAnsi="Times New Roman"/>
          <w:sz w:val="24"/>
          <w:szCs w:val="24"/>
        </w:rPr>
        <w:t xml:space="preserve"> directly contradicts Article 17-E (13) IA. The only solution is to limit the scope of </w:t>
      </w:r>
      <w:r w:rsidRPr="00E10C3E">
        <w:rPr>
          <w:rStyle w:val="y2iqfc"/>
          <w:rFonts w:ascii="Times New Roman" w:hAnsi="Times New Roman"/>
          <w:sz w:val="24"/>
          <w:szCs w:val="24"/>
        </w:rPr>
        <w:t xml:space="preserve">Article 119 (3) IA, excluding the situations referred in </w:t>
      </w:r>
      <w:r w:rsidRPr="00E10C3E">
        <w:rPr>
          <w:rFonts w:ascii="Times New Roman" w:hAnsi="Times New Roman"/>
          <w:sz w:val="24"/>
          <w:szCs w:val="24"/>
        </w:rPr>
        <w:t>Article 17-E (13) IA.</w:t>
      </w:r>
    </w:p>
    <w:p w14:paraId="1B089A76" w14:textId="77777777" w:rsidR="006E0761" w:rsidRPr="00E10C3E" w:rsidRDefault="006E0761" w:rsidP="001256EF">
      <w:pPr>
        <w:spacing w:after="0"/>
        <w:contextualSpacing/>
        <w:rPr>
          <w:rFonts w:ascii="Times New Roman" w:hAnsi="Times New Roman"/>
          <w:sz w:val="24"/>
          <w:szCs w:val="24"/>
        </w:rPr>
      </w:pPr>
    </w:p>
    <w:p w14:paraId="27BA5167" w14:textId="68534733" w:rsidR="001256EF" w:rsidRPr="00E10C3E" w:rsidRDefault="006E0761" w:rsidP="001256EF">
      <w:pPr>
        <w:spacing w:after="0"/>
        <w:contextualSpacing/>
        <w:rPr>
          <w:rFonts w:ascii="Times New Roman" w:hAnsi="Times New Roman"/>
          <w:sz w:val="24"/>
          <w:szCs w:val="24"/>
        </w:rPr>
      </w:pPr>
      <w:r w:rsidRPr="00E10C3E">
        <w:rPr>
          <w:rFonts w:ascii="Times New Roman" w:hAnsi="Times New Roman"/>
          <w:sz w:val="24"/>
          <w:szCs w:val="24"/>
        </w:rPr>
        <w:t xml:space="preserve">Nevertheless, </w:t>
      </w:r>
      <w:r w:rsidR="001256EF" w:rsidRPr="00E10C3E">
        <w:rPr>
          <w:rFonts w:ascii="Times New Roman" w:hAnsi="Times New Roman"/>
          <w:sz w:val="24"/>
          <w:szCs w:val="24"/>
        </w:rPr>
        <w:t xml:space="preserve">the problems do not end here. As previously pointed out, the regime of </w:t>
      </w:r>
      <w:r w:rsidR="001256EF" w:rsidRPr="00E10C3E">
        <w:rPr>
          <w:rFonts w:ascii="Times New Roman" w:hAnsi="Times New Roman"/>
          <w:i/>
          <w:iCs/>
          <w:sz w:val="24"/>
          <w:szCs w:val="24"/>
        </w:rPr>
        <w:t xml:space="preserve">ipso facto </w:t>
      </w:r>
      <w:r w:rsidR="001256EF" w:rsidRPr="00E10C3E">
        <w:rPr>
          <w:rFonts w:ascii="Times New Roman" w:hAnsi="Times New Roman"/>
          <w:sz w:val="24"/>
          <w:szCs w:val="24"/>
        </w:rPr>
        <w:t xml:space="preserve">clauses is limited to facts related to the PER or its measures, hence </w:t>
      </w:r>
      <w:r w:rsidRPr="00E10C3E">
        <w:rPr>
          <w:rFonts w:ascii="Times New Roman" w:hAnsi="Times New Roman"/>
          <w:sz w:val="24"/>
          <w:szCs w:val="24"/>
        </w:rPr>
        <w:t xml:space="preserve">it </w:t>
      </w:r>
      <w:r w:rsidR="001256EF" w:rsidRPr="00E10C3E">
        <w:rPr>
          <w:rFonts w:ascii="Times New Roman" w:hAnsi="Times New Roman"/>
          <w:sz w:val="24"/>
          <w:szCs w:val="24"/>
        </w:rPr>
        <w:t xml:space="preserve">does not cover situations where it is not possible or appropriate for the debtor to file for these proceedings and the negotiation of the plan is carried out through out-of-court regimes or </w:t>
      </w:r>
      <w:r w:rsidRPr="00E10C3E">
        <w:rPr>
          <w:rFonts w:ascii="Times New Roman" w:hAnsi="Times New Roman"/>
          <w:sz w:val="24"/>
          <w:szCs w:val="24"/>
        </w:rPr>
        <w:t>mere</w:t>
      </w:r>
      <w:r w:rsidR="001256EF" w:rsidRPr="00E10C3E">
        <w:rPr>
          <w:rFonts w:ascii="Times New Roman" w:hAnsi="Times New Roman"/>
          <w:sz w:val="24"/>
          <w:szCs w:val="24"/>
        </w:rPr>
        <w:t xml:space="preserve"> informal workouts. Yet, </w:t>
      </w:r>
      <w:r w:rsidR="001256EF" w:rsidRPr="00E10C3E">
        <w:rPr>
          <w:rFonts w:ascii="Times New Roman" w:hAnsi="Times New Roman"/>
          <w:sz w:val="24"/>
          <w:szCs w:val="24"/>
          <w:lang w:eastAsia="pt-PT"/>
        </w:rPr>
        <w:t>any of these forms constitutes a legitimate course of action and consequently should be protected in the light of the purpose of promoting timely actio</w:t>
      </w:r>
      <w:bookmarkEnd w:id="1"/>
      <w:r w:rsidR="001256EF" w:rsidRPr="00E10C3E">
        <w:rPr>
          <w:rFonts w:ascii="Times New Roman" w:hAnsi="Times New Roman"/>
          <w:sz w:val="24"/>
          <w:szCs w:val="24"/>
          <w:lang w:eastAsia="pt-PT"/>
        </w:rPr>
        <w:t xml:space="preserve">n. </w:t>
      </w:r>
      <w:r w:rsidR="001256EF" w:rsidRPr="00E10C3E">
        <w:rPr>
          <w:rStyle w:val="y2iqfc"/>
          <w:rFonts w:ascii="Times New Roman" w:hAnsi="Times New Roman"/>
          <w:sz w:val="24"/>
          <w:szCs w:val="24"/>
        </w:rPr>
        <w:t>It is common knowledge that timely action is the first step towards the success in any preventive restructuring.</w:t>
      </w:r>
    </w:p>
    <w:p w14:paraId="31D1991C" w14:textId="77777777" w:rsidR="001256EF" w:rsidRPr="00E10C3E" w:rsidRDefault="001256EF" w:rsidP="001256EF">
      <w:pPr>
        <w:spacing w:after="0"/>
        <w:contextualSpacing/>
        <w:rPr>
          <w:rFonts w:ascii="Times New Roman" w:hAnsi="Times New Roman"/>
          <w:sz w:val="24"/>
          <w:szCs w:val="24"/>
        </w:rPr>
      </w:pPr>
    </w:p>
    <w:p w14:paraId="50EBA5F5" w14:textId="66323C21" w:rsidR="001256EF" w:rsidRPr="00E10C3E" w:rsidRDefault="006E0761" w:rsidP="001256EF">
      <w:pPr>
        <w:spacing w:after="0"/>
        <w:contextualSpacing/>
        <w:rPr>
          <w:rFonts w:ascii="Times New Roman" w:hAnsi="Times New Roman"/>
          <w:i/>
          <w:sz w:val="24"/>
          <w:szCs w:val="24"/>
        </w:rPr>
      </w:pPr>
      <w:r w:rsidRPr="00E10C3E">
        <w:rPr>
          <w:rFonts w:ascii="Times New Roman" w:hAnsi="Times New Roman"/>
          <w:bCs/>
          <w:i/>
          <w:sz w:val="24"/>
          <w:szCs w:val="24"/>
        </w:rPr>
        <w:t>F</w:t>
      </w:r>
      <w:r w:rsidR="001256EF" w:rsidRPr="00E10C3E">
        <w:rPr>
          <w:rFonts w:ascii="Times New Roman" w:hAnsi="Times New Roman"/>
          <w:bCs/>
          <w:i/>
          <w:sz w:val="24"/>
          <w:szCs w:val="24"/>
        </w:rPr>
        <w:t xml:space="preserve">inal </w:t>
      </w:r>
      <w:r w:rsidRPr="00E10C3E">
        <w:rPr>
          <w:rFonts w:ascii="Times New Roman" w:hAnsi="Times New Roman"/>
          <w:bCs/>
          <w:i/>
          <w:sz w:val="24"/>
          <w:szCs w:val="24"/>
        </w:rPr>
        <w:t>R</w:t>
      </w:r>
      <w:r w:rsidR="001256EF" w:rsidRPr="00E10C3E">
        <w:rPr>
          <w:rFonts w:ascii="Times New Roman" w:hAnsi="Times New Roman"/>
          <w:bCs/>
          <w:i/>
          <w:sz w:val="24"/>
          <w:szCs w:val="24"/>
        </w:rPr>
        <w:t xml:space="preserve">emarks (from </w:t>
      </w:r>
      <w:r w:rsidRPr="00E10C3E">
        <w:rPr>
          <w:rFonts w:ascii="Times New Roman" w:hAnsi="Times New Roman"/>
          <w:bCs/>
          <w:i/>
          <w:sz w:val="24"/>
          <w:szCs w:val="24"/>
        </w:rPr>
        <w:t>the F</w:t>
      </w:r>
      <w:r w:rsidR="001256EF" w:rsidRPr="00E10C3E">
        <w:rPr>
          <w:rFonts w:ascii="Times New Roman" w:hAnsi="Times New Roman"/>
          <w:bCs/>
          <w:i/>
          <w:sz w:val="24"/>
          <w:szCs w:val="24"/>
        </w:rPr>
        <w:t>uture backwards)</w:t>
      </w:r>
    </w:p>
    <w:p w14:paraId="5761A948" w14:textId="0FA1E8B6" w:rsidR="0047439B" w:rsidRPr="00E10C3E" w:rsidRDefault="001256EF" w:rsidP="001256EF">
      <w:pPr>
        <w:spacing w:after="0"/>
        <w:contextualSpacing/>
        <w:rPr>
          <w:rFonts w:ascii="Times New Roman" w:hAnsi="Times New Roman"/>
          <w:sz w:val="24"/>
          <w:szCs w:val="24"/>
        </w:rPr>
      </w:pPr>
      <w:r w:rsidRPr="00E10C3E">
        <w:rPr>
          <w:rFonts w:ascii="Times New Roman" w:hAnsi="Times New Roman"/>
          <w:sz w:val="24"/>
          <w:szCs w:val="24"/>
          <w:lang w:eastAsia="pt-PT"/>
        </w:rPr>
        <w:t>Going back to the beginning, the Portuguese case illustrates the difficulties of the transposition procedure and, consequently, shows how far we still are from convergence in this domain.</w:t>
      </w:r>
      <w:r w:rsidR="006E0761" w:rsidRPr="00E10C3E">
        <w:rPr>
          <w:rFonts w:ascii="Times New Roman" w:hAnsi="Times New Roman"/>
          <w:sz w:val="24"/>
          <w:szCs w:val="24"/>
        </w:rPr>
        <w:t xml:space="preserve"> </w:t>
      </w:r>
      <w:r w:rsidRPr="00E10C3E">
        <w:rPr>
          <w:rFonts w:ascii="Times New Roman" w:hAnsi="Times New Roman"/>
          <w:sz w:val="24"/>
          <w:szCs w:val="24"/>
          <w:lang w:eastAsia="pt-PT"/>
        </w:rPr>
        <w:t>Looking at what has been done, and, most of all, what remains to be done, knowing what is already planned for the future (the imminence of a Directive), it will be necessary to think carefully before acting. Harmonisation has more limits than those imagined, relating to the “accidents” of the transposition itself.</w:t>
      </w:r>
    </w:p>
    <w:sectPr w:rsidR="0047439B" w:rsidRPr="00E10C3E"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C59F0" w14:textId="77777777" w:rsidR="00C93A8B" w:rsidRDefault="00C93A8B">
      <w:r>
        <w:separator/>
      </w:r>
    </w:p>
  </w:endnote>
  <w:endnote w:type="continuationSeparator" w:id="0">
    <w:p w14:paraId="773385E0" w14:textId="77777777" w:rsidR="00C93A8B" w:rsidRDefault="00C9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5F7C9" w14:textId="77777777" w:rsidR="00C93A8B" w:rsidRDefault="00C93A8B">
      <w:r>
        <w:separator/>
      </w:r>
    </w:p>
  </w:footnote>
  <w:footnote w:type="continuationSeparator" w:id="0">
    <w:p w14:paraId="3ACF66C8" w14:textId="77777777" w:rsidR="00C93A8B" w:rsidRDefault="00C93A8B">
      <w:r>
        <w:continuationSeparator/>
      </w:r>
    </w:p>
  </w:footnote>
  <w:footnote w:id="1">
    <w:p w14:paraId="33B7661E" w14:textId="6B576550" w:rsidR="001256EF" w:rsidRPr="001256EF" w:rsidRDefault="001256EF" w:rsidP="001256EF">
      <w:pPr>
        <w:pStyle w:val="FootnoteText"/>
        <w:rPr>
          <w:rFonts w:ascii="Times New Roman" w:hAnsi="Times New Roman"/>
        </w:rPr>
      </w:pPr>
      <w:r w:rsidRPr="001256EF">
        <w:rPr>
          <w:rStyle w:val="FootnoteReference"/>
          <w:rFonts w:ascii="Times New Roman" w:hAnsi="Times New Roman"/>
        </w:rPr>
        <w:footnoteRef/>
      </w:r>
      <w:r w:rsidRPr="001256EF">
        <w:rPr>
          <w:rFonts w:ascii="Times New Roman" w:hAnsi="Times New Roman"/>
        </w:rPr>
        <w:t xml:space="preserve"> On the PER and the remaining preventive restructuring instruments of Portuguese law</w:t>
      </w:r>
      <w:r>
        <w:rPr>
          <w:rFonts w:ascii="Times New Roman" w:hAnsi="Times New Roman"/>
        </w:rPr>
        <w:t>,</w:t>
      </w:r>
      <w:r w:rsidRPr="001256EF">
        <w:rPr>
          <w:rFonts w:ascii="Times New Roman" w:hAnsi="Times New Roman"/>
        </w:rPr>
        <w:t xml:space="preserve"> see </w:t>
      </w:r>
      <w:r>
        <w:rPr>
          <w:rFonts w:ascii="Times New Roman" w:hAnsi="Times New Roman"/>
        </w:rPr>
        <w:t xml:space="preserve">C. </w:t>
      </w:r>
      <w:r w:rsidRPr="001256EF">
        <w:rPr>
          <w:rFonts w:ascii="Times New Roman" w:hAnsi="Times New Roman"/>
        </w:rPr>
        <w:t xml:space="preserve">Serra, </w:t>
      </w:r>
      <w:r w:rsidRPr="001256EF">
        <w:rPr>
          <w:rFonts w:ascii="Times New Roman" w:hAnsi="Times New Roman"/>
        </w:rPr>
        <w:t xml:space="preserve">“Reforms in Adverse Economic Climates: </w:t>
      </w:r>
      <w:r w:rsidRPr="001256EF">
        <w:rPr>
          <w:rStyle w:val="Nmerodepgina1"/>
          <w:rFonts w:ascii="Times New Roman" w:hAnsi="Times New Roman"/>
        </w:rPr>
        <w:t>How Reforms Take Place in the Eurozone – Part I: Portugal</w:t>
      </w:r>
      <w:r w:rsidRPr="001256EF">
        <w:rPr>
          <w:rFonts w:ascii="Times New Roman" w:hAnsi="Times New Roman"/>
        </w:rPr>
        <w:t>”, in</w:t>
      </w:r>
      <w:r w:rsidRPr="001256EF">
        <w:rPr>
          <w:rFonts w:ascii="Times New Roman" w:hAnsi="Times New Roman"/>
        </w:rPr>
        <w:t xml:space="preserve"> P. Omar and J. Gant </w:t>
      </w:r>
      <w:r w:rsidRPr="001256EF">
        <w:rPr>
          <w:rFonts w:ascii="Times New Roman" w:hAnsi="Times New Roman"/>
        </w:rPr>
        <w:t xml:space="preserve">(eds), </w:t>
      </w:r>
      <w:r w:rsidRPr="001256EF">
        <w:rPr>
          <w:rFonts w:ascii="Times New Roman" w:hAnsi="Times New Roman"/>
          <w:i/>
          <w:iCs/>
        </w:rPr>
        <w:t>Research Handbook on Corporate Restructuring</w:t>
      </w:r>
      <w:r w:rsidRPr="001256EF">
        <w:rPr>
          <w:rFonts w:ascii="Times New Roman" w:hAnsi="Times New Roman"/>
        </w:rPr>
        <w:t xml:space="preserve"> </w:t>
      </w:r>
      <w:r w:rsidRPr="001256EF">
        <w:rPr>
          <w:rFonts w:ascii="Times New Roman" w:hAnsi="Times New Roman"/>
        </w:rPr>
        <w:t>(</w:t>
      </w:r>
      <w:r w:rsidRPr="001256EF">
        <w:rPr>
          <w:rFonts w:ascii="Times New Roman" w:hAnsi="Times New Roman"/>
        </w:rPr>
        <w:t>Edward Elgar Publishing, 2021</w:t>
      </w:r>
      <w:r w:rsidRPr="001256EF">
        <w:rPr>
          <w:rFonts w:ascii="Times New Roman" w:hAnsi="Times New Roman"/>
        </w:rPr>
        <w:t>)</w:t>
      </w:r>
      <w:r w:rsidRPr="001256EF">
        <w:rPr>
          <w:rFonts w:ascii="Times New Roman" w:hAnsi="Times New Roman"/>
        </w:rPr>
        <w:t>, 87 ff.</w:t>
      </w:r>
    </w:p>
  </w:footnote>
  <w:footnote w:id="2">
    <w:p w14:paraId="1DD55D73" w14:textId="4D1B194E" w:rsidR="001256EF" w:rsidRPr="001256EF" w:rsidRDefault="001256EF" w:rsidP="001256EF">
      <w:pPr>
        <w:pStyle w:val="FootnoteText"/>
        <w:rPr>
          <w:rFonts w:ascii="Times New Roman" w:hAnsi="Times New Roman"/>
        </w:rPr>
      </w:pPr>
      <w:r w:rsidRPr="001256EF">
        <w:rPr>
          <w:rStyle w:val="FootnoteReference"/>
          <w:rFonts w:ascii="Times New Roman" w:hAnsi="Times New Roman"/>
        </w:rPr>
        <w:footnoteRef/>
      </w:r>
      <w:r w:rsidRPr="001256EF">
        <w:rPr>
          <w:rFonts w:ascii="Times New Roman" w:hAnsi="Times New Roman"/>
        </w:rPr>
        <w:t xml:space="preserve"> See</w:t>
      </w:r>
      <w:r>
        <w:rPr>
          <w:rFonts w:ascii="Times New Roman" w:hAnsi="Times New Roman"/>
        </w:rPr>
        <w:t xml:space="preserve"> R. Dammann,</w:t>
      </w:r>
      <w:r w:rsidRPr="001256EF">
        <w:rPr>
          <w:rFonts w:ascii="Times New Roman" w:hAnsi="Times New Roman"/>
        </w:rPr>
        <w:t xml:space="preserve"> in</w:t>
      </w:r>
      <w:r>
        <w:rPr>
          <w:rFonts w:ascii="Times New Roman" w:hAnsi="Times New Roman"/>
        </w:rPr>
        <w:t xml:space="preserve"> C. Paulus and R. Dammann, </w:t>
      </w:r>
      <w:r w:rsidRPr="001256EF">
        <w:rPr>
          <w:rFonts w:ascii="Times New Roman" w:hAnsi="Times New Roman"/>
          <w:i/>
          <w:iCs/>
        </w:rPr>
        <w:t>European Restructuring Directive – Article-by-Article Commentary</w:t>
      </w:r>
      <w:r w:rsidRPr="001256EF">
        <w:rPr>
          <w:rFonts w:ascii="Times New Roman" w:hAnsi="Times New Roman"/>
        </w:rPr>
        <w:t xml:space="preserve"> </w:t>
      </w:r>
      <w:r>
        <w:rPr>
          <w:rFonts w:ascii="Times New Roman" w:hAnsi="Times New Roman"/>
        </w:rPr>
        <w:t>(</w:t>
      </w:r>
      <w:r w:rsidRPr="001256EF">
        <w:rPr>
          <w:rFonts w:ascii="Times New Roman" w:hAnsi="Times New Roman"/>
        </w:rPr>
        <w:t>Beck/Hart/Nomos, 2021</w:t>
      </w:r>
      <w:r>
        <w:rPr>
          <w:rFonts w:ascii="Times New Roman" w:hAnsi="Times New Roman"/>
        </w:rPr>
        <w:t>)</w:t>
      </w:r>
      <w:r w:rsidRPr="001256EF">
        <w:rPr>
          <w:rFonts w:ascii="Times New Roman" w:hAnsi="Times New Roman"/>
        </w:rPr>
        <w:t>, 158.</w:t>
      </w:r>
    </w:p>
  </w:footnote>
  <w:footnote w:id="3">
    <w:p w14:paraId="1D6EC25F" w14:textId="64EB055A" w:rsidR="001256EF" w:rsidRPr="001256EF" w:rsidRDefault="001256EF" w:rsidP="006E0761">
      <w:pPr>
        <w:pStyle w:val="HTMLPreformatted"/>
        <w:jc w:val="both"/>
        <w:rPr>
          <w:rFonts w:ascii="Times New Roman" w:hAnsi="Times New Roman" w:cs="Times New Roman"/>
          <w:lang w:val="en-GB"/>
        </w:rPr>
      </w:pPr>
      <w:r w:rsidRPr="001256EF">
        <w:rPr>
          <w:rStyle w:val="FootnoteReference"/>
          <w:rFonts w:ascii="Times New Roman" w:hAnsi="Times New Roman" w:cs="Times New Roman"/>
        </w:rPr>
        <w:footnoteRef/>
      </w:r>
      <w:r w:rsidRPr="001256EF">
        <w:rPr>
          <w:rFonts w:ascii="Times New Roman" w:hAnsi="Times New Roman" w:cs="Times New Roman"/>
          <w:lang w:val="en-GB"/>
        </w:rPr>
        <w:t xml:space="preserve"> According to</w:t>
      </w:r>
      <w:r w:rsidR="006E0761">
        <w:rPr>
          <w:rFonts w:ascii="Times New Roman" w:hAnsi="Times New Roman" w:cs="Times New Roman"/>
          <w:lang w:val="en-GB"/>
        </w:rPr>
        <w:t xml:space="preserve"> T. Richter, in Paulus and Dammann (above note 2), </w:t>
      </w:r>
      <w:r w:rsidRPr="001256EF">
        <w:rPr>
          <w:rFonts w:ascii="Times New Roman" w:hAnsi="Times New Roman" w:cs="Times New Roman"/>
          <w:lang w:val="en-GB"/>
        </w:rPr>
        <w:t xml:space="preserve">135-136, </w:t>
      </w:r>
      <w:r w:rsidRPr="001256EF">
        <w:rPr>
          <w:rStyle w:val="y2iqfc"/>
          <w:rFonts w:ascii="Times New Roman" w:hAnsi="Times New Roman" w:cs="Times New Roman"/>
          <w:lang w:val="en"/>
        </w:rPr>
        <w:t>the purpose of such a regime in insolvency proceedings is to prevent the creditor from resolving his situation outside the proceedings simply because the debtor resorts to the proceedings</w:t>
      </w:r>
      <w:r w:rsidRPr="001256EF">
        <w:rPr>
          <w:rFonts w:ascii="Times New Roman" w:hAnsi="Times New Roman" w:cs="Times New Roman"/>
          <w:lang w:val="en-GB"/>
        </w:rPr>
        <w:t xml:space="preserve"> – hence its name “</w:t>
      </w:r>
      <w:r w:rsidRPr="001256EF">
        <w:rPr>
          <w:rFonts w:ascii="Times New Roman" w:hAnsi="Times New Roman" w:cs="Times New Roman"/>
          <w:i/>
          <w:iCs/>
          <w:lang w:val="en-GB"/>
        </w:rPr>
        <w:t>ipso facto</w:t>
      </w:r>
      <w:r w:rsidRPr="001256EF">
        <w:rPr>
          <w:rFonts w:ascii="Times New Roman" w:hAnsi="Times New Roman" w:cs="Times New Roman"/>
          <w:lang w:val="en-GB"/>
        </w:rPr>
        <w:t>”.</w:t>
      </w:r>
    </w:p>
  </w:footnote>
  <w:footnote w:id="4">
    <w:p w14:paraId="3D2375D4" w14:textId="51F67EDF" w:rsidR="001256EF" w:rsidRPr="001256EF" w:rsidRDefault="001256EF" w:rsidP="001256EF">
      <w:pPr>
        <w:spacing w:after="0"/>
        <w:rPr>
          <w:rFonts w:ascii="Times New Roman" w:hAnsi="Times New Roman"/>
          <w:sz w:val="20"/>
        </w:rPr>
      </w:pPr>
      <w:r w:rsidRPr="001256EF">
        <w:rPr>
          <w:rStyle w:val="FootnoteReference"/>
          <w:rFonts w:ascii="Times New Roman" w:hAnsi="Times New Roman"/>
          <w:sz w:val="20"/>
        </w:rPr>
        <w:footnoteRef/>
      </w:r>
      <w:r w:rsidRPr="001256EF">
        <w:rPr>
          <w:rFonts w:ascii="Times New Roman" w:hAnsi="Times New Roman"/>
          <w:sz w:val="20"/>
        </w:rPr>
        <w:t xml:space="preserve"> </w:t>
      </w:r>
      <w:r w:rsidRPr="001256EF">
        <w:rPr>
          <w:rFonts w:ascii="Times New Roman" w:hAnsi="Times New Roman"/>
          <w:sz w:val="20"/>
          <w:lang w:val="en"/>
        </w:rPr>
        <w:t xml:space="preserve">Recitals help to clarify the purpose of normative instruments, consequently performing, themselves, a normative function, though complementary – a </w:t>
      </w:r>
      <w:r w:rsidRPr="001256EF">
        <w:rPr>
          <w:rFonts w:ascii="Times New Roman" w:hAnsi="Times New Roman"/>
          <w:i/>
          <w:iCs/>
          <w:sz w:val="20"/>
        </w:rPr>
        <w:t>supplementary normative role</w:t>
      </w:r>
      <w:r w:rsidRPr="001256EF">
        <w:rPr>
          <w:rFonts w:ascii="Times New Roman" w:hAnsi="Times New Roman"/>
          <w:sz w:val="20"/>
        </w:rPr>
        <w:t>. See</w:t>
      </w:r>
      <w:r w:rsidR="006E0761">
        <w:rPr>
          <w:rFonts w:ascii="Times New Roman" w:hAnsi="Times New Roman"/>
          <w:sz w:val="20"/>
        </w:rPr>
        <w:t xml:space="preserve"> R. Baratta,</w:t>
      </w:r>
      <w:r w:rsidRPr="001256EF">
        <w:rPr>
          <w:rFonts w:ascii="Times New Roman" w:hAnsi="Times New Roman"/>
          <w:sz w:val="20"/>
        </w:rPr>
        <w:t xml:space="preserve"> “Complexity of EU Law in the Domestic Implementing Process”</w:t>
      </w:r>
      <w:r w:rsidR="006E0761">
        <w:rPr>
          <w:rFonts w:ascii="Times New Roman" w:hAnsi="Times New Roman"/>
          <w:sz w:val="20"/>
        </w:rPr>
        <w:t xml:space="preserve"> (2014)</w:t>
      </w:r>
      <w:r w:rsidRPr="001256EF">
        <w:rPr>
          <w:rFonts w:ascii="Times New Roman" w:hAnsi="Times New Roman"/>
          <w:sz w:val="20"/>
        </w:rPr>
        <w:t xml:space="preserve"> </w:t>
      </w:r>
      <w:r w:rsidR="006E0761">
        <w:rPr>
          <w:rFonts w:ascii="Times New Roman" w:hAnsi="Times New Roman"/>
          <w:sz w:val="20"/>
        </w:rPr>
        <w:t xml:space="preserve">2(3) </w:t>
      </w:r>
      <w:r w:rsidRPr="001256EF">
        <w:rPr>
          <w:rFonts w:ascii="Times New Roman" w:hAnsi="Times New Roman"/>
          <w:i/>
          <w:iCs/>
          <w:sz w:val="20"/>
        </w:rPr>
        <w:t>The Theory and Practice of Legislation</w:t>
      </w:r>
      <w:r w:rsidR="006E0761">
        <w:rPr>
          <w:rFonts w:ascii="Times New Roman" w:hAnsi="Times New Roman"/>
          <w:iCs/>
          <w:sz w:val="20"/>
        </w:rPr>
        <w:t xml:space="preserve"> 293</w:t>
      </w:r>
      <w:r w:rsidRPr="001256EF">
        <w:rPr>
          <w:rFonts w:ascii="Times New Roman" w:hAnsi="Times New Roman"/>
          <w:sz w:val="20"/>
        </w:rPr>
        <w:t>, 296-298</w:t>
      </w:r>
      <w:r w:rsidR="006E0761">
        <w:rPr>
          <w:rFonts w:ascii="Times New Roman" w:hAnsi="Times New Roman"/>
          <w:sz w:val="20"/>
        </w:rPr>
        <w:t>, available at:</w:t>
      </w:r>
      <w:r w:rsidRPr="001256EF">
        <w:rPr>
          <w:rFonts w:ascii="Times New Roman" w:hAnsi="Times New Roman"/>
          <w:sz w:val="20"/>
        </w:rPr>
        <w:t xml:space="preserve"> https://pdfslide.net/documents/the-theory-and-practice-of-legislation-unimcit-theory-and-practice-of-legislation.html.</w:t>
      </w:r>
    </w:p>
  </w:footnote>
  <w:footnote w:id="5">
    <w:p w14:paraId="146C0C27" w14:textId="72F7B6EB" w:rsidR="001256EF" w:rsidRPr="001256EF" w:rsidRDefault="001256EF" w:rsidP="006E0761">
      <w:pPr>
        <w:pStyle w:val="HTMLPreformatted"/>
        <w:jc w:val="both"/>
        <w:rPr>
          <w:rFonts w:ascii="Times New Roman" w:hAnsi="Times New Roman" w:cs="Times New Roman"/>
          <w:lang w:val="en-GB"/>
        </w:rPr>
      </w:pPr>
      <w:r w:rsidRPr="001256EF">
        <w:rPr>
          <w:rStyle w:val="FootnoteReference"/>
          <w:rFonts w:ascii="Times New Roman" w:hAnsi="Times New Roman" w:cs="Times New Roman"/>
        </w:rPr>
        <w:footnoteRef/>
      </w:r>
      <w:r w:rsidRPr="001256EF">
        <w:rPr>
          <w:rFonts w:ascii="Times New Roman" w:hAnsi="Times New Roman" w:cs="Times New Roman"/>
          <w:lang w:val="en-GB"/>
        </w:rPr>
        <w:t xml:space="preserve"> In contrast, </w:t>
      </w:r>
      <w:r w:rsidR="006E0761">
        <w:rPr>
          <w:rFonts w:ascii="Times New Roman" w:hAnsi="Times New Roman" w:cs="Times New Roman"/>
          <w:lang w:val="en-GB"/>
        </w:rPr>
        <w:t>Richter</w:t>
      </w:r>
      <w:r w:rsidRPr="001256EF">
        <w:rPr>
          <w:rFonts w:ascii="Times New Roman" w:hAnsi="Times New Roman" w:cs="Times New Roman"/>
          <w:lang w:val="en-GB"/>
        </w:rPr>
        <w:t>, 136</w:t>
      </w:r>
      <w:r w:rsidR="006E0761">
        <w:rPr>
          <w:rFonts w:ascii="Times New Roman" w:hAnsi="Times New Roman" w:cs="Times New Roman"/>
          <w:lang w:val="en-GB"/>
        </w:rPr>
        <w:t>,</w:t>
      </w:r>
      <w:r w:rsidRPr="001256EF">
        <w:rPr>
          <w:rFonts w:ascii="Times New Roman" w:hAnsi="Times New Roman" w:cs="Times New Roman"/>
          <w:lang w:val="en-GB"/>
        </w:rPr>
        <w:t xml:space="preserve"> </w:t>
      </w:r>
      <w:r w:rsidRPr="001256EF">
        <w:rPr>
          <w:rStyle w:val="y2iqfc"/>
          <w:rFonts w:ascii="Times New Roman" w:hAnsi="Times New Roman" w:cs="Times New Roman"/>
          <w:lang w:val="en"/>
        </w:rPr>
        <w:t>submits that Member States can opt for the narrower terms of Article 7(5) of the Directive.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C893" w14:textId="6D1A2FFC"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1256EF">
      <w:rPr>
        <w:rFonts w:ascii="Arial" w:hAnsi="Arial" w:cs="Arial"/>
        <w:b/>
        <w:sz w:val="20"/>
      </w:rPr>
      <w:t>July</w:t>
    </w:r>
    <w:r w:rsidR="002A5779" w:rsidRPr="002331CA">
      <w:rPr>
        <w:rFonts w:ascii="Arial" w:hAnsi="Arial" w:cs="Arial"/>
        <w:b/>
        <w:sz w:val="20"/>
      </w:rPr>
      <w:t xml:space="preserve"> 20</w:t>
    </w:r>
    <w:r w:rsidR="00087612" w:rsidRPr="002331CA">
      <w:rPr>
        <w:rFonts w:ascii="Arial" w:hAnsi="Arial" w:cs="Arial"/>
        <w:b/>
        <w:sz w:val="20"/>
      </w:rPr>
      <w:t>2</w:t>
    </w:r>
    <w:r w:rsidR="001256EF">
      <w:rPr>
        <w:rFonts w:ascii="Arial" w:hAnsi="Arial" w:cs="Arial"/>
        <w:b/>
        <w:sz w:val="20"/>
      </w:rPr>
      <w:t>2</w:t>
    </w:r>
    <w:r w:rsidR="00D90E9D">
      <w:rPr>
        <w:rFonts w:ascii="Arial" w:hAnsi="Arial" w:cs="Arial"/>
        <w:b/>
        <w:sz w:val="20"/>
      </w:rPr>
      <w:t>)</w:t>
    </w:r>
  </w:p>
  <w:p w14:paraId="0F2C5C5A" w14:textId="7F112602" w:rsidR="00BF3D3E" w:rsidRPr="002331CA" w:rsidRDefault="00D90E9D" w:rsidP="00D90E9D">
    <w:pPr>
      <w:pStyle w:val="Header"/>
      <w:spacing w:after="0"/>
      <w:rPr>
        <w:rFonts w:ascii="Arial" w:hAnsi="Arial" w:cs="Arial"/>
        <w:b/>
        <w:sz w:val="20"/>
      </w:rPr>
    </w:pPr>
    <w:r>
      <w:rPr>
        <w:rFonts w:ascii="Arial" w:hAnsi="Arial" w:cs="Arial"/>
        <w:b/>
        <w:sz w:val="20"/>
      </w:rPr>
      <w:t xml:space="preserve">Judge Catarina Serra </w:t>
    </w:r>
    <w:r w:rsidR="00BF3D3E" w:rsidRPr="002331CA">
      <w:rPr>
        <w:rFonts w:ascii="Arial" w:hAnsi="Arial" w:cs="Arial"/>
        <w:b/>
        <w:sz w:val="20"/>
      </w:rPr>
      <w:t>(</w:t>
    </w:r>
    <w:r w:rsidR="002331CA" w:rsidRPr="002331CA">
      <w:rPr>
        <w:rFonts w:ascii="Arial" w:hAnsi="Arial" w:cs="Arial"/>
        <w:b/>
        <w:sz w:val="20"/>
      </w:rPr>
      <w:t>P</w:t>
    </w:r>
    <w:r>
      <w:rPr>
        <w:rFonts w:ascii="Arial" w:hAnsi="Arial" w:cs="Arial"/>
        <w:b/>
        <w:sz w:val="20"/>
      </w:rPr>
      <w:t>T</w:t>
    </w:r>
    <w:r w:rsidR="00BF3D3E" w:rsidRPr="002331CA">
      <w:rPr>
        <w:rFonts w:ascii="Arial" w:hAnsi="Arial" w:cs="Arial"/>
        <w:b/>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0"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3"/>
  </w:num>
  <w:num w:numId="2">
    <w:abstractNumId w:val="9"/>
  </w:num>
  <w:num w:numId="3">
    <w:abstractNumId w:val="32"/>
  </w:num>
  <w:num w:numId="4">
    <w:abstractNumId w:val="15"/>
  </w:num>
  <w:num w:numId="5">
    <w:abstractNumId w:val="18"/>
  </w:num>
  <w:num w:numId="6">
    <w:abstractNumId w:val="33"/>
  </w:num>
  <w:num w:numId="7">
    <w:abstractNumId w:val="0"/>
  </w:num>
  <w:num w:numId="8">
    <w:abstractNumId w:val="12"/>
  </w:num>
  <w:num w:numId="9">
    <w:abstractNumId w:val="2"/>
  </w:num>
  <w:num w:numId="10">
    <w:abstractNumId w:val="1"/>
  </w:num>
  <w:num w:numId="11">
    <w:abstractNumId w:val="27"/>
  </w:num>
  <w:num w:numId="12">
    <w:abstractNumId w:val="11"/>
  </w:num>
  <w:num w:numId="13">
    <w:abstractNumId w:val="25"/>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9"/>
  </w:num>
  <w:num w:numId="21">
    <w:abstractNumId w:val="32"/>
  </w:num>
  <w:num w:numId="22">
    <w:abstractNumId w:val="18"/>
  </w:num>
  <w:num w:numId="23">
    <w:abstractNumId w:val="15"/>
  </w:num>
  <w:num w:numId="24">
    <w:abstractNumId w:val="28"/>
  </w:num>
  <w:num w:numId="25">
    <w:abstractNumId w:val="21"/>
  </w:num>
  <w:num w:numId="26">
    <w:abstractNumId w:val="24"/>
  </w:num>
  <w:num w:numId="27">
    <w:abstractNumId w:val="19"/>
  </w:num>
  <w:num w:numId="28">
    <w:abstractNumId w:val="22"/>
  </w:num>
  <w:num w:numId="29">
    <w:abstractNumId w:val="7"/>
  </w:num>
  <w:num w:numId="30">
    <w:abstractNumId w:val="14"/>
  </w:num>
  <w:num w:numId="31">
    <w:abstractNumId w:val="4"/>
  </w:num>
  <w:num w:numId="32">
    <w:abstractNumId w:val="3"/>
  </w:num>
  <w:num w:numId="33">
    <w:abstractNumId w:val="31"/>
  </w:num>
  <w:num w:numId="34">
    <w:abstractNumId w:val="23"/>
  </w:num>
  <w:num w:numId="35">
    <w:abstractNumId w:val="26"/>
  </w:num>
  <w:num w:numId="36">
    <w:abstractNumId w:val="10"/>
  </w:num>
  <w:num w:numId="37">
    <w:abstractNumId w:val="5"/>
  </w:num>
  <w:num w:numId="38">
    <w:abstractNumId w:val="17"/>
  </w:num>
  <w:num w:numId="39">
    <w:abstractNumId w:val="6"/>
  </w:num>
  <w:num w:numId="40">
    <w:abstractNumId w:val="29"/>
  </w:num>
  <w:num w:numId="41">
    <w:abstractNumId w:val="30"/>
  </w:num>
  <w:num w:numId="42">
    <w:abstractNumId w:val="16"/>
  </w:num>
  <w:num w:numId="43">
    <w:abstractNumId w:val="8"/>
  </w:num>
  <w:num w:numId="4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6EF"/>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6632"/>
    <w:rsid w:val="00280030"/>
    <w:rsid w:val="00284601"/>
    <w:rsid w:val="002A4C95"/>
    <w:rsid w:val="002A5779"/>
    <w:rsid w:val="002A5C92"/>
    <w:rsid w:val="002E09E9"/>
    <w:rsid w:val="003021B6"/>
    <w:rsid w:val="003217E3"/>
    <w:rsid w:val="0032563F"/>
    <w:rsid w:val="00340FF0"/>
    <w:rsid w:val="003441B9"/>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41B0"/>
    <w:rsid w:val="00674D11"/>
    <w:rsid w:val="00694350"/>
    <w:rsid w:val="006945CB"/>
    <w:rsid w:val="006D0A86"/>
    <w:rsid w:val="006E0761"/>
    <w:rsid w:val="006E7E8D"/>
    <w:rsid w:val="00703D03"/>
    <w:rsid w:val="00707113"/>
    <w:rsid w:val="00740F50"/>
    <w:rsid w:val="00752792"/>
    <w:rsid w:val="00753FB5"/>
    <w:rsid w:val="00772427"/>
    <w:rsid w:val="00772DFE"/>
    <w:rsid w:val="00782731"/>
    <w:rsid w:val="00785E77"/>
    <w:rsid w:val="00786CA6"/>
    <w:rsid w:val="00790DFB"/>
    <w:rsid w:val="007A0387"/>
    <w:rsid w:val="007C4484"/>
    <w:rsid w:val="007D39E7"/>
    <w:rsid w:val="007E1590"/>
    <w:rsid w:val="00807744"/>
    <w:rsid w:val="008432D1"/>
    <w:rsid w:val="00847988"/>
    <w:rsid w:val="008506FC"/>
    <w:rsid w:val="008609CB"/>
    <w:rsid w:val="00867725"/>
    <w:rsid w:val="00872A8B"/>
    <w:rsid w:val="00876BCD"/>
    <w:rsid w:val="00877CBB"/>
    <w:rsid w:val="00886023"/>
    <w:rsid w:val="008979BB"/>
    <w:rsid w:val="008B0583"/>
    <w:rsid w:val="009069C9"/>
    <w:rsid w:val="00933B42"/>
    <w:rsid w:val="0093601D"/>
    <w:rsid w:val="009656AB"/>
    <w:rsid w:val="00976F27"/>
    <w:rsid w:val="00977889"/>
    <w:rsid w:val="0098305D"/>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40F88"/>
    <w:rsid w:val="00B46BCC"/>
    <w:rsid w:val="00B53B8D"/>
    <w:rsid w:val="00B64744"/>
    <w:rsid w:val="00BA1EF1"/>
    <w:rsid w:val="00BC225C"/>
    <w:rsid w:val="00BC4C0D"/>
    <w:rsid w:val="00BD0697"/>
    <w:rsid w:val="00BE2B07"/>
    <w:rsid w:val="00BF3D3E"/>
    <w:rsid w:val="00C16DFA"/>
    <w:rsid w:val="00C2522B"/>
    <w:rsid w:val="00C378D4"/>
    <w:rsid w:val="00C900E1"/>
    <w:rsid w:val="00C93A8B"/>
    <w:rsid w:val="00C96534"/>
    <w:rsid w:val="00CA2E89"/>
    <w:rsid w:val="00CA53BB"/>
    <w:rsid w:val="00CB7636"/>
    <w:rsid w:val="00CE09C4"/>
    <w:rsid w:val="00D03DC1"/>
    <w:rsid w:val="00D05F7C"/>
    <w:rsid w:val="00D2584B"/>
    <w:rsid w:val="00D31877"/>
    <w:rsid w:val="00D32C99"/>
    <w:rsid w:val="00D5309A"/>
    <w:rsid w:val="00D6291C"/>
    <w:rsid w:val="00D74A36"/>
    <w:rsid w:val="00D90E9D"/>
    <w:rsid w:val="00DE5F99"/>
    <w:rsid w:val="00E007BF"/>
    <w:rsid w:val="00E0090D"/>
    <w:rsid w:val="00E10C3E"/>
    <w:rsid w:val="00E22801"/>
    <w:rsid w:val="00E2501C"/>
    <w:rsid w:val="00E37A5D"/>
    <w:rsid w:val="00E53ABF"/>
    <w:rsid w:val="00E71E7B"/>
    <w:rsid w:val="00EA5386"/>
    <w:rsid w:val="00EA585B"/>
    <w:rsid w:val="00EB6116"/>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Texto de nota de rodapé Carácter Carácter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paragraph" w:styleId="HTMLPreformatted">
    <w:name w:val="HTML Preformatted"/>
    <w:basedOn w:val="Normal"/>
    <w:link w:val="HTMLPreformattedChar"/>
    <w:uiPriority w:val="99"/>
    <w:unhideWhenUsed/>
    <w:rsid w:val="00125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pt-PT" w:eastAsia="pt-PT"/>
    </w:rPr>
  </w:style>
  <w:style w:type="character" w:customStyle="1" w:styleId="HTMLPreformattedChar">
    <w:name w:val="HTML Preformatted Char"/>
    <w:basedOn w:val="DefaultParagraphFont"/>
    <w:link w:val="HTMLPreformatted"/>
    <w:uiPriority w:val="99"/>
    <w:rsid w:val="001256EF"/>
    <w:rPr>
      <w:rFonts w:ascii="Courier New" w:hAnsi="Courier New" w:cs="Courier New"/>
      <w:sz w:val="20"/>
      <w:szCs w:val="20"/>
      <w:lang w:val="pt-PT" w:eastAsia="pt-PT"/>
    </w:rPr>
  </w:style>
  <w:style w:type="character" w:customStyle="1" w:styleId="y2iqfc">
    <w:name w:val="y2iqfc"/>
    <w:basedOn w:val="DefaultParagraphFont"/>
    <w:rsid w:val="0012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943D-B885-4013-B8AE-08B1CD77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1717</Words>
  <Characters>9790</Characters>
  <Application>Microsoft Office Word</Application>
  <DocSecurity>0</DocSecurity>
  <PresentationFormat/>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46</cp:revision>
  <cp:lastPrinted>2017-11-20T20:14:00Z</cp:lastPrinted>
  <dcterms:created xsi:type="dcterms:W3CDTF">2019-03-06T11:14:00Z</dcterms:created>
  <dcterms:modified xsi:type="dcterms:W3CDTF">2022-06-06T13:20:00Z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