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11CD4B0A"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657FC0">
        <w:rPr>
          <w:rFonts w:ascii="Times New Roman" w:hAnsi="Times New Roman"/>
          <w:b/>
          <w:sz w:val="36"/>
          <w:szCs w:val="36"/>
        </w:rPr>
        <w:t>Octo</w:t>
      </w:r>
      <w:r w:rsidR="0011226B" w:rsidRPr="00B903CC">
        <w:rPr>
          <w:rFonts w:ascii="Times New Roman" w:hAnsi="Times New Roman"/>
          <w:b/>
          <w:sz w:val="36"/>
          <w:szCs w:val="36"/>
        </w:rPr>
        <w:t>ber</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994086" w:rsidRPr="00B903CC">
        <w:rPr>
          <w:rFonts w:ascii="Times New Roman" w:hAnsi="Times New Roman"/>
          <w:b/>
          <w:sz w:val="36"/>
          <w:szCs w:val="36"/>
        </w:rPr>
        <w:t>2</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419043F1" w14:textId="2CC35ABD" w:rsidR="00640EFC" w:rsidRPr="00B903CC" w:rsidRDefault="00B903CC" w:rsidP="00640EFC">
      <w:pPr>
        <w:spacing w:after="0"/>
        <w:jc w:val="center"/>
        <w:rPr>
          <w:rFonts w:ascii="Times New Roman" w:hAnsi="Times New Roman"/>
          <w:b/>
          <w:bCs/>
          <w:sz w:val="32"/>
          <w:szCs w:val="32"/>
        </w:rPr>
      </w:pPr>
      <w:r>
        <w:rPr>
          <w:rFonts w:ascii="Times New Roman" w:hAnsi="Times New Roman"/>
          <w:b/>
          <w:bCs/>
          <w:sz w:val="32"/>
          <w:szCs w:val="32"/>
        </w:rPr>
        <w:t xml:space="preserve">The </w:t>
      </w:r>
      <w:r w:rsidR="0011226B" w:rsidRPr="00B903CC">
        <w:rPr>
          <w:rFonts w:ascii="Times New Roman" w:hAnsi="Times New Roman"/>
          <w:b/>
          <w:bCs/>
          <w:sz w:val="32"/>
          <w:szCs w:val="32"/>
        </w:rPr>
        <w:t xml:space="preserve">Pre-Pack in the Context of the </w:t>
      </w:r>
      <w:r w:rsidR="0011226B" w:rsidRPr="00B903CC">
        <w:rPr>
          <w:rFonts w:ascii="Times New Roman" w:hAnsi="Times New Roman"/>
          <w:b/>
          <w:bCs/>
          <w:i/>
          <w:sz w:val="32"/>
          <w:szCs w:val="32"/>
        </w:rPr>
        <w:t>Heiploeg</w:t>
      </w:r>
      <w:r w:rsidR="0011226B" w:rsidRPr="00B903CC">
        <w:rPr>
          <w:rFonts w:ascii="Times New Roman" w:hAnsi="Times New Roman"/>
          <w:b/>
          <w:bCs/>
          <w:sz w:val="32"/>
          <w:szCs w:val="32"/>
        </w:rPr>
        <w:t xml:space="preserve"> Case before the CJEU: A Polish Perspective</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DAE9D3B" w14:textId="1E001D96" w:rsidR="0011226B" w:rsidRPr="00B903CC" w:rsidRDefault="0011226B" w:rsidP="0011226B">
      <w:pPr>
        <w:pStyle w:val="NoSpacing"/>
        <w:jc w:val="center"/>
        <w:rPr>
          <w:rFonts w:ascii="Times New Roman" w:hAnsi="Times New Roman" w:cs="Times New Roman"/>
          <w:i/>
          <w:iCs/>
          <w:sz w:val="24"/>
          <w:szCs w:val="24"/>
          <w:shd w:val="clear" w:color="auto" w:fill="FFFFFF"/>
          <w:lang w:val="en-GB"/>
        </w:rPr>
      </w:pPr>
      <w:r w:rsidRPr="00B903CC">
        <w:rPr>
          <w:rFonts w:ascii="Times New Roman" w:hAnsi="Times New Roman" w:cs="Times New Roman"/>
          <w:i/>
          <w:sz w:val="24"/>
          <w:szCs w:val="24"/>
          <w:lang w:val="en-GB"/>
        </w:rPr>
        <w:t>Mateusz Kaliński</w:t>
      </w:r>
      <w:r w:rsidR="00640EFC" w:rsidRPr="00B903CC">
        <w:rPr>
          <w:rFonts w:ascii="Times New Roman" w:hAnsi="Times New Roman" w:cs="Times New Roman"/>
          <w:i/>
          <w:sz w:val="24"/>
          <w:szCs w:val="24"/>
          <w:lang w:val="en-GB"/>
        </w:rPr>
        <w:t xml:space="preserve">, </w:t>
      </w:r>
      <w:r w:rsidRPr="00B903CC">
        <w:rPr>
          <w:rFonts w:ascii="Times New Roman" w:hAnsi="Times New Roman" w:cs="Times New Roman"/>
          <w:i/>
          <w:sz w:val="24"/>
          <w:szCs w:val="24"/>
          <w:lang w:val="en-GB"/>
        </w:rPr>
        <w:t>Tatara and Partners</w:t>
      </w:r>
      <w:r w:rsidR="00640EFC" w:rsidRPr="00B903CC">
        <w:rPr>
          <w:rFonts w:ascii="Times New Roman" w:hAnsi="Times New Roman" w:cs="Times New Roman"/>
          <w:i/>
          <w:sz w:val="24"/>
          <w:szCs w:val="24"/>
          <w:lang w:val="en-GB"/>
        </w:rPr>
        <w:t xml:space="preserve">, </w:t>
      </w:r>
      <w:r w:rsidRPr="00B903CC">
        <w:rPr>
          <w:rFonts w:ascii="Times New Roman" w:hAnsi="Times New Roman" w:cs="Times New Roman"/>
          <w:i/>
          <w:sz w:val="24"/>
          <w:szCs w:val="24"/>
          <w:lang w:val="en-GB"/>
        </w:rPr>
        <w:t>Poland</w:t>
      </w:r>
      <w:r w:rsidR="00640EFC" w:rsidRPr="00B903CC">
        <w:rPr>
          <w:rFonts w:ascii="Times New Roman" w:hAnsi="Times New Roman" w:cs="Times New Roman"/>
          <w:i/>
          <w:sz w:val="24"/>
          <w:szCs w:val="24"/>
          <w:lang w:val="en-GB"/>
        </w:rPr>
        <w:t xml:space="preserve">. </w:t>
      </w:r>
      <w:r w:rsidR="00640EFC" w:rsidRPr="00B903CC">
        <w:rPr>
          <w:rFonts w:ascii="Times New Roman" w:hAnsi="Times New Roman" w:cs="Times New Roman"/>
          <w:i/>
          <w:iCs/>
          <w:sz w:val="24"/>
          <w:szCs w:val="24"/>
          <w:shd w:val="clear" w:color="auto" w:fill="FFFFFF"/>
          <w:lang w:val="en-GB"/>
        </w:rPr>
        <w:t>Email: &lt;</w:t>
      </w:r>
      <w:r w:rsidRPr="00B903CC">
        <w:rPr>
          <w:rFonts w:ascii="Times New Roman" w:hAnsi="Times New Roman" w:cs="Times New Roman"/>
          <w:i/>
          <w:iCs/>
          <w:sz w:val="24"/>
          <w:szCs w:val="24"/>
          <w:lang w:val="en-GB"/>
        </w:rPr>
        <w:t>m.kalinski@tatara.com.pl</w:t>
      </w:r>
      <w:r w:rsidR="00640EFC" w:rsidRPr="00B903CC">
        <w:rPr>
          <w:rFonts w:ascii="Times New Roman" w:hAnsi="Times New Roman" w:cs="Times New Roman"/>
          <w:i/>
          <w:iCs/>
          <w:sz w:val="24"/>
          <w:szCs w:val="24"/>
          <w:shd w:val="clear" w:color="auto" w:fill="FFFFFF"/>
          <w:lang w:val="en-GB"/>
        </w:rPr>
        <w:t>&gt;</w:t>
      </w:r>
      <w:r w:rsidRPr="00B903CC">
        <w:rPr>
          <w:rFonts w:ascii="Times New Roman" w:hAnsi="Times New Roman" w:cs="Times New Roman"/>
          <w:i/>
          <w:iCs/>
          <w:sz w:val="24"/>
          <w:szCs w:val="24"/>
          <w:shd w:val="clear" w:color="auto" w:fill="FFFFFF"/>
          <w:lang w:val="en-GB"/>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B903CC" w:rsidRDefault="00E71E7B" w:rsidP="001E7A6F">
      <w:pPr>
        <w:spacing w:after="0"/>
        <w:contextualSpacing/>
        <w:rPr>
          <w:rFonts w:ascii="Times New Roman" w:hAnsi="Times New Roman"/>
          <w:i/>
          <w:sz w:val="24"/>
          <w:szCs w:val="24"/>
        </w:rPr>
      </w:pPr>
    </w:p>
    <w:p w14:paraId="3FDD4E1F" w14:textId="3DA5C6B1" w:rsidR="00E71E7B" w:rsidRPr="00B903CC" w:rsidRDefault="00E71E7B" w:rsidP="00640EFC">
      <w:pPr>
        <w:spacing w:after="0"/>
        <w:contextualSpacing/>
        <w:rPr>
          <w:rFonts w:ascii="Times New Roman" w:hAnsi="Times New Roman"/>
          <w:sz w:val="24"/>
          <w:szCs w:val="24"/>
        </w:rPr>
      </w:pPr>
      <w:r w:rsidRPr="00B903CC">
        <w:rPr>
          <w:rFonts w:ascii="Times New Roman" w:hAnsi="Times New Roman"/>
          <w:i/>
          <w:iCs/>
          <w:sz w:val="24"/>
          <w:szCs w:val="24"/>
        </w:rPr>
        <w:t>Introduction</w:t>
      </w:r>
    </w:p>
    <w:p w14:paraId="022788C5" w14:textId="77777777" w:rsidR="00E71E7B" w:rsidRPr="00B903CC" w:rsidRDefault="00E71E7B" w:rsidP="0011226B">
      <w:pPr>
        <w:spacing w:after="0"/>
        <w:contextualSpacing/>
        <w:rPr>
          <w:rFonts w:ascii="Times New Roman" w:hAnsi="Times New Roman"/>
          <w:sz w:val="24"/>
          <w:szCs w:val="24"/>
        </w:rPr>
      </w:pPr>
    </w:p>
    <w:p w14:paraId="2B6CAA43" w14:textId="2F1E20B2" w:rsidR="0011226B" w:rsidRPr="00B903CC" w:rsidRDefault="0011226B" w:rsidP="0011226B">
      <w:pPr>
        <w:spacing w:after="0"/>
        <w:rPr>
          <w:rFonts w:ascii="Times New Roman" w:hAnsi="Times New Roman"/>
          <w:sz w:val="24"/>
          <w:szCs w:val="24"/>
        </w:rPr>
      </w:pPr>
      <w:r w:rsidRPr="00B903CC">
        <w:rPr>
          <w:rFonts w:ascii="Times New Roman" w:hAnsi="Times New Roman"/>
          <w:sz w:val="24"/>
          <w:szCs w:val="24"/>
        </w:rPr>
        <w:t xml:space="preserve">In Poland, the pre-packaged sale, also called the pre-pack administration, has been possible since 2016, as a result of important amendments to Bankruptcy Law and Restructuring Law – introduced via the Act of 15 May 2015. The pre-pack has grown in popularity, though some pitfalls occurred when two important cases were brought to the Court of Justice of the European Union (CJEU), namely </w:t>
      </w:r>
      <w:r w:rsidRPr="00B903CC">
        <w:rPr>
          <w:rFonts w:ascii="Times New Roman" w:hAnsi="Times New Roman"/>
          <w:i/>
          <w:sz w:val="24"/>
          <w:szCs w:val="24"/>
        </w:rPr>
        <w:t>Smallsteps</w:t>
      </w:r>
      <w:r w:rsidRPr="00B903CC">
        <w:rPr>
          <w:rFonts w:ascii="Times New Roman" w:hAnsi="Times New Roman"/>
          <w:sz w:val="24"/>
          <w:szCs w:val="24"/>
        </w:rPr>
        <w:t xml:space="preserve"> (also known as </w:t>
      </w:r>
      <w:r w:rsidRPr="00B903CC">
        <w:rPr>
          <w:rFonts w:ascii="Times New Roman" w:hAnsi="Times New Roman"/>
          <w:i/>
          <w:sz w:val="24"/>
          <w:szCs w:val="24"/>
        </w:rPr>
        <w:t>Estro</w:t>
      </w:r>
      <w:r w:rsidRPr="00B903CC">
        <w:rPr>
          <w:rFonts w:ascii="Times New Roman" w:hAnsi="Times New Roman"/>
          <w:sz w:val="24"/>
          <w:szCs w:val="24"/>
        </w:rPr>
        <w:t xml:space="preserve">) (C-126/16) and </w:t>
      </w:r>
      <w:r w:rsidRPr="00B903CC">
        <w:rPr>
          <w:rFonts w:ascii="Times New Roman" w:hAnsi="Times New Roman"/>
          <w:i/>
          <w:sz w:val="24"/>
          <w:szCs w:val="24"/>
        </w:rPr>
        <w:t>Plessers</w:t>
      </w:r>
      <w:r w:rsidRPr="00B903CC">
        <w:rPr>
          <w:rFonts w:ascii="Times New Roman" w:hAnsi="Times New Roman"/>
          <w:sz w:val="24"/>
          <w:szCs w:val="24"/>
        </w:rPr>
        <w:t xml:space="preserve"> (C-509/17) cases.</w:t>
      </w:r>
    </w:p>
    <w:p w14:paraId="3EC36D2B" w14:textId="77777777" w:rsidR="0011226B" w:rsidRPr="00B903CC" w:rsidRDefault="0011226B" w:rsidP="0011226B">
      <w:pPr>
        <w:spacing w:after="0"/>
        <w:rPr>
          <w:rFonts w:ascii="Times New Roman" w:hAnsi="Times New Roman"/>
          <w:sz w:val="24"/>
          <w:szCs w:val="24"/>
        </w:rPr>
      </w:pPr>
    </w:p>
    <w:p w14:paraId="7E63B7A6" w14:textId="5459A1E2" w:rsidR="0011226B" w:rsidRPr="00B903CC" w:rsidRDefault="00FD4304" w:rsidP="0011226B">
      <w:pPr>
        <w:spacing w:after="0"/>
        <w:rPr>
          <w:rFonts w:ascii="Times New Roman" w:hAnsi="Times New Roman"/>
          <w:sz w:val="24"/>
          <w:szCs w:val="24"/>
        </w:rPr>
      </w:pPr>
      <w:r w:rsidRPr="00B903CC">
        <w:rPr>
          <w:rFonts w:ascii="Times New Roman" w:hAnsi="Times New Roman"/>
          <w:sz w:val="24"/>
          <w:szCs w:val="24"/>
        </w:rPr>
        <w:t>As a consequence of the first case e</w:t>
      </w:r>
      <w:r w:rsidR="0011226B" w:rsidRPr="00B903CC">
        <w:rPr>
          <w:rFonts w:ascii="Times New Roman" w:hAnsi="Times New Roman"/>
          <w:sz w:val="24"/>
          <w:szCs w:val="24"/>
        </w:rPr>
        <w:t xml:space="preserve">specially, </w:t>
      </w:r>
      <w:r w:rsidR="0011226B" w:rsidRPr="00B903CC">
        <w:rPr>
          <w:rFonts w:ascii="Times New Roman" w:hAnsi="Times New Roman"/>
          <w:i/>
          <w:sz w:val="24"/>
          <w:szCs w:val="24"/>
        </w:rPr>
        <w:t>Estro</w:t>
      </w:r>
      <w:r w:rsidR="0011226B" w:rsidRPr="00B903CC">
        <w:rPr>
          <w:rFonts w:ascii="Times New Roman" w:hAnsi="Times New Roman"/>
          <w:sz w:val="24"/>
          <w:szCs w:val="24"/>
        </w:rPr>
        <w:t xml:space="preserve"> or </w:t>
      </w:r>
      <w:r w:rsidR="0011226B" w:rsidRPr="00B903CC">
        <w:rPr>
          <w:rFonts w:ascii="Times New Roman" w:hAnsi="Times New Roman"/>
          <w:i/>
          <w:sz w:val="24"/>
          <w:szCs w:val="24"/>
        </w:rPr>
        <w:t>Smallsteps</w:t>
      </w:r>
      <w:r w:rsidR="00B903CC">
        <w:rPr>
          <w:rFonts w:ascii="Times New Roman" w:hAnsi="Times New Roman"/>
          <w:sz w:val="24"/>
          <w:szCs w:val="24"/>
        </w:rPr>
        <w:t>,</w:t>
      </w:r>
      <w:r w:rsidR="0011226B" w:rsidRPr="00B903CC">
        <w:rPr>
          <w:rFonts w:ascii="Times New Roman" w:hAnsi="Times New Roman"/>
          <w:sz w:val="24"/>
          <w:szCs w:val="24"/>
        </w:rPr>
        <w:t xml:space="preserve"> the opinion of Polish government</w:t>
      </w:r>
      <w:r w:rsidR="00B903CC">
        <w:rPr>
          <w:rFonts w:ascii="Times New Roman" w:hAnsi="Times New Roman"/>
          <w:sz w:val="24"/>
          <w:szCs w:val="24"/>
        </w:rPr>
        <w:t xml:space="preserve"> was that</w:t>
      </w:r>
      <w:r w:rsidRPr="00B903CC">
        <w:rPr>
          <w:rFonts w:ascii="Times New Roman" w:hAnsi="Times New Roman"/>
          <w:sz w:val="24"/>
          <w:szCs w:val="24"/>
        </w:rPr>
        <w:t xml:space="preserve"> this</w:t>
      </w:r>
      <w:r w:rsidR="0011226B" w:rsidRPr="00B903CC">
        <w:rPr>
          <w:rFonts w:ascii="Times New Roman" w:hAnsi="Times New Roman"/>
          <w:sz w:val="24"/>
          <w:szCs w:val="24"/>
        </w:rPr>
        <w:t xml:space="preserve"> required amendments to the Bankruptcy Law provisions regulating pre-pack</w:t>
      </w:r>
      <w:r w:rsidRPr="00B903CC">
        <w:rPr>
          <w:rFonts w:ascii="Times New Roman" w:hAnsi="Times New Roman"/>
          <w:sz w:val="24"/>
          <w:szCs w:val="24"/>
        </w:rPr>
        <w:t>s</w:t>
      </w:r>
      <w:r w:rsidR="0011226B" w:rsidRPr="00B903CC">
        <w:rPr>
          <w:rFonts w:ascii="Times New Roman" w:hAnsi="Times New Roman"/>
          <w:sz w:val="24"/>
          <w:szCs w:val="24"/>
        </w:rPr>
        <w:t xml:space="preserve">. Within </w:t>
      </w:r>
      <w:r w:rsidRPr="00B903CC">
        <w:rPr>
          <w:rFonts w:ascii="Times New Roman" w:hAnsi="Times New Roman"/>
          <w:sz w:val="24"/>
          <w:szCs w:val="24"/>
        </w:rPr>
        <w:t xml:space="preserve">the </w:t>
      </w:r>
      <w:r w:rsidR="0011226B" w:rsidRPr="00B903CC">
        <w:rPr>
          <w:rFonts w:ascii="Times New Roman" w:hAnsi="Times New Roman"/>
          <w:sz w:val="24"/>
          <w:szCs w:val="24"/>
        </w:rPr>
        <w:t>legislative process</w:t>
      </w:r>
      <w:r w:rsidRPr="00B903CC">
        <w:rPr>
          <w:rFonts w:ascii="Times New Roman" w:hAnsi="Times New Roman"/>
          <w:sz w:val="24"/>
          <w:szCs w:val="24"/>
        </w:rPr>
        <w:t>,</w:t>
      </w:r>
      <w:r w:rsidR="0011226B" w:rsidRPr="00B903CC">
        <w:rPr>
          <w:rFonts w:ascii="Times New Roman" w:hAnsi="Times New Roman"/>
          <w:sz w:val="24"/>
          <w:szCs w:val="24"/>
        </w:rPr>
        <w:t xml:space="preserve"> numerous experts contested this need and presented opinions proving that amendments are not required and they may make </w:t>
      </w:r>
      <w:r w:rsidR="00B903CC">
        <w:rPr>
          <w:rFonts w:ascii="Times New Roman" w:hAnsi="Times New Roman"/>
          <w:sz w:val="24"/>
          <w:szCs w:val="24"/>
        </w:rPr>
        <w:t xml:space="preserve">the </w:t>
      </w:r>
      <w:r w:rsidR="0011226B" w:rsidRPr="00B903CC">
        <w:rPr>
          <w:rFonts w:ascii="Times New Roman" w:hAnsi="Times New Roman"/>
          <w:sz w:val="24"/>
          <w:szCs w:val="24"/>
        </w:rPr>
        <w:t>Polish pre-pack less popular for the business</w:t>
      </w:r>
      <w:r w:rsidRPr="00B903CC">
        <w:rPr>
          <w:rFonts w:ascii="Times New Roman" w:hAnsi="Times New Roman"/>
          <w:sz w:val="24"/>
          <w:szCs w:val="24"/>
        </w:rPr>
        <w:t xml:space="preserve">. </w:t>
      </w:r>
      <w:r w:rsidR="0011226B" w:rsidRPr="00B903CC">
        <w:rPr>
          <w:rFonts w:ascii="Times New Roman" w:hAnsi="Times New Roman"/>
          <w:sz w:val="24"/>
          <w:szCs w:val="24"/>
        </w:rPr>
        <w:t xml:space="preserve">Indeed, after </w:t>
      </w:r>
      <w:r w:rsidRPr="00B903CC">
        <w:rPr>
          <w:rFonts w:ascii="Times New Roman" w:hAnsi="Times New Roman"/>
          <w:sz w:val="24"/>
          <w:szCs w:val="24"/>
        </w:rPr>
        <w:t xml:space="preserve">the </w:t>
      </w:r>
      <w:r w:rsidR="0011226B" w:rsidRPr="00B903CC">
        <w:rPr>
          <w:rFonts w:ascii="Times New Roman" w:hAnsi="Times New Roman"/>
          <w:sz w:val="24"/>
          <w:szCs w:val="24"/>
        </w:rPr>
        <w:t xml:space="preserve">amendments – introducing direct application of the Article 23[1] of </w:t>
      </w:r>
      <w:r w:rsidR="00B903CC">
        <w:rPr>
          <w:rFonts w:ascii="Times New Roman" w:hAnsi="Times New Roman"/>
          <w:sz w:val="24"/>
          <w:szCs w:val="24"/>
        </w:rPr>
        <w:t xml:space="preserve">the </w:t>
      </w:r>
      <w:r w:rsidR="0011226B" w:rsidRPr="00B903CC">
        <w:rPr>
          <w:rFonts w:ascii="Times New Roman" w:hAnsi="Times New Roman"/>
          <w:sz w:val="24"/>
          <w:szCs w:val="24"/>
        </w:rPr>
        <w:t xml:space="preserve">Polish Labour Code to </w:t>
      </w:r>
      <w:r w:rsidR="00B903CC">
        <w:rPr>
          <w:rFonts w:ascii="Times New Roman" w:hAnsi="Times New Roman"/>
          <w:sz w:val="24"/>
          <w:szCs w:val="24"/>
        </w:rPr>
        <w:t>a</w:t>
      </w:r>
      <w:r w:rsidR="0011226B" w:rsidRPr="00B903CC">
        <w:rPr>
          <w:rFonts w:ascii="Times New Roman" w:hAnsi="Times New Roman"/>
          <w:sz w:val="24"/>
          <w:szCs w:val="24"/>
        </w:rPr>
        <w:t xml:space="preserve"> bankruptcy sale – the popularity of pre-packs went significantly down, </w:t>
      </w:r>
      <w:r w:rsidRPr="00B903CC">
        <w:rPr>
          <w:rFonts w:ascii="Times New Roman" w:hAnsi="Times New Roman"/>
          <w:sz w:val="24"/>
          <w:szCs w:val="24"/>
        </w:rPr>
        <w:t xml:space="preserve">with an </w:t>
      </w:r>
      <w:r w:rsidR="0011226B" w:rsidRPr="00B903CC">
        <w:rPr>
          <w:rFonts w:ascii="Times New Roman" w:hAnsi="Times New Roman"/>
          <w:sz w:val="24"/>
          <w:szCs w:val="24"/>
        </w:rPr>
        <w:t>estimat</w:t>
      </w:r>
      <w:r w:rsidRPr="00B903CC">
        <w:rPr>
          <w:rFonts w:ascii="Times New Roman" w:hAnsi="Times New Roman"/>
          <w:sz w:val="24"/>
          <w:szCs w:val="24"/>
        </w:rPr>
        <w:t>ed</w:t>
      </w:r>
      <w:r w:rsidR="0011226B" w:rsidRPr="00B903CC">
        <w:rPr>
          <w:rFonts w:ascii="Times New Roman" w:hAnsi="Times New Roman"/>
          <w:sz w:val="24"/>
          <w:szCs w:val="24"/>
        </w:rPr>
        <w:t xml:space="preserve"> decrease </w:t>
      </w:r>
      <w:r w:rsidRPr="00B903CC">
        <w:rPr>
          <w:rFonts w:ascii="Times New Roman" w:hAnsi="Times New Roman"/>
          <w:sz w:val="24"/>
          <w:szCs w:val="24"/>
        </w:rPr>
        <w:t xml:space="preserve">of perhaps </w:t>
      </w:r>
      <w:r w:rsidR="0011226B" w:rsidRPr="00B903CC">
        <w:rPr>
          <w:rFonts w:ascii="Times New Roman" w:hAnsi="Times New Roman"/>
          <w:sz w:val="24"/>
          <w:szCs w:val="24"/>
        </w:rPr>
        <w:t>half of projects.</w:t>
      </w:r>
    </w:p>
    <w:p w14:paraId="678D323F" w14:textId="77777777" w:rsidR="00FD4304" w:rsidRPr="00B903CC" w:rsidRDefault="00FD4304" w:rsidP="0011226B">
      <w:pPr>
        <w:spacing w:after="0"/>
        <w:rPr>
          <w:rFonts w:ascii="Times New Roman" w:hAnsi="Times New Roman"/>
          <w:sz w:val="24"/>
          <w:szCs w:val="24"/>
        </w:rPr>
      </w:pPr>
    </w:p>
    <w:p w14:paraId="52895B49" w14:textId="5550EFE3" w:rsidR="0011226B" w:rsidRPr="00B903CC" w:rsidRDefault="0011226B" w:rsidP="0011226B">
      <w:pPr>
        <w:spacing w:after="0"/>
        <w:rPr>
          <w:rFonts w:ascii="Times New Roman" w:hAnsi="Times New Roman"/>
          <w:sz w:val="24"/>
          <w:szCs w:val="24"/>
        </w:rPr>
      </w:pPr>
      <w:r w:rsidRPr="00B903CC">
        <w:rPr>
          <w:rFonts w:ascii="Times New Roman" w:hAnsi="Times New Roman"/>
          <w:sz w:val="24"/>
          <w:szCs w:val="24"/>
        </w:rPr>
        <w:t>The amendment provide</w:t>
      </w:r>
      <w:r w:rsidR="00FD4304" w:rsidRPr="00B903CC">
        <w:rPr>
          <w:rFonts w:ascii="Times New Roman" w:hAnsi="Times New Roman"/>
          <w:sz w:val="24"/>
          <w:szCs w:val="24"/>
        </w:rPr>
        <w:t>d</w:t>
      </w:r>
      <w:r w:rsidRPr="00B903CC">
        <w:rPr>
          <w:rFonts w:ascii="Times New Roman" w:hAnsi="Times New Roman"/>
          <w:sz w:val="24"/>
          <w:szCs w:val="24"/>
        </w:rPr>
        <w:t xml:space="preserve"> for applying </w:t>
      </w:r>
      <w:r w:rsidR="00FD4304" w:rsidRPr="00B903CC">
        <w:rPr>
          <w:rFonts w:ascii="Times New Roman" w:hAnsi="Times New Roman"/>
          <w:sz w:val="24"/>
          <w:szCs w:val="24"/>
        </w:rPr>
        <w:t xml:space="preserve">the </w:t>
      </w:r>
      <w:r w:rsidRPr="00B903CC">
        <w:rPr>
          <w:rFonts w:ascii="Times New Roman" w:hAnsi="Times New Roman"/>
          <w:sz w:val="24"/>
          <w:szCs w:val="24"/>
        </w:rPr>
        <w:t xml:space="preserve">Labour Code rule that the transferor and the transferee of business can be held liable on a joint and several liability </w:t>
      </w:r>
      <w:r w:rsidR="00FD4304" w:rsidRPr="00B903CC">
        <w:rPr>
          <w:rFonts w:ascii="Times New Roman" w:hAnsi="Times New Roman"/>
          <w:sz w:val="24"/>
          <w:szCs w:val="24"/>
        </w:rPr>
        <w:t xml:space="preserve">basis </w:t>
      </w:r>
      <w:r w:rsidRPr="00B903CC">
        <w:rPr>
          <w:rFonts w:ascii="Times New Roman" w:hAnsi="Times New Roman"/>
          <w:sz w:val="24"/>
          <w:szCs w:val="24"/>
        </w:rPr>
        <w:t xml:space="preserve">for the wages of employees. This rule was quite extraordinary within </w:t>
      </w:r>
      <w:r w:rsidR="00FD4304" w:rsidRPr="00B903CC">
        <w:rPr>
          <w:rFonts w:ascii="Times New Roman" w:hAnsi="Times New Roman"/>
          <w:sz w:val="24"/>
          <w:szCs w:val="24"/>
        </w:rPr>
        <w:t xml:space="preserve">the </w:t>
      </w:r>
      <w:r w:rsidRPr="00B903CC">
        <w:rPr>
          <w:rFonts w:ascii="Times New Roman" w:hAnsi="Times New Roman"/>
          <w:sz w:val="24"/>
          <w:szCs w:val="24"/>
        </w:rPr>
        <w:t>Polish insolvency law system, because the main rule therein provide</w:t>
      </w:r>
      <w:r w:rsidR="00FD4304" w:rsidRPr="00B903CC">
        <w:rPr>
          <w:rFonts w:ascii="Times New Roman" w:hAnsi="Times New Roman"/>
          <w:sz w:val="24"/>
          <w:szCs w:val="24"/>
        </w:rPr>
        <w:t>d</w:t>
      </w:r>
      <w:r w:rsidRPr="00B903CC">
        <w:rPr>
          <w:rFonts w:ascii="Times New Roman" w:hAnsi="Times New Roman"/>
          <w:sz w:val="24"/>
          <w:szCs w:val="24"/>
        </w:rPr>
        <w:t xml:space="preserve"> that the acquirer within bankruptcy proceedings does not share liability for old debts connected </w:t>
      </w:r>
      <w:r w:rsidR="00FD4304" w:rsidRPr="00B903CC">
        <w:rPr>
          <w:rFonts w:ascii="Times New Roman" w:hAnsi="Times New Roman"/>
          <w:sz w:val="24"/>
          <w:szCs w:val="24"/>
        </w:rPr>
        <w:t xml:space="preserve">to </w:t>
      </w:r>
      <w:r w:rsidRPr="00B903CC">
        <w:rPr>
          <w:rFonts w:ascii="Times New Roman" w:hAnsi="Times New Roman"/>
          <w:sz w:val="24"/>
          <w:szCs w:val="24"/>
        </w:rPr>
        <w:t xml:space="preserve">the bankrupt–debtor who sells </w:t>
      </w:r>
      <w:r w:rsidR="00FD4304" w:rsidRPr="00B903CC">
        <w:rPr>
          <w:rFonts w:ascii="Times New Roman" w:hAnsi="Times New Roman"/>
          <w:sz w:val="24"/>
          <w:szCs w:val="24"/>
        </w:rPr>
        <w:t xml:space="preserve">their </w:t>
      </w:r>
      <w:r w:rsidRPr="00B903CC">
        <w:rPr>
          <w:rFonts w:ascii="Times New Roman" w:hAnsi="Times New Roman"/>
          <w:sz w:val="24"/>
          <w:szCs w:val="24"/>
        </w:rPr>
        <w:t xml:space="preserve">business (the trustee is </w:t>
      </w:r>
      <w:r w:rsidR="00FD4304" w:rsidRPr="00B903CC">
        <w:rPr>
          <w:rFonts w:ascii="Times New Roman" w:hAnsi="Times New Roman"/>
          <w:sz w:val="24"/>
          <w:szCs w:val="24"/>
        </w:rPr>
        <w:t xml:space="preserve">normally </w:t>
      </w:r>
      <w:r w:rsidRPr="00B903CC">
        <w:rPr>
          <w:rFonts w:ascii="Times New Roman" w:hAnsi="Times New Roman"/>
          <w:sz w:val="24"/>
          <w:szCs w:val="24"/>
        </w:rPr>
        <w:t xml:space="preserve">a party </w:t>
      </w:r>
      <w:r w:rsidR="00FD4304" w:rsidRPr="00B903CC">
        <w:rPr>
          <w:rFonts w:ascii="Times New Roman" w:hAnsi="Times New Roman"/>
          <w:sz w:val="24"/>
          <w:szCs w:val="24"/>
        </w:rPr>
        <w:t xml:space="preserve">to </w:t>
      </w:r>
      <w:r w:rsidRPr="00B903CC">
        <w:rPr>
          <w:rFonts w:ascii="Times New Roman" w:hAnsi="Times New Roman"/>
          <w:sz w:val="24"/>
          <w:szCs w:val="24"/>
        </w:rPr>
        <w:t xml:space="preserve">the sale–purchase agreement). This rule, stated clearly in Article 317 of </w:t>
      </w:r>
      <w:r w:rsidR="00FD4304" w:rsidRPr="00B903CC">
        <w:rPr>
          <w:rFonts w:ascii="Times New Roman" w:hAnsi="Times New Roman"/>
          <w:sz w:val="24"/>
          <w:szCs w:val="24"/>
        </w:rPr>
        <w:t xml:space="preserve">the </w:t>
      </w:r>
      <w:r w:rsidRPr="00B903CC">
        <w:rPr>
          <w:rFonts w:ascii="Times New Roman" w:hAnsi="Times New Roman"/>
          <w:sz w:val="24"/>
          <w:szCs w:val="24"/>
        </w:rPr>
        <w:t>Polish Bankruptcy Law is known as the execution sale effect. Its meaning is crucial for acquirers of the distressed businesses because</w:t>
      </w:r>
      <w:r w:rsidR="00FD4304" w:rsidRPr="00B903CC">
        <w:rPr>
          <w:rFonts w:ascii="Times New Roman" w:hAnsi="Times New Roman"/>
          <w:sz w:val="24"/>
          <w:szCs w:val="24"/>
        </w:rPr>
        <w:t>,</w:t>
      </w:r>
      <w:r w:rsidRPr="00B903CC">
        <w:rPr>
          <w:rFonts w:ascii="Times New Roman" w:hAnsi="Times New Roman"/>
          <w:sz w:val="24"/>
          <w:szCs w:val="24"/>
        </w:rPr>
        <w:t xml:space="preserve"> usually in insolvency related </w:t>
      </w:r>
      <w:r w:rsidR="00FD4304" w:rsidRPr="00B903CC">
        <w:rPr>
          <w:rFonts w:ascii="Times New Roman" w:hAnsi="Times New Roman"/>
          <w:sz w:val="24"/>
          <w:szCs w:val="24"/>
        </w:rPr>
        <w:t>cases</w:t>
      </w:r>
      <w:r w:rsidRPr="00B903CC">
        <w:rPr>
          <w:rFonts w:ascii="Times New Roman" w:hAnsi="Times New Roman"/>
          <w:sz w:val="24"/>
          <w:szCs w:val="24"/>
        </w:rPr>
        <w:t xml:space="preserve">, there is not much time to conduct thorough, complex and complete due diligence. On the other hand, there is no need to </w:t>
      </w:r>
      <w:r w:rsidR="00FD4304" w:rsidRPr="00B903CC">
        <w:rPr>
          <w:rFonts w:ascii="Times New Roman" w:hAnsi="Times New Roman"/>
          <w:sz w:val="24"/>
          <w:szCs w:val="24"/>
        </w:rPr>
        <w:t xml:space="preserve">provide </w:t>
      </w:r>
      <w:r w:rsidRPr="00B903CC">
        <w:rPr>
          <w:rFonts w:ascii="Times New Roman" w:hAnsi="Times New Roman"/>
          <w:sz w:val="24"/>
          <w:szCs w:val="24"/>
        </w:rPr>
        <w:t>extra protect</w:t>
      </w:r>
      <w:r w:rsidR="00FD4304" w:rsidRPr="00B903CC">
        <w:rPr>
          <w:rFonts w:ascii="Times New Roman" w:hAnsi="Times New Roman"/>
          <w:sz w:val="24"/>
          <w:szCs w:val="24"/>
        </w:rPr>
        <w:t>ion for</w:t>
      </w:r>
      <w:r w:rsidRPr="00B903CC">
        <w:rPr>
          <w:rFonts w:ascii="Times New Roman" w:hAnsi="Times New Roman"/>
          <w:sz w:val="24"/>
          <w:szCs w:val="24"/>
        </w:rPr>
        <w:t xml:space="preserve"> creditors, because they will be satisfied from the sale</w:t>
      </w:r>
      <w:r w:rsidR="00FD4304" w:rsidRPr="00B903CC">
        <w:rPr>
          <w:rFonts w:ascii="Times New Roman" w:hAnsi="Times New Roman"/>
          <w:sz w:val="24"/>
          <w:szCs w:val="24"/>
        </w:rPr>
        <w:t>s</w:t>
      </w:r>
      <w:r w:rsidRPr="00B903CC">
        <w:rPr>
          <w:rFonts w:ascii="Times New Roman" w:hAnsi="Times New Roman"/>
          <w:sz w:val="24"/>
          <w:szCs w:val="24"/>
        </w:rPr>
        <w:t xml:space="preserve"> price obtained by the trustee.</w:t>
      </w:r>
    </w:p>
    <w:p w14:paraId="7E230E3A" w14:textId="77777777" w:rsidR="00FD4304" w:rsidRPr="00B903CC" w:rsidRDefault="00FD4304" w:rsidP="0011226B">
      <w:pPr>
        <w:spacing w:after="0"/>
        <w:rPr>
          <w:rFonts w:ascii="Times New Roman" w:hAnsi="Times New Roman"/>
          <w:sz w:val="24"/>
          <w:szCs w:val="24"/>
        </w:rPr>
      </w:pPr>
    </w:p>
    <w:p w14:paraId="7A7FD35C" w14:textId="15B85172" w:rsidR="0011226B" w:rsidRPr="00B903CC" w:rsidRDefault="00FD4304" w:rsidP="0011226B">
      <w:pPr>
        <w:spacing w:after="0"/>
        <w:rPr>
          <w:rFonts w:ascii="Times New Roman" w:hAnsi="Times New Roman"/>
          <w:sz w:val="24"/>
          <w:szCs w:val="24"/>
        </w:rPr>
      </w:pPr>
      <w:r w:rsidRPr="00B903CC">
        <w:rPr>
          <w:rFonts w:ascii="Times New Roman" w:hAnsi="Times New Roman"/>
          <w:sz w:val="24"/>
          <w:szCs w:val="24"/>
        </w:rPr>
        <w:lastRenderedPageBreak/>
        <w:t>T</w:t>
      </w:r>
      <w:r w:rsidR="0011226B" w:rsidRPr="00B903CC">
        <w:rPr>
          <w:rFonts w:ascii="Times New Roman" w:hAnsi="Times New Roman"/>
          <w:sz w:val="24"/>
          <w:szCs w:val="24"/>
        </w:rPr>
        <w:t xml:space="preserve">o mention one obvious fact, satisfaction at </w:t>
      </w:r>
      <w:r w:rsidRPr="00B903CC">
        <w:rPr>
          <w:rFonts w:ascii="Times New Roman" w:hAnsi="Times New Roman"/>
          <w:sz w:val="24"/>
          <w:szCs w:val="24"/>
        </w:rPr>
        <w:t xml:space="preserve">a </w:t>
      </w:r>
      <w:r w:rsidR="0011226B" w:rsidRPr="00B903CC">
        <w:rPr>
          <w:rFonts w:ascii="Times New Roman" w:hAnsi="Times New Roman"/>
          <w:sz w:val="24"/>
          <w:szCs w:val="24"/>
        </w:rPr>
        <w:t xml:space="preserve">lower level is always better than no satisfaction at all, </w:t>
      </w:r>
      <w:r w:rsidRPr="00B903CC">
        <w:rPr>
          <w:rFonts w:ascii="Times New Roman" w:hAnsi="Times New Roman"/>
          <w:sz w:val="24"/>
          <w:szCs w:val="24"/>
        </w:rPr>
        <w:t xml:space="preserve">which </w:t>
      </w:r>
      <w:r w:rsidR="0011226B" w:rsidRPr="00B903CC">
        <w:rPr>
          <w:rFonts w:ascii="Times New Roman" w:hAnsi="Times New Roman"/>
          <w:sz w:val="24"/>
          <w:szCs w:val="24"/>
        </w:rPr>
        <w:t>could be an issue whe</w:t>
      </w:r>
      <w:r w:rsidRPr="00B903CC">
        <w:rPr>
          <w:rFonts w:ascii="Times New Roman" w:hAnsi="Times New Roman"/>
          <w:sz w:val="24"/>
          <w:szCs w:val="24"/>
        </w:rPr>
        <w:t>re</w:t>
      </w:r>
      <w:r w:rsidR="0011226B" w:rsidRPr="00B903CC">
        <w:rPr>
          <w:rFonts w:ascii="Times New Roman" w:hAnsi="Times New Roman"/>
          <w:sz w:val="24"/>
          <w:szCs w:val="24"/>
        </w:rPr>
        <w:t xml:space="preserve"> the acquirer </w:t>
      </w:r>
      <w:r w:rsidRPr="00B903CC">
        <w:rPr>
          <w:rFonts w:ascii="Times New Roman" w:hAnsi="Times New Roman"/>
          <w:sz w:val="24"/>
          <w:szCs w:val="24"/>
        </w:rPr>
        <w:t xml:space="preserve">is </w:t>
      </w:r>
      <w:r w:rsidR="0011226B" w:rsidRPr="00B903CC">
        <w:rPr>
          <w:rFonts w:ascii="Times New Roman" w:hAnsi="Times New Roman"/>
          <w:sz w:val="24"/>
          <w:szCs w:val="24"/>
        </w:rPr>
        <w:t xml:space="preserve">not interested in </w:t>
      </w:r>
      <w:r w:rsidRPr="00B903CC">
        <w:rPr>
          <w:rFonts w:ascii="Times New Roman" w:hAnsi="Times New Roman"/>
          <w:sz w:val="24"/>
          <w:szCs w:val="24"/>
        </w:rPr>
        <w:t xml:space="preserve">a </w:t>
      </w:r>
      <w:r w:rsidR="0011226B" w:rsidRPr="00B903CC">
        <w:rPr>
          <w:rFonts w:ascii="Times New Roman" w:hAnsi="Times New Roman"/>
          <w:sz w:val="24"/>
          <w:szCs w:val="24"/>
        </w:rPr>
        <w:t>sale–purchase of a bankrupt/debtor’s enterprise.</w:t>
      </w:r>
    </w:p>
    <w:p w14:paraId="73E43E97" w14:textId="77777777" w:rsidR="00FD4304" w:rsidRPr="00B903CC" w:rsidRDefault="00FD4304" w:rsidP="0011226B">
      <w:pPr>
        <w:spacing w:after="0"/>
        <w:rPr>
          <w:rFonts w:ascii="Times New Roman" w:hAnsi="Times New Roman"/>
          <w:sz w:val="24"/>
          <w:szCs w:val="24"/>
        </w:rPr>
      </w:pPr>
    </w:p>
    <w:p w14:paraId="14DC7A71" w14:textId="137BEC53" w:rsidR="0011226B" w:rsidRPr="00B903CC" w:rsidRDefault="00FD4304" w:rsidP="0011226B">
      <w:pPr>
        <w:spacing w:after="0"/>
        <w:rPr>
          <w:rFonts w:ascii="Times New Roman" w:hAnsi="Times New Roman"/>
          <w:sz w:val="24"/>
          <w:szCs w:val="24"/>
        </w:rPr>
      </w:pPr>
      <w:r w:rsidRPr="00B903CC">
        <w:rPr>
          <w:rFonts w:ascii="Times New Roman" w:hAnsi="Times New Roman"/>
          <w:sz w:val="24"/>
          <w:szCs w:val="24"/>
        </w:rPr>
        <w:t xml:space="preserve">The </w:t>
      </w:r>
      <w:r w:rsidR="0011226B" w:rsidRPr="00B903CC">
        <w:rPr>
          <w:rFonts w:ascii="Times New Roman" w:hAnsi="Times New Roman"/>
          <w:i/>
          <w:sz w:val="24"/>
          <w:szCs w:val="24"/>
        </w:rPr>
        <w:t>Smallsteps</w:t>
      </w:r>
      <w:r w:rsidR="0011226B" w:rsidRPr="00B903CC">
        <w:rPr>
          <w:rFonts w:ascii="Times New Roman" w:hAnsi="Times New Roman"/>
          <w:sz w:val="24"/>
          <w:szCs w:val="24"/>
        </w:rPr>
        <w:t xml:space="preserve"> case </w:t>
      </w:r>
      <w:r w:rsidRPr="00B903CC">
        <w:rPr>
          <w:rFonts w:ascii="Times New Roman" w:hAnsi="Times New Roman"/>
          <w:sz w:val="24"/>
          <w:szCs w:val="24"/>
        </w:rPr>
        <w:t xml:space="preserve">concerned </w:t>
      </w:r>
      <w:r w:rsidR="0011226B" w:rsidRPr="00B903CC">
        <w:rPr>
          <w:rFonts w:ascii="Times New Roman" w:hAnsi="Times New Roman"/>
          <w:sz w:val="24"/>
          <w:szCs w:val="24"/>
        </w:rPr>
        <w:t xml:space="preserve">the Dutch pre-pack, which was not regulated by provisions of statutory law, but was rather a soft-law concept. Also, there were appointed </w:t>
      </w:r>
      <w:r w:rsidRPr="00B903CC">
        <w:rPr>
          <w:rFonts w:ascii="Times New Roman" w:hAnsi="Times New Roman"/>
          <w:sz w:val="24"/>
          <w:szCs w:val="24"/>
        </w:rPr>
        <w:t xml:space="preserve">a </w:t>
      </w:r>
      <w:r w:rsidR="0011226B" w:rsidRPr="00B903CC">
        <w:rPr>
          <w:rFonts w:ascii="Times New Roman" w:hAnsi="Times New Roman"/>
          <w:sz w:val="24"/>
          <w:szCs w:val="24"/>
        </w:rPr>
        <w:t>provis</w:t>
      </w:r>
      <w:r w:rsidRPr="00B903CC">
        <w:rPr>
          <w:rFonts w:ascii="Times New Roman" w:hAnsi="Times New Roman"/>
          <w:sz w:val="24"/>
          <w:szCs w:val="24"/>
        </w:rPr>
        <w:t>ional</w:t>
      </w:r>
      <w:r w:rsidR="0011226B" w:rsidRPr="00B903CC">
        <w:rPr>
          <w:rFonts w:ascii="Times New Roman" w:hAnsi="Times New Roman"/>
          <w:sz w:val="24"/>
          <w:szCs w:val="24"/>
        </w:rPr>
        <w:t xml:space="preserve"> court supervisor and provis</w:t>
      </w:r>
      <w:r w:rsidRPr="00B903CC">
        <w:rPr>
          <w:rFonts w:ascii="Times New Roman" w:hAnsi="Times New Roman"/>
          <w:sz w:val="24"/>
          <w:szCs w:val="24"/>
        </w:rPr>
        <w:t>ional</w:t>
      </w:r>
      <w:r w:rsidR="0011226B" w:rsidRPr="00B903CC">
        <w:rPr>
          <w:rFonts w:ascii="Times New Roman" w:hAnsi="Times New Roman"/>
          <w:sz w:val="24"/>
          <w:szCs w:val="24"/>
        </w:rPr>
        <w:t xml:space="preserve"> judge overlooking the transaction. Th</w:t>
      </w:r>
      <w:r w:rsidRPr="00B903CC">
        <w:rPr>
          <w:rFonts w:ascii="Times New Roman" w:hAnsi="Times New Roman"/>
          <w:sz w:val="24"/>
          <w:szCs w:val="24"/>
        </w:rPr>
        <w:t>ese</w:t>
      </w:r>
      <w:r w:rsidR="0011226B" w:rsidRPr="00B903CC">
        <w:rPr>
          <w:rFonts w:ascii="Times New Roman" w:hAnsi="Times New Roman"/>
          <w:sz w:val="24"/>
          <w:szCs w:val="24"/>
        </w:rPr>
        <w:t xml:space="preserve"> factors led the ECJ to the conclusion that </w:t>
      </w:r>
      <w:r w:rsidRPr="00B903CC">
        <w:rPr>
          <w:rFonts w:ascii="Times New Roman" w:hAnsi="Times New Roman"/>
          <w:sz w:val="24"/>
          <w:szCs w:val="24"/>
        </w:rPr>
        <w:t xml:space="preserve">the </w:t>
      </w:r>
      <w:r w:rsidR="0011226B" w:rsidRPr="00B903CC">
        <w:rPr>
          <w:rFonts w:ascii="Times New Roman" w:hAnsi="Times New Roman"/>
          <w:sz w:val="24"/>
          <w:szCs w:val="24"/>
        </w:rPr>
        <w:t>pre-pack in the Netherlands does not enjoy the privilege set forth in Article 5(1) of Council Directive 2001/23/EC of 12 March 2001 on the approximation of the laws of the Member States relating to the safeguarding of employees’ rights in the event of transfers of undertakings, businesses or parts of undertakings or businesses</w:t>
      </w:r>
      <w:r w:rsidRPr="00B903CC">
        <w:rPr>
          <w:rFonts w:ascii="Times New Roman" w:hAnsi="Times New Roman"/>
          <w:sz w:val="24"/>
          <w:szCs w:val="24"/>
        </w:rPr>
        <w:t xml:space="preserve"> (TUPE Directive)</w:t>
      </w:r>
      <w:r w:rsidR="0011226B" w:rsidRPr="00B903CC">
        <w:rPr>
          <w:rFonts w:ascii="Times New Roman" w:hAnsi="Times New Roman"/>
          <w:sz w:val="24"/>
          <w:szCs w:val="24"/>
        </w:rPr>
        <w:t xml:space="preserve">, because it does not fulfil </w:t>
      </w:r>
      <w:r w:rsidRPr="00B903CC">
        <w:rPr>
          <w:rFonts w:ascii="Times New Roman" w:hAnsi="Times New Roman"/>
          <w:sz w:val="24"/>
          <w:szCs w:val="24"/>
        </w:rPr>
        <w:t xml:space="preserve">the </w:t>
      </w:r>
      <w:r w:rsidR="0011226B" w:rsidRPr="00B903CC">
        <w:rPr>
          <w:rFonts w:ascii="Times New Roman" w:hAnsi="Times New Roman"/>
          <w:sz w:val="24"/>
          <w:szCs w:val="24"/>
        </w:rPr>
        <w:t xml:space="preserve">criteria set </w:t>
      </w:r>
      <w:r w:rsidRPr="00B903CC">
        <w:rPr>
          <w:rFonts w:ascii="Times New Roman" w:hAnsi="Times New Roman"/>
          <w:sz w:val="24"/>
          <w:szCs w:val="24"/>
        </w:rPr>
        <w:t>out in the text</w:t>
      </w:r>
      <w:r w:rsidR="0011226B" w:rsidRPr="00B903CC">
        <w:rPr>
          <w:rFonts w:ascii="Times New Roman" w:hAnsi="Times New Roman"/>
          <w:sz w:val="24"/>
          <w:szCs w:val="24"/>
        </w:rPr>
        <w:t>.</w:t>
      </w:r>
    </w:p>
    <w:p w14:paraId="7FEFBCED" w14:textId="77777777" w:rsidR="00FD4304" w:rsidRPr="00B903CC" w:rsidRDefault="00FD4304" w:rsidP="0011226B">
      <w:pPr>
        <w:spacing w:after="0"/>
        <w:rPr>
          <w:rFonts w:ascii="Times New Roman" w:hAnsi="Times New Roman"/>
          <w:sz w:val="24"/>
          <w:szCs w:val="24"/>
        </w:rPr>
      </w:pPr>
    </w:p>
    <w:p w14:paraId="5F23D30C" w14:textId="369F1E43" w:rsidR="00FD4304" w:rsidRPr="00B903CC" w:rsidRDefault="0011226B" w:rsidP="0011226B">
      <w:pPr>
        <w:spacing w:after="0"/>
        <w:rPr>
          <w:rFonts w:ascii="Times New Roman" w:hAnsi="Times New Roman"/>
          <w:sz w:val="24"/>
          <w:szCs w:val="24"/>
        </w:rPr>
      </w:pPr>
      <w:r w:rsidRPr="00B903CC">
        <w:rPr>
          <w:rFonts w:ascii="Times New Roman" w:hAnsi="Times New Roman"/>
          <w:sz w:val="24"/>
          <w:szCs w:val="24"/>
        </w:rPr>
        <w:t xml:space="preserve">In Poland, the situation was slightly different, as </w:t>
      </w:r>
      <w:r w:rsidR="00FD4304" w:rsidRPr="00B903CC">
        <w:rPr>
          <w:rFonts w:ascii="Times New Roman" w:hAnsi="Times New Roman"/>
          <w:sz w:val="24"/>
          <w:szCs w:val="24"/>
        </w:rPr>
        <w:t xml:space="preserve">the </w:t>
      </w:r>
      <w:r w:rsidRPr="00B903CC">
        <w:rPr>
          <w:rFonts w:ascii="Times New Roman" w:hAnsi="Times New Roman"/>
          <w:sz w:val="24"/>
          <w:szCs w:val="24"/>
        </w:rPr>
        <w:t xml:space="preserve">pre-pack sale is regulated within bankruptcy law and </w:t>
      </w:r>
      <w:r w:rsidR="00FD4304" w:rsidRPr="00B903CC">
        <w:rPr>
          <w:rFonts w:ascii="Times New Roman" w:hAnsi="Times New Roman"/>
          <w:sz w:val="24"/>
          <w:szCs w:val="24"/>
        </w:rPr>
        <w:t xml:space="preserve">an </w:t>
      </w:r>
      <w:r w:rsidRPr="00B903CC">
        <w:rPr>
          <w:rFonts w:ascii="Times New Roman" w:hAnsi="Times New Roman"/>
          <w:sz w:val="24"/>
          <w:szCs w:val="24"/>
        </w:rPr>
        <w:t>interim court supervisor is appointed by the bankruptcy court, like the judge-commissioner at the next level.</w:t>
      </w:r>
      <w:r w:rsidR="00FD4304" w:rsidRPr="00B903CC">
        <w:rPr>
          <w:rFonts w:ascii="Times New Roman" w:hAnsi="Times New Roman"/>
          <w:sz w:val="24"/>
          <w:szCs w:val="24"/>
        </w:rPr>
        <w:t xml:space="preserve"> It </w:t>
      </w:r>
      <w:r w:rsidRPr="00B903CC">
        <w:rPr>
          <w:rFonts w:ascii="Times New Roman" w:hAnsi="Times New Roman"/>
          <w:sz w:val="24"/>
          <w:szCs w:val="24"/>
        </w:rPr>
        <w:t>is also important</w:t>
      </w:r>
      <w:r w:rsidR="00FD4304" w:rsidRPr="00B903CC">
        <w:rPr>
          <w:rFonts w:ascii="Times New Roman" w:hAnsi="Times New Roman"/>
          <w:sz w:val="24"/>
          <w:szCs w:val="24"/>
        </w:rPr>
        <w:t xml:space="preserve"> to note that the</w:t>
      </w:r>
      <w:r w:rsidRPr="00B903CC">
        <w:rPr>
          <w:rFonts w:ascii="Times New Roman" w:hAnsi="Times New Roman"/>
          <w:sz w:val="24"/>
          <w:szCs w:val="24"/>
        </w:rPr>
        <w:t xml:space="preserve"> Polish pre-pack is meant to liquidate the business, </w:t>
      </w:r>
      <w:r w:rsidR="00FD4304" w:rsidRPr="00B903CC">
        <w:rPr>
          <w:rFonts w:ascii="Times New Roman" w:hAnsi="Times New Roman"/>
          <w:sz w:val="24"/>
          <w:szCs w:val="24"/>
        </w:rPr>
        <w:t xml:space="preserve">though </w:t>
      </w:r>
      <w:r w:rsidRPr="00B903CC">
        <w:rPr>
          <w:rFonts w:ascii="Times New Roman" w:hAnsi="Times New Roman"/>
          <w:sz w:val="24"/>
          <w:szCs w:val="24"/>
        </w:rPr>
        <w:t xml:space="preserve">allowing the quick sale </w:t>
      </w:r>
      <w:r w:rsidR="00FD4304" w:rsidRPr="00B903CC">
        <w:rPr>
          <w:rFonts w:ascii="Times New Roman" w:hAnsi="Times New Roman"/>
          <w:sz w:val="24"/>
          <w:szCs w:val="24"/>
        </w:rPr>
        <w:t xml:space="preserve">of </w:t>
      </w:r>
      <w:r w:rsidRPr="00B903CC">
        <w:rPr>
          <w:rFonts w:ascii="Times New Roman" w:hAnsi="Times New Roman"/>
          <w:sz w:val="24"/>
          <w:szCs w:val="24"/>
        </w:rPr>
        <w:t xml:space="preserve">the debtor/bankrupt’s enterprise (or important assets) as a going concern, but </w:t>
      </w:r>
      <w:r w:rsidR="00FD4304" w:rsidRPr="00B903CC">
        <w:rPr>
          <w:rFonts w:ascii="Times New Roman" w:hAnsi="Times New Roman"/>
          <w:sz w:val="24"/>
          <w:szCs w:val="24"/>
        </w:rPr>
        <w:t>with</w:t>
      </w:r>
      <w:r w:rsidRPr="00B903CC">
        <w:rPr>
          <w:rFonts w:ascii="Times New Roman" w:hAnsi="Times New Roman"/>
          <w:sz w:val="24"/>
          <w:szCs w:val="24"/>
        </w:rPr>
        <w:t>in the ruling (court decision) declaring bankruptcy.</w:t>
      </w:r>
    </w:p>
    <w:p w14:paraId="2F70E983" w14:textId="77777777" w:rsidR="00FD4304" w:rsidRPr="00B903CC" w:rsidRDefault="00FD4304" w:rsidP="0011226B">
      <w:pPr>
        <w:spacing w:after="0"/>
        <w:rPr>
          <w:rFonts w:ascii="Times New Roman" w:hAnsi="Times New Roman"/>
          <w:sz w:val="24"/>
          <w:szCs w:val="24"/>
        </w:rPr>
      </w:pPr>
    </w:p>
    <w:p w14:paraId="56F24D11" w14:textId="21C0D593" w:rsidR="0011226B" w:rsidRPr="00B903CC" w:rsidRDefault="0011226B" w:rsidP="0011226B">
      <w:pPr>
        <w:spacing w:after="0"/>
        <w:rPr>
          <w:rFonts w:ascii="Times New Roman" w:hAnsi="Times New Roman"/>
          <w:sz w:val="24"/>
          <w:szCs w:val="24"/>
        </w:rPr>
      </w:pPr>
      <w:r w:rsidRPr="00B903CC">
        <w:rPr>
          <w:rFonts w:ascii="Times New Roman" w:hAnsi="Times New Roman"/>
          <w:sz w:val="24"/>
          <w:szCs w:val="24"/>
        </w:rPr>
        <w:t>All th</w:t>
      </w:r>
      <w:r w:rsidR="00FD4304" w:rsidRPr="00B903CC">
        <w:rPr>
          <w:rFonts w:ascii="Times New Roman" w:hAnsi="Times New Roman"/>
          <w:sz w:val="24"/>
          <w:szCs w:val="24"/>
        </w:rPr>
        <w:t>e</w:t>
      </w:r>
      <w:r w:rsidRPr="00B903CC">
        <w:rPr>
          <w:rFonts w:ascii="Times New Roman" w:hAnsi="Times New Roman"/>
          <w:sz w:val="24"/>
          <w:szCs w:val="24"/>
        </w:rPr>
        <w:t>s</w:t>
      </w:r>
      <w:r w:rsidR="00FD4304" w:rsidRPr="00B903CC">
        <w:rPr>
          <w:rFonts w:ascii="Times New Roman" w:hAnsi="Times New Roman"/>
          <w:sz w:val="24"/>
          <w:szCs w:val="24"/>
        </w:rPr>
        <w:t>e</w:t>
      </w:r>
      <w:r w:rsidRPr="00B903CC">
        <w:rPr>
          <w:rFonts w:ascii="Times New Roman" w:hAnsi="Times New Roman"/>
          <w:sz w:val="24"/>
          <w:szCs w:val="24"/>
        </w:rPr>
        <w:t xml:space="preserve"> factors and argument</w:t>
      </w:r>
      <w:r w:rsidR="00FD4304" w:rsidRPr="00B903CC">
        <w:rPr>
          <w:rFonts w:ascii="Times New Roman" w:hAnsi="Times New Roman"/>
          <w:sz w:val="24"/>
          <w:szCs w:val="24"/>
        </w:rPr>
        <w:t>s</w:t>
      </w:r>
      <w:r w:rsidRPr="00B903CC">
        <w:rPr>
          <w:rFonts w:ascii="Times New Roman" w:hAnsi="Times New Roman"/>
          <w:sz w:val="24"/>
          <w:szCs w:val="24"/>
        </w:rPr>
        <w:t xml:space="preserve"> did not lead </w:t>
      </w:r>
      <w:r w:rsidR="00FD4304" w:rsidRPr="00B903CC">
        <w:rPr>
          <w:rFonts w:ascii="Times New Roman" w:hAnsi="Times New Roman"/>
          <w:sz w:val="24"/>
          <w:szCs w:val="24"/>
        </w:rPr>
        <w:t xml:space="preserve">the </w:t>
      </w:r>
      <w:r w:rsidRPr="00B903CC">
        <w:rPr>
          <w:rFonts w:ascii="Times New Roman" w:hAnsi="Times New Roman"/>
          <w:sz w:val="24"/>
          <w:szCs w:val="24"/>
        </w:rPr>
        <w:t xml:space="preserve">Polish government to change </w:t>
      </w:r>
      <w:r w:rsidR="00FD4304" w:rsidRPr="00B903CC">
        <w:rPr>
          <w:rFonts w:ascii="Times New Roman" w:hAnsi="Times New Roman"/>
          <w:sz w:val="24"/>
          <w:szCs w:val="24"/>
        </w:rPr>
        <w:t>its</w:t>
      </w:r>
      <w:r w:rsidRPr="00B903CC">
        <w:rPr>
          <w:rFonts w:ascii="Times New Roman" w:hAnsi="Times New Roman"/>
          <w:sz w:val="24"/>
          <w:szCs w:val="24"/>
        </w:rPr>
        <w:t xml:space="preserve"> decision </w:t>
      </w:r>
      <w:r w:rsidR="00FD4304" w:rsidRPr="00B903CC">
        <w:rPr>
          <w:rFonts w:ascii="Times New Roman" w:hAnsi="Times New Roman"/>
          <w:sz w:val="24"/>
          <w:szCs w:val="24"/>
        </w:rPr>
        <w:t xml:space="preserve">over the </w:t>
      </w:r>
      <w:r w:rsidRPr="00B903CC">
        <w:rPr>
          <w:rFonts w:ascii="Times New Roman" w:hAnsi="Times New Roman"/>
          <w:sz w:val="24"/>
          <w:szCs w:val="24"/>
        </w:rPr>
        <w:t>proposed amendment touching joint and several liability of the transferor and the transferee.</w:t>
      </w:r>
    </w:p>
    <w:p w14:paraId="49285916" w14:textId="10B6A6AA" w:rsidR="00FD4304" w:rsidRPr="00B903CC" w:rsidRDefault="00FD4304" w:rsidP="0011226B">
      <w:pPr>
        <w:spacing w:after="0"/>
        <w:rPr>
          <w:rFonts w:ascii="Times New Roman" w:hAnsi="Times New Roman"/>
          <w:sz w:val="24"/>
          <w:szCs w:val="24"/>
        </w:rPr>
      </w:pPr>
    </w:p>
    <w:p w14:paraId="4A2487F9" w14:textId="55DF84C9" w:rsidR="00FD4304" w:rsidRPr="00B903CC" w:rsidRDefault="00FD4304" w:rsidP="0011226B">
      <w:pPr>
        <w:spacing w:after="0"/>
        <w:rPr>
          <w:rFonts w:ascii="Times New Roman" w:hAnsi="Times New Roman"/>
          <w:i/>
          <w:sz w:val="24"/>
          <w:szCs w:val="24"/>
        </w:rPr>
      </w:pPr>
      <w:r w:rsidRPr="00B903CC">
        <w:rPr>
          <w:rFonts w:ascii="Times New Roman" w:hAnsi="Times New Roman"/>
          <w:i/>
          <w:sz w:val="24"/>
          <w:szCs w:val="24"/>
        </w:rPr>
        <w:t>The Heiploeg Effect</w:t>
      </w:r>
    </w:p>
    <w:p w14:paraId="77F959E5" w14:textId="77777777" w:rsidR="00FD4304" w:rsidRPr="00B903CC" w:rsidRDefault="00FD4304" w:rsidP="0011226B">
      <w:pPr>
        <w:spacing w:after="0"/>
        <w:rPr>
          <w:rFonts w:ascii="Times New Roman" w:hAnsi="Times New Roman"/>
          <w:sz w:val="24"/>
          <w:szCs w:val="24"/>
        </w:rPr>
      </w:pPr>
    </w:p>
    <w:p w14:paraId="0F346FB8" w14:textId="77777777" w:rsidR="00FD4304" w:rsidRPr="00B903CC" w:rsidRDefault="0011226B" w:rsidP="0011226B">
      <w:pPr>
        <w:spacing w:after="0"/>
        <w:rPr>
          <w:rFonts w:ascii="Times New Roman" w:hAnsi="Times New Roman"/>
          <w:sz w:val="24"/>
          <w:szCs w:val="24"/>
        </w:rPr>
      </w:pPr>
      <w:r w:rsidRPr="00B903CC">
        <w:rPr>
          <w:rFonts w:ascii="Times New Roman" w:hAnsi="Times New Roman"/>
          <w:sz w:val="24"/>
          <w:szCs w:val="24"/>
        </w:rPr>
        <w:t xml:space="preserve">Fortunately (at least for pre-packs), in </w:t>
      </w:r>
      <w:r w:rsidR="00FD4304" w:rsidRPr="00B903CC">
        <w:rPr>
          <w:rFonts w:ascii="Times New Roman" w:hAnsi="Times New Roman"/>
          <w:sz w:val="24"/>
          <w:szCs w:val="24"/>
        </w:rPr>
        <w:t xml:space="preserve">a </w:t>
      </w:r>
      <w:r w:rsidRPr="00B903CC">
        <w:rPr>
          <w:rFonts w:ascii="Times New Roman" w:hAnsi="Times New Roman"/>
          <w:sz w:val="24"/>
          <w:szCs w:val="24"/>
        </w:rPr>
        <w:t xml:space="preserve">more recent judgement – </w:t>
      </w:r>
      <w:r w:rsidRPr="00B903CC">
        <w:rPr>
          <w:rFonts w:ascii="Times New Roman" w:hAnsi="Times New Roman"/>
          <w:i/>
          <w:sz w:val="24"/>
          <w:szCs w:val="24"/>
        </w:rPr>
        <w:t>Heiploeg</w:t>
      </w:r>
      <w:r w:rsidRPr="00B903CC">
        <w:rPr>
          <w:rFonts w:ascii="Times New Roman" w:hAnsi="Times New Roman"/>
          <w:sz w:val="24"/>
          <w:szCs w:val="24"/>
        </w:rPr>
        <w:t xml:space="preserve"> (C-237/20), the </w:t>
      </w:r>
      <w:r w:rsidR="00FD4304" w:rsidRPr="00B903CC">
        <w:rPr>
          <w:rFonts w:ascii="Times New Roman" w:hAnsi="Times New Roman"/>
          <w:sz w:val="24"/>
          <w:szCs w:val="24"/>
        </w:rPr>
        <w:t>CJEU</w:t>
      </w:r>
      <w:r w:rsidRPr="00B903CC">
        <w:rPr>
          <w:rFonts w:ascii="Times New Roman" w:hAnsi="Times New Roman"/>
          <w:sz w:val="24"/>
          <w:szCs w:val="24"/>
        </w:rPr>
        <w:t xml:space="preserve"> lifted conditions for the Dutch pre-pack a little bit. The judgement provide</w:t>
      </w:r>
      <w:r w:rsidR="00FD4304" w:rsidRPr="00B903CC">
        <w:rPr>
          <w:rFonts w:ascii="Times New Roman" w:hAnsi="Times New Roman"/>
          <w:sz w:val="24"/>
          <w:szCs w:val="24"/>
        </w:rPr>
        <w:t>d</w:t>
      </w:r>
      <w:r w:rsidRPr="00B903CC">
        <w:rPr>
          <w:rFonts w:ascii="Times New Roman" w:hAnsi="Times New Roman"/>
          <w:sz w:val="24"/>
          <w:szCs w:val="24"/>
        </w:rPr>
        <w:t xml:space="preserve"> that the criteria from the TUPE Directive are satisfied where the transfer of all or part of an undertaking is prepared, prior to the institution of insolvency proceedings with a view to the liquidation of the assets of the transferor and in the course of which that transfer is carried out, in the context of a pre-pack procedure which has as its primary aim to enable, in the insolvency proceedings, a liquidation of the undertaking as a going concern satisf</w:t>
      </w:r>
      <w:r w:rsidR="00FD4304" w:rsidRPr="00B903CC">
        <w:rPr>
          <w:rFonts w:ascii="Times New Roman" w:hAnsi="Times New Roman"/>
          <w:sz w:val="24"/>
          <w:szCs w:val="24"/>
        </w:rPr>
        <w:t>ying,</w:t>
      </w:r>
      <w:r w:rsidRPr="00B903CC">
        <w:rPr>
          <w:rFonts w:ascii="Times New Roman" w:hAnsi="Times New Roman"/>
          <w:sz w:val="24"/>
          <w:szCs w:val="24"/>
        </w:rPr>
        <w:t xml:space="preserve"> to the greatest extent possible</w:t>
      </w:r>
      <w:r w:rsidR="00FD4304" w:rsidRPr="00B903CC">
        <w:rPr>
          <w:rFonts w:ascii="Times New Roman" w:hAnsi="Times New Roman"/>
          <w:sz w:val="24"/>
          <w:szCs w:val="24"/>
        </w:rPr>
        <w:t>,</w:t>
      </w:r>
      <w:r w:rsidRPr="00B903CC">
        <w:rPr>
          <w:rFonts w:ascii="Times New Roman" w:hAnsi="Times New Roman"/>
          <w:sz w:val="24"/>
          <w:szCs w:val="24"/>
        </w:rPr>
        <w:t xml:space="preserve"> the claims of all the creditors and preserv</w:t>
      </w:r>
      <w:r w:rsidR="00FD4304" w:rsidRPr="00B903CC">
        <w:rPr>
          <w:rFonts w:ascii="Times New Roman" w:hAnsi="Times New Roman"/>
          <w:sz w:val="24"/>
          <w:szCs w:val="24"/>
        </w:rPr>
        <w:t>ing</w:t>
      </w:r>
      <w:r w:rsidRPr="00B903CC">
        <w:rPr>
          <w:rFonts w:ascii="Times New Roman" w:hAnsi="Times New Roman"/>
          <w:sz w:val="24"/>
          <w:szCs w:val="24"/>
        </w:rPr>
        <w:t xml:space="preserve"> employment as far as possible</w:t>
      </w:r>
      <w:r w:rsidR="00FD4304" w:rsidRPr="00B903CC">
        <w:rPr>
          <w:rFonts w:ascii="Times New Roman" w:hAnsi="Times New Roman"/>
          <w:sz w:val="24"/>
          <w:szCs w:val="24"/>
        </w:rPr>
        <w:t>.</w:t>
      </w:r>
    </w:p>
    <w:p w14:paraId="6C05C98D" w14:textId="77777777" w:rsidR="00FD4304" w:rsidRPr="00B903CC" w:rsidRDefault="00FD4304" w:rsidP="0011226B">
      <w:pPr>
        <w:spacing w:after="0"/>
        <w:rPr>
          <w:rFonts w:ascii="Times New Roman" w:hAnsi="Times New Roman"/>
          <w:sz w:val="24"/>
          <w:szCs w:val="24"/>
        </w:rPr>
      </w:pPr>
    </w:p>
    <w:p w14:paraId="28837712" w14:textId="69AEA53B" w:rsidR="0011226B" w:rsidRPr="00B903CC" w:rsidRDefault="00FD4304" w:rsidP="0011226B">
      <w:pPr>
        <w:spacing w:after="0"/>
        <w:rPr>
          <w:rFonts w:ascii="Times New Roman" w:hAnsi="Times New Roman"/>
          <w:sz w:val="24"/>
          <w:szCs w:val="24"/>
        </w:rPr>
      </w:pPr>
      <w:r w:rsidRPr="00B903CC">
        <w:rPr>
          <w:rFonts w:ascii="Times New Roman" w:hAnsi="Times New Roman"/>
          <w:sz w:val="24"/>
          <w:szCs w:val="24"/>
        </w:rPr>
        <w:t>This is</w:t>
      </w:r>
      <w:r w:rsidR="0011226B" w:rsidRPr="00B903CC">
        <w:rPr>
          <w:rFonts w:ascii="Times New Roman" w:hAnsi="Times New Roman"/>
          <w:sz w:val="24"/>
          <w:szCs w:val="24"/>
        </w:rPr>
        <w:t xml:space="preserve"> provided that </w:t>
      </w:r>
      <w:r w:rsidRPr="00B903CC">
        <w:rPr>
          <w:rFonts w:ascii="Times New Roman" w:hAnsi="Times New Roman"/>
          <w:sz w:val="24"/>
          <w:szCs w:val="24"/>
        </w:rPr>
        <w:t xml:space="preserve">the </w:t>
      </w:r>
      <w:r w:rsidR="0011226B" w:rsidRPr="00B903CC">
        <w:rPr>
          <w:rFonts w:ascii="Times New Roman" w:hAnsi="Times New Roman"/>
          <w:sz w:val="24"/>
          <w:szCs w:val="24"/>
        </w:rPr>
        <w:t xml:space="preserve">pre-pack procedure is governed by statutory or regulatory provisions </w:t>
      </w:r>
      <w:r w:rsidRPr="00B903CC">
        <w:rPr>
          <w:rFonts w:ascii="Times New Roman" w:hAnsi="Times New Roman"/>
          <w:sz w:val="24"/>
          <w:szCs w:val="24"/>
        </w:rPr>
        <w:t xml:space="preserve">and </w:t>
      </w:r>
      <w:r w:rsidR="0011226B" w:rsidRPr="00B903CC">
        <w:rPr>
          <w:rFonts w:ascii="Times New Roman" w:hAnsi="Times New Roman"/>
          <w:sz w:val="24"/>
          <w:szCs w:val="24"/>
        </w:rPr>
        <w:t xml:space="preserve">– </w:t>
      </w:r>
      <w:r w:rsidRPr="00B903CC">
        <w:rPr>
          <w:rFonts w:ascii="Times New Roman" w:hAnsi="Times New Roman"/>
          <w:sz w:val="24"/>
          <w:szCs w:val="24"/>
        </w:rPr>
        <w:t xml:space="preserve">also </w:t>
      </w:r>
      <w:r w:rsidR="0011226B" w:rsidRPr="00B903CC">
        <w:rPr>
          <w:rFonts w:ascii="Times New Roman" w:hAnsi="Times New Roman"/>
          <w:sz w:val="24"/>
          <w:szCs w:val="24"/>
        </w:rPr>
        <w:t xml:space="preserve">with regard to the transfer of all or part of an undertaking </w:t>
      </w:r>
      <w:r w:rsidRPr="00B903CC">
        <w:rPr>
          <w:rFonts w:ascii="Times New Roman" w:hAnsi="Times New Roman"/>
          <w:sz w:val="24"/>
          <w:szCs w:val="24"/>
        </w:rPr>
        <w:t xml:space="preserve">– </w:t>
      </w:r>
      <w:r w:rsidR="0011226B" w:rsidRPr="00B903CC">
        <w:rPr>
          <w:rFonts w:ascii="Times New Roman" w:hAnsi="Times New Roman"/>
          <w:sz w:val="24"/>
          <w:szCs w:val="24"/>
        </w:rPr>
        <w:t>is prepared in the context of a pre-pack procedure prior to the declaration of insolvency by a ‘prospective insolvency administrator’ under the supervision of a ‘prospective supervisory judge’</w:t>
      </w:r>
      <w:r w:rsidRPr="00B903CC">
        <w:rPr>
          <w:rFonts w:ascii="Times New Roman" w:hAnsi="Times New Roman"/>
          <w:sz w:val="24"/>
          <w:szCs w:val="24"/>
        </w:rPr>
        <w:t xml:space="preserve">. Moreover, </w:t>
      </w:r>
      <w:r w:rsidR="0011226B" w:rsidRPr="00B903CC">
        <w:rPr>
          <w:rFonts w:ascii="Times New Roman" w:hAnsi="Times New Roman"/>
          <w:sz w:val="24"/>
          <w:szCs w:val="24"/>
        </w:rPr>
        <w:t xml:space="preserve">the agreement concerning that transfer </w:t>
      </w:r>
      <w:r w:rsidRPr="00B903CC">
        <w:rPr>
          <w:rFonts w:ascii="Times New Roman" w:hAnsi="Times New Roman"/>
          <w:sz w:val="24"/>
          <w:szCs w:val="24"/>
        </w:rPr>
        <w:t xml:space="preserve">should be </w:t>
      </w:r>
      <w:r w:rsidR="0011226B" w:rsidRPr="00B903CC">
        <w:rPr>
          <w:rFonts w:ascii="Times New Roman" w:hAnsi="Times New Roman"/>
          <w:sz w:val="24"/>
          <w:szCs w:val="24"/>
        </w:rPr>
        <w:t>concluded and performed after the declaration of insolvency with a view to the liquidation of the transferor’s assets.</w:t>
      </w:r>
    </w:p>
    <w:p w14:paraId="6F6AF4A3" w14:textId="77777777" w:rsidR="00FD4304" w:rsidRPr="00B903CC" w:rsidRDefault="00FD4304" w:rsidP="0011226B">
      <w:pPr>
        <w:spacing w:after="0"/>
        <w:rPr>
          <w:rFonts w:ascii="Times New Roman" w:hAnsi="Times New Roman"/>
          <w:sz w:val="24"/>
          <w:szCs w:val="24"/>
        </w:rPr>
      </w:pPr>
    </w:p>
    <w:p w14:paraId="6066E1EA" w14:textId="25CB9543" w:rsidR="0011226B" w:rsidRPr="00B903CC" w:rsidRDefault="00FD4304" w:rsidP="0011226B">
      <w:pPr>
        <w:spacing w:after="0"/>
        <w:rPr>
          <w:rFonts w:ascii="Times New Roman" w:hAnsi="Times New Roman"/>
          <w:sz w:val="24"/>
          <w:szCs w:val="24"/>
        </w:rPr>
      </w:pPr>
      <w:r w:rsidRPr="00B903CC">
        <w:rPr>
          <w:rFonts w:ascii="Times New Roman" w:hAnsi="Times New Roman"/>
          <w:sz w:val="24"/>
          <w:szCs w:val="24"/>
        </w:rPr>
        <w:t xml:space="preserve">The </w:t>
      </w:r>
      <w:r w:rsidR="0011226B" w:rsidRPr="00B903CC">
        <w:rPr>
          <w:rFonts w:ascii="Times New Roman" w:hAnsi="Times New Roman"/>
          <w:i/>
          <w:sz w:val="24"/>
          <w:szCs w:val="24"/>
        </w:rPr>
        <w:t>Heiploeg</w:t>
      </w:r>
      <w:r w:rsidR="0011226B" w:rsidRPr="00B903CC">
        <w:rPr>
          <w:rFonts w:ascii="Times New Roman" w:hAnsi="Times New Roman"/>
          <w:sz w:val="24"/>
          <w:szCs w:val="24"/>
        </w:rPr>
        <w:t xml:space="preserve"> judgement proves that careful consideration and thorough analysis of </w:t>
      </w:r>
      <w:r w:rsidR="00B903CC" w:rsidRPr="00B903CC">
        <w:rPr>
          <w:rFonts w:ascii="Times New Roman" w:hAnsi="Times New Roman"/>
          <w:sz w:val="24"/>
          <w:szCs w:val="24"/>
        </w:rPr>
        <w:t xml:space="preserve">the facts of </w:t>
      </w:r>
      <w:r w:rsidR="0011226B" w:rsidRPr="00B903CC">
        <w:rPr>
          <w:rFonts w:ascii="Times New Roman" w:hAnsi="Times New Roman"/>
          <w:sz w:val="24"/>
          <w:szCs w:val="24"/>
        </w:rPr>
        <w:t xml:space="preserve">each case is crucial to reaching guidance for other </w:t>
      </w:r>
      <w:r w:rsidR="00B903CC" w:rsidRPr="00B903CC">
        <w:rPr>
          <w:rFonts w:ascii="Times New Roman" w:hAnsi="Times New Roman"/>
          <w:sz w:val="24"/>
          <w:szCs w:val="24"/>
        </w:rPr>
        <w:t xml:space="preserve">like </w:t>
      </w:r>
      <w:r w:rsidR="0011226B" w:rsidRPr="00B903CC">
        <w:rPr>
          <w:rFonts w:ascii="Times New Roman" w:hAnsi="Times New Roman"/>
          <w:sz w:val="24"/>
          <w:szCs w:val="24"/>
        </w:rPr>
        <w:t>cases.</w:t>
      </w:r>
      <w:r w:rsidR="00B903CC" w:rsidRPr="00B903CC">
        <w:rPr>
          <w:rFonts w:ascii="Times New Roman" w:hAnsi="Times New Roman"/>
          <w:sz w:val="24"/>
          <w:szCs w:val="24"/>
        </w:rPr>
        <w:t xml:space="preserve"> </w:t>
      </w:r>
      <w:r w:rsidR="0011226B" w:rsidRPr="00B903CC">
        <w:rPr>
          <w:rFonts w:ascii="Times New Roman" w:hAnsi="Times New Roman"/>
          <w:sz w:val="24"/>
          <w:szCs w:val="24"/>
        </w:rPr>
        <w:t xml:space="preserve">Therefore, the Polish pre-pack still can be a method of liquidation with the aim thereto, but also enables </w:t>
      </w:r>
      <w:r w:rsidR="00B903CC" w:rsidRPr="00B903CC">
        <w:rPr>
          <w:rFonts w:ascii="Times New Roman" w:hAnsi="Times New Roman"/>
          <w:sz w:val="24"/>
          <w:szCs w:val="24"/>
        </w:rPr>
        <w:t xml:space="preserve">the </w:t>
      </w:r>
      <w:r w:rsidR="0011226B" w:rsidRPr="00B903CC">
        <w:rPr>
          <w:rFonts w:ascii="Times New Roman" w:hAnsi="Times New Roman"/>
          <w:sz w:val="24"/>
          <w:szCs w:val="24"/>
        </w:rPr>
        <w:t>sav</w:t>
      </w:r>
      <w:r w:rsidR="00B903CC" w:rsidRPr="00B903CC">
        <w:rPr>
          <w:rFonts w:ascii="Times New Roman" w:hAnsi="Times New Roman"/>
          <w:sz w:val="24"/>
          <w:szCs w:val="24"/>
        </w:rPr>
        <w:t>ing of</w:t>
      </w:r>
      <w:r w:rsidR="0011226B" w:rsidRPr="00B903CC">
        <w:rPr>
          <w:rFonts w:ascii="Times New Roman" w:hAnsi="Times New Roman"/>
          <w:sz w:val="24"/>
          <w:szCs w:val="24"/>
        </w:rPr>
        <w:t xml:space="preserve"> workplaces, </w:t>
      </w:r>
      <w:r w:rsidR="00B903CC" w:rsidRPr="00B903CC">
        <w:rPr>
          <w:rFonts w:ascii="Times New Roman" w:hAnsi="Times New Roman"/>
          <w:sz w:val="24"/>
          <w:szCs w:val="24"/>
        </w:rPr>
        <w:t xml:space="preserve">thus </w:t>
      </w:r>
      <w:r w:rsidR="0011226B" w:rsidRPr="00B903CC">
        <w:rPr>
          <w:rFonts w:ascii="Times New Roman" w:hAnsi="Times New Roman"/>
          <w:sz w:val="24"/>
          <w:szCs w:val="24"/>
        </w:rPr>
        <w:t>combin</w:t>
      </w:r>
      <w:r w:rsidR="00B903CC" w:rsidRPr="00B903CC">
        <w:rPr>
          <w:rFonts w:ascii="Times New Roman" w:hAnsi="Times New Roman"/>
          <w:sz w:val="24"/>
          <w:szCs w:val="24"/>
        </w:rPr>
        <w:t>ing</w:t>
      </w:r>
      <w:r w:rsidR="0011226B" w:rsidRPr="00B903CC">
        <w:rPr>
          <w:rFonts w:ascii="Times New Roman" w:hAnsi="Times New Roman"/>
          <w:sz w:val="24"/>
          <w:szCs w:val="24"/>
        </w:rPr>
        <w:t xml:space="preserve"> the aim of liquidate and restructur</w:t>
      </w:r>
      <w:r w:rsidR="00B903CC" w:rsidRPr="00B903CC">
        <w:rPr>
          <w:rFonts w:ascii="Times New Roman" w:hAnsi="Times New Roman"/>
          <w:sz w:val="24"/>
          <w:szCs w:val="24"/>
        </w:rPr>
        <w:t xml:space="preserve">ing. In the author’s view, this does not infringe the direction of the EU case-law because </w:t>
      </w:r>
      <w:r w:rsidR="0011226B" w:rsidRPr="00B903CC">
        <w:rPr>
          <w:rFonts w:ascii="Times New Roman" w:hAnsi="Times New Roman"/>
          <w:sz w:val="24"/>
          <w:szCs w:val="24"/>
        </w:rPr>
        <w:t xml:space="preserve">the liquidation purpose </w:t>
      </w:r>
      <w:r w:rsidR="00B903CC" w:rsidRPr="00B903CC">
        <w:rPr>
          <w:rFonts w:ascii="Times New Roman" w:hAnsi="Times New Roman"/>
          <w:sz w:val="24"/>
          <w:szCs w:val="24"/>
        </w:rPr>
        <w:t xml:space="preserve">of the process </w:t>
      </w:r>
      <w:r w:rsidR="0011226B" w:rsidRPr="00B903CC">
        <w:rPr>
          <w:rFonts w:ascii="Times New Roman" w:hAnsi="Times New Roman"/>
          <w:sz w:val="24"/>
          <w:szCs w:val="24"/>
        </w:rPr>
        <w:t>prevails.</w:t>
      </w:r>
    </w:p>
    <w:p w14:paraId="0E29E32A" w14:textId="77777777" w:rsidR="00B903CC" w:rsidRPr="00B903CC" w:rsidRDefault="00B903CC" w:rsidP="0011226B">
      <w:pPr>
        <w:spacing w:after="0"/>
        <w:rPr>
          <w:rFonts w:ascii="Times New Roman" w:hAnsi="Times New Roman"/>
          <w:sz w:val="24"/>
          <w:szCs w:val="24"/>
        </w:rPr>
      </w:pPr>
    </w:p>
    <w:p w14:paraId="20FD8A6A" w14:textId="349FCEE4" w:rsidR="0011226B" w:rsidRPr="00B903CC" w:rsidRDefault="0011226B" w:rsidP="0011226B">
      <w:pPr>
        <w:spacing w:after="0"/>
        <w:rPr>
          <w:rFonts w:ascii="Times New Roman" w:hAnsi="Times New Roman"/>
          <w:sz w:val="24"/>
          <w:szCs w:val="24"/>
        </w:rPr>
      </w:pPr>
      <w:r w:rsidRPr="00B903CC">
        <w:rPr>
          <w:rFonts w:ascii="Times New Roman" w:hAnsi="Times New Roman"/>
          <w:sz w:val="24"/>
          <w:szCs w:val="24"/>
        </w:rPr>
        <w:lastRenderedPageBreak/>
        <w:t xml:space="preserve">Although Polish law </w:t>
      </w:r>
      <w:r w:rsidR="00B903CC" w:rsidRPr="00B903CC">
        <w:rPr>
          <w:rFonts w:ascii="Times New Roman" w:hAnsi="Times New Roman"/>
          <w:sz w:val="24"/>
          <w:szCs w:val="24"/>
        </w:rPr>
        <w:t xml:space="preserve">has </w:t>
      </w:r>
      <w:r w:rsidRPr="00B903CC">
        <w:rPr>
          <w:rFonts w:ascii="Times New Roman" w:hAnsi="Times New Roman"/>
          <w:sz w:val="24"/>
          <w:szCs w:val="24"/>
        </w:rPr>
        <w:t xml:space="preserve">changed a little bit, </w:t>
      </w:r>
      <w:r w:rsidR="00B903CC" w:rsidRPr="00B903CC">
        <w:rPr>
          <w:rFonts w:ascii="Times New Roman" w:hAnsi="Times New Roman"/>
          <w:sz w:val="24"/>
          <w:szCs w:val="24"/>
        </w:rPr>
        <w:t xml:space="preserve">the </w:t>
      </w:r>
      <w:r w:rsidRPr="00B903CC">
        <w:rPr>
          <w:rFonts w:ascii="Times New Roman" w:hAnsi="Times New Roman"/>
          <w:sz w:val="24"/>
          <w:szCs w:val="24"/>
        </w:rPr>
        <w:t xml:space="preserve">conclusions presented above allow </w:t>
      </w:r>
      <w:r w:rsidR="00B903CC" w:rsidRPr="00B903CC">
        <w:rPr>
          <w:rFonts w:ascii="Times New Roman" w:hAnsi="Times New Roman"/>
          <w:sz w:val="24"/>
          <w:szCs w:val="24"/>
        </w:rPr>
        <w:t xml:space="preserve">the author </w:t>
      </w:r>
      <w:r w:rsidRPr="00B903CC">
        <w:rPr>
          <w:rFonts w:ascii="Times New Roman" w:hAnsi="Times New Roman"/>
          <w:sz w:val="24"/>
          <w:szCs w:val="24"/>
        </w:rPr>
        <w:t>to claim that</w:t>
      </w:r>
      <w:r w:rsidR="00B903CC" w:rsidRPr="00B903CC">
        <w:rPr>
          <w:rFonts w:ascii="Times New Roman" w:hAnsi="Times New Roman"/>
          <w:sz w:val="24"/>
          <w:szCs w:val="24"/>
        </w:rPr>
        <w:t>,</w:t>
      </w:r>
      <w:r w:rsidRPr="00B903CC">
        <w:rPr>
          <w:rFonts w:ascii="Times New Roman" w:hAnsi="Times New Roman"/>
          <w:sz w:val="24"/>
          <w:szCs w:val="24"/>
        </w:rPr>
        <w:t xml:space="preserve"> if the case </w:t>
      </w:r>
      <w:r w:rsidR="00B903CC" w:rsidRPr="00B903CC">
        <w:rPr>
          <w:rFonts w:ascii="Times New Roman" w:hAnsi="Times New Roman"/>
          <w:sz w:val="24"/>
          <w:szCs w:val="24"/>
        </w:rPr>
        <w:t xml:space="preserve">were </w:t>
      </w:r>
      <w:r w:rsidRPr="00B903CC">
        <w:rPr>
          <w:rFonts w:ascii="Times New Roman" w:hAnsi="Times New Roman"/>
          <w:sz w:val="24"/>
          <w:szCs w:val="24"/>
        </w:rPr>
        <w:t>of Pol</w:t>
      </w:r>
      <w:r w:rsidR="00B903CC" w:rsidRPr="00B903CC">
        <w:rPr>
          <w:rFonts w:ascii="Times New Roman" w:hAnsi="Times New Roman"/>
          <w:sz w:val="24"/>
          <w:szCs w:val="24"/>
        </w:rPr>
        <w:t>ish</w:t>
      </w:r>
      <w:r w:rsidRPr="00B903CC">
        <w:rPr>
          <w:rFonts w:ascii="Times New Roman" w:hAnsi="Times New Roman"/>
          <w:sz w:val="24"/>
          <w:szCs w:val="24"/>
        </w:rPr>
        <w:t xml:space="preserve"> origin, the </w:t>
      </w:r>
      <w:r w:rsidR="00B903CC" w:rsidRPr="00B903CC">
        <w:rPr>
          <w:rFonts w:ascii="Times New Roman" w:hAnsi="Times New Roman"/>
          <w:sz w:val="24"/>
          <w:szCs w:val="24"/>
        </w:rPr>
        <w:t xml:space="preserve">CJEU would </w:t>
      </w:r>
      <w:r w:rsidRPr="00B903CC">
        <w:rPr>
          <w:rFonts w:ascii="Times New Roman" w:hAnsi="Times New Roman"/>
          <w:sz w:val="24"/>
          <w:szCs w:val="24"/>
        </w:rPr>
        <w:t>most probably allow the application of Article 5(1) of the TUPE Directive.</w:t>
      </w:r>
      <w:r w:rsidR="00B903CC" w:rsidRPr="00B903CC">
        <w:rPr>
          <w:rFonts w:ascii="Times New Roman" w:hAnsi="Times New Roman"/>
          <w:sz w:val="24"/>
          <w:szCs w:val="24"/>
        </w:rPr>
        <w:t xml:space="preserve"> </w:t>
      </w:r>
      <w:r w:rsidRPr="00B903CC">
        <w:rPr>
          <w:rFonts w:ascii="Times New Roman" w:hAnsi="Times New Roman"/>
          <w:sz w:val="24"/>
          <w:szCs w:val="24"/>
        </w:rPr>
        <w:t xml:space="preserve">This is mainly because </w:t>
      </w:r>
      <w:r w:rsidR="00B903CC" w:rsidRPr="00B903CC">
        <w:rPr>
          <w:rFonts w:ascii="Times New Roman" w:hAnsi="Times New Roman"/>
          <w:sz w:val="24"/>
          <w:szCs w:val="24"/>
        </w:rPr>
        <w:t xml:space="preserve">the </w:t>
      </w:r>
      <w:r w:rsidRPr="00B903CC">
        <w:rPr>
          <w:rFonts w:ascii="Times New Roman" w:hAnsi="Times New Roman"/>
          <w:sz w:val="24"/>
          <w:szCs w:val="24"/>
        </w:rPr>
        <w:t xml:space="preserve">abovementioned </w:t>
      </w:r>
      <w:r w:rsidR="00B903CC" w:rsidRPr="00B903CC">
        <w:rPr>
          <w:rFonts w:ascii="Times New Roman" w:hAnsi="Times New Roman"/>
          <w:sz w:val="24"/>
          <w:szCs w:val="24"/>
        </w:rPr>
        <w:t xml:space="preserve">domestic </w:t>
      </w:r>
      <w:r w:rsidRPr="00B903CC">
        <w:rPr>
          <w:rFonts w:ascii="Times New Roman" w:hAnsi="Times New Roman"/>
          <w:sz w:val="24"/>
          <w:szCs w:val="24"/>
        </w:rPr>
        <w:t xml:space="preserve">amendments to the pre-pack process do not affect </w:t>
      </w:r>
      <w:r w:rsidR="00B903CC" w:rsidRPr="00B903CC">
        <w:rPr>
          <w:rFonts w:ascii="Times New Roman" w:hAnsi="Times New Roman"/>
          <w:sz w:val="24"/>
          <w:szCs w:val="24"/>
        </w:rPr>
        <w:t xml:space="preserve">its </w:t>
      </w:r>
      <w:r w:rsidRPr="00B903CC">
        <w:rPr>
          <w:rFonts w:ascii="Times New Roman" w:hAnsi="Times New Roman"/>
          <w:sz w:val="24"/>
          <w:szCs w:val="24"/>
        </w:rPr>
        <w:t xml:space="preserve">most important </w:t>
      </w:r>
      <w:r w:rsidR="00B903CC" w:rsidRPr="00B903CC">
        <w:rPr>
          <w:rFonts w:ascii="Times New Roman" w:hAnsi="Times New Roman"/>
          <w:sz w:val="24"/>
          <w:szCs w:val="24"/>
        </w:rPr>
        <w:t>feature</w:t>
      </w:r>
      <w:r w:rsidRPr="00B903CC">
        <w:rPr>
          <w:rFonts w:ascii="Times New Roman" w:hAnsi="Times New Roman"/>
          <w:sz w:val="24"/>
          <w:szCs w:val="24"/>
        </w:rPr>
        <w:t xml:space="preserve">, namely that </w:t>
      </w:r>
      <w:r w:rsidR="00B903CC" w:rsidRPr="00B903CC">
        <w:rPr>
          <w:rFonts w:ascii="Times New Roman" w:hAnsi="Times New Roman"/>
          <w:sz w:val="24"/>
          <w:szCs w:val="24"/>
        </w:rPr>
        <w:t xml:space="preserve">the </w:t>
      </w:r>
      <w:r w:rsidRPr="00B903CC">
        <w:rPr>
          <w:rFonts w:ascii="Times New Roman" w:hAnsi="Times New Roman"/>
          <w:sz w:val="24"/>
          <w:szCs w:val="24"/>
        </w:rPr>
        <w:t xml:space="preserve">pre-pack in Poland aims to liquidate </w:t>
      </w:r>
      <w:r w:rsidR="00B903CC" w:rsidRPr="00B903CC">
        <w:rPr>
          <w:rFonts w:ascii="Times New Roman" w:hAnsi="Times New Roman"/>
          <w:sz w:val="24"/>
          <w:szCs w:val="24"/>
        </w:rPr>
        <w:t xml:space="preserve">a </w:t>
      </w:r>
      <w:r w:rsidRPr="00B903CC">
        <w:rPr>
          <w:rFonts w:ascii="Times New Roman" w:hAnsi="Times New Roman"/>
          <w:sz w:val="24"/>
          <w:szCs w:val="24"/>
        </w:rPr>
        <w:t>business</w:t>
      </w:r>
      <w:r w:rsidR="00B903CC" w:rsidRPr="00B903CC">
        <w:rPr>
          <w:rFonts w:ascii="Times New Roman" w:hAnsi="Times New Roman"/>
          <w:sz w:val="24"/>
          <w:szCs w:val="24"/>
        </w:rPr>
        <w:t xml:space="preserve"> and</w:t>
      </w:r>
      <w:r w:rsidRPr="00B903CC">
        <w:rPr>
          <w:rFonts w:ascii="Times New Roman" w:hAnsi="Times New Roman"/>
          <w:sz w:val="24"/>
          <w:szCs w:val="24"/>
        </w:rPr>
        <w:t xml:space="preserve"> not continue operations.</w:t>
      </w:r>
    </w:p>
    <w:p w14:paraId="049F0986" w14:textId="643CF999" w:rsidR="00B903CC" w:rsidRPr="00B903CC" w:rsidRDefault="00B903CC" w:rsidP="0011226B">
      <w:pPr>
        <w:spacing w:after="0"/>
        <w:rPr>
          <w:rFonts w:ascii="Times New Roman" w:hAnsi="Times New Roman"/>
          <w:sz w:val="24"/>
          <w:szCs w:val="24"/>
        </w:rPr>
      </w:pPr>
    </w:p>
    <w:p w14:paraId="12404AF6" w14:textId="1CFFE1B1" w:rsidR="00B903CC" w:rsidRPr="00B903CC" w:rsidRDefault="00E64EE0" w:rsidP="0011226B">
      <w:pPr>
        <w:spacing w:after="0"/>
        <w:rPr>
          <w:rFonts w:ascii="Times New Roman" w:hAnsi="Times New Roman"/>
          <w:i/>
          <w:sz w:val="24"/>
          <w:szCs w:val="24"/>
        </w:rPr>
      </w:pPr>
      <w:r>
        <w:rPr>
          <w:rFonts w:ascii="Times New Roman" w:hAnsi="Times New Roman"/>
          <w:i/>
          <w:sz w:val="24"/>
          <w:szCs w:val="24"/>
        </w:rPr>
        <w:t xml:space="preserve">The </w:t>
      </w:r>
      <w:bookmarkStart w:id="0" w:name="_GoBack"/>
      <w:bookmarkEnd w:id="0"/>
      <w:r w:rsidR="00B903CC" w:rsidRPr="00B903CC">
        <w:rPr>
          <w:rFonts w:ascii="Times New Roman" w:hAnsi="Times New Roman"/>
          <w:i/>
          <w:sz w:val="24"/>
          <w:szCs w:val="24"/>
        </w:rPr>
        <w:t>One-Judgment Rule</w:t>
      </w:r>
    </w:p>
    <w:p w14:paraId="58CFF875" w14:textId="77777777" w:rsidR="00B903CC" w:rsidRPr="00B903CC" w:rsidRDefault="00B903CC" w:rsidP="0011226B">
      <w:pPr>
        <w:spacing w:after="0"/>
        <w:rPr>
          <w:rFonts w:ascii="Times New Roman" w:hAnsi="Times New Roman"/>
          <w:sz w:val="24"/>
          <w:szCs w:val="24"/>
        </w:rPr>
      </w:pPr>
    </w:p>
    <w:p w14:paraId="39B3C0AD" w14:textId="1283F8D4" w:rsidR="0011226B" w:rsidRPr="00B903CC" w:rsidRDefault="00B903CC" w:rsidP="0011226B">
      <w:pPr>
        <w:spacing w:after="0"/>
        <w:rPr>
          <w:rFonts w:ascii="Times New Roman" w:hAnsi="Times New Roman"/>
          <w:sz w:val="24"/>
          <w:szCs w:val="24"/>
        </w:rPr>
      </w:pPr>
      <w:r w:rsidRPr="00B903CC">
        <w:rPr>
          <w:rFonts w:ascii="Times New Roman" w:hAnsi="Times New Roman"/>
          <w:sz w:val="24"/>
          <w:szCs w:val="24"/>
        </w:rPr>
        <w:t>T</w:t>
      </w:r>
      <w:r w:rsidR="0011226B" w:rsidRPr="00B903CC">
        <w:rPr>
          <w:rFonts w:ascii="Times New Roman" w:hAnsi="Times New Roman"/>
          <w:sz w:val="24"/>
          <w:szCs w:val="24"/>
        </w:rPr>
        <w:t xml:space="preserve">he importance of </w:t>
      </w:r>
      <w:r w:rsidRPr="00B903CC">
        <w:rPr>
          <w:rFonts w:ascii="Times New Roman" w:hAnsi="Times New Roman"/>
          <w:sz w:val="24"/>
          <w:szCs w:val="24"/>
        </w:rPr>
        <w:t xml:space="preserve">the </w:t>
      </w:r>
      <w:r w:rsidR="0011226B" w:rsidRPr="00B903CC">
        <w:rPr>
          <w:rFonts w:ascii="Times New Roman" w:hAnsi="Times New Roman"/>
          <w:sz w:val="24"/>
          <w:szCs w:val="24"/>
        </w:rPr>
        <w:t>one-judgement rule</w:t>
      </w:r>
      <w:r w:rsidRPr="00B903CC">
        <w:rPr>
          <w:rFonts w:ascii="Times New Roman" w:hAnsi="Times New Roman"/>
          <w:sz w:val="24"/>
          <w:szCs w:val="24"/>
        </w:rPr>
        <w:t xml:space="preserve"> should also be stressed</w:t>
      </w:r>
      <w:r w:rsidR="0011226B" w:rsidRPr="00B903CC">
        <w:rPr>
          <w:rFonts w:ascii="Times New Roman" w:hAnsi="Times New Roman"/>
          <w:sz w:val="24"/>
          <w:szCs w:val="24"/>
        </w:rPr>
        <w:t>. As already mentioned, in Poland</w:t>
      </w:r>
      <w:r w:rsidRPr="00B903CC">
        <w:rPr>
          <w:rFonts w:ascii="Times New Roman" w:hAnsi="Times New Roman"/>
          <w:sz w:val="24"/>
          <w:szCs w:val="24"/>
        </w:rPr>
        <w:t>,</w:t>
      </w:r>
      <w:r w:rsidR="0011226B" w:rsidRPr="00B903CC">
        <w:rPr>
          <w:rFonts w:ascii="Times New Roman" w:hAnsi="Times New Roman"/>
          <w:sz w:val="24"/>
          <w:szCs w:val="24"/>
        </w:rPr>
        <w:t xml:space="preserve"> pre-pack sale conditions are approved in the same judgement as </w:t>
      </w:r>
      <w:r w:rsidRPr="00B903CC">
        <w:rPr>
          <w:rFonts w:ascii="Times New Roman" w:hAnsi="Times New Roman"/>
          <w:sz w:val="24"/>
          <w:szCs w:val="24"/>
        </w:rPr>
        <w:t xml:space="preserve">the </w:t>
      </w:r>
      <w:r w:rsidR="0011226B" w:rsidRPr="00B903CC">
        <w:rPr>
          <w:rFonts w:ascii="Times New Roman" w:hAnsi="Times New Roman"/>
          <w:sz w:val="24"/>
          <w:szCs w:val="24"/>
        </w:rPr>
        <w:t>declar</w:t>
      </w:r>
      <w:r w:rsidRPr="00B903CC">
        <w:rPr>
          <w:rFonts w:ascii="Times New Roman" w:hAnsi="Times New Roman"/>
          <w:sz w:val="24"/>
          <w:szCs w:val="24"/>
        </w:rPr>
        <w:t>ation of</w:t>
      </w:r>
      <w:r w:rsidR="0011226B" w:rsidRPr="00B903CC">
        <w:rPr>
          <w:rFonts w:ascii="Times New Roman" w:hAnsi="Times New Roman"/>
          <w:sz w:val="24"/>
          <w:szCs w:val="24"/>
        </w:rPr>
        <w:t xml:space="preserve"> bankruptcy</w:t>
      </w:r>
      <w:r w:rsidRPr="00B903CC">
        <w:rPr>
          <w:rFonts w:ascii="Times New Roman" w:hAnsi="Times New Roman"/>
          <w:sz w:val="24"/>
          <w:szCs w:val="24"/>
        </w:rPr>
        <w:t>.</w:t>
      </w:r>
      <w:r w:rsidR="0011226B" w:rsidRPr="00B903CC">
        <w:rPr>
          <w:rFonts w:ascii="Times New Roman" w:hAnsi="Times New Roman"/>
          <w:sz w:val="24"/>
          <w:szCs w:val="24"/>
        </w:rPr>
        <w:t xml:space="preserve"> </w:t>
      </w:r>
      <w:r w:rsidRPr="00B903CC">
        <w:rPr>
          <w:rFonts w:ascii="Times New Roman" w:hAnsi="Times New Roman"/>
          <w:sz w:val="24"/>
          <w:szCs w:val="24"/>
        </w:rPr>
        <w:t>T</w:t>
      </w:r>
      <w:r w:rsidR="0011226B" w:rsidRPr="00B903CC">
        <w:rPr>
          <w:rFonts w:ascii="Times New Roman" w:hAnsi="Times New Roman"/>
          <w:sz w:val="24"/>
          <w:szCs w:val="24"/>
        </w:rPr>
        <w:t>here is no provisional trustee or provisional judge</w:t>
      </w:r>
      <w:r w:rsidRPr="00B903CC">
        <w:rPr>
          <w:rFonts w:ascii="Times New Roman" w:hAnsi="Times New Roman"/>
          <w:sz w:val="24"/>
          <w:szCs w:val="24"/>
        </w:rPr>
        <w:t>.</w:t>
      </w:r>
      <w:r w:rsidR="0011226B" w:rsidRPr="00B903CC">
        <w:rPr>
          <w:rFonts w:ascii="Times New Roman" w:hAnsi="Times New Roman"/>
          <w:sz w:val="24"/>
          <w:szCs w:val="24"/>
        </w:rPr>
        <w:t xml:space="preserve"> </w:t>
      </w:r>
      <w:r w:rsidRPr="00B903CC">
        <w:rPr>
          <w:rFonts w:ascii="Times New Roman" w:hAnsi="Times New Roman"/>
          <w:sz w:val="24"/>
          <w:szCs w:val="24"/>
        </w:rPr>
        <w:t>I</w:t>
      </w:r>
      <w:r w:rsidR="0011226B" w:rsidRPr="00B903CC">
        <w:rPr>
          <w:rFonts w:ascii="Times New Roman" w:hAnsi="Times New Roman"/>
          <w:sz w:val="24"/>
          <w:szCs w:val="24"/>
        </w:rPr>
        <w:t>n fact</w:t>
      </w:r>
      <w:r w:rsidRPr="00B903CC">
        <w:rPr>
          <w:rFonts w:ascii="Times New Roman" w:hAnsi="Times New Roman"/>
          <w:sz w:val="24"/>
          <w:szCs w:val="24"/>
        </w:rPr>
        <w:t>,</w:t>
      </w:r>
      <w:r w:rsidR="0011226B" w:rsidRPr="00B903CC">
        <w:rPr>
          <w:rFonts w:ascii="Times New Roman" w:hAnsi="Times New Roman"/>
          <w:sz w:val="24"/>
          <w:szCs w:val="24"/>
        </w:rPr>
        <w:t xml:space="preserve"> th</w:t>
      </w:r>
      <w:r w:rsidRPr="00B903CC">
        <w:rPr>
          <w:rFonts w:ascii="Times New Roman" w:hAnsi="Times New Roman"/>
          <w:sz w:val="24"/>
          <w:szCs w:val="24"/>
        </w:rPr>
        <w:t>e</w:t>
      </w:r>
      <w:r w:rsidR="0011226B" w:rsidRPr="00B903CC">
        <w:rPr>
          <w:rFonts w:ascii="Times New Roman" w:hAnsi="Times New Roman"/>
          <w:sz w:val="24"/>
          <w:szCs w:val="24"/>
        </w:rPr>
        <w:t>s</w:t>
      </w:r>
      <w:r w:rsidRPr="00B903CC">
        <w:rPr>
          <w:rFonts w:ascii="Times New Roman" w:hAnsi="Times New Roman"/>
          <w:sz w:val="24"/>
          <w:szCs w:val="24"/>
        </w:rPr>
        <w:t>e</w:t>
      </w:r>
      <w:r w:rsidR="0011226B" w:rsidRPr="00B903CC">
        <w:rPr>
          <w:rFonts w:ascii="Times New Roman" w:hAnsi="Times New Roman"/>
          <w:sz w:val="24"/>
          <w:szCs w:val="24"/>
        </w:rPr>
        <w:t xml:space="preserve"> bodies start operating immediately after their appointment in the judgement declaring bankruptcy. Even well before, </w:t>
      </w:r>
      <w:r w:rsidRPr="00B903CC">
        <w:rPr>
          <w:rFonts w:ascii="Times New Roman" w:hAnsi="Times New Roman"/>
          <w:sz w:val="24"/>
          <w:szCs w:val="24"/>
        </w:rPr>
        <w:t xml:space="preserve">an </w:t>
      </w:r>
      <w:r w:rsidR="0011226B" w:rsidRPr="00B903CC">
        <w:rPr>
          <w:rFonts w:ascii="Times New Roman" w:hAnsi="Times New Roman"/>
          <w:sz w:val="24"/>
          <w:szCs w:val="24"/>
        </w:rPr>
        <w:t>interim court supervisor is appointed, who supervises the transaction and give an opinion to the court on the merits and also about the proposed sale-purchase conditions.</w:t>
      </w:r>
    </w:p>
    <w:p w14:paraId="6BED92BD" w14:textId="77777777" w:rsidR="00B903CC" w:rsidRPr="00B903CC" w:rsidRDefault="00B903CC" w:rsidP="0011226B">
      <w:pPr>
        <w:spacing w:after="0"/>
        <w:rPr>
          <w:rFonts w:ascii="Times New Roman" w:hAnsi="Times New Roman"/>
          <w:sz w:val="24"/>
          <w:szCs w:val="24"/>
        </w:rPr>
      </w:pPr>
    </w:p>
    <w:p w14:paraId="3FF38138" w14:textId="1C281FEA" w:rsidR="0011226B" w:rsidRPr="00B903CC" w:rsidRDefault="00B903CC" w:rsidP="0011226B">
      <w:pPr>
        <w:spacing w:after="0"/>
        <w:rPr>
          <w:rFonts w:ascii="Times New Roman" w:hAnsi="Times New Roman"/>
          <w:sz w:val="24"/>
          <w:szCs w:val="24"/>
        </w:rPr>
      </w:pPr>
      <w:r w:rsidRPr="00B903CC">
        <w:rPr>
          <w:rFonts w:ascii="Times New Roman" w:hAnsi="Times New Roman"/>
          <w:sz w:val="24"/>
          <w:szCs w:val="24"/>
        </w:rPr>
        <w:t xml:space="preserve">As </w:t>
      </w:r>
      <w:r w:rsidR="0011226B" w:rsidRPr="00B903CC">
        <w:rPr>
          <w:rFonts w:ascii="Times New Roman" w:hAnsi="Times New Roman"/>
          <w:sz w:val="24"/>
          <w:szCs w:val="24"/>
        </w:rPr>
        <w:t xml:space="preserve">mentioned in the </w:t>
      </w:r>
      <w:r w:rsidR="0011226B" w:rsidRPr="00B903CC">
        <w:rPr>
          <w:rFonts w:ascii="Times New Roman" w:hAnsi="Times New Roman"/>
          <w:i/>
          <w:sz w:val="24"/>
          <w:szCs w:val="24"/>
        </w:rPr>
        <w:t>Heiploeg</w:t>
      </w:r>
      <w:r w:rsidR="0011226B" w:rsidRPr="00B903CC">
        <w:rPr>
          <w:rFonts w:ascii="Times New Roman" w:hAnsi="Times New Roman"/>
          <w:sz w:val="24"/>
          <w:szCs w:val="24"/>
        </w:rPr>
        <w:t xml:space="preserve"> case, the accent should be placed on </w:t>
      </w:r>
      <w:r w:rsidRPr="00B903CC">
        <w:rPr>
          <w:rFonts w:ascii="Times New Roman" w:hAnsi="Times New Roman"/>
          <w:sz w:val="24"/>
          <w:szCs w:val="24"/>
        </w:rPr>
        <w:t xml:space="preserve">the presence of </w:t>
      </w:r>
      <w:r w:rsidR="0011226B" w:rsidRPr="00B903CC">
        <w:rPr>
          <w:rFonts w:ascii="Times New Roman" w:hAnsi="Times New Roman"/>
          <w:sz w:val="24"/>
          <w:szCs w:val="24"/>
        </w:rPr>
        <w:t xml:space="preserve">regulatory or statutory law provisions, </w:t>
      </w:r>
      <w:r w:rsidRPr="00B903CC">
        <w:rPr>
          <w:rFonts w:ascii="Times New Roman" w:hAnsi="Times New Roman"/>
          <w:sz w:val="24"/>
          <w:szCs w:val="24"/>
        </w:rPr>
        <w:t xml:space="preserve">a </w:t>
      </w:r>
      <w:r w:rsidR="0011226B" w:rsidRPr="00B903CC">
        <w:rPr>
          <w:rFonts w:ascii="Times New Roman" w:hAnsi="Times New Roman"/>
          <w:sz w:val="24"/>
          <w:szCs w:val="24"/>
        </w:rPr>
        <w:t>criteri</w:t>
      </w:r>
      <w:r w:rsidRPr="00B903CC">
        <w:rPr>
          <w:rFonts w:ascii="Times New Roman" w:hAnsi="Times New Roman"/>
          <w:sz w:val="24"/>
          <w:szCs w:val="24"/>
        </w:rPr>
        <w:t>on</w:t>
      </w:r>
      <w:r w:rsidR="0011226B" w:rsidRPr="00B903CC">
        <w:rPr>
          <w:rFonts w:ascii="Times New Roman" w:hAnsi="Times New Roman"/>
          <w:sz w:val="24"/>
          <w:szCs w:val="24"/>
        </w:rPr>
        <w:t xml:space="preserve"> met within Polish law. It is even more important that the pre-pack process law provisions are set forth in the Bankruptcy </w:t>
      </w:r>
      <w:r w:rsidRPr="00B903CC">
        <w:rPr>
          <w:rFonts w:ascii="Times New Roman" w:hAnsi="Times New Roman"/>
          <w:sz w:val="24"/>
          <w:szCs w:val="24"/>
        </w:rPr>
        <w:t>L</w:t>
      </w:r>
      <w:r w:rsidR="0011226B" w:rsidRPr="00B903CC">
        <w:rPr>
          <w:rFonts w:ascii="Times New Roman" w:hAnsi="Times New Roman"/>
          <w:sz w:val="24"/>
          <w:szCs w:val="24"/>
        </w:rPr>
        <w:t xml:space="preserve">aw, not the Restructuring law – covering mainly the restructuring proceedings. </w:t>
      </w:r>
      <w:r w:rsidRPr="00B903CC">
        <w:rPr>
          <w:rFonts w:ascii="Times New Roman" w:hAnsi="Times New Roman"/>
          <w:sz w:val="24"/>
          <w:szCs w:val="24"/>
        </w:rPr>
        <w:t>Conversely</w:t>
      </w:r>
      <w:r w:rsidR="0011226B" w:rsidRPr="00B903CC">
        <w:rPr>
          <w:rFonts w:ascii="Times New Roman" w:hAnsi="Times New Roman"/>
          <w:sz w:val="24"/>
          <w:szCs w:val="24"/>
        </w:rPr>
        <w:t>, if the main aim and purpose of the pre-pack will be restructuring, not liquidation, th</w:t>
      </w:r>
      <w:r w:rsidRPr="00B903CC">
        <w:rPr>
          <w:rFonts w:ascii="Times New Roman" w:hAnsi="Times New Roman"/>
          <w:sz w:val="24"/>
          <w:szCs w:val="24"/>
        </w:rPr>
        <w:t>ese</w:t>
      </w:r>
      <w:r w:rsidR="0011226B" w:rsidRPr="00B903CC">
        <w:rPr>
          <w:rFonts w:ascii="Times New Roman" w:hAnsi="Times New Roman"/>
          <w:sz w:val="24"/>
          <w:szCs w:val="24"/>
        </w:rPr>
        <w:t xml:space="preserve"> rules should be placed within the Restructuring </w:t>
      </w:r>
      <w:r w:rsidRPr="00B903CC">
        <w:rPr>
          <w:rFonts w:ascii="Times New Roman" w:hAnsi="Times New Roman"/>
          <w:sz w:val="24"/>
          <w:szCs w:val="24"/>
        </w:rPr>
        <w:t>L</w:t>
      </w:r>
      <w:r w:rsidR="0011226B" w:rsidRPr="00B903CC">
        <w:rPr>
          <w:rFonts w:ascii="Times New Roman" w:hAnsi="Times New Roman"/>
          <w:sz w:val="24"/>
          <w:szCs w:val="24"/>
        </w:rPr>
        <w:t xml:space="preserve">aw – especially bearing in mind that the Act of 15 May 2015 precisely regulated 4 restructuring proceedings and additionally significantly amended the law – not only the Bankruptcy </w:t>
      </w:r>
      <w:r w:rsidRPr="00B903CC">
        <w:rPr>
          <w:rFonts w:ascii="Times New Roman" w:hAnsi="Times New Roman"/>
          <w:sz w:val="24"/>
          <w:szCs w:val="24"/>
        </w:rPr>
        <w:t>L</w:t>
      </w:r>
      <w:r w:rsidR="0011226B" w:rsidRPr="00B903CC">
        <w:rPr>
          <w:rFonts w:ascii="Times New Roman" w:hAnsi="Times New Roman"/>
          <w:sz w:val="24"/>
          <w:szCs w:val="24"/>
        </w:rPr>
        <w:t xml:space="preserve">aw, but also other legal acts, including judiciary system short reform </w:t>
      </w:r>
      <w:r w:rsidRPr="00B903CC">
        <w:rPr>
          <w:rFonts w:ascii="Times New Roman" w:hAnsi="Times New Roman"/>
          <w:sz w:val="24"/>
          <w:szCs w:val="24"/>
        </w:rPr>
        <w:t xml:space="preserve">in </w:t>
      </w:r>
      <w:r w:rsidR="0011226B" w:rsidRPr="00B903CC">
        <w:rPr>
          <w:rFonts w:ascii="Times New Roman" w:hAnsi="Times New Roman"/>
          <w:sz w:val="24"/>
          <w:szCs w:val="24"/>
        </w:rPr>
        <w:t xml:space="preserve">this </w:t>
      </w:r>
      <w:r w:rsidRPr="00B903CC">
        <w:rPr>
          <w:rFonts w:ascii="Times New Roman" w:hAnsi="Times New Roman"/>
          <w:sz w:val="24"/>
          <w:szCs w:val="24"/>
        </w:rPr>
        <w:t>regards</w:t>
      </w:r>
      <w:r w:rsidR="0011226B" w:rsidRPr="00B903CC">
        <w:rPr>
          <w:rFonts w:ascii="Times New Roman" w:hAnsi="Times New Roman"/>
          <w:sz w:val="24"/>
          <w:szCs w:val="24"/>
        </w:rPr>
        <w:t>.</w:t>
      </w:r>
    </w:p>
    <w:p w14:paraId="72AF1B45" w14:textId="77777777" w:rsidR="00B903CC" w:rsidRPr="00B903CC" w:rsidRDefault="00B903CC" w:rsidP="0011226B">
      <w:pPr>
        <w:spacing w:after="0"/>
        <w:rPr>
          <w:rFonts w:ascii="Times New Roman" w:hAnsi="Times New Roman"/>
          <w:sz w:val="24"/>
          <w:szCs w:val="24"/>
        </w:rPr>
      </w:pPr>
    </w:p>
    <w:p w14:paraId="5F8B2689" w14:textId="2F2AF12A" w:rsidR="00B903CC" w:rsidRPr="00B903CC" w:rsidRDefault="00B903CC" w:rsidP="0011226B">
      <w:pPr>
        <w:spacing w:after="0"/>
        <w:rPr>
          <w:rFonts w:ascii="Times New Roman" w:hAnsi="Times New Roman"/>
          <w:sz w:val="24"/>
          <w:szCs w:val="24"/>
        </w:rPr>
      </w:pPr>
      <w:r w:rsidRPr="00B903CC">
        <w:rPr>
          <w:rFonts w:ascii="Times New Roman" w:hAnsi="Times New Roman"/>
          <w:i/>
          <w:sz w:val="24"/>
          <w:szCs w:val="24"/>
        </w:rPr>
        <w:t>Conclusion</w:t>
      </w:r>
    </w:p>
    <w:p w14:paraId="05FBCE33" w14:textId="77777777" w:rsidR="00B903CC" w:rsidRPr="00B903CC" w:rsidRDefault="00B903CC" w:rsidP="0011226B">
      <w:pPr>
        <w:spacing w:after="0"/>
        <w:rPr>
          <w:rFonts w:ascii="Times New Roman" w:hAnsi="Times New Roman"/>
          <w:sz w:val="24"/>
          <w:szCs w:val="24"/>
        </w:rPr>
      </w:pPr>
    </w:p>
    <w:p w14:paraId="51B50B0B" w14:textId="12233810" w:rsidR="0011226B" w:rsidRPr="00B903CC" w:rsidRDefault="00B903CC" w:rsidP="0011226B">
      <w:pPr>
        <w:spacing w:after="0"/>
        <w:rPr>
          <w:rFonts w:ascii="Times New Roman" w:hAnsi="Times New Roman"/>
          <w:sz w:val="24"/>
          <w:szCs w:val="24"/>
        </w:rPr>
      </w:pPr>
      <w:r w:rsidRPr="00B903CC">
        <w:rPr>
          <w:rFonts w:ascii="Times New Roman" w:hAnsi="Times New Roman"/>
          <w:sz w:val="24"/>
          <w:szCs w:val="24"/>
        </w:rPr>
        <w:t xml:space="preserve">The pre-pack process in Poland continues to evolve. </w:t>
      </w:r>
      <w:r w:rsidR="0011226B" w:rsidRPr="00B903CC">
        <w:rPr>
          <w:rFonts w:ascii="Times New Roman" w:hAnsi="Times New Roman"/>
          <w:sz w:val="24"/>
          <w:szCs w:val="24"/>
        </w:rPr>
        <w:t xml:space="preserve">Other recent changes to </w:t>
      </w:r>
      <w:r w:rsidRPr="00B903CC">
        <w:rPr>
          <w:rFonts w:ascii="Times New Roman" w:hAnsi="Times New Roman"/>
          <w:sz w:val="24"/>
          <w:szCs w:val="24"/>
        </w:rPr>
        <w:t xml:space="preserve">the </w:t>
      </w:r>
      <w:r w:rsidR="0011226B" w:rsidRPr="00B903CC">
        <w:rPr>
          <w:rFonts w:ascii="Times New Roman" w:hAnsi="Times New Roman"/>
          <w:sz w:val="24"/>
          <w:szCs w:val="24"/>
        </w:rPr>
        <w:t xml:space="preserve">pre-pack process require the notification of </w:t>
      </w:r>
      <w:r w:rsidRPr="00B903CC">
        <w:rPr>
          <w:rFonts w:ascii="Times New Roman" w:hAnsi="Times New Roman"/>
          <w:sz w:val="24"/>
          <w:szCs w:val="24"/>
        </w:rPr>
        <w:t xml:space="preserve">the </w:t>
      </w:r>
      <w:r w:rsidR="0011226B" w:rsidRPr="00B903CC">
        <w:rPr>
          <w:rFonts w:ascii="Times New Roman" w:hAnsi="Times New Roman"/>
          <w:sz w:val="24"/>
          <w:szCs w:val="24"/>
        </w:rPr>
        <w:t xml:space="preserve">filing </w:t>
      </w:r>
      <w:r w:rsidRPr="00B903CC">
        <w:rPr>
          <w:rFonts w:ascii="Times New Roman" w:hAnsi="Times New Roman"/>
          <w:sz w:val="24"/>
          <w:szCs w:val="24"/>
        </w:rPr>
        <w:t xml:space="preserve">of a </w:t>
      </w:r>
      <w:r w:rsidR="0011226B" w:rsidRPr="00B903CC">
        <w:rPr>
          <w:rFonts w:ascii="Times New Roman" w:hAnsi="Times New Roman"/>
          <w:sz w:val="24"/>
          <w:szCs w:val="24"/>
        </w:rPr>
        <w:t>bankruptcy petition together with the pre-pack application (which should be assessed as an advantage), as well as the necessity to pay security deposit in the amount of 10% of the proposed price for the pre-pack subject.</w:t>
      </w:r>
      <w:r w:rsidRPr="00B903CC">
        <w:rPr>
          <w:rFonts w:ascii="Times New Roman" w:hAnsi="Times New Roman"/>
          <w:sz w:val="24"/>
          <w:szCs w:val="24"/>
        </w:rPr>
        <w:t xml:space="preserve"> Moreover, a </w:t>
      </w:r>
      <w:r w:rsidR="0011226B" w:rsidRPr="00B903CC">
        <w:rPr>
          <w:rFonts w:ascii="Times New Roman" w:hAnsi="Times New Roman"/>
          <w:sz w:val="24"/>
          <w:szCs w:val="24"/>
        </w:rPr>
        <w:t xml:space="preserve">formal auction </w:t>
      </w:r>
      <w:r w:rsidRPr="00B903CC">
        <w:rPr>
          <w:rFonts w:ascii="Times New Roman" w:hAnsi="Times New Roman"/>
          <w:sz w:val="24"/>
          <w:szCs w:val="24"/>
        </w:rPr>
        <w:t xml:space="preserve">process </w:t>
      </w:r>
      <w:r w:rsidR="0011226B" w:rsidRPr="00B903CC">
        <w:rPr>
          <w:rFonts w:ascii="Times New Roman" w:hAnsi="Times New Roman"/>
          <w:sz w:val="24"/>
          <w:szCs w:val="24"/>
        </w:rPr>
        <w:t>has been introduced, applicable when multiple petitioners are interested in the pre-pack transaction.</w:t>
      </w:r>
      <w:r w:rsidRPr="00B903CC">
        <w:rPr>
          <w:rFonts w:ascii="Times New Roman" w:hAnsi="Times New Roman"/>
          <w:sz w:val="24"/>
          <w:szCs w:val="24"/>
        </w:rPr>
        <w:t xml:space="preserve"> This all combines to ensure the relevance of the pre-pack to Polish insolvency law.</w:t>
      </w:r>
    </w:p>
    <w:p w14:paraId="5761A948" w14:textId="150A9D8B" w:rsidR="0047439B" w:rsidRPr="00B903CC" w:rsidRDefault="0047439B" w:rsidP="0011226B">
      <w:pPr>
        <w:spacing w:after="0"/>
        <w:rPr>
          <w:rFonts w:ascii="Times New Roman" w:hAnsi="Times New Roman"/>
          <w:sz w:val="24"/>
          <w:szCs w:val="24"/>
        </w:rPr>
      </w:pPr>
    </w:p>
    <w:sectPr w:rsidR="0047439B" w:rsidRPr="00B903CC"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7BA2" w14:textId="77777777" w:rsidR="00825991" w:rsidRDefault="00825991">
      <w:r>
        <w:separator/>
      </w:r>
    </w:p>
  </w:endnote>
  <w:endnote w:type="continuationSeparator" w:id="0">
    <w:p w14:paraId="45EABCB1" w14:textId="77777777" w:rsidR="00825991" w:rsidRDefault="008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A885B" w14:textId="77777777" w:rsidR="00825991" w:rsidRDefault="00825991">
      <w:r>
        <w:separator/>
      </w:r>
    </w:p>
  </w:footnote>
  <w:footnote w:type="continuationSeparator" w:id="0">
    <w:p w14:paraId="7BA3A401" w14:textId="77777777" w:rsidR="00825991" w:rsidRDefault="0082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C893" w14:textId="3828A53E"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11226B">
      <w:rPr>
        <w:rFonts w:ascii="Arial" w:hAnsi="Arial" w:cs="Arial"/>
        <w:b/>
        <w:sz w:val="20"/>
      </w:rPr>
      <w:t>October</w:t>
    </w:r>
    <w:r w:rsidR="002A5779" w:rsidRPr="002331CA">
      <w:rPr>
        <w:rFonts w:ascii="Arial" w:hAnsi="Arial" w:cs="Arial"/>
        <w:b/>
        <w:sz w:val="20"/>
      </w:rPr>
      <w:t xml:space="preserve"> 20</w:t>
    </w:r>
    <w:r w:rsidR="00087612" w:rsidRPr="002331CA">
      <w:rPr>
        <w:rFonts w:ascii="Arial" w:hAnsi="Arial" w:cs="Arial"/>
        <w:b/>
        <w:sz w:val="20"/>
      </w:rPr>
      <w:t>2</w:t>
    </w:r>
    <w:r w:rsidR="00994086">
      <w:rPr>
        <w:rFonts w:ascii="Arial" w:hAnsi="Arial" w:cs="Arial"/>
        <w:b/>
        <w:sz w:val="20"/>
      </w:rPr>
      <w:t>2</w:t>
    </w:r>
    <w:r w:rsidR="00D90E9D">
      <w:rPr>
        <w:rFonts w:ascii="Arial" w:hAnsi="Arial" w:cs="Arial"/>
        <w:b/>
        <w:sz w:val="20"/>
      </w:rPr>
      <w:t>)</w:t>
    </w:r>
  </w:p>
  <w:p w14:paraId="0F2C5C5A" w14:textId="7F4780D1" w:rsidR="00BF3D3E" w:rsidRPr="0011226B" w:rsidRDefault="0011226B" w:rsidP="00D90E9D">
    <w:pPr>
      <w:pStyle w:val="Header"/>
      <w:spacing w:after="0"/>
      <w:rPr>
        <w:rFonts w:ascii="Arial" w:hAnsi="Arial" w:cs="Arial"/>
        <w:b/>
        <w:sz w:val="20"/>
        <w:lang w:val="fr-FR"/>
      </w:rPr>
    </w:pPr>
    <w:r w:rsidRPr="0011226B">
      <w:rPr>
        <w:rFonts w:ascii="Arial" w:hAnsi="Arial" w:cs="Arial"/>
        <w:b/>
        <w:sz w:val="20"/>
      </w:rPr>
      <w:t>Mateusz Kaliński</w:t>
    </w:r>
    <w:r w:rsidRPr="0011226B">
      <w:rPr>
        <w:rFonts w:ascii="Arial" w:hAnsi="Arial" w:cs="Arial"/>
        <w:b/>
        <w:sz w:val="20"/>
        <w:lang w:val="fr-FR"/>
      </w:rPr>
      <w:t xml:space="preserve"> </w:t>
    </w:r>
    <w:r w:rsidR="00640EFC" w:rsidRPr="0011226B">
      <w:rPr>
        <w:rFonts w:ascii="Arial" w:hAnsi="Arial" w:cs="Arial"/>
        <w:b/>
        <w:sz w:val="20"/>
        <w:lang w:val="fr-FR"/>
      </w:rPr>
      <w:t>(</w:t>
    </w:r>
    <w:r w:rsidRPr="0011226B">
      <w:rPr>
        <w:rFonts w:ascii="Arial" w:hAnsi="Arial" w:cs="Arial"/>
        <w:b/>
        <w:sz w:val="20"/>
        <w:lang w:val="fr-FR"/>
      </w:rPr>
      <w:t>PL</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170A4A"/>
    <w:multiLevelType w:val="hybridMultilevel"/>
    <w:tmpl w:val="51DE230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0"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6447E7"/>
    <w:multiLevelType w:val="hybridMultilevel"/>
    <w:tmpl w:val="4556686C"/>
    <w:lvl w:ilvl="0" w:tplc="B226FDA8">
      <w:start w:val="1"/>
      <w:numFmt w:val="bullet"/>
      <w:lvlText w:val="-"/>
      <w:lvlJc w:val="left"/>
      <w:pPr>
        <w:ind w:left="720" w:hanging="360"/>
      </w:pPr>
      <w:rPr>
        <w:rFonts w:ascii="Tahoma" w:eastAsiaTheme="minorHAnsi"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8"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2"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4"/>
  </w:num>
  <w:num w:numId="4">
    <w:abstractNumId w:val="15"/>
  </w:num>
  <w:num w:numId="5">
    <w:abstractNumId w:val="19"/>
  </w:num>
  <w:num w:numId="6">
    <w:abstractNumId w:val="35"/>
  </w:num>
  <w:num w:numId="7">
    <w:abstractNumId w:val="0"/>
  </w:num>
  <w:num w:numId="8">
    <w:abstractNumId w:val="12"/>
  </w:num>
  <w:num w:numId="9">
    <w:abstractNumId w:val="2"/>
  </w:num>
  <w:num w:numId="10">
    <w:abstractNumId w:val="1"/>
  </w:num>
  <w:num w:numId="11">
    <w:abstractNumId w:val="29"/>
  </w:num>
  <w:num w:numId="12">
    <w:abstractNumId w:val="11"/>
  </w:num>
  <w:num w:numId="13">
    <w:abstractNumId w:val="27"/>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9"/>
  </w:num>
  <w:num w:numId="21">
    <w:abstractNumId w:val="34"/>
  </w:num>
  <w:num w:numId="22">
    <w:abstractNumId w:val="19"/>
  </w:num>
  <w:num w:numId="23">
    <w:abstractNumId w:val="15"/>
  </w:num>
  <w:num w:numId="24">
    <w:abstractNumId w:val="30"/>
  </w:num>
  <w:num w:numId="25">
    <w:abstractNumId w:val="22"/>
  </w:num>
  <w:num w:numId="26">
    <w:abstractNumId w:val="25"/>
  </w:num>
  <w:num w:numId="27">
    <w:abstractNumId w:val="20"/>
  </w:num>
  <w:num w:numId="28">
    <w:abstractNumId w:val="23"/>
  </w:num>
  <w:num w:numId="29">
    <w:abstractNumId w:val="7"/>
  </w:num>
  <w:num w:numId="30">
    <w:abstractNumId w:val="14"/>
  </w:num>
  <w:num w:numId="31">
    <w:abstractNumId w:val="4"/>
  </w:num>
  <w:num w:numId="32">
    <w:abstractNumId w:val="3"/>
  </w:num>
  <w:num w:numId="33">
    <w:abstractNumId w:val="33"/>
  </w:num>
  <w:num w:numId="34">
    <w:abstractNumId w:val="24"/>
  </w:num>
  <w:num w:numId="35">
    <w:abstractNumId w:val="28"/>
  </w:num>
  <w:num w:numId="36">
    <w:abstractNumId w:val="10"/>
  </w:num>
  <w:num w:numId="37">
    <w:abstractNumId w:val="5"/>
  </w:num>
  <w:num w:numId="38">
    <w:abstractNumId w:val="17"/>
  </w:num>
  <w:num w:numId="39">
    <w:abstractNumId w:val="6"/>
  </w:num>
  <w:num w:numId="40">
    <w:abstractNumId w:val="31"/>
  </w:num>
  <w:num w:numId="41">
    <w:abstractNumId w:val="32"/>
  </w:num>
  <w:num w:numId="42">
    <w:abstractNumId w:val="16"/>
  </w:num>
  <w:num w:numId="43">
    <w:abstractNumId w:val="8"/>
  </w:num>
  <w:num w:numId="44">
    <w:abstractNumId w:val="21"/>
  </w:num>
  <w:num w:numId="45">
    <w:abstractNumId w:val="18"/>
  </w:num>
  <w:num w:numId="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1226B"/>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1207</Words>
  <Characters>6884</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12</cp:revision>
  <cp:lastPrinted>2017-11-20T20:14:00Z</cp:lastPrinted>
  <dcterms:created xsi:type="dcterms:W3CDTF">2021-05-25T19:44:00Z</dcterms:created>
  <dcterms:modified xsi:type="dcterms:W3CDTF">2022-10-17T13:41:00Z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