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A0E11D" w14:textId="67773DA1" w:rsidR="005D783E" w:rsidRPr="00573EFA" w:rsidRDefault="005D783E" w:rsidP="003C338F">
      <w:pPr>
        <w:tabs>
          <w:tab w:val="left" w:pos="474"/>
        </w:tabs>
        <w:spacing w:after="0"/>
        <w:contextualSpacing/>
        <w:rPr>
          <w:rFonts w:ascii="Times New Roman" w:hAnsi="Times New Roman"/>
          <w:sz w:val="24"/>
          <w:szCs w:val="24"/>
        </w:rPr>
      </w:pPr>
    </w:p>
    <w:p w14:paraId="39E9118B" w14:textId="561C5F5A" w:rsidR="00617533" w:rsidRPr="00573EFA" w:rsidRDefault="00492065" w:rsidP="008609CB">
      <w:pPr>
        <w:spacing w:after="0"/>
        <w:contextualSpacing/>
        <w:jc w:val="center"/>
        <w:rPr>
          <w:rFonts w:ascii="Times New Roman" w:hAnsi="Times New Roman"/>
          <w:b/>
          <w:sz w:val="24"/>
          <w:szCs w:val="24"/>
        </w:rPr>
      </w:pPr>
      <w:r w:rsidRPr="00573EFA">
        <w:rPr>
          <w:rFonts w:ascii="Times New Roman" w:hAnsi="Times New Roman"/>
          <w:b/>
          <w:noProof/>
          <w:sz w:val="24"/>
          <w:szCs w:val="24"/>
        </w:rPr>
        <w:drawing>
          <wp:inline distT="0" distB="0" distL="0" distR="0" wp14:anchorId="1982D471" wp14:editId="528F6F1F">
            <wp:extent cx="3946525" cy="1578436"/>
            <wp:effectExtent l="0" t="0" r="0" b="0"/>
            <wp:docPr id="1" name="Picture 1"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NSOL Europe Logo RGB Small.jpg"/>
                    <pic:cNvPicPr/>
                  </pic:nvPicPr>
                  <pic:blipFill>
                    <a:blip r:embed="rId8">
                      <a:extLst>
                        <a:ext uri="{28A0092B-C50C-407E-A947-70E740481C1C}">
                          <a14:useLocalDpi xmlns:a14="http://schemas.microsoft.com/office/drawing/2010/main" val="0"/>
                        </a:ext>
                      </a:extLst>
                    </a:blip>
                    <a:stretch>
                      <a:fillRect/>
                    </a:stretch>
                  </pic:blipFill>
                  <pic:spPr>
                    <a:xfrm>
                      <a:off x="0" y="0"/>
                      <a:ext cx="4010933" cy="1604197"/>
                    </a:xfrm>
                    <a:prstGeom prst="rect">
                      <a:avLst/>
                    </a:prstGeom>
                  </pic:spPr>
                </pic:pic>
              </a:graphicData>
            </a:graphic>
          </wp:inline>
        </w:drawing>
      </w:r>
    </w:p>
    <w:p w14:paraId="3D52CC93" w14:textId="77777777" w:rsidR="00617533" w:rsidRPr="00573EFA" w:rsidRDefault="00617533" w:rsidP="008609CB">
      <w:pPr>
        <w:spacing w:after="0"/>
        <w:contextualSpacing/>
        <w:jc w:val="center"/>
        <w:rPr>
          <w:rFonts w:ascii="Times New Roman" w:hAnsi="Times New Roman"/>
          <w:b/>
          <w:sz w:val="24"/>
          <w:szCs w:val="24"/>
        </w:rPr>
      </w:pPr>
    </w:p>
    <w:p w14:paraId="2C7EFD65" w14:textId="34543AAE" w:rsidR="00617533" w:rsidRPr="00573EFA" w:rsidRDefault="00617533" w:rsidP="008609CB">
      <w:pPr>
        <w:spacing w:after="0"/>
        <w:contextualSpacing/>
        <w:jc w:val="center"/>
        <w:rPr>
          <w:rFonts w:ascii="Times New Roman" w:hAnsi="Times New Roman"/>
          <w:b/>
          <w:sz w:val="36"/>
          <w:szCs w:val="36"/>
        </w:rPr>
      </w:pPr>
      <w:r w:rsidRPr="00573EFA">
        <w:rPr>
          <w:rFonts w:ascii="Times New Roman" w:hAnsi="Times New Roman"/>
          <w:b/>
          <w:sz w:val="36"/>
          <w:szCs w:val="36"/>
        </w:rPr>
        <w:t xml:space="preserve">Inside Story – </w:t>
      </w:r>
      <w:r w:rsidR="007E0056">
        <w:rPr>
          <w:rFonts w:ascii="Times New Roman" w:hAnsi="Times New Roman"/>
          <w:b/>
          <w:sz w:val="36"/>
          <w:szCs w:val="36"/>
        </w:rPr>
        <w:t>April</w:t>
      </w:r>
      <w:r w:rsidR="00786CA6" w:rsidRPr="00573EFA">
        <w:rPr>
          <w:rFonts w:ascii="Times New Roman" w:hAnsi="Times New Roman"/>
          <w:b/>
          <w:sz w:val="36"/>
          <w:szCs w:val="36"/>
        </w:rPr>
        <w:t xml:space="preserve"> </w:t>
      </w:r>
      <w:r w:rsidRPr="00573EFA">
        <w:rPr>
          <w:rFonts w:ascii="Times New Roman" w:hAnsi="Times New Roman"/>
          <w:b/>
          <w:sz w:val="36"/>
          <w:szCs w:val="36"/>
        </w:rPr>
        <w:t>20</w:t>
      </w:r>
      <w:r w:rsidR="00782731" w:rsidRPr="00573EFA">
        <w:rPr>
          <w:rFonts w:ascii="Times New Roman" w:hAnsi="Times New Roman"/>
          <w:b/>
          <w:sz w:val="36"/>
          <w:szCs w:val="36"/>
        </w:rPr>
        <w:t>2</w:t>
      </w:r>
      <w:r w:rsidR="007E0056">
        <w:rPr>
          <w:rFonts w:ascii="Times New Roman" w:hAnsi="Times New Roman"/>
          <w:b/>
          <w:sz w:val="36"/>
          <w:szCs w:val="36"/>
        </w:rPr>
        <w:t>3</w:t>
      </w:r>
    </w:p>
    <w:p w14:paraId="1ECBC4F0" w14:textId="77777777" w:rsidR="00617533" w:rsidRPr="00573EFA" w:rsidRDefault="00617533" w:rsidP="008609CB">
      <w:pPr>
        <w:spacing w:after="0"/>
        <w:contextualSpacing/>
        <w:jc w:val="center"/>
        <w:rPr>
          <w:rFonts w:ascii="Times New Roman" w:hAnsi="Times New Roman"/>
          <w:b/>
          <w:sz w:val="24"/>
          <w:szCs w:val="24"/>
        </w:rPr>
      </w:pPr>
    </w:p>
    <w:p w14:paraId="458F00F8" w14:textId="689C8E5A" w:rsidR="001E7A6F" w:rsidRPr="007E0056" w:rsidRDefault="007E0056" w:rsidP="00A21078">
      <w:pPr>
        <w:spacing w:after="0"/>
        <w:contextualSpacing/>
        <w:jc w:val="center"/>
        <w:rPr>
          <w:rFonts w:ascii="Times New Roman" w:hAnsi="Times New Roman"/>
          <w:b/>
          <w:bCs/>
          <w:sz w:val="28"/>
          <w:szCs w:val="28"/>
        </w:rPr>
      </w:pPr>
      <w:r w:rsidRPr="007E0056">
        <w:rPr>
          <w:rFonts w:ascii="Times New Roman" w:hAnsi="Times New Roman"/>
          <w:b/>
          <w:bCs/>
          <w:sz w:val="28"/>
          <w:szCs w:val="28"/>
        </w:rPr>
        <w:t>Pre Packs, Employees and the Spirit of EU Law</w:t>
      </w:r>
    </w:p>
    <w:p w14:paraId="75DFE654" w14:textId="77777777" w:rsidR="00E71E7B" w:rsidRPr="00573EFA" w:rsidRDefault="00E71E7B" w:rsidP="008609CB">
      <w:pPr>
        <w:spacing w:after="0"/>
        <w:contextualSpacing/>
        <w:jc w:val="center"/>
        <w:rPr>
          <w:rFonts w:ascii="Times New Roman" w:hAnsi="Times New Roman"/>
          <w:sz w:val="24"/>
          <w:szCs w:val="24"/>
        </w:rPr>
      </w:pPr>
    </w:p>
    <w:p w14:paraId="716971A7" w14:textId="1E5BF516" w:rsidR="00104015" w:rsidRPr="00573EFA" w:rsidRDefault="009224B4" w:rsidP="00D90E9D">
      <w:pPr>
        <w:pStyle w:val="NoSpacing"/>
        <w:jc w:val="center"/>
        <w:rPr>
          <w:rFonts w:ascii="Times New Roman" w:hAnsi="Times New Roman" w:cs="Times New Roman"/>
          <w:i/>
          <w:iCs/>
          <w:shd w:val="clear" w:color="auto" w:fill="FFFFFF"/>
          <w:lang w:val="en-GB"/>
        </w:rPr>
      </w:pPr>
      <w:r w:rsidRPr="00573EFA">
        <w:rPr>
          <w:rFonts w:ascii="Times New Roman" w:hAnsi="Times New Roman" w:cs="Times New Roman"/>
          <w:i/>
          <w:iCs/>
          <w:lang w:val="en-GB"/>
        </w:rPr>
        <w:t>Dr Jennifer L. L. Gant</w:t>
      </w:r>
      <w:r w:rsidR="00D90E9D" w:rsidRPr="00573EFA">
        <w:rPr>
          <w:rFonts w:ascii="Times New Roman" w:hAnsi="Times New Roman" w:cs="Times New Roman"/>
          <w:i/>
          <w:iCs/>
          <w:lang w:val="en-GB"/>
        </w:rPr>
        <w:t xml:space="preserve">, </w:t>
      </w:r>
      <w:r w:rsidR="00994086" w:rsidRPr="00573EFA">
        <w:rPr>
          <w:rFonts w:ascii="Times New Roman" w:hAnsi="Times New Roman" w:cs="Times New Roman"/>
          <w:i/>
          <w:iCs/>
          <w:lang w:val="en-GB"/>
        </w:rPr>
        <w:t>Lecturer</w:t>
      </w:r>
      <w:r w:rsidRPr="00573EFA">
        <w:rPr>
          <w:rFonts w:ascii="Times New Roman" w:hAnsi="Times New Roman" w:cs="Times New Roman"/>
          <w:i/>
          <w:iCs/>
          <w:lang w:val="en-GB"/>
        </w:rPr>
        <w:t xml:space="preserve">, University </w:t>
      </w:r>
      <w:r w:rsidR="00994086" w:rsidRPr="00573EFA">
        <w:rPr>
          <w:rFonts w:ascii="Times New Roman" w:hAnsi="Times New Roman" w:cs="Times New Roman"/>
          <w:i/>
          <w:iCs/>
          <w:lang w:val="en-GB"/>
        </w:rPr>
        <w:t>of Derby</w:t>
      </w:r>
      <w:r w:rsidRPr="00573EFA">
        <w:rPr>
          <w:rFonts w:ascii="Times New Roman" w:hAnsi="Times New Roman" w:cs="Times New Roman"/>
          <w:i/>
          <w:iCs/>
          <w:lang w:val="en-GB"/>
        </w:rPr>
        <w:t xml:space="preserve">, </w:t>
      </w:r>
      <w:r w:rsidR="00994086" w:rsidRPr="00573EFA">
        <w:rPr>
          <w:rFonts w:ascii="Times New Roman" w:hAnsi="Times New Roman" w:cs="Times New Roman"/>
          <w:i/>
          <w:iCs/>
          <w:lang w:val="en-GB"/>
        </w:rPr>
        <w:t>UK</w:t>
      </w:r>
      <w:r w:rsidR="002331CA" w:rsidRPr="00573EFA">
        <w:rPr>
          <w:rFonts w:ascii="Times New Roman" w:hAnsi="Times New Roman" w:cs="Times New Roman"/>
          <w:i/>
          <w:iCs/>
          <w:lang w:val="en-GB"/>
        </w:rPr>
        <w:t xml:space="preserve">; </w:t>
      </w:r>
      <w:r w:rsidR="002331CA" w:rsidRPr="00573EFA">
        <w:rPr>
          <w:rFonts w:ascii="Times New Roman" w:hAnsi="Times New Roman" w:cs="Times New Roman"/>
          <w:i/>
          <w:iCs/>
          <w:shd w:val="clear" w:color="auto" w:fill="FFFFFF"/>
          <w:lang w:val="en-GB"/>
        </w:rPr>
        <w:t>Email: &lt;</w:t>
      </w:r>
      <w:r w:rsidRPr="00573EFA">
        <w:rPr>
          <w:rFonts w:ascii="Times New Roman" w:hAnsi="Times New Roman" w:cs="Times New Roman"/>
          <w:i/>
          <w:iCs/>
          <w:lang w:val="en-GB"/>
        </w:rPr>
        <w:t>jenniferl.l.gant</w:t>
      </w:r>
      <w:r w:rsidR="00D90E9D" w:rsidRPr="00573EFA">
        <w:rPr>
          <w:rFonts w:ascii="Times New Roman" w:hAnsi="Times New Roman" w:cs="Times New Roman"/>
          <w:i/>
          <w:iCs/>
          <w:lang w:val="en-GB"/>
        </w:rPr>
        <w:t>@gmail.com</w:t>
      </w:r>
      <w:r w:rsidR="002331CA" w:rsidRPr="00573EFA">
        <w:rPr>
          <w:rFonts w:ascii="Times New Roman" w:hAnsi="Times New Roman" w:cs="Times New Roman"/>
          <w:i/>
          <w:iCs/>
          <w:shd w:val="clear" w:color="auto" w:fill="FFFFFF"/>
          <w:lang w:val="en-GB"/>
        </w:rPr>
        <w:t>&gt;</w:t>
      </w:r>
      <w:r w:rsidR="001E7A6F" w:rsidRPr="00573EFA">
        <w:rPr>
          <w:rFonts w:ascii="Times New Roman" w:hAnsi="Times New Roman" w:cs="Times New Roman"/>
          <w:i/>
          <w:iCs/>
          <w:shd w:val="clear" w:color="auto" w:fill="FFFFFF"/>
          <w:lang w:val="en-GB"/>
        </w:rPr>
        <w:t>.</w:t>
      </w:r>
    </w:p>
    <w:p w14:paraId="127C267D" w14:textId="77777777" w:rsidR="00E71E7B" w:rsidRPr="00573EFA" w:rsidRDefault="00E71E7B" w:rsidP="001E7A6F">
      <w:pPr>
        <w:spacing w:after="0"/>
        <w:contextualSpacing/>
        <w:rPr>
          <w:rFonts w:ascii="Times New Roman" w:hAnsi="Times New Roman"/>
          <w:i/>
          <w:sz w:val="24"/>
          <w:szCs w:val="24"/>
        </w:rPr>
      </w:pPr>
    </w:p>
    <w:p w14:paraId="3FDD4E1F" w14:textId="3DA5C6B1" w:rsidR="00E71E7B" w:rsidRPr="00573EFA" w:rsidRDefault="00E71E7B" w:rsidP="00994086">
      <w:pPr>
        <w:spacing w:after="0"/>
        <w:contextualSpacing/>
        <w:rPr>
          <w:rFonts w:ascii="Times New Roman" w:hAnsi="Times New Roman"/>
          <w:sz w:val="24"/>
          <w:szCs w:val="24"/>
        </w:rPr>
      </w:pPr>
      <w:r w:rsidRPr="00573EFA">
        <w:rPr>
          <w:rFonts w:ascii="Times New Roman" w:hAnsi="Times New Roman"/>
          <w:i/>
          <w:iCs/>
          <w:sz w:val="24"/>
          <w:szCs w:val="24"/>
        </w:rPr>
        <w:t>Introduction</w:t>
      </w:r>
    </w:p>
    <w:p w14:paraId="022788C5" w14:textId="77777777" w:rsidR="00E71E7B" w:rsidRPr="007E0056" w:rsidRDefault="00E71E7B" w:rsidP="007E0056">
      <w:pPr>
        <w:spacing w:after="0"/>
        <w:contextualSpacing/>
        <w:rPr>
          <w:rFonts w:ascii="Times New Roman" w:hAnsi="Times New Roman"/>
          <w:sz w:val="24"/>
          <w:szCs w:val="24"/>
        </w:rPr>
      </w:pPr>
    </w:p>
    <w:p w14:paraId="165136C8" w14:textId="222BD64D" w:rsidR="007E0056" w:rsidRDefault="007E0056" w:rsidP="007E0056">
      <w:pPr>
        <w:spacing w:after="0"/>
        <w:rPr>
          <w:rFonts w:ascii="Times New Roman" w:hAnsi="Times New Roman"/>
          <w:sz w:val="24"/>
          <w:szCs w:val="24"/>
        </w:rPr>
      </w:pPr>
      <w:r w:rsidRPr="007E0056">
        <w:rPr>
          <w:rFonts w:ascii="Times New Roman" w:hAnsi="Times New Roman"/>
          <w:sz w:val="24"/>
          <w:szCs w:val="24"/>
        </w:rPr>
        <w:t xml:space="preserve">The hot topic in European </w:t>
      </w:r>
      <w:r>
        <w:rPr>
          <w:rFonts w:ascii="Times New Roman" w:hAnsi="Times New Roman"/>
          <w:sz w:val="24"/>
          <w:szCs w:val="24"/>
        </w:rPr>
        <w:t>i</w:t>
      </w:r>
      <w:r w:rsidRPr="007E0056">
        <w:rPr>
          <w:rFonts w:ascii="Times New Roman" w:hAnsi="Times New Roman"/>
          <w:sz w:val="24"/>
          <w:szCs w:val="24"/>
        </w:rPr>
        <w:t>nsolvency has migrated from the implementation of the Preventive Restructuring Directive to the Proposal for a Directive on the harmonisation of certain aspects of insolvency law, published in December 2022 and the focus of the discussion panels at the first in-person CERIL</w:t>
      </w:r>
      <w:r>
        <w:rPr>
          <w:rFonts w:ascii="Times New Roman" w:hAnsi="Times New Roman"/>
          <w:sz w:val="24"/>
          <w:szCs w:val="24"/>
        </w:rPr>
        <w:t xml:space="preserve"> (Conference on European Restructuring and Insolvency Law)</w:t>
      </w:r>
      <w:r w:rsidRPr="007E0056">
        <w:rPr>
          <w:rFonts w:ascii="Times New Roman" w:hAnsi="Times New Roman"/>
          <w:sz w:val="24"/>
          <w:szCs w:val="24"/>
        </w:rPr>
        <w:t xml:space="preserve"> </w:t>
      </w:r>
      <w:r>
        <w:rPr>
          <w:rFonts w:ascii="Times New Roman" w:hAnsi="Times New Roman"/>
          <w:sz w:val="24"/>
          <w:szCs w:val="24"/>
        </w:rPr>
        <w:t>event</w:t>
      </w:r>
      <w:r w:rsidRPr="007E0056">
        <w:rPr>
          <w:rFonts w:ascii="Times New Roman" w:hAnsi="Times New Roman"/>
          <w:sz w:val="24"/>
          <w:szCs w:val="24"/>
        </w:rPr>
        <w:t>, held 21-22 April in Leiden. It was agreed by all that the Proposal is largely a patchwork approach that aims to create harmonisation and approximation opportunities in a few very specific</w:t>
      </w:r>
      <w:r>
        <w:rPr>
          <w:rFonts w:ascii="Times New Roman" w:hAnsi="Times New Roman"/>
          <w:sz w:val="24"/>
          <w:szCs w:val="24"/>
        </w:rPr>
        <w:t>,</w:t>
      </w:r>
      <w:r w:rsidRPr="007E0056">
        <w:rPr>
          <w:rFonts w:ascii="Times New Roman" w:hAnsi="Times New Roman"/>
          <w:sz w:val="24"/>
          <w:szCs w:val="24"/>
        </w:rPr>
        <w:t xml:space="preserve"> if not non-controversial, areas of insolvency law. Among those provisions is the pre-pack.</w:t>
      </w:r>
    </w:p>
    <w:p w14:paraId="3696CA96" w14:textId="00EF6F85" w:rsidR="007E0056" w:rsidRDefault="007E0056" w:rsidP="007E0056">
      <w:pPr>
        <w:spacing w:after="0"/>
        <w:rPr>
          <w:rFonts w:ascii="Times New Roman" w:hAnsi="Times New Roman"/>
          <w:sz w:val="24"/>
          <w:szCs w:val="24"/>
        </w:rPr>
      </w:pPr>
    </w:p>
    <w:p w14:paraId="7C95F264" w14:textId="12760C06" w:rsidR="007E0056" w:rsidRPr="007E0056" w:rsidRDefault="007E0056" w:rsidP="007E0056">
      <w:pPr>
        <w:spacing w:after="0"/>
        <w:rPr>
          <w:rFonts w:ascii="Times New Roman" w:hAnsi="Times New Roman"/>
          <w:i/>
          <w:iCs/>
          <w:sz w:val="24"/>
          <w:szCs w:val="24"/>
        </w:rPr>
      </w:pPr>
      <w:r w:rsidRPr="007E0056">
        <w:rPr>
          <w:rFonts w:ascii="Times New Roman" w:hAnsi="Times New Roman"/>
          <w:i/>
          <w:iCs/>
          <w:sz w:val="24"/>
          <w:szCs w:val="24"/>
        </w:rPr>
        <w:t>Pre-Packs and the Impact on Employees</w:t>
      </w:r>
    </w:p>
    <w:p w14:paraId="2EF36E4D" w14:textId="77777777" w:rsidR="007E0056" w:rsidRPr="007E0056" w:rsidRDefault="007E0056" w:rsidP="007E0056">
      <w:pPr>
        <w:spacing w:after="0"/>
        <w:rPr>
          <w:rFonts w:ascii="Times New Roman" w:hAnsi="Times New Roman"/>
          <w:sz w:val="24"/>
          <w:szCs w:val="24"/>
        </w:rPr>
      </w:pPr>
    </w:p>
    <w:p w14:paraId="0DCAFA89" w14:textId="06C9039F" w:rsidR="007E0056" w:rsidRDefault="007E0056" w:rsidP="007E0056">
      <w:pPr>
        <w:spacing w:after="0"/>
        <w:rPr>
          <w:rFonts w:ascii="Times New Roman" w:hAnsi="Times New Roman"/>
          <w:sz w:val="24"/>
          <w:szCs w:val="24"/>
        </w:rPr>
      </w:pPr>
      <w:r w:rsidRPr="007E0056">
        <w:rPr>
          <w:rFonts w:ascii="Times New Roman" w:hAnsi="Times New Roman"/>
          <w:sz w:val="24"/>
          <w:szCs w:val="24"/>
        </w:rPr>
        <w:t>There will be plenty of future discussion on the technical aspects of this provision and many will point out its benefits, risks and everything in between. However, there is one article in particular that may conflict with the operation and indeed the spirit of the Acquired Rights Directive (ARD). Article 20(1) states the following:</w:t>
      </w:r>
    </w:p>
    <w:p w14:paraId="44AF5A51" w14:textId="55B7F8A7" w:rsidR="007E0056" w:rsidRPr="007E0056" w:rsidRDefault="007E0056" w:rsidP="007E0056">
      <w:pPr>
        <w:spacing w:after="0"/>
        <w:rPr>
          <w:rFonts w:ascii="Times New Roman" w:hAnsi="Times New Roman"/>
          <w:sz w:val="24"/>
          <w:szCs w:val="24"/>
        </w:rPr>
      </w:pPr>
      <w:r w:rsidRPr="007E0056">
        <w:rPr>
          <w:rFonts w:ascii="Times New Roman" w:hAnsi="Times New Roman"/>
          <w:sz w:val="24"/>
          <w:szCs w:val="24"/>
        </w:rPr>
        <w:t xml:space="preserve"> </w:t>
      </w:r>
    </w:p>
    <w:p w14:paraId="1628B018" w14:textId="1D4EF0DB" w:rsidR="007E0056" w:rsidRPr="007E0056" w:rsidRDefault="007E0056" w:rsidP="007E0056">
      <w:pPr>
        <w:spacing w:after="0"/>
        <w:ind w:left="567"/>
        <w:rPr>
          <w:rFonts w:ascii="Times New Roman" w:hAnsi="Times New Roman"/>
          <w:sz w:val="24"/>
          <w:szCs w:val="24"/>
        </w:rPr>
      </w:pPr>
      <w:r>
        <w:rPr>
          <w:rFonts w:ascii="Times New Roman" w:hAnsi="Times New Roman"/>
          <w:sz w:val="24"/>
          <w:szCs w:val="24"/>
        </w:rPr>
        <w:t>“</w:t>
      </w:r>
      <w:r w:rsidRPr="007E0056">
        <w:rPr>
          <w:rFonts w:ascii="Times New Roman" w:hAnsi="Times New Roman"/>
          <w:sz w:val="24"/>
          <w:szCs w:val="24"/>
        </w:rPr>
        <w:t>For the purposes of Article 5(1) of Council Directive 2001/23/EC, the liquidation phase shall be considered to be bankruptcy or insolvency proceedings instituted with a view to the liquidation of the assets of the transferor under the supervision of a competent public authority.</w:t>
      </w:r>
      <w:r>
        <w:rPr>
          <w:rFonts w:ascii="Times New Roman" w:hAnsi="Times New Roman"/>
          <w:sz w:val="24"/>
          <w:szCs w:val="24"/>
        </w:rPr>
        <w:t>”</w:t>
      </w:r>
    </w:p>
    <w:p w14:paraId="17F59B22" w14:textId="77777777" w:rsidR="007E0056" w:rsidRDefault="007E0056" w:rsidP="007E0056">
      <w:pPr>
        <w:spacing w:after="0"/>
        <w:rPr>
          <w:rFonts w:ascii="Times New Roman" w:hAnsi="Times New Roman"/>
          <w:sz w:val="24"/>
          <w:szCs w:val="24"/>
        </w:rPr>
      </w:pPr>
    </w:p>
    <w:p w14:paraId="31F833F4" w14:textId="5D2D8722" w:rsidR="007E0056" w:rsidRDefault="007E0056" w:rsidP="007E0056">
      <w:pPr>
        <w:spacing w:after="0"/>
        <w:rPr>
          <w:rFonts w:ascii="Times New Roman" w:hAnsi="Times New Roman"/>
          <w:sz w:val="24"/>
          <w:szCs w:val="24"/>
        </w:rPr>
      </w:pPr>
      <w:r w:rsidRPr="007E0056">
        <w:rPr>
          <w:rFonts w:ascii="Times New Roman" w:hAnsi="Times New Roman"/>
          <w:sz w:val="24"/>
          <w:szCs w:val="24"/>
        </w:rPr>
        <w:t xml:space="preserve">The Proposal seems to fully exempt its pre-pack process from the operation of the ARD, regardless of the intention of the particular procedure on the facts of any given case. This rests on the idea that the </w:t>
      </w:r>
      <w:r w:rsidRPr="007E0056">
        <w:rPr>
          <w:rFonts w:ascii="Times New Roman" w:hAnsi="Times New Roman"/>
          <w:i/>
          <w:iCs/>
          <w:sz w:val="24"/>
          <w:szCs w:val="24"/>
        </w:rPr>
        <w:t>Heiploeg</w:t>
      </w:r>
      <w:r w:rsidRPr="007E0056">
        <w:rPr>
          <w:rFonts w:ascii="Times New Roman" w:hAnsi="Times New Roman"/>
          <w:sz w:val="24"/>
          <w:szCs w:val="24"/>
        </w:rPr>
        <w:t xml:space="preserve"> judgement (C-237/20) has settled the matter of whether employment contracts migrate to a purchaser of a business transferred subsequent to a pre-pack. However, in examining the rationale of the Court of Justice in the </w:t>
      </w:r>
      <w:r w:rsidRPr="007E0056">
        <w:rPr>
          <w:rFonts w:ascii="Times New Roman" w:hAnsi="Times New Roman"/>
          <w:i/>
          <w:iCs/>
          <w:sz w:val="24"/>
          <w:szCs w:val="24"/>
        </w:rPr>
        <w:t>Heiploeg</w:t>
      </w:r>
      <w:r w:rsidRPr="007E0056">
        <w:rPr>
          <w:rFonts w:ascii="Times New Roman" w:hAnsi="Times New Roman"/>
          <w:sz w:val="24"/>
          <w:szCs w:val="24"/>
        </w:rPr>
        <w:t xml:space="preserve"> case, it is not clear whether this statement can be made unequivocally. This assertion is based on a close reading of the decision-making process among the cases that have been held on this issue.</w:t>
      </w:r>
    </w:p>
    <w:p w14:paraId="36A61804" w14:textId="77777777" w:rsidR="007E0056" w:rsidRPr="007E0056" w:rsidRDefault="007E0056" w:rsidP="007E0056">
      <w:pPr>
        <w:spacing w:after="0"/>
        <w:rPr>
          <w:rFonts w:ascii="Times New Roman" w:hAnsi="Times New Roman"/>
          <w:sz w:val="24"/>
          <w:szCs w:val="24"/>
        </w:rPr>
      </w:pPr>
    </w:p>
    <w:p w14:paraId="5D1C9A34" w14:textId="77777777" w:rsidR="007E0056" w:rsidRDefault="007E0056" w:rsidP="007E0056">
      <w:pPr>
        <w:spacing w:after="0"/>
        <w:rPr>
          <w:rFonts w:ascii="Times New Roman" w:hAnsi="Times New Roman"/>
          <w:sz w:val="24"/>
          <w:szCs w:val="24"/>
        </w:rPr>
      </w:pPr>
    </w:p>
    <w:p w14:paraId="19EDEA10" w14:textId="07D322F4" w:rsidR="007E0056" w:rsidRDefault="007E0056" w:rsidP="007E0056">
      <w:pPr>
        <w:spacing w:after="0"/>
        <w:rPr>
          <w:rFonts w:ascii="Times New Roman" w:hAnsi="Times New Roman"/>
          <w:sz w:val="24"/>
          <w:szCs w:val="24"/>
        </w:rPr>
      </w:pPr>
      <w:r w:rsidRPr="007E0056">
        <w:rPr>
          <w:rFonts w:ascii="Times New Roman" w:hAnsi="Times New Roman"/>
          <w:sz w:val="24"/>
          <w:szCs w:val="24"/>
        </w:rPr>
        <w:lastRenderedPageBreak/>
        <w:t>The story of the insolvency exception in the ARD</w:t>
      </w:r>
      <w:r>
        <w:rPr>
          <w:rFonts w:ascii="Times New Roman" w:hAnsi="Times New Roman"/>
          <w:sz w:val="24"/>
          <w:szCs w:val="24"/>
        </w:rPr>
        <w:t>,</w:t>
      </w:r>
      <w:r w:rsidRPr="007E0056">
        <w:rPr>
          <w:rFonts w:ascii="Times New Roman" w:hAnsi="Times New Roman"/>
          <w:sz w:val="24"/>
          <w:szCs w:val="24"/>
        </w:rPr>
        <w:t xml:space="preserve"> and its applicability to situations of corporate rescue, begins in the Netherlands with </w:t>
      </w:r>
      <w:proofErr w:type="spellStart"/>
      <w:r w:rsidRPr="007E0056">
        <w:rPr>
          <w:rFonts w:ascii="Times New Roman" w:hAnsi="Times New Roman"/>
          <w:i/>
          <w:iCs/>
          <w:sz w:val="24"/>
          <w:szCs w:val="24"/>
        </w:rPr>
        <w:t>Abels</w:t>
      </w:r>
      <w:proofErr w:type="spellEnd"/>
      <w:r w:rsidRPr="007E0056">
        <w:rPr>
          <w:rFonts w:ascii="Times New Roman" w:hAnsi="Times New Roman"/>
          <w:sz w:val="24"/>
          <w:szCs w:val="24"/>
        </w:rPr>
        <w:t xml:space="preserve"> (C-135/83). This case is where it was first recognised that an exemption was needed for certain insolvency situations in the interests of economic efficiency and asset value preservation, which was then implemented in Article 5 of the second ARD passed in 2001. Here is where the controversy begins as to where the line should be drawn between transfers done ‘with a view to the liquidation of the assets’ and transfers in a corporate rescue procedure</w:t>
      </w:r>
      <w:r>
        <w:rPr>
          <w:rFonts w:ascii="Times New Roman" w:hAnsi="Times New Roman"/>
          <w:sz w:val="24"/>
          <w:szCs w:val="24"/>
        </w:rPr>
        <w:t>,</w:t>
      </w:r>
      <w:r w:rsidRPr="007E0056">
        <w:rPr>
          <w:rFonts w:ascii="Times New Roman" w:hAnsi="Times New Roman"/>
          <w:sz w:val="24"/>
          <w:szCs w:val="24"/>
        </w:rPr>
        <w:t xml:space="preserve"> where there is ‘a transfer of an economic entity which retains its identity, meaning an organised grouping of resources which has an objective of pursuing an economic activity, whether or not that activity is central or ancillary’ (Art 1(1)(b)</w:t>
      </w:r>
      <w:r>
        <w:rPr>
          <w:rFonts w:ascii="Times New Roman" w:hAnsi="Times New Roman"/>
          <w:sz w:val="24"/>
          <w:szCs w:val="24"/>
        </w:rPr>
        <w:t>)</w:t>
      </w:r>
      <w:r w:rsidRPr="007E0056">
        <w:rPr>
          <w:rFonts w:ascii="Times New Roman" w:hAnsi="Times New Roman"/>
          <w:sz w:val="24"/>
          <w:szCs w:val="24"/>
        </w:rPr>
        <w:t>.</w:t>
      </w:r>
    </w:p>
    <w:p w14:paraId="03F6FF02" w14:textId="77777777" w:rsidR="007E0056" w:rsidRPr="007E0056" w:rsidRDefault="007E0056" w:rsidP="007E0056">
      <w:pPr>
        <w:spacing w:after="0"/>
        <w:rPr>
          <w:rFonts w:ascii="Times New Roman" w:hAnsi="Times New Roman"/>
          <w:sz w:val="24"/>
          <w:szCs w:val="24"/>
        </w:rPr>
      </w:pPr>
    </w:p>
    <w:p w14:paraId="57393A28" w14:textId="2CC9AF46" w:rsidR="007E0056" w:rsidRDefault="007E0056" w:rsidP="007E0056">
      <w:pPr>
        <w:spacing w:after="0"/>
        <w:rPr>
          <w:rFonts w:ascii="Times New Roman" w:hAnsi="Times New Roman"/>
          <w:sz w:val="24"/>
          <w:szCs w:val="24"/>
        </w:rPr>
      </w:pPr>
      <w:r w:rsidRPr="007E0056">
        <w:rPr>
          <w:rFonts w:ascii="Times New Roman" w:hAnsi="Times New Roman"/>
          <w:sz w:val="24"/>
          <w:szCs w:val="24"/>
        </w:rPr>
        <w:t>The latter aspect is often referred to simply as ‘business continuation’, but one could argue that</w:t>
      </w:r>
      <w:r>
        <w:rPr>
          <w:rFonts w:ascii="Times New Roman" w:hAnsi="Times New Roman"/>
          <w:sz w:val="24"/>
          <w:szCs w:val="24"/>
        </w:rPr>
        <w:t>,</w:t>
      </w:r>
      <w:r w:rsidRPr="007E0056">
        <w:rPr>
          <w:rFonts w:ascii="Times New Roman" w:hAnsi="Times New Roman"/>
          <w:sz w:val="24"/>
          <w:szCs w:val="24"/>
        </w:rPr>
        <w:t xml:space="preserve"> on the wording</w:t>
      </w:r>
      <w:r>
        <w:rPr>
          <w:rFonts w:ascii="Times New Roman" w:hAnsi="Times New Roman"/>
          <w:sz w:val="24"/>
          <w:szCs w:val="24"/>
        </w:rPr>
        <w:t>,</w:t>
      </w:r>
      <w:r w:rsidRPr="007E0056">
        <w:rPr>
          <w:rFonts w:ascii="Times New Roman" w:hAnsi="Times New Roman"/>
          <w:sz w:val="24"/>
          <w:szCs w:val="24"/>
        </w:rPr>
        <w:t xml:space="preserve"> it could be much broader than this, which brings into question the most recent judgement in this area upon which Article 20(1) of the Proposal appears to rely upon as settled case law. It is arguable if not doubtful that this is the case.</w:t>
      </w:r>
    </w:p>
    <w:p w14:paraId="1AECE184" w14:textId="77777777" w:rsidR="007E0056" w:rsidRPr="007E0056" w:rsidRDefault="007E0056" w:rsidP="007E0056">
      <w:pPr>
        <w:spacing w:after="0"/>
        <w:rPr>
          <w:rFonts w:ascii="Times New Roman" w:hAnsi="Times New Roman"/>
          <w:sz w:val="24"/>
          <w:szCs w:val="24"/>
        </w:rPr>
      </w:pPr>
    </w:p>
    <w:p w14:paraId="7908F823" w14:textId="2ECF73EB" w:rsidR="007E0056" w:rsidRDefault="007E0056" w:rsidP="007E0056">
      <w:pPr>
        <w:spacing w:after="0"/>
        <w:rPr>
          <w:rFonts w:ascii="Times New Roman" w:hAnsi="Times New Roman"/>
          <w:sz w:val="24"/>
          <w:szCs w:val="24"/>
        </w:rPr>
      </w:pPr>
      <w:r w:rsidRPr="007E0056">
        <w:rPr>
          <w:rFonts w:ascii="Times New Roman" w:hAnsi="Times New Roman"/>
          <w:sz w:val="24"/>
          <w:szCs w:val="24"/>
        </w:rPr>
        <w:t xml:space="preserve">The </w:t>
      </w:r>
      <w:r w:rsidRPr="007E0056">
        <w:rPr>
          <w:rFonts w:ascii="Times New Roman" w:hAnsi="Times New Roman"/>
          <w:i/>
          <w:iCs/>
          <w:sz w:val="24"/>
          <w:szCs w:val="24"/>
        </w:rPr>
        <w:t>Heiploeg</w:t>
      </w:r>
      <w:r w:rsidRPr="007E0056">
        <w:rPr>
          <w:rFonts w:ascii="Times New Roman" w:hAnsi="Times New Roman"/>
          <w:sz w:val="24"/>
          <w:szCs w:val="24"/>
        </w:rPr>
        <w:t xml:space="preserve"> judgement helpfully provides a summary analysis of some the key findings in this area, including </w:t>
      </w:r>
      <w:proofErr w:type="spellStart"/>
      <w:r w:rsidRPr="007E0056">
        <w:rPr>
          <w:rFonts w:ascii="Times New Roman" w:hAnsi="Times New Roman"/>
          <w:i/>
          <w:iCs/>
          <w:sz w:val="24"/>
          <w:szCs w:val="24"/>
        </w:rPr>
        <w:t>D’Urso</w:t>
      </w:r>
      <w:proofErr w:type="spellEnd"/>
      <w:r w:rsidRPr="007E0056">
        <w:rPr>
          <w:rFonts w:ascii="Times New Roman" w:hAnsi="Times New Roman"/>
          <w:sz w:val="24"/>
          <w:szCs w:val="24"/>
        </w:rPr>
        <w:t xml:space="preserve"> (C-362/89), in which it was noted that where the primary purpose of a procedure was to give the undertaking some stability allowing its future activity to be safeguarded, then the social and economic objectives pursued could not justify employees losing rights conferred by the ARD when there was a transfer of undertaking. On a similar question, the </w:t>
      </w:r>
      <w:proofErr w:type="spellStart"/>
      <w:r w:rsidRPr="007E0056">
        <w:rPr>
          <w:rFonts w:ascii="Times New Roman" w:hAnsi="Times New Roman"/>
          <w:i/>
          <w:iCs/>
          <w:sz w:val="24"/>
          <w:szCs w:val="24"/>
        </w:rPr>
        <w:t>Smallsteps</w:t>
      </w:r>
      <w:proofErr w:type="spellEnd"/>
      <w:r w:rsidRPr="007E0056">
        <w:rPr>
          <w:rFonts w:ascii="Times New Roman" w:hAnsi="Times New Roman"/>
          <w:sz w:val="24"/>
          <w:szCs w:val="24"/>
        </w:rPr>
        <w:t xml:space="preserve"> case (C-126/16), the court held that where the primary purpose was to ensure the ‘continuation of the undertaking’, this would not satisfy the requirement that the insolvency exception should only apply to pre-packs instituted with a view to the liquidation of the assets of the transferor. </w:t>
      </w:r>
    </w:p>
    <w:p w14:paraId="679EBC43" w14:textId="77777777" w:rsidR="007E0056" w:rsidRPr="007E0056" w:rsidRDefault="007E0056" w:rsidP="007E0056">
      <w:pPr>
        <w:spacing w:after="0"/>
        <w:rPr>
          <w:rFonts w:ascii="Times New Roman" w:hAnsi="Times New Roman"/>
          <w:sz w:val="24"/>
          <w:szCs w:val="24"/>
        </w:rPr>
      </w:pPr>
    </w:p>
    <w:p w14:paraId="516CF20E" w14:textId="742D6725" w:rsidR="007E0056" w:rsidRDefault="007E0056" w:rsidP="007E0056">
      <w:pPr>
        <w:spacing w:after="0"/>
        <w:rPr>
          <w:rFonts w:ascii="Times New Roman" w:hAnsi="Times New Roman"/>
          <w:sz w:val="24"/>
          <w:szCs w:val="24"/>
        </w:rPr>
      </w:pPr>
      <w:r w:rsidRPr="007E0056">
        <w:rPr>
          <w:rFonts w:ascii="Times New Roman" w:hAnsi="Times New Roman"/>
          <w:sz w:val="24"/>
          <w:szCs w:val="24"/>
        </w:rPr>
        <w:t xml:space="preserve">The CJEU explained in </w:t>
      </w:r>
      <w:r w:rsidRPr="007E0056">
        <w:rPr>
          <w:rFonts w:ascii="Times New Roman" w:hAnsi="Times New Roman"/>
          <w:i/>
          <w:iCs/>
          <w:sz w:val="24"/>
          <w:szCs w:val="24"/>
        </w:rPr>
        <w:t>Heiploeg</w:t>
      </w:r>
      <w:r w:rsidRPr="007E0056">
        <w:rPr>
          <w:rFonts w:ascii="Times New Roman" w:hAnsi="Times New Roman"/>
          <w:sz w:val="24"/>
          <w:szCs w:val="24"/>
        </w:rPr>
        <w:t xml:space="preserve"> </w:t>
      </w:r>
      <w:r>
        <w:rPr>
          <w:rFonts w:ascii="Times New Roman" w:hAnsi="Times New Roman"/>
          <w:sz w:val="24"/>
          <w:szCs w:val="24"/>
        </w:rPr>
        <w:t xml:space="preserve">(at </w:t>
      </w:r>
      <w:r w:rsidRPr="007E0056">
        <w:rPr>
          <w:rFonts w:ascii="Times New Roman" w:hAnsi="Times New Roman"/>
          <w:sz w:val="24"/>
          <w:szCs w:val="24"/>
        </w:rPr>
        <w:t>para</w:t>
      </w:r>
      <w:r>
        <w:rPr>
          <w:rFonts w:ascii="Times New Roman" w:hAnsi="Times New Roman"/>
          <w:sz w:val="24"/>
          <w:szCs w:val="24"/>
        </w:rPr>
        <w:t>graph</w:t>
      </w:r>
      <w:r w:rsidRPr="007E0056">
        <w:rPr>
          <w:rFonts w:ascii="Times New Roman" w:hAnsi="Times New Roman"/>
          <w:sz w:val="24"/>
          <w:szCs w:val="24"/>
        </w:rPr>
        <w:t xml:space="preserve"> 44</w:t>
      </w:r>
      <w:r>
        <w:rPr>
          <w:rFonts w:ascii="Times New Roman" w:hAnsi="Times New Roman"/>
          <w:sz w:val="24"/>
          <w:szCs w:val="24"/>
        </w:rPr>
        <w:t>)</w:t>
      </w:r>
      <w:r w:rsidRPr="007E0056">
        <w:rPr>
          <w:rFonts w:ascii="Times New Roman" w:hAnsi="Times New Roman"/>
          <w:sz w:val="24"/>
          <w:szCs w:val="24"/>
        </w:rPr>
        <w:t xml:space="preserve"> that ‘a procedure is aimed at ensuring the continuation of the undertaking when that procedure is designed to preserve the operational character of the undertaking </w:t>
      </w:r>
      <w:r w:rsidRPr="007E0056">
        <w:rPr>
          <w:rFonts w:ascii="Times New Roman" w:hAnsi="Times New Roman"/>
          <w:i/>
          <w:iCs/>
          <w:sz w:val="24"/>
          <w:szCs w:val="24"/>
        </w:rPr>
        <w:t>or of its viable units</w:t>
      </w:r>
      <w:r w:rsidRPr="007E0056">
        <w:rPr>
          <w:rFonts w:ascii="Times New Roman" w:hAnsi="Times New Roman"/>
          <w:sz w:val="24"/>
          <w:szCs w:val="24"/>
        </w:rPr>
        <w:t>.’ This is contrasted with a procedure focusing on asset liquidation aimed to maximise creditors’ collective claims. The key is the primary objective that is aimed to ensure continuation which means safeguarding the undertaking concerned.</w:t>
      </w:r>
      <w:r>
        <w:rPr>
          <w:rFonts w:ascii="Times New Roman" w:hAnsi="Times New Roman"/>
          <w:sz w:val="24"/>
          <w:szCs w:val="24"/>
        </w:rPr>
        <w:t xml:space="preserve"> </w:t>
      </w:r>
      <w:r w:rsidRPr="007E0056">
        <w:rPr>
          <w:rFonts w:ascii="Times New Roman" w:hAnsi="Times New Roman"/>
          <w:sz w:val="24"/>
          <w:szCs w:val="24"/>
        </w:rPr>
        <w:t xml:space="preserve">In the </w:t>
      </w:r>
      <w:proofErr w:type="spellStart"/>
      <w:r w:rsidRPr="007E0056">
        <w:rPr>
          <w:rFonts w:ascii="Times New Roman" w:hAnsi="Times New Roman"/>
          <w:i/>
          <w:iCs/>
          <w:sz w:val="24"/>
          <w:szCs w:val="24"/>
        </w:rPr>
        <w:t>Smallsteps</w:t>
      </w:r>
      <w:proofErr w:type="spellEnd"/>
      <w:r w:rsidRPr="007E0056">
        <w:rPr>
          <w:rFonts w:ascii="Times New Roman" w:hAnsi="Times New Roman"/>
          <w:sz w:val="24"/>
          <w:szCs w:val="24"/>
        </w:rPr>
        <w:t xml:space="preserve"> case (another Dutch referral), it was clear that the procedure was intended to continue the undertaking to preserve value and employment, thus the procedure’s primary purpose was not liquidation of assets. Not applying the ARD in such circumstances would be contrary to the spirit of the ARD. The loss of employment rights could therefore not be justified.</w:t>
      </w:r>
    </w:p>
    <w:p w14:paraId="2B66C026" w14:textId="77777777" w:rsidR="007E0056" w:rsidRPr="007E0056" w:rsidRDefault="007E0056" w:rsidP="007E0056">
      <w:pPr>
        <w:spacing w:after="0"/>
        <w:rPr>
          <w:rFonts w:ascii="Times New Roman" w:hAnsi="Times New Roman"/>
          <w:sz w:val="24"/>
          <w:szCs w:val="24"/>
        </w:rPr>
      </w:pPr>
    </w:p>
    <w:p w14:paraId="5B8ED68E" w14:textId="5055D750" w:rsidR="007E0056" w:rsidRDefault="007E0056" w:rsidP="007E0056">
      <w:pPr>
        <w:spacing w:after="0"/>
        <w:rPr>
          <w:rFonts w:ascii="Times New Roman" w:hAnsi="Times New Roman"/>
          <w:sz w:val="24"/>
          <w:szCs w:val="24"/>
        </w:rPr>
      </w:pPr>
      <w:r w:rsidRPr="007E0056">
        <w:rPr>
          <w:rFonts w:ascii="Times New Roman" w:hAnsi="Times New Roman"/>
          <w:sz w:val="24"/>
          <w:szCs w:val="24"/>
        </w:rPr>
        <w:t xml:space="preserve">In </w:t>
      </w:r>
      <w:r w:rsidRPr="007E0056">
        <w:rPr>
          <w:rFonts w:ascii="Times New Roman" w:hAnsi="Times New Roman"/>
          <w:i/>
          <w:iCs/>
          <w:sz w:val="24"/>
          <w:szCs w:val="24"/>
        </w:rPr>
        <w:t>Heiploeg</w:t>
      </w:r>
      <w:r w:rsidRPr="007E0056">
        <w:rPr>
          <w:rFonts w:ascii="Times New Roman" w:hAnsi="Times New Roman"/>
          <w:sz w:val="24"/>
          <w:szCs w:val="24"/>
        </w:rPr>
        <w:t xml:space="preserve">, this position was further supported and explained on a different set of facts. Critically, the judgement specifies if, like in </w:t>
      </w:r>
      <w:r w:rsidRPr="007E0056">
        <w:rPr>
          <w:rFonts w:ascii="Times New Roman" w:hAnsi="Times New Roman"/>
          <w:i/>
          <w:iCs/>
          <w:sz w:val="24"/>
          <w:szCs w:val="24"/>
        </w:rPr>
        <w:t>Heiploeg</w:t>
      </w:r>
      <w:r w:rsidRPr="007E0056">
        <w:rPr>
          <w:rFonts w:ascii="Times New Roman" w:hAnsi="Times New Roman"/>
          <w:sz w:val="24"/>
          <w:szCs w:val="24"/>
        </w:rPr>
        <w:t>, a proceeding is instituted in orde</w:t>
      </w:r>
      <w:r>
        <w:rPr>
          <w:rFonts w:ascii="Times New Roman" w:hAnsi="Times New Roman"/>
          <w:sz w:val="24"/>
          <w:szCs w:val="24"/>
        </w:rPr>
        <w:t>r</w:t>
      </w:r>
      <w:r w:rsidRPr="007E0056">
        <w:rPr>
          <w:rFonts w:ascii="Times New Roman" w:hAnsi="Times New Roman"/>
          <w:sz w:val="24"/>
          <w:szCs w:val="24"/>
        </w:rPr>
        <w:t xml:space="preserve"> to obtain, in liquidation, the highest level of repayment, then</w:t>
      </w:r>
      <w:r>
        <w:rPr>
          <w:rFonts w:ascii="Times New Roman" w:hAnsi="Times New Roman"/>
          <w:sz w:val="24"/>
          <w:szCs w:val="24"/>
        </w:rPr>
        <w:t>,</w:t>
      </w:r>
      <w:r w:rsidRPr="007E0056">
        <w:rPr>
          <w:rFonts w:ascii="Times New Roman" w:hAnsi="Times New Roman"/>
          <w:sz w:val="24"/>
          <w:szCs w:val="24"/>
        </w:rPr>
        <w:t xml:space="preserve"> </w:t>
      </w:r>
      <w:r w:rsidRPr="007E0056">
        <w:rPr>
          <w:rFonts w:ascii="Times New Roman" w:hAnsi="Times New Roman"/>
          <w:i/>
          <w:iCs/>
          <w:sz w:val="24"/>
          <w:szCs w:val="24"/>
        </w:rPr>
        <w:t xml:space="preserve">in principle, </w:t>
      </w:r>
      <w:r w:rsidRPr="007E0056">
        <w:rPr>
          <w:rFonts w:ascii="Times New Roman" w:hAnsi="Times New Roman"/>
          <w:sz w:val="24"/>
          <w:szCs w:val="24"/>
        </w:rPr>
        <w:t xml:space="preserve">the conditions for the insolvency exception will be satisfied. However, the court also notes clearly that each situation must be verified to determine the true purpose of the procedure: to liquidate and maximise returns or with a view to reorganisation. Outcomes could, of course, also be a mixture of both. </w:t>
      </w:r>
    </w:p>
    <w:p w14:paraId="509F09B7" w14:textId="77777777" w:rsidR="007E0056" w:rsidRPr="007E0056" w:rsidRDefault="007E0056" w:rsidP="007E0056">
      <w:pPr>
        <w:spacing w:after="0"/>
        <w:rPr>
          <w:rFonts w:ascii="Times New Roman" w:hAnsi="Times New Roman"/>
          <w:sz w:val="24"/>
          <w:szCs w:val="24"/>
        </w:rPr>
      </w:pPr>
    </w:p>
    <w:p w14:paraId="11C9ECC4" w14:textId="7E22C7B5" w:rsidR="007E0056" w:rsidRDefault="007E0056" w:rsidP="007E0056">
      <w:pPr>
        <w:spacing w:after="0"/>
        <w:rPr>
          <w:rFonts w:ascii="Times New Roman" w:hAnsi="Times New Roman"/>
          <w:sz w:val="24"/>
          <w:szCs w:val="24"/>
        </w:rPr>
      </w:pPr>
      <w:r w:rsidRPr="007E0056">
        <w:rPr>
          <w:rFonts w:ascii="Times New Roman" w:hAnsi="Times New Roman"/>
          <w:sz w:val="24"/>
          <w:szCs w:val="24"/>
        </w:rPr>
        <w:t>On this point, the court concedes that the exception will be satisfied</w:t>
      </w:r>
      <w:r>
        <w:rPr>
          <w:rFonts w:ascii="Times New Roman" w:hAnsi="Times New Roman"/>
          <w:sz w:val="24"/>
          <w:szCs w:val="24"/>
        </w:rPr>
        <w:t>,</w:t>
      </w:r>
      <w:r w:rsidRPr="007E0056">
        <w:rPr>
          <w:rFonts w:ascii="Times New Roman" w:hAnsi="Times New Roman"/>
          <w:sz w:val="24"/>
          <w:szCs w:val="24"/>
        </w:rPr>
        <w:t xml:space="preserve"> where the transfer under a pre-pack is instituted under statute and has as its primary aim enabling liquidation as a going concern to maximise creditor returns – and preserving employment as far as possible. Adding to that, if the transfer is not ‘an economic entity that retains its identity’ then the rational stands. However, if the business </w:t>
      </w:r>
      <w:r>
        <w:rPr>
          <w:rFonts w:ascii="Times New Roman" w:hAnsi="Times New Roman"/>
          <w:sz w:val="24"/>
          <w:szCs w:val="24"/>
        </w:rPr>
        <w:t>i</w:t>
      </w:r>
      <w:r w:rsidRPr="007E0056">
        <w:rPr>
          <w:rFonts w:ascii="Times New Roman" w:hAnsi="Times New Roman"/>
          <w:sz w:val="24"/>
          <w:szCs w:val="24"/>
        </w:rPr>
        <w:t xml:space="preserve">n question continues as an ‘organised grouping of resources </w:t>
      </w:r>
      <w:r w:rsidRPr="007E0056">
        <w:rPr>
          <w:rFonts w:ascii="Times New Roman" w:hAnsi="Times New Roman"/>
          <w:sz w:val="24"/>
          <w:szCs w:val="24"/>
        </w:rPr>
        <w:lastRenderedPageBreak/>
        <w:t>that has the objective of preserving an economic activity’, whether central or ancillary, then it must be argued that</w:t>
      </w:r>
      <w:r>
        <w:rPr>
          <w:rFonts w:ascii="Times New Roman" w:hAnsi="Times New Roman"/>
          <w:sz w:val="24"/>
          <w:szCs w:val="24"/>
        </w:rPr>
        <w:t>,</w:t>
      </w:r>
      <w:r w:rsidRPr="007E0056">
        <w:rPr>
          <w:rFonts w:ascii="Times New Roman" w:hAnsi="Times New Roman"/>
          <w:sz w:val="24"/>
          <w:szCs w:val="24"/>
        </w:rPr>
        <w:t xml:space="preserve"> regardless of the </w:t>
      </w:r>
      <w:proofErr w:type="spellStart"/>
      <w:r w:rsidRPr="007E0056">
        <w:rPr>
          <w:rFonts w:ascii="Times New Roman" w:hAnsi="Times New Roman"/>
          <w:sz w:val="24"/>
          <w:szCs w:val="24"/>
        </w:rPr>
        <w:t>liquidative</w:t>
      </w:r>
      <w:proofErr w:type="spellEnd"/>
      <w:r w:rsidRPr="007E0056">
        <w:rPr>
          <w:rFonts w:ascii="Times New Roman" w:hAnsi="Times New Roman"/>
          <w:sz w:val="24"/>
          <w:szCs w:val="24"/>
        </w:rPr>
        <w:t xml:space="preserve"> aspects of other parts of the process, where the undertaking transferred meets these criteria, then the transfer provisions should apply in order to align with the spirit of the ARD. </w:t>
      </w:r>
    </w:p>
    <w:p w14:paraId="5A0F8BB6" w14:textId="77777777" w:rsidR="007E0056" w:rsidRPr="007E0056" w:rsidRDefault="007E0056" w:rsidP="007E0056">
      <w:pPr>
        <w:spacing w:after="0"/>
        <w:rPr>
          <w:rFonts w:ascii="Times New Roman" w:hAnsi="Times New Roman"/>
          <w:sz w:val="24"/>
          <w:szCs w:val="24"/>
        </w:rPr>
      </w:pPr>
    </w:p>
    <w:p w14:paraId="0A8CD341" w14:textId="318C0E57" w:rsidR="007E0056" w:rsidRDefault="007E0056" w:rsidP="007E0056">
      <w:pPr>
        <w:spacing w:after="0"/>
        <w:rPr>
          <w:rFonts w:ascii="Times New Roman" w:hAnsi="Times New Roman"/>
          <w:sz w:val="24"/>
          <w:szCs w:val="24"/>
        </w:rPr>
      </w:pPr>
      <w:r w:rsidRPr="007E0056">
        <w:rPr>
          <w:rFonts w:ascii="Times New Roman" w:hAnsi="Times New Roman"/>
          <w:sz w:val="24"/>
          <w:szCs w:val="24"/>
        </w:rPr>
        <w:t>On the basis of the reasoning above, the exception provided under Art</w:t>
      </w:r>
      <w:r>
        <w:rPr>
          <w:rFonts w:ascii="Times New Roman" w:hAnsi="Times New Roman"/>
          <w:sz w:val="24"/>
          <w:szCs w:val="24"/>
        </w:rPr>
        <w:t>icle</w:t>
      </w:r>
      <w:r w:rsidRPr="007E0056">
        <w:rPr>
          <w:rFonts w:ascii="Times New Roman" w:hAnsi="Times New Roman"/>
          <w:sz w:val="24"/>
          <w:szCs w:val="24"/>
        </w:rPr>
        <w:t xml:space="preserve"> 20(1) may not be adequate to exempt all styles of pre-packs given the variety of forms that they may take. It seems clear if the CJEU is faced by a decision of this sort, on its own declaration, the applicability of the insolvency exception in </w:t>
      </w:r>
      <w:r>
        <w:rPr>
          <w:rFonts w:ascii="Times New Roman" w:hAnsi="Times New Roman"/>
          <w:sz w:val="24"/>
          <w:szCs w:val="24"/>
        </w:rPr>
        <w:t>A</w:t>
      </w:r>
      <w:r w:rsidRPr="007E0056">
        <w:rPr>
          <w:rFonts w:ascii="Times New Roman" w:hAnsi="Times New Roman"/>
          <w:sz w:val="24"/>
          <w:szCs w:val="24"/>
        </w:rPr>
        <w:t>rticle 5 of the ARD will continue to be dependent upon the facts of the situation at hand.</w:t>
      </w:r>
    </w:p>
    <w:p w14:paraId="52E426A8" w14:textId="77777777" w:rsidR="007E0056" w:rsidRPr="007E0056" w:rsidRDefault="007E0056" w:rsidP="007E0056">
      <w:pPr>
        <w:spacing w:after="0"/>
        <w:rPr>
          <w:rFonts w:ascii="Times New Roman" w:hAnsi="Times New Roman"/>
          <w:sz w:val="24"/>
          <w:szCs w:val="24"/>
        </w:rPr>
      </w:pPr>
    </w:p>
    <w:p w14:paraId="579112FE" w14:textId="15ABE176" w:rsidR="007E0056" w:rsidRDefault="007E0056" w:rsidP="007E0056">
      <w:pPr>
        <w:spacing w:after="0"/>
        <w:rPr>
          <w:rFonts w:ascii="Times New Roman" w:hAnsi="Times New Roman"/>
          <w:sz w:val="24"/>
          <w:szCs w:val="24"/>
        </w:rPr>
      </w:pPr>
      <w:r w:rsidRPr="007E0056">
        <w:rPr>
          <w:rFonts w:ascii="Times New Roman" w:hAnsi="Times New Roman"/>
          <w:sz w:val="24"/>
          <w:szCs w:val="24"/>
        </w:rPr>
        <w:t xml:space="preserve">There is also an issue of continuity in the proposed pre-pack insofar as it should always fall within the insolvency exception: Why should it be required to transfer executory contracts and not also require the transfer of employment contracts? If the transferred undertaking needs executory contracts to continue its operation – those executory contracts being one of the ‘organised grouping of resources’ - surely by definition it is continuing its operation and functioning as an independent economic activity. Although other assets are being liquidated, the continuing (reorganised) business, as long as it is also retaining its identity as an organised grouping of resources, should also attract the application of the employment transfer provisions under the ARD. </w:t>
      </w:r>
    </w:p>
    <w:p w14:paraId="7DF52AF4" w14:textId="77777777" w:rsidR="007E0056" w:rsidRPr="007E0056" w:rsidRDefault="007E0056" w:rsidP="007E0056">
      <w:pPr>
        <w:spacing w:after="0"/>
        <w:rPr>
          <w:rFonts w:ascii="Times New Roman" w:hAnsi="Times New Roman"/>
          <w:sz w:val="24"/>
          <w:szCs w:val="24"/>
        </w:rPr>
      </w:pPr>
    </w:p>
    <w:p w14:paraId="739284D2" w14:textId="417DD098" w:rsidR="007E0056" w:rsidRDefault="007E0056" w:rsidP="007E0056">
      <w:pPr>
        <w:spacing w:after="0"/>
        <w:rPr>
          <w:rFonts w:ascii="Times New Roman" w:hAnsi="Times New Roman"/>
          <w:sz w:val="24"/>
          <w:szCs w:val="24"/>
        </w:rPr>
      </w:pPr>
      <w:r w:rsidRPr="007E0056">
        <w:rPr>
          <w:rFonts w:ascii="Times New Roman" w:hAnsi="Times New Roman"/>
          <w:sz w:val="24"/>
          <w:szCs w:val="24"/>
        </w:rPr>
        <w:t xml:space="preserve">The final point must be to note that insolvency does not only have a financial impact on capital markets; it has an inherent impact on society. The specific nature of insolvency law is acknowledged clearly in earlier discussions, noting its connection with social security law and the need to balance various stakeholder interests. This characterisation has been lost in the final form that the Preventive Restructuring Directive took and the context discussed for the new Proposal. </w:t>
      </w:r>
    </w:p>
    <w:p w14:paraId="12B83E19" w14:textId="4133079E" w:rsidR="007E0056" w:rsidRDefault="007E0056" w:rsidP="007E0056">
      <w:pPr>
        <w:spacing w:after="0"/>
        <w:rPr>
          <w:rFonts w:ascii="Times New Roman" w:hAnsi="Times New Roman"/>
          <w:sz w:val="24"/>
          <w:szCs w:val="24"/>
        </w:rPr>
      </w:pPr>
    </w:p>
    <w:p w14:paraId="5DB81DA0" w14:textId="0964C1BD" w:rsidR="007E0056" w:rsidRDefault="007E0056" w:rsidP="007E0056">
      <w:pPr>
        <w:spacing w:after="0"/>
        <w:rPr>
          <w:rFonts w:ascii="Times New Roman" w:hAnsi="Times New Roman"/>
          <w:sz w:val="24"/>
          <w:szCs w:val="24"/>
        </w:rPr>
      </w:pPr>
      <w:r w:rsidRPr="007E0056">
        <w:rPr>
          <w:rFonts w:ascii="Times New Roman" w:hAnsi="Times New Roman"/>
          <w:i/>
          <w:iCs/>
          <w:sz w:val="24"/>
          <w:szCs w:val="24"/>
        </w:rPr>
        <w:t>Summary</w:t>
      </w:r>
    </w:p>
    <w:p w14:paraId="1723C727" w14:textId="77777777" w:rsidR="007E0056" w:rsidRPr="007E0056" w:rsidRDefault="007E0056" w:rsidP="007E0056">
      <w:pPr>
        <w:spacing w:after="0"/>
        <w:rPr>
          <w:rFonts w:ascii="Times New Roman" w:hAnsi="Times New Roman"/>
          <w:sz w:val="24"/>
          <w:szCs w:val="24"/>
        </w:rPr>
      </w:pPr>
    </w:p>
    <w:p w14:paraId="56FE515E" w14:textId="0E6CFE13" w:rsidR="007E0056" w:rsidRPr="007E0056" w:rsidRDefault="007E0056" w:rsidP="007E0056">
      <w:pPr>
        <w:spacing w:after="0"/>
        <w:rPr>
          <w:rFonts w:ascii="Times New Roman" w:hAnsi="Times New Roman"/>
          <w:sz w:val="24"/>
          <w:szCs w:val="24"/>
        </w:rPr>
      </w:pPr>
      <w:r w:rsidRPr="007E0056">
        <w:rPr>
          <w:rFonts w:ascii="Times New Roman" w:hAnsi="Times New Roman"/>
          <w:sz w:val="24"/>
          <w:szCs w:val="24"/>
        </w:rPr>
        <w:t xml:space="preserve">It should be remembered that corporations, being human constructs, should operate in the service of humanity. Corporations do not function save through their human operators, in particular the employees who provide their firm specific human capital, time, and loyalty, without recourse to diversify their risk in the event of corporate failure. This fact alone should give employees a higher importance than other stakeholders who may be able to adjust or choose their relationship with the company. As such, insolvency procedures should incorporate this perspective to comply with the social contract we owe as humans to each other. While </w:t>
      </w:r>
      <w:r>
        <w:rPr>
          <w:rFonts w:ascii="Times New Roman" w:hAnsi="Times New Roman"/>
          <w:sz w:val="24"/>
          <w:szCs w:val="24"/>
        </w:rPr>
        <w:t xml:space="preserve">it is </w:t>
      </w:r>
      <w:r w:rsidRPr="007E0056">
        <w:rPr>
          <w:rFonts w:ascii="Times New Roman" w:hAnsi="Times New Roman"/>
          <w:sz w:val="24"/>
          <w:szCs w:val="24"/>
        </w:rPr>
        <w:t xml:space="preserve">true </w:t>
      </w:r>
      <w:r>
        <w:rPr>
          <w:rFonts w:ascii="Times New Roman" w:hAnsi="Times New Roman"/>
          <w:sz w:val="24"/>
          <w:szCs w:val="24"/>
        </w:rPr>
        <w:t xml:space="preserve">that </w:t>
      </w:r>
      <w:r w:rsidRPr="007E0056">
        <w:rPr>
          <w:rFonts w:ascii="Times New Roman" w:hAnsi="Times New Roman"/>
          <w:sz w:val="24"/>
          <w:szCs w:val="24"/>
        </w:rPr>
        <w:t xml:space="preserve">a balance needs to be achieved to provide the best solutions, those solutions should not be at the expense of the human element of the corporate form. </w:t>
      </w:r>
    </w:p>
    <w:p w14:paraId="5761A948" w14:textId="1FD70115" w:rsidR="0047439B" w:rsidRPr="007E0056" w:rsidRDefault="0047439B" w:rsidP="007E0056">
      <w:pPr>
        <w:spacing w:after="0"/>
        <w:rPr>
          <w:rFonts w:ascii="Times New Roman" w:hAnsi="Times New Roman"/>
          <w:sz w:val="24"/>
          <w:szCs w:val="24"/>
        </w:rPr>
      </w:pPr>
    </w:p>
    <w:sectPr w:rsidR="0047439B" w:rsidRPr="007E0056" w:rsidSect="00086E49">
      <w:headerReference w:type="default" r:id="rId9"/>
      <w:footerReference w:type="default" r:id="rId10"/>
      <w:pgSz w:w="11907" w:h="16840" w:code="9"/>
      <w:pgMar w:top="1440" w:right="1418" w:bottom="1440" w:left="1418" w:header="720" w:footer="32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6F30B7" w14:textId="77777777" w:rsidR="007756B2" w:rsidRDefault="007756B2">
      <w:r>
        <w:separator/>
      </w:r>
    </w:p>
  </w:endnote>
  <w:endnote w:type="continuationSeparator" w:id="0">
    <w:p w14:paraId="2CFE65F4" w14:textId="77777777" w:rsidR="007756B2" w:rsidRDefault="007756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20B0604020202020204"/>
    <w:charset w:val="00"/>
    <w:family w:val="auto"/>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2"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73B342" w14:textId="77777777" w:rsidR="00BF3D3E" w:rsidRPr="001C5080" w:rsidRDefault="00BF3D3E" w:rsidP="00086E49">
    <w:pPr>
      <w:tabs>
        <w:tab w:val="center" w:pos="4536"/>
        <w:tab w:val="right" w:pos="8789"/>
      </w:tabs>
      <w:spacing w:after="0"/>
      <w:rPr>
        <w:rFonts w:cs="Calibr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637D65" w14:textId="77777777" w:rsidR="007756B2" w:rsidRDefault="007756B2">
      <w:r>
        <w:separator/>
      </w:r>
    </w:p>
  </w:footnote>
  <w:footnote w:type="continuationSeparator" w:id="0">
    <w:p w14:paraId="5D14A6DE" w14:textId="77777777" w:rsidR="007756B2" w:rsidRDefault="007756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28C893" w14:textId="1A103448" w:rsidR="00D90E9D" w:rsidRDefault="00BF3D3E" w:rsidP="00D90E9D">
    <w:pPr>
      <w:pStyle w:val="Header"/>
      <w:spacing w:after="0"/>
      <w:rPr>
        <w:rFonts w:ascii="Arial" w:hAnsi="Arial" w:cs="Arial"/>
        <w:b/>
        <w:sz w:val="20"/>
      </w:rPr>
    </w:pPr>
    <w:r w:rsidRPr="002331CA">
      <w:rPr>
        <w:rFonts w:ascii="Arial" w:hAnsi="Arial" w:cs="Arial"/>
        <w:b/>
        <w:sz w:val="20"/>
      </w:rPr>
      <w:t>Inside Story (</w:t>
    </w:r>
    <w:r w:rsidR="007E0056">
      <w:rPr>
        <w:rFonts w:ascii="Arial" w:hAnsi="Arial" w:cs="Arial"/>
        <w:b/>
        <w:sz w:val="20"/>
      </w:rPr>
      <w:t>April</w:t>
    </w:r>
    <w:r w:rsidR="002A5779" w:rsidRPr="002331CA">
      <w:rPr>
        <w:rFonts w:ascii="Arial" w:hAnsi="Arial" w:cs="Arial"/>
        <w:b/>
        <w:sz w:val="20"/>
      </w:rPr>
      <w:t xml:space="preserve"> 20</w:t>
    </w:r>
    <w:r w:rsidR="00087612" w:rsidRPr="002331CA">
      <w:rPr>
        <w:rFonts w:ascii="Arial" w:hAnsi="Arial" w:cs="Arial"/>
        <w:b/>
        <w:sz w:val="20"/>
      </w:rPr>
      <w:t>2</w:t>
    </w:r>
    <w:r w:rsidR="007E0056">
      <w:rPr>
        <w:rFonts w:ascii="Arial" w:hAnsi="Arial" w:cs="Arial"/>
        <w:b/>
        <w:sz w:val="20"/>
      </w:rPr>
      <w:t>3</w:t>
    </w:r>
    <w:r w:rsidR="00D90E9D">
      <w:rPr>
        <w:rFonts w:ascii="Arial" w:hAnsi="Arial" w:cs="Arial"/>
        <w:b/>
        <w:sz w:val="20"/>
      </w:rPr>
      <w:t>)</w:t>
    </w:r>
  </w:p>
  <w:p w14:paraId="0F2C5C5A" w14:textId="1FA8DA2E" w:rsidR="00BF3D3E" w:rsidRPr="009224B4" w:rsidRDefault="009224B4" w:rsidP="00D90E9D">
    <w:pPr>
      <w:pStyle w:val="Header"/>
      <w:spacing w:after="0"/>
      <w:rPr>
        <w:rFonts w:ascii="Arial" w:hAnsi="Arial" w:cs="Arial"/>
        <w:b/>
        <w:sz w:val="20"/>
        <w:lang w:val="fr-FR"/>
      </w:rPr>
    </w:pPr>
    <w:r w:rsidRPr="009224B4">
      <w:rPr>
        <w:rFonts w:ascii="Arial" w:hAnsi="Arial" w:cs="Arial"/>
        <w:b/>
        <w:sz w:val="20"/>
        <w:lang w:val="fr-FR"/>
      </w:rPr>
      <w:t>Dr Jennifer L. L. Gant</w:t>
    </w:r>
    <w:r>
      <w:rPr>
        <w:rFonts w:ascii="Arial" w:hAnsi="Arial" w:cs="Arial"/>
        <w:b/>
        <w:sz w:val="20"/>
        <w:lang w:val="fr-FR"/>
      </w:rPr>
      <w:t xml:space="preserve"> </w:t>
    </w:r>
    <w:r w:rsidR="00BF3D3E" w:rsidRPr="009224B4">
      <w:rPr>
        <w:rFonts w:ascii="Arial" w:hAnsi="Arial" w:cs="Arial"/>
        <w:b/>
        <w:sz w:val="20"/>
        <w:lang w:val="fr-FR"/>
      </w:rPr>
      <w:t>(</w:t>
    </w:r>
    <w:r w:rsidR="007E0056">
      <w:rPr>
        <w:rFonts w:ascii="Arial" w:hAnsi="Arial" w:cs="Arial"/>
        <w:b/>
        <w:sz w:val="20"/>
        <w:lang w:val="fr-FR"/>
      </w:rPr>
      <w:t>EU</w:t>
    </w:r>
    <w:r w:rsidR="00BF3D3E" w:rsidRPr="009224B4">
      <w:rPr>
        <w:rFonts w:ascii="Arial" w:hAnsi="Arial" w:cs="Arial"/>
        <w:b/>
        <w:sz w:val="20"/>
        <w:lang w:val="fr-FR"/>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singleLevel"/>
    <w:tmpl w:val="1E96E526"/>
    <w:lvl w:ilvl="0">
      <w:start w:val="1"/>
      <w:numFmt w:val="decimal"/>
      <w:lvlText w:val="%1."/>
      <w:lvlJc w:val="left"/>
      <w:pPr>
        <w:tabs>
          <w:tab w:val="num" w:pos="1209"/>
        </w:tabs>
        <w:ind w:left="1209" w:hanging="360"/>
      </w:pPr>
    </w:lvl>
  </w:abstractNum>
  <w:abstractNum w:abstractNumId="1" w15:restartNumberingAfterBreak="0">
    <w:nsid w:val="FFFFFF83"/>
    <w:multiLevelType w:val="singleLevel"/>
    <w:tmpl w:val="2056D4CA"/>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50F64714"/>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11A77C2"/>
    <w:multiLevelType w:val="hybridMultilevel"/>
    <w:tmpl w:val="199AA478"/>
    <w:lvl w:ilvl="0" w:tplc="89D656CA">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06767F4E"/>
    <w:multiLevelType w:val="hybridMultilevel"/>
    <w:tmpl w:val="725CC106"/>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07A74F4A"/>
    <w:multiLevelType w:val="hybridMultilevel"/>
    <w:tmpl w:val="45FEA50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7F14876"/>
    <w:multiLevelType w:val="hybridMultilevel"/>
    <w:tmpl w:val="2356FA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AE63970"/>
    <w:multiLevelType w:val="hybridMultilevel"/>
    <w:tmpl w:val="3A66EE40"/>
    <w:lvl w:ilvl="0" w:tplc="A8F0816C">
      <w:start w:val="1"/>
      <w:numFmt w:val="decimal"/>
      <w:lvlText w:val="(%1)"/>
      <w:lvlJc w:val="left"/>
      <w:pPr>
        <w:ind w:left="720" w:hanging="360"/>
      </w:pPr>
      <w:rPr>
        <w:rFonts w:ascii="Times New Roman" w:eastAsiaTheme="minorHAnsi" w:hAnsi="Times New Roman" w:cs="Times New Roman"/>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0C066818"/>
    <w:multiLevelType w:val="hybridMultilevel"/>
    <w:tmpl w:val="A9BC44DE"/>
    <w:lvl w:ilvl="0" w:tplc="E564CF20">
      <w:start w:val="1"/>
      <w:numFmt w:val="decimal"/>
      <w:lvlText w:val="%1)"/>
      <w:lvlJc w:val="left"/>
      <w:pPr>
        <w:ind w:left="1068" w:hanging="708"/>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F027F6E"/>
    <w:multiLevelType w:val="hybridMultilevel"/>
    <w:tmpl w:val="75E6650C"/>
    <w:lvl w:ilvl="0" w:tplc="86027A48">
      <w:start w:val="1"/>
      <w:numFmt w:val="decimal"/>
      <w:pStyle w:val="AgreementParties"/>
      <w:lvlText w:val="(%1)"/>
      <w:lvlJc w:val="left"/>
      <w:pPr>
        <w:tabs>
          <w:tab w:val="num" w:pos="720"/>
        </w:tabs>
        <w:ind w:left="720" w:hanging="720"/>
      </w:pPr>
      <w:rPr>
        <w:rFonts w:ascii="Calibri" w:hAnsi="Calibri" w:hint="default"/>
        <w:b w:val="0"/>
        <w:i w:val="0"/>
        <w:caps w:val="0"/>
        <w:strike w:val="0"/>
        <w:dstrike w:val="0"/>
        <w:vanish w:val="0"/>
        <w:color w:val="000000"/>
        <w:sz w:val="21"/>
        <w:szCs w:val="22"/>
        <w:vertAlign w:val="baseline"/>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13666FBE"/>
    <w:multiLevelType w:val="hybridMultilevel"/>
    <w:tmpl w:val="1584AA5A"/>
    <w:lvl w:ilvl="0" w:tplc="AD9CF000">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13B8345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46F158C"/>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3" w15:restartNumberingAfterBreak="0">
    <w:nsid w:val="17664F7B"/>
    <w:multiLevelType w:val="multilevel"/>
    <w:tmpl w:val="0809001F"/>
    <w:lvl w:ilvl="0">
      <w:start w:val="1"/>
      <w:numFmt w:val="decimal"/>
      <w:lvlText w:val="%1."/>
      <w:lvlJc w:val="left"/>
      <w:pPr>
        <w:tabs>
          <w:tab w:val="num" w:pos="720"/>
        </w:tabs>
        <w:ind w:left="360" w:hanging="360"/>
      </w:pPr>
      <w:rPr>
        <w:rFonts w:ascii="Georgia" w:hAnsi="Georgia"/>
        <w:sz w:val="18"/>
      </w:rPr>
    </w:lvl>
    <w:lvl w:ilvl="1">
      <w:start w:val="1"/>
      <w:numFmt w:val="decimal"/>
      <w:lvlText w:val="%1.%2."/>
      <w:lvlJc w:val="left"/>
      <w:pPr>
        <w:tabs>
          <w:tab w:val="num" w:pos="1440"/>
        </w:tabs>
        <w:ind w:left="792" w:hanging="432"/>
      </w:pPr>
      <w:rPr>
        <w:rFonts w:ascii="Georgia" w:hAnsi="Georgia"/>
        <w:sz w:val="18"/>
      </w:rPr>
    </w:lvl>
    <w:lvl w:ilvl="2">
      <w:start w:val="1"/>
      <w:numFmt w:val="decimal"/>
      <w:lvlText w:val="%1.%2.%3."/>
      <w:lvlJc w:val="left"/>
      <w:pPr>
        <w:tabs>
          <w:tab w:val="num" w:pos="2160"/>
        </w:tabs>
        <w:ind w:left="1224" w:hanging="504"/>
      </w:pPr>
      <w:rPr>
        <w:rFonts w:ascii="Georgia" w:hAnsi="Georgia"/>
        <w:sz w:val="18"/>
      </w:rPr>
    </w:lvl>
    <w:lvl w:ilvl="3">
      <w:start w:val="1"/>
      <w:numFmt w:val="decimal"/>
      <w:lvlText w:val="%1.%2.%3.%4."/>
      <w:lvlJc w:val="left"/>
      <w:pPr>
        <w:tabs>
          <w:tab w:val="num" w:pos="2880"/>
        </w:tabs>
        <w:ind w:left="1728" w:hanging="648"/>
      </w:pPr>
      <w:rPr>
        <w:rFonts w:ascii="Georgia" w:hAnsi="Georgia"/>
        <w:sz w:val="18"/>
      </w:rPr>
    </w:lvl>
    <w:lvl w:ilvl="4">
      <w:start w:val="1"/>
      <w:numFmt w:val="decimal"/>
      <w:lvlText w:val="%1.%2.%3.%4.%5."/>
      <w:lvlJc w:val="left"/>
      <w:pPr>
        <w:tabs>
          <w:tab w:val="num" w:pos="3600"/>
        </w:tabs>
        <w:ind w:left="2232" w:hanging="792"/>
      </w:pPr>
      <w:rPr>
        <w:rFonts w:ascii="Georgia" w:hAnsi="Georgia"/>
        <w:sz w:val="18"/>
      </w:rPr>
    </w:lvl>
    <w:lvl w:ilvl="5">
      <w:start w:val="1"/>
      <w:numFmt w:val="decimal"/>
      <w:lvlText w:val="%1.%2.%3.%4.%5.%6."/>
      <w:lvlJc w:val="left"/>
      <w:pPr>
        <w:tabs>
          <w:tab w:val="num" w:pos="4320"/>
        </w:tabs>
        <w:ind w:left="2736" w:hanging="936"/>
      </w:pPr>
      <w:rPr>
        <w:rFonts w:ascii="Georgia" w:hAnsi="Georgia"/>
        <w:sz w:val="18"/>
      </w:rPr>
    </w:lvl>
    <w:lvl w:ilvl="6">
      <w:start w:val="1"/>
      <w:numFmt w:val="decimal"/>
      <w:lvlText w:val="%1.%2.%3.%4.%5.%6.%7."/>
      <w:lvlJc w:val="left"/>
      <w:pPr>
        <w:tabs>
          <w:tab w:val="num" w:pos="5040"/>
        </w:tabs>
        <w:ind w:left="3240" w:hanging="1080"/>
      </w:pPr>
      <w:rPr>
        <w:rFonts w:ascii="Georgia" w:hAnsi="Georgia"/>
        <w:sz w:val="18"/>
      </w:rPr>
    </w:lvl>
    <w:lvl w:ilvl="7">
      <w:start w:val="1"/>
      <w:numFmt w:val="decimal"/>
      <w:lvlText w:val="%1.%2.%3.%4.%5.%6.%7.%8."/>
      <w:lvlJc w:val="left"/>
      <w:pPr>
        <w:tabs>
          <w:tab w:val="num" w:pos="5760"/>
        </w:tabs>
        <w:ind w:left="3744" w:hanging="1224"/>
      </w:pPr>
      <w:rPr>
        <w:rFonts w:ascii="Georgia" w:hAnsi="Georgia"/>
        <w:sz w:val="18"/>
      </w:rPr>
    </w:lvl>
    <w:lvl w:ilvl="8">
      <w:start w:val="1"/>
      <w:numFmt w:val="decimal"/>
      <w:lvlText w:val="%1.%2.%3.%4.%5.%6.%7.%8.%9."/>
      <w:lvlJc w:val="left"/>
      <w:pPr>
        <w:tabs>
          <w:tab w:val="num" w:pos="6480"/>
        </w:tabs>
        <w:ind w:left="4320" w:hanging="1440"/>
      </w:pPr>
      <w:rPr>
        <w:rFonts w:ascii="Georgia" w:hAnsi="Georgia"/>
        <w:sz w:val="18"/>
      </w:rPr>
    </w:lvl>
  </w:abstractNum>
  <w:abstractNum w:abstractNumId="14" w15:restartNumberingAfterBreak="0">
    <w:nsid w:val="19A763CA"/>
    <w:multiLevelType w:val="hybridMultilevel"/>
    <w:tmpl w:val="9A124A0A"/>
    <w:lvl w:ilvl="0" w:tplc="2BB65AE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DA03051"/>
    <w:multiLevelType w:val="multilevel"/>
    <w:tmpl w:val="5986DCBC"/>
    <w:lvl w:ilvl="0">
      <w:start w:val="1"/>
      <w:numFmt w:val="decimal"/>
      <w:pStyle w:val="ScheduleClauses"/>
      <w:lvlText w:val="%1."/>
      <w:lvlJc w:val="left"/>
      <w:pPr>
        <w:tabs>
          <w:tab w:val="num" w:pos="720"/>
        </w:tabs>
        <w:ind w:left="720" w:hanging="720"/>
      </w:pPr>
      <w:rPr>
        <w:rFonts w:ascii="Calibri" w:hAnsi="Calibri" w:hint="default"/>
        <w:b w:val="0"/>
        <w:i w:val="0"/>
        <w:caps w:val="0"/>
        <w:strike w:val="0"/>
        <w:dstrike w:val="0"/>
        <w:vanish w:val="0"/>
        <w:color w:val="000000"/>
        <w:sz w:val="21"/>
        <w:szCs w:val="22"/>
        <w:vertAlign w:val="baseline"/>
      </w:rPr>
    </w:lvl>
    <w:lvl w:ilvl="1">
      <w:start w:val="1"/>
      <w:numFmt w:val="decimal"/>
      <w:lvlText w:val="%1.%2"/>
      <w:lvlJc w:val="left"/>
      <w:pPr>
        <w:tabs>
          <w:tab w:val="num" w:pos="720"/>
        </w:tabs>
        <w:ind w:left="720" w:hanging="720"/>
      </w:pPr>
      <w:rPr>
        <w:rFonts w:ascii="Calibri" w:hAnsi="Calibri" w:hint="default"/>
        <w:b w:val="0"/>
        <w:i w:val="0"/>
        <w:sz w:val="21"/>
        <w:szCs w:val="22"/>
      </w:rPr>
    </w:lvl>
    <w:lvl w:ilvl="2">
      <w:start w:val="1"/>
      <w:numFmt w:val="decimal"/>
      <w:lvlText w:val="%1.%2.%3"/>
      <w:lvlJc w:val="left"/>
      <w:pPr>
        <w:tabs>
          <w:tab w:val="num" w:pos="1474"/>
        </w:tabs>
        <w:ind w:left="1474" w:hanging="754"/>
      </w:pPr>
      <w:rPr>
        <w:rFonts w:ascii="Times New Roman" w:hAnsi="Times New Roman" w:hint="default"/>
        <w:b w:val="0"/>
        <w:i w:val="0"/>
        <w:caps w:val="0"/>
        <w:strike w:val="0"/>
        <w:dstrike w:val="0"/>
        <w:vanish w:val="0"/>
        <w:color w:val="000000"/>
        <w:sz w:val="22"/>
        <w:szCs w:val="22"/>
        <w:vertAlign w:val="baseline"/>
      </w:rPr>
    </w:lvl>
    <w:lvl w:ilvl="3">
      <w:start w:val="1"/>
      <w:numFmt w:val="lowerLetter"/>
      <w:lvlText w:val="(%4)"/>
      <w:lvlJc w:val="left"/>
      <w:pPr>
        <w:tabs>
          <w:tab w:val="num" w:pos="2041"/>
        </w:tabs>
        <w:ind w:left="2041" w:hanging="567"/>
      </w:pPr>
      <w:rPr>
        <w:rFonts w:ascii="Times New Roman" w:hAnsi="Times New Roman" w:hint="default"/>
        <w:b w:val="0"/>
        <w:i w:val="0"/>
        <w:caps w:val="0"/>
        <w:strike w:val="0"/>
        <w:dstrike w:val="0"/>
        <w:vanish w:val="0"/>
        <w:color w:val="000000"/>
        <w:sz w:val="22"/>
        <w:szCs w:val="22"/>
        <w:vertAlign w:val="baseline"/>
      </w:rPr>
    </w:lvl>
    <w:lvl w:ilvl="4">
      <w:start w:val="1"/>
      <w:numFmt w:val="lowerRoman"/>
      <w:lvlText w:val="(%5)"/>
      <w:lvlJc w:val="left"/>
      <w:pPr>
        <w:tabs>
          <w:tab w:val="num" w:pos="2608"/>
        </w:tabs>
        <w:ind w:left="2608" w:hanging="567"/>
      </w:pPr>
      <w:rPr>
        <w:rFonts w:ascii="Times New Roman" w:hAnsi="Times New Roman" w:hint="default"/>
        <w:b w:val="0"/>
        <w:i w:val="0"/>
        <w:caps w:val="0"/>
        <w:strike w:val="0"/>
        <w:dstrike w:val="0"/>
        <w:vanish w:val="0"/>
        <w:color w:val="000000"/>
        <w:sz w:val="22"/>
        <w:szCs w:val="22"/>
        <w:vertAlign w:val="baseline"/>
      </w:rPr>
    </w:lvl>
    <w:lvl w:ilvl="5">
      <w:start w:val="1"/>
      <w:numFmt w:val="decimal"/>
      <w:lvlText w:val="%1.%2.%3.%4.%5.%6"/>
      <w:lvlJc w:val="left"/>
      <w:pPr>
        <w:tabs>
          <w:tab w:val="num" w:pos="3629"/>
        </w:tabs>
        <w:ind w:left="3629" w:hanging="3629"/>
      </w:pPr>
      <w:rPr>
        <w:rFonts w:hint="default"/>
      </w:rPr>
    </w:lvl>
    <w:lvl w:ilvl="6">
      <w:start w:val="1"/>
      <w:numFmt w:val="decimal"/>
      <w:lvlText w:val="%1.%2.%3.%4.%5.%6.%7"/>
      <w:lvlJc w:val="left"/>
      <w:pPr>
        <w:tabs>
          <w:tab w:val="num" w:pos="3969"/>
        </w:tabs>
        <w:ind w:left="3969" w:hanging="3969"/>
      </w:pPr>
      <w:rPr>
        <w:rFonts w:hint="default"/>
      </w:rPr>
    </w:lvl>
    <w:lvl w:ilvl="7">
      <w:start w:val="1"/>
      <w:numFmt w:val="decimal"/>
      <w:lvlText w:val="%1.%2.%3.%4.%5.%6.%7.%8"/>
      <w:lvlJc w:val="left"/>
      <w:pPr>
        <w:tabs>
          <w:tab w:val="num" w:pos="3960"/>
        </w:tabs>
        <w:ind w:left="3744" w:hanging="3744"/>
      </w:pPr>
      <w:rPr>
        <w:rFonts w:hint="default"/>
      </w:rPr>
    </w:lvl>
    <w:lvl w:ilvl="8">
      <w:start w:val="1"/>
      <w:numFmt w:val="decimal"/>
      <w:lvlText w:val="%1.%2.%3.%4.%5.%6.%7.%8.%9"/>
      <w:lvlJc w:val="left"/>
      <w:pPr>
        <w:tabs>
          <w:tab w:val="num" w:pos="4680"/>
        </w:tabs>
        <w:ind w:left="4320" w:hanging="4320"/>
      </w:pPr>
      <w:rPr>
        <w:rFonts w:hint="default"/>
      </w:rPr>
    </w:lvl>
  </w:abstractNum>
  <w:abstractNum w:abstractNumId="16" w15:restartNumberingAfterBreak="0">
    <w:nsid w:val="1F5D6789"/>
    <w:multiLevelType w:val="hybridMultilevel"/>
    <w:tmpl w:val="85963F3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2600123"/>
    <w:multiLevelType w:val="hybridMultilevel"/>
    <w:tmpl w:val="8DE2A4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9E165EB"/>
    <w:multiLevelType w:val="multilevel"/>
    <w:tmpl w:val="6A966230"/>
    <w:lvl w:ilvl="0">
      <w:start w:val="1"/>
      <w:numFmt w:val="decimal"/>
      <w:pStyle w:val="AgreementHeading1"/>
      <w:lvlText w:val="%1."/>
      <w:lvlJc w:val="left"/>
      <w:pPr>
        <w:tabs>
          <w:tab w:val="num" w:pos="720"/>
        </w:tabs>
        <w:ind w:left="0" w:firstLine="0"/>
      </w:pPr>
      <w:rPr>
        <w:rFonts w:ascii="Calibri" w:hAnsi="Calibri" w:hint="default"/>
        <w:b w:val="0"/>
        <w:i w:val="0"/>
        <w:caps/>
        <w:strike w:val="0"/>
        <w:dstrike w:val="0"/>
        <w:vanish w:val="0"/>
        <w:color w:val="000000"/>
        <w:sz w:val="21"/>
        <w:szCs w:val="22"/>
        <w:vertAlign w:val="baseline"/>
      </w:rPr>
    </w:lvl>
    <w:lvl w:ilvl="1">
      <w:start w:val="1"/>
      <w:numFmt w:val="decimal"/>
      <w:pStyle w:val="AgreementHeading2"/>
      <w:lvlText w:val="%1.%2"/>
      <w:lvlJc w:val="left"/>
      <w:pPr>
        <w:tabs>
          <w:tab w:val="num" w:pos="720"/>
        </w:tabs>
        <w:ind w:left="720" w:hanging="720"/>
      </w:pPr>
      <w:rPr>
        <w:rFonts w:ascii="Calibri" w:hAnsi="Calibri" w:hint="default"/>
        <w:b w:val="0"/>
        <w:i w:val="0"/>
        <w:sz w:val="21"/>
        <w:szCs w:val="22"/>
      </w:rPr>
    </w:lvl>
    <w:lvl w:ilvl="2">
      <w:start w:val="1"/>
      <w:numFmt w:val="decimal"/>
      <w:pStyle w:val="AgreementHeading3"/>
      <w:lvlText w:val="%1.%2.%3"/>
      <w:lvlJc w:val="left"/>
      <w:pPr>
        <w:tabs>
          <w:tab w:val="num" w:pos="1474"/>
        </w:tabs>
        <w:ind w:left="1474" w:hanging="754"/>
      </w:pPr>
      <w:rPr>
        <w:rFonts w:ascii="Calibri" w:hAnsi="Calibri" w:hint="default"/>
        <w:b w:val="0"/>
        <w:i w:val="0"/>
        <w:caps w:val="0"/>
        <w:strike w:val="0"/>
        <w:dstrike w:val="0"/>
        <w:vanish w:val="0"/>
        <w:color w:val="000000"/>
        <w:sz w:val="21"/>
        <w:szCs w:val="22"/>
        <w:vertAlign w:val="baseline"/>
      </w:rPr>
    </w:lvl>
    <w:lvl w:ilvl="3">
      <w:start w:val="1"/>
      <w:numFmt w:val="lowerLetter"/>
      <w:pStyle w:val="AgreementHeading4"/>
      <w:lvlText w:val="(%4)"/>
      <w:lvlJc w:val="left"/>
      <w:pPr>
        <w:tabs>
          <w:tab w:val="num" w:pos="2041"/>
        </w:tabs>
        <w:ind w:left="2041" w:hanging="567"/>
      </w:pPr>
      <w:rPr>
        <w:rFonts w:ascii="Calibri" w:hAnsi="Calibri" w:hint="default"/>
        <w:b w:val="0"/>
        <w:i w:val="0"/>
        <w:caps w:val="0"/>
        <w:strike w:val="0"/>
        <w:dstrike w:val="0"/>
        <w:vanish w:val="0"/>
        <w:color w:val="000000"/>
        <w:sz w:val="21"/>
        <w:szCs w:val="22"/>
        <w:vertAlign w:val="baseline"/>
      </w:rPr>
    </w:lvl>
    <w:lvl w:ilvl="4">
      <w:start w:val="1"/>
      <w:numFmt w:val="lowerRoman"/>
      <w:pStyle w:val="AgreementHeading5"/>
      <w:lvlText w:val="(%5)"/>
      <w:lvlJc w:val="left"/>
      <w:pPr>
        <w:tabs>
          <w:tab w:val="num" w:pos="2608"/>
        </w:tabs>
        <w:ind w:left="2608" w:hanging="567"/>
      </w:pPr>
      <w:rPr>
        <w:rFonts w:ascii="Calibri" w:hAnsi="Calibri" w:hint="default"/>
        <w:b w:val="0"/>
        <w:i w:val="0"/>
        <w:caps w:val="0"/>
        <w:strike w:val="0"/>
        <w:dstrike w:val="0"/>
        <w:vanish w:val="0"/>
        <w:color w:val="000000"/>
        <w:sz w:val="21"/>
        <w:szCs w:val="22"/>
        <w:vertAlign w:val="baseline"/>
      </w:rPr>
    </w:lvl>
    <w:lvl w:ilvl="5">
      <w:start w:val="1"/>
      <w:numFmt w:val="decimal"/>
      <w:lvlText w:val="%1.%2.%3.%4.%5.%6"/>
      <w:lvlJc w:val="left"/>
      <w:pPr>
        <w:tabs>
          <w:tab w:val="num" w:pos="3629"/>
        </w:tabs>
        <w:ind w:left="3629" w:hanging="3629"/>
      </w:pPr>
      <w:rPr>
        <w:rFonts w:hint="default"/>
      </w:rPr>
    </w:lvl>
    <w:lvl w:ilvl="6">
      <w:start w:val="1"/>
      <w:numFmt w:val="decimal"/>
      <w:lvlText w:val="%1.%2.%3.%4.%5.%6.%7"/>
      <w:lvlJc w:val="left"/>
      <w:pPr>
        <w:tabs>
          <w:tab w:val="num" w:pos="3969"/>
        </w:tabs>
        <w:ind w:left="3969" w:hanging="3969"/>
      </w:pPr>
      <w:rPr>
        <w:rFonts w:hint="default"/>
      </w:rPr>
    </w:lvl>
    <w:lvl w:ilvl="7">
      <w:start w:val="1"/>
      <w:numFmt w:val="decimal"/>
      <w:lvlText w:val="%1.%2.%3.%4.%5.%6.%7.%8"/>
      <w:lvlJc w:val="left"/>
      <w:pPr>
        <w:tabs>
          <w:tab w:val="num" w:pos="3960"/>
        </w:tabs>
        <w:ind w:left="3744" w:hanging="3744"/>
      </w:pPr>
      <w:rPr>
        <w:rFonts w:hint="default"/>
      </w:rPr>
    </w:lvl>
    <w:lvl w:ilvl="8">
      <w:start w:val="1"/>
      <w:numFmt w:val="decimal"/>
      <w:lvlText w:val="%1.%2.%3.%4.%5.%6.%7.%8.%9"/>
      <w:lvlJc w:val="left"/>
      <w:pPr>
        <w:tabs>
          <w:tab w:val="num" w:pos="4680"/>
        </w:tabs>
        <w:ind w:left="4320" w:hanging="4320"/>
      </w:pPr>
      <w:rPr>
        <w:rFonts w:hint="default"/>
      </w:rPr>
    </w:lvl>
  </w:abstractNum>
  <w:abstractNum w:abstractNumId="19" w15:restartNumberingAfterBreak="0">
    <w:nsid w:val="3E0D3FBF"/>
    <w:multiLevelType w:val="multilevel"/>
    <w:tmpl w:val="6F3CE98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40BF2113"/>
    <w:multiLevelType w:val="hybridMultilevel"/>
    <w:tmpl w:val="5D3A0458"/>
    <w:lvl w:ilvl="0" w:tplc="5DEA4AF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18A1CB1"/>
    <w:multiLevelType w:val="hybridMultilevel"/>
    <w:tmpl w:val="EB360D9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43FC5C96"/>
    <w:multiLevelType w:val="hybridMultilevel"/>
    <w:tmpl w:val="DD0220F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44C209D3"/>
    <w:multiLevelType w:val="hybridMultilevel"/>
    <w:tmpl w:val="A55A20CC"/>
    <w:lvl w:ilvl="0" w:tplc="A19ED84E">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4C8371DD"/>
    <w:multiLevelType w:val="hybridMultilevel"/>
    <w:tmpl w:val="AD8E966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4F1F0F55"/>
    <w:multiLevelType w:val="multilevel"/>
    <w:tmpl w:val="0809001F"/>
    <w:styleLink w:val="111111"/>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320"/>
        </w:tabs>
        <w:ind w:left="2736" w:hanging="936"/>
      </w:pPr>
    </w:lvl>
    <w:lvl w:ilvl="6">
      <w:start w:val="1"/>
      <w:numFmt w:val="decimal"/>
      <w:lvlText w:val="%1.%2.%3.%4.%5.%6.%7."/>
      <w:lvlJc w:val="left"/>
      <w:pPr>
        <w:tabs>
          <w:tab w:val="num" w:pos="5040"/>
        </w:tabs>
        <w:ind w:left="3240" w:hanging="1080"/>
      </w:pPr>
    </w:lvl>
    <w:lvl w:ilvl="7">
      <w:start w:val="1"/>
      <w:numFmt w:val="decimal"/>
      <w:lvlText w:val="%1.%2.%3.%4.%5.%6.%7.%8."/>
      <w:lvlJc w:val="left"/>
      <w:pPr>
        <w:tabs>
          <w:tab w:val="num" w:pos="5760"/>
        </w:tabs>
        <w:ind w:left="3744" w:hanging="1224"/>
      </w:pPr>
    </w:lvl>
    <w:lvl w:ilvl="8">
      <w:start w:val="1"/>
      <w:numFmt w:val="decimal"/>
      <w:lvlText w:val="%1.%2.%3.%4.%5.%6.%7.%8.%9."/>
      <w:lvlJc w:val="left"/>
      <w:pPr>
        <w:tabs>
          <w:tab w:val="num" w:pos="6480"/>
        </w:tabs>
        <w:ind w:left="4320" w:hanging="1440"/>
      </w:pPr>
    </w:lvl>
  </w:abstractNum>
  <w:abstractNum w:abstractNumId="26" w15:restartNumberingAfterBreak="0">
    <w:nsid w:val="52622E5C"/>
    <w:multiLevelType w:val="hybridMultilevel"/>
    <w:tmpl w:val="4CEA025C"/>
    <w:lvl w:ilvl="0" w:tplc="8B5A78EA">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15:restartNumberingAfterBreak="0">
    <w:nsid w:val="53B1686F"/>
    <w:multiLevelType w:val="hybridMultilevel"/>
    <w:tmpl w:val="616E1A48"/>
    <w:lvl w:ilvl="0" w:tplc="74402DC0">
      <w:start w:val="1"/>
      <w:numFmt w:val="decimal"/>
      <w:lvlText w:val="%1."/>
      <w:lvlJc w:val="left"/>
      <w:pPr>
        <w:ind w:left="1440" w:hanging="360"/>
      </w:pPr>
      <w:rPr>
        <w:rFonts w:ascii="Georgia" w:hAnsi="Georgia" w:hint="default"/>
        <w:b w:val="0"/>
        <w:i w:val="0"/>
        <w:caps w:val="0"/>
        <w:strike w:val="0"/>
        <w:dstrike w:val="0"/>
        <w:vanish w:val="0"/>
        <w:sz w:val="18"/>
        <w:vertAlign w:val="baseline"/>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8" w15:restartNumberingAfterBreak="0">
    <w:nsid w:val="5A0C5807"/>
    <w:multiLevelType w:val="hybridMultilevel"/>
    <w:tmpl w:val="181E8578"/>
    <w:lvl w:ilvl="0" w:tplc="BAEEAE6E">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5C5730A6"/>
    <w:multiLevelType w:val="multilevel"/>
    <w:tmpl w:val="1B6A0F2A"/>
    <w:lvl w:ilvl="0">
      <w:start w:val="1"/>
      <w:numFmt w:val="bullet"/>
      <w:pStyle w:val="DPBullet"/>
      <w:lvlText w:val=""/>
      <w:lvlJc w:val="left"/>
      <w:pPr>
        <w:ind w:left="340" w:hanging="340"/>
      </w:pPr>
      <w:rPr>
        <w:rFonts w:ascii="Symbol" w:hAnsi="Symbol" w:hint="default"/>
      </w:rPr>
    </w:lvl>
    <w:lvl w:ilvl="1">
      <w:start w:val="1"/>
      <w:numFmt w:val="bullet"/>
      <w:pStyle w:val="DPBullet1"/>
      <w:lvlText w:val="−"/>
      <w:lvlJc w:val="left"/>
      <w:pPr>
        <w:ind w:left="680" w:hanging="340"/>
      </w:pPr>
      <w:rPr>
        <w:rFonts w:ascii="Times New Roman" w:hAnsi="Times New Roman" w:cs="Times New Roman" w:hint="default"/>
      </w:rPr>
    </w:lvl>
    <w:lvl w:ilvl="2">
      <w:start w:val="1"/>
      <w:numFmt w:val="bullet"/>
      <w:pStyle w:val="DPBullet2"/>
      <w:lvlText w:val="−"/>
      <w:lvlJc w:val="left"/>
      <w:pPr>
        <w:ind w:left="1021" w:hanging="341"/>
      </w:pPr>
      <w:rPr>
        <w:rFonts w:ascii="Times New Roman" w:hAnsi="Times New Roman" w:cs="Times New Roman" w:hint="default"/>
      </w:rPr>
    </w:lvl>
    <w:lvl w:ilvl="3">
      <w:start w:val="1"/>
      <w:numFmt w:val="none"/>
      <w:suff w:val="nothing"/>
      <w:lvlText w:val=""/>
      <w:lvlJc w:val="left"/>
      <w:pPr>
        <w:ind w:left="1440" w:hanging="360"/>
      </w:pPr>
      <w:rPr>
        <w:rFonts w:hint="default"/>
      </w:rPr>
    </w:lvl>
    <w:lvl w:ilvl="4">
      <w:start w:val="1"/>
      <w:numFmt w:val="none"/>
      <w:suff w:val="nothing"/>
      <w:lvlText w:val=""/>
      <w:lvlJc w:val="left"/>
      <w:pPr>
        <w:ind w:left="1800" w:hanging="360"/>
      </w:pPr>
      <w:rPr>
        <w:rFonts w:hint="default"/>
      </w:rPr>
    </w:lvl>
    <w:lvl w:ilvl="5">
      <w:start w:val="1"/>
      <w:numFmt w:val="none"/>
      <w:suff w:val="nothing"/>
      <w:lvlText w:val=""/>
      <w:lvlJc w:val="left"/>
      <w:pPr>
        <w:ind w:left="2160" w:hanging="360"/>
      </w:pPr>
      <w:rPr>
        <w:rFonts w:hint="default"/>
      </w:rPr>
    </w:lvl>
    <w:lvl w:ilvl="6">
      <w:start w:val="1"/>
      <w:numFmt w:val="none"/>
      <w:suff w:val="nothing"/>
      <w:lvlText w:val=""/>
      <w:lvlJc w:val="left"/>
      <w:pPr>
        <w:ind w:left="2520" w:hanging="360"/>
      </w:pPr>
      <w:rPr>
        <w:rFonts w:hint="default"/>
      </w:rPr>
    </w:lvl>
    <w:lvl w:ilvl="7">
      <w:start w:val="1"/>
      <w:numFmt w:val="none"/>
      <w:suff w:val="nothing"/>
      <w:lvlText w:val=""/>
      <w:lvlJc w:val="left"/>
      <w:pPr>
        <w:ind w:left="2880" w:hanging="360"/>
      </w:pPr>
      <w:rPr>
        <w:rFonts w:hint="default"/>
      </w:rPr>
    </w:lvl>
    <w:lvl w:ilvl="8">
      <w:start w:val="1"/>
      <w:numFmt w:val="none"/>
      <w:suff w:val="nothing"/>
      <w:lvlText w:val=""/>
      <w:lvlJc w:val="left"/>
      <w:pPr>
        <w:ind w:left="3240" w:hanging="360"/>
      </w:pPr>
      <w:rPr>
        <w:rFonts w:hint="default"/>
      </w:rPr>
    </w:lvl>
  </w:abstractNum>
  <w:abstractNum w:abstractNumId="30" w15:restartNumberingAfterBreak="0">
    <w:nsid w:val="61386B6E"/>
    <w:multiLevelType w:val="hybridMultilevel"/>
    <w:tmpl w:val="5C58155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617B6BD9"/>
    <w:multiLevelType w:val="hybridMultilevel"/>
    <w:tmpl w:val="E44824D4"/>
    <w:lvl w:ilvl="0" w:tplc="7526BEB6">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2" w15:restartNumberingAfterBreak="0">
    <w:nsid w:val="6C176D96"/>
    <w:multiLevelType w:val="hybridMultilevel"/>
    <w:tmpl w:val="B7724600"/>
    <w:lvl w:ilvl="0" w:tplc="0F82336A">
      <w:start w:val="1"/>
      <w:numFmt w:val="upperLetter"/>
      <w:pStyle w:val="AgreementRecitals"/>
      <w:lvlText w:val="(%1)"/>
      <w:lvlJc w:val="left"/>
      <w:pPr>
        <w:tabs>
          <w:tab w:val="num" w:pos="720"/>
        </w:tabs>
        <w:ind w:left="72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3" w15:restartNumberingAfterBreak="0">
    <w:nsid w:val="73EE41A1"/>
    <w:multiLevelType w:val="multilevel"/>
    <w:tmpl w:val="0809001D"/>
    <w:lvl w:ilvl="0">
      <w:start w:val="1"/>
      <w:numFmt w:val="decimal"/>
      <w:lvlText w:val="%1)"/>
      <w:lvlJc w:val="left"/>
      <w:pPr>
        <w:ind w:left="360" w:hanging="360"/>
      </w:pPr>
      <w:rPr>
        <w:rFonts w:ascii="Georgia" w:hAnsi="Georgia"/>
        <w:sz w:val="18"/>
      </w:rPr>
    </w:lvl>
    <w:lvl w:ilvl="1">
      <w:start w:val="1"/>
      <w:numFmt w:val="lowerLetter"/>
      <w:lvlText w:val="%2)"/>
      <w:lvlJc w:val="left"/>
      <w:pPr>
        <w:ind w:left="720" w:hanging="360"/>
      </w:pPr>
      <w:rPr>
        <w:rFonts w:ascii="Georgia" w:hAnsi="Georgia"/>
        <w:sz w:val="18"/>
      </w:rPr>
    </w:lvl>
    <w:lvl w:ilvl="2">
      <w:start w:val="1"/>
      <w:numFmt w:val="lowerRoman"/>
      <w:lvlText w:val="%3)"/>
      <w:lvlJc w:val="left"/>
      <w:pPr>
        <w:ind w:left="1080" w:hanging="360"/>
      </w:pPr>
      <w:rPr>
        <w:rFonts w:ascii="Georgia" w:hAnsi="Georgia"/>
        <w:sz w:val="18"/>
      </w:rPr>
    </w:lvl>
    <w:lvl w:ilvl="3">
      <w:start w:val="1"/>
      <w:numFmt w:val="decimal"/>
      <w:lvlText w:val="(%4)"/>
      <w:lvlJc w:val="left"/>
      <w:pPr>
        <w:ind w:left="1440" w:hanging="360"/>
      </w:pPr>
      <w:rPr>
        <w:rFonts w:ascii="Georgia" w:hAnsi="Georgia"/>
        <w:sz w:val="18"/>
      </w:rPr>
    </w:lvl>
    <w:lvl w:ilvl="4">
      <w:start w:val="1"/>
      <w:numFmt w:val="lowerLetter"/>
      <w:lvlText w:val="(%5)"/>
      <w:lvlJc w:val="left"/>
      <w:pPr>
        <w:ind w:left="1800" w:hanging="360"/>
      </w:pPr>
      <w:rPr>
        <w:rFonts w:ascii="Georgia" w:hAnsi="Georgia"/>
        <w:sz w:val="18"/>
      </w:rPr>
    </w:lvl>
    <w:lvl w:ilvl="5">
      <w:start w:val="1"/>
      <w:numFmt w:val="lowerRoman"/>
      <w:lvlText w:val="(%6)"/>
      <w:lvlJc w:val="left"/>
      <w:pPr>
        <w:ind w:left="2160" w:hanging="360"/>
      </w:pPr>
      <w:rPr>
        <w:rFonts w:ascii="Georgia" w:hAnsi="Georgia"/>
        <w:sz w:val="18"/>
      </w:rPr>
    </w:lvl>
    <w:lvl w:ilvl="6">
      <w:start w:val="1"/>
      <w:numFmt w:val="decimal"/>
      <w:lvlText w:val="%7."/>
      <w:lvlJc w:val="left"/>
      <w:pPr>
        <w:ind w:left="2520" w:hanging="360"/>
      </w:pPr>
      <w:rPr>
        <w:rFonts w:ascii="Georgia" w:hAnsi="Georgia"/>
        <w:sz w:val="18"/>
      </w:rPr>
    </w:lvl>
    <w:lvl w:ilvl="7">
      <w:start w:val="1"/>
      <w:numFmt w:val="lowerLetter"/>
      <w:lvlText w:val="%8."/>
      <w:lvlJc w:val="left"/>
      <w:pPr>
        <w:ind w:left="2880" w:hanging="360"/>
      </w:pPr>
      <w:rPr>
        <w:rFonts w:ascii="Georgia" w:hAnsi="Georgia"/>
        <w:sz w:val="18"/>
      </w:rPr>
    </w:lvl>
    <w:lvl w:ilvl="8">
      <w:start w:val="1"/>
      <w:numFmt w:val="lowerRoman"/>
      <w:lvlText w:val="%9."/>
      <w:lvlJc w:val="left"/>
      <w:pPr>
        <w:ind w:left="3240" w:hanging="360"/>
      </w:pPr>
      <w:rPr>
        <w:rFonts w:ascii="Georgia" w:hAnsi="Georgia"/>
        <w:sz w:val="18"/>
      </w:rPr>
    </w:lvl>
  </w:abstractNum>
  <w:num w:numId="1" w16cid:durableId="75523156">
    <w:abstractNumId w:val="13"/>
  </w:num>
  <w:num w:numId="2" w16cid:durableId="963653183">
    <w:abstractNumId w:val="9"/>
  </w:num>
  <w:num w:numId="3" w16cid:durableId="1863979315">
    <w:abstractNumId w:val="32"/>
  </w:num>
  <w:num w:numId="4" w16cid:durableId="1270048716">
    <w:abstractNumId w:val="15"/>
  </w:num>
  <w:num w:numId="5" w16cid:durableId="84376907">
    <w:abstractNumId w:val="18"/>
  </w:num>
  <w:num w:numId="6" w16cid:durableId="993414827">
    <w:abstractNumId w:val="33"/>
  </w:num>
  <w:num w:numId="7" w16cid:durableId="656493912">
    <w:abstractNumId w:val="0"/>
  </w:num>
  <w:num w:numId="8" w16cid:durableId="940993395">
    <w:abstractNumId w:val="12"/>
  </w:num>
  <w:num w:numId="9" w16cid:durableId="414791576">
    <w:abstractNumId w:val="2"/>
  </w:num>
  <w:num w:numId="10" w16cid:durableId="558177569">
    <w:abstractNumId w:val="1"/>
  </w:num>
  <w:num w:numId="11" w16cid:durableId="2117403250">
    <w:abstractNumId w:val="27"/>
  </w:num>
  <w:num w:numId="12" w16cid:durableId="1313951612">
    <w:abstractNumId w:val="11"/>
  </w:num>
  <w:num w:numId="13" w16cid:durableId="1846744546">
    <w:abstractNumId w:val="25"/>
  </w:num>
  <w:num w:numId="14" w16cid:durableId="1383943061">
    <w:abstractNumId w:val="18"/>
  </w:num>
  <w:num w:numId="15" w16cid:durableId="1084108077">
    <w:abstractNumId w:val="18"/>
  </w:num>
  <w:num w:numId="16" w16cid:durableId="1138449301">
    <w:abstractNumId w:val="18"/>
  </w:num>
  <w:num w:numId="17" w16cid:durableId="47343021">
    <w:abstractNumId w:val="18"/>
  </w:num>
  <w:num w:numId="18" w16cid:durableId="2062091269">
    <w:abstractNumId w:val="18"/>
  </w:num>
  <w:num w:numId="19" w16cid:durableId="1610042438">
    <w:abstractNumId w:val="18"/>
  </w:num>
  <w:num w:numId="20" w16cid:durableId="816872913">
    <w:abstractNumId w:val="9"/>
  </w:num>
  <w:num w:numId="21" w16cid:durableId="623928946">
    <w:abstractNumId w:val="32"/>
  </w:num>
  <w:num w:numId="22" w16cid:durableId="207377528">
    <w:abstractNumId w:val="18"/>
  </w:num>
  <w:num w:numId="23" w16cid:durableId="1107693642">
    <w:abstractNumId w:val="15"/>
  </w:num>
  <w:num w:numId="24" w16cid:durableId="1075053541">
    <w:abstractNumId w:val="28"/>
  </w:num>
  <w:num w:numId="25" w16cid:durableId="1735618418">
    <w:abstractNumId w:val="21"/>
  </w:num>
  <w:num w:numId="26" w16cid:durableId="581335531">
    <w:abstractNumId w:val="24"/>
  </w:num>
  <w:num w:numId="27" w16cid:durableId="1407875675">
    <w:abstractNumId w:val="19"/>
  </w:num>
  <w:num w:numId="28" w16cid:durableId="1740208023">
    <w:abstractNumId w:val="22"/>
  </w:num>
  <w:num w:numId="29" w16cid:durableId="2036147323">
    <w:abstractNumId w:val="7"/>
  </w:num>
  <w:num w:numId="30" w16cid:durableId="1538275562">
    <w:abstractNumId w:val="14"/>
  </w:num>
  <w:num w:numId="31" w16cid:durableId="378626166">
    <w:abstractNumId w:val="4"/>
  </w:num>
  <w:num w:numId="32" w16cid:durableId="1873110253">
    <w:abstractNumId w:val="3"/>
  </w:num>
  <w:num w:numId="33" w16cid:durableId="1050106938">
    <w:abstractNumId w:val="31"/>
  </w:num>
  <w:num w:numId="34" w16cid:durableId="1518421976">
    <w:abstractNumId w:val="23"/>
  </w:num>
  <w:num w:numId="35" w16cid:durableId="567809063">
    <w:abstractNumId w:val="26"/>
  </w:num>
  <w:num w:numId="36" w16cid:durableId="1095397008">
    <w:abstractNumId w:val="10"/>
  </w:num>
  <w:num w:numId="37" w16cid:durableId="451747376">
    <w:abstractNumId w:val="5"/>
  </w:num>
  <w:num w:numId="38" w16cid:durableId="47842973">
    <w:abstractNumId w:val="17"/>
  </w:num>
  <w:num w:numId="39" w16cid:durableId="1965647080">
    <w:abstractNumId w:val="6"/>
  </w:num>
  <w:num w:numId="40" w16cid:durableId="254680432">
    <w:abstractNumId w:val="29"/>
  </w:num>
  <w:num w:numId="41" w16cid:durableId="1918780020">
    <w:abstractNumId w:val="30"/>
  </w:num>
  <w:num w:numId="42" w16cid:durableId="1436704338">
    <w:abstractNumId w:val="16"/>
  </w:num>
  <w:num w:numId="43" w16cid:durableId="130636721">
    <w:abstractNumId w:val="8"/>
  </w:num>
  <w:num w:numId="44" w16cid:durableId="478108946">
    <w:abstractNumId w:val="2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433C5"/>
    <w:rsid w:val="00001C5A"/>
    <w:rsid w:val="000033DF"/>
    <w:rsid w:val="00065DA6"/>
    <w:rsid w:val="00086E49"/>
    <w:rsid w:val="00087612"/>
    <w:rsid w:val="000921F0"/>
    <w:rsid w:val="00092307"/>
    <w:rsid w:val="000C4532"/>
    <w:rsid w:val="000C7620"/>
    <w:rsid w:val="000D3C8B"/>
    <w:rsid w:val="00104015"/>
    <w:rsid w:val="0011181C"/>
    <w:rsid w:val="001258A8"/>
    <w:rsid w:val="00127C4A"/>
    <w:rsid w:val="00141375"/>
    <w:rsid w:val="00145356"/>
    <w:rsid w:val="00167198"/>
    <w:rsid w:val="001835B2"/>
    <w:rsid w:val="001934CC"/>
    <w:rsid w:val="001A713B"/>
    <w:rsid w:val="001A72DC"/>
    <w:rsid w:val="001B1AA8"/>
    <w:rsid w:val="001C5080"/>
    <w:rsid w:val="001D3A90"/>
    <w:rsid w:val="001E7A6F"/>
    <w:rsid w:val="001F119D"/>
    <w:rsid w:val="0020085B"/>
    <w:rsid w:val="00222353"/>
    <w:rsid w:val="002331CA"/>
    <w:rsid w:val="00247BAC"/>
    <w:rsid w:val="002756AD"/>
    <w:rsid w:val="00276632"/>
    <w:rsid w:val="00280030"/>
    <w:rsid w:val="00284601"/>
    <w:rsid w:val="002A4C95"/>
    <w:rsid w:val="002A5779"/>
    <w:rsid w:val="002A5C92"/>
    <w:rsid w:val="002E09E9"/>
    <w:rsid w:val="003021B6"/>
    <w:rsid w:val="003217E3"/>
    <w:rsid w:val="0032563F"/>
    <w:rsid w:val="003267D1"/>
    <w:rsid w:val="00340FF0"/>
    <w:rsid w:val="003441B9"/>
    <w:rsid w:val="003518FD"/>
    <w:rsid w:val="00355F21"/>
    <w:rsid w:val="003666A0"/>
    <w:rsid w:val="00367985"/>
    <w:rsid w:val="00372D4C"/>
    <w:rsid w:val="0039013D"/>
    <w:rsid w:val="00395D89"/>
    <w:rsid w:val="00396E5A"/>
    <w:rsid w:val="003978ED"/>
    <w:rsid w:val="003B0263"/>
    <w:rsid w:val="003C284E"/>
    <w:rsid w:val="003C338F"/>
    <w:rsid w:val="003C69AB"/>
    <w:rsid w:val="00404D9A"/>
    <w:rsid w:val="004131ED"/>
    <w:rsid w:val="00415AEE"/>
    <w:rsid w:val="00415DDB"/>
    <w:rsid w:val="00424A47"/>
    <w:rsid w:val="004356E2"/>
    <w:rsid w:val="00437BFE"/>
    <w:rsid w:val="004408B0"/>
    <w:rsid w:val="00440CF8"/>
    <w:rsid w:val="004433C5"/>
    <w:rsid w:val="00470254"/>
    <w:rsid w:val="0047439B"/>
    <w:rsid w:val="00484F6D"/>
    <w:rsid w:val="00492065"/>
    <w:rsid w:val="004B3FED"/>
    <w:rsid w:val="004D1D7E"/>
    <w:rsid w:val="004F1265"/>
    <w:rsid w:val="004F57B8"/>
    <w:rsid w:val="00535342"/>
    <w:rsid w:val="00557280"/>
    <w:rsid w:val="00557A0F"/>
    <w:rsid w:val="00565029"/>
    <w:rsid w:val="00573EFA"/>
    <w:rsid w:val="005764A7"/>
    <w:rsid w:val="00577785"/>
    <w:rsid w:val="00581DAF"/>
    <w:rsid w:val="00593E77"/>
    <w:rsid w:val="0059441E"/>
    <w:rsid w:val="005D6C09"/>
    <w:rsid w:val="005D783E"/>
    <w:rsid w:val="005D79E3"/>
    <w:rsid w:val="005E270C"/>
    <w:rsid w:val="005E7C6B"/>
    <w:rsid w:val="00603657"/>
    <w:rsid w:val="00617533"/>
    <w:rsid w:val="00623598"/>
    <w:rsid w:val="00631F24"/>
    <w:rsid w:val="006441B0"/>
    <w:rsid w:val="00674D11"/>
    <w:rsid w:val="00694350"/>
    <w:rsid w:val="006945CB"/>
    <w:rsid w:val="006D0A86"/>
    <w:rsid w:val="006E7E8D"/>
    <w:rsid w:val="00703D03"/>
    <w:rsid w:val="00707113"/>
    <w:rsid w:val="00740F50"/>
    <w:rsid w:val="00752792"/>
    <w:rsid w:val="00753FB5"/>
    <w:rsid w:val="00772427"/>
    <w:rsid w:val="00772DFE"/>
    <w:rsid w:val="007756B2"/>
    <w:rsid w:val="00782731"/>
    <w:rsid w:val="00785E77"/>
    <w:rsid w:val="00786CA6"/>
    <w:rsid w:val="00790DFB"/>
    <w:rsid w:val="007A0387"/>
    <w:rsid w:val="007C4484"/>
    <w:rsid w:val="007D135C"/>
    <w:rsid w:val="007D39E7"/>
    <w:rsid w:val="007E0056"/>
    <w:rsid w:val="007E1590"/>
    <w:rsid w:val="00807744"/>
    <w:rsid w:val="008432D1"/>
    <w:rsid w:val="00847988"/>
    <w:rsid w:val="008506FC"/>
    <w:rsid w:val="008609CB"/>
    <w:rsid w:val="00867725"/>
    <w:rsid w:val="00872A8B"/>
    <w:rsid w:val="00876BCD"/>
    <w:rsid w:val="00877CBB"/>
    <w:rsid w:val="00886023"/>
    <w:rsid w:val="008979BB"/>
    <w:rsid w:val="008A229B"/>
    <w:rsid w:val="008B0583"/>
    <w:rsid w:val="009069C9"/>
    <w:rsid w:val="009224B4"/>
    <w:rsid w:val="00933B42"/>
    <w:rsid w:val="0093601D"/>
    <w:rsid w:val="009656AB"/>
    <w:rsid w:val="00976F27"/>
    <w:rsid w:val="00977889"/>
    <w:rsid w:val="0098305D"/>
    <w:rsid w:val="00994086"/>
    <w:rsid w:val="009B447C"/>
    <w:rsid w:val="009B5E68"/>
    <w:rsid w:val="009D62BA"/>
    <w:rsid w:val="009E51C4"/>
    <w:rsid w:val="009F52F0"/>
    <w:rsid w:val="00A07FE0"/>
    <w:rsid w:val="00A21078"/>
    <w:rsid w:val="00A34959"/>
    <w:rsid w:val="00A3654A"/>
    <w:rsid w:val="00A36F76"/>
    <w:rsid w:val="00A708AD"/>
    <w:rsid w:val="00A81F5B"/>
    <w:rsid w:val="00AA741E"/>
    <w:rsid w:val="00AD3470"/>
    <w:rsid w:val="00AD6AE4"/>
    <w:rsid w:val="00B021F0"/>
    <w:rsid w:val="00B05548"/>
    <w:rsid w:val="00B10912"/>
    <w:rsid w:val="00B37C12"/>
    <w:rsid w:val="00B40F88"/>
    <w:rsid w:val="00B46BCC"/>
    <w:rsid w:val="00B53B8D"/>
    <w:rsid w:val="00B64744"/>
    <w:rsid w:val="00B80DEB"/>
    <w:rsid w:val="00BA1EF1"/>
    <w:rsid w:val="00BC225C"/>
    <w:rsid w:val="00BC4C0D"/>
    <w:rsid w:val="00BD0697"/>
    <w:rsid w:val="00BE2B07"/>
    <w:rsid w:val="00BF3D3E"/>
    <w:rsid w:val="00C16DFA"/>
    <w:rsid w:val="00C2522B"/>
    <w:rsid w:val="00C378D4"/>
    <w:rsid w:val="00C900E1"/>
    <w:rsid w:val="00C96534"/>
    <w:rsid w:val="00CA2E89"/>
    <w:rsid w:val="00CA53BB"/>
    <w:rsid w:val="00CB7636"/>
    <w:rsid w:val="00CE09C4"/>
    <w:rsid w:val="00D03DC1"/>
    <w:rsid w:val="00D05F7C"/>
    <w:rsid w:val="00D2584B"/>
    <w:rsid w:val="00D31877"/>
    <w:rsid w:val="00D32C99"/>
    <w:rsid w:val="00D5309A"/>
    <w:rsid w:val="00D6291C"/>
    <w:rsid w:val="00D74A36"/>
    <w:rsid w:val="00D90E9D"/>
    <w:rsid w:val="00DE5F99"/>
    <w:rsid w:val="00E007BF"/>
    <w:rsid w:val="00E0090D"/>
    <w:rsid w:val="00E22801"/>
    <w:rsid w:val="00E2501C"/>
    <w:rsid w:val="00E37A5D"/>
    <w:rsid w:val="00E53ABF"/>
    <w:rsid w:val="00E71E7B"/>
    <w:rsid w:val="00EA5386"/>
    <w:rsid w:val="00EA585B"/>
    <w:rsid w:val="00EB6116"/>
    <w:rsid w:val="00EF5D02"/>
    <w:rsid w:val="00EF6269"/>
    <w:rsid w:val="00F07427"/>
    <w:rsid w:val="00F20AC6"/>
    <w:rsid w:val="00F34DE1"/>
    <w:rsid w:val="00F36532"/>
    <w:rsid w:val="00F419E1"/>
    <w:rsid w:val="00F55F2D"/>
    <w:rsid w:val="00F76C1F"/>
    <w:rsid w:val="00F77372"/>
    <w:rsid w:val="00F90C01"/>
    <w:rsid w:val="00FA08CE"/>
    <w:rsid w:val="00FA16B1"/>
    <w:rsid w:val="00FB5C70"/>
    <w:rsid w:val="00FB7C3C"/>
    <w:rsid w:val="00FD0D6F"/>
    <w:rsid w:val="00FD11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C33E90"/>
  <w15:docId w15:val="{236A4FBB-290B-4B2B-BAC7-040F139BB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eorgia" w:eastAsia="Times New Roman" w:hAnsi="Georgia" w:cs="Times New Roman"/>
        <w:sz w:val="18"/>
        <w:szCs w:val="18"/>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E7E8D"/>
    <w:pPr>
      <w:spacing w:after="240"/>
      <w:jc w:val="both"/>
    </w:pPr>
    <w:rPr>
      <w:rFonts w:ascii="Calibri" w:hAnsi="Calibri"/>
      <w:sz w:val="21"/>
      <w:szCs w:val="20"/>
    </w:rPr>
  </w:style>
  <w:style w:type="paragraph" w:styleId="Heading1">
    <w:name w:val="heading 1"/>
    <w:basedOn w:val="Normal"/>
    <w:next w:val="Normal"/>
    <w:qFormat/>
    <w:rsid w:val="006E7E8D"/>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6E7E8D"/>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6E7E8D"/>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rsid w:val="006E7E8D"/>
    <w:pPr>
      <w:numPr>
        <w:numId w:val="13"/>
      </w:numPr>
    </w:pPr>
  </w:style>
  <w:style w:type="paragraph" w:customStyle="1" w:styleId="AgreementFooterGuernsey">
    <w:name w:val="Agreement Footer Guernsey"/>
    <w:basedOn w:val="Normal"/>
    <w:rsid w:val="006E7E8D"/>
    <w:pPr>
      <w:jc w:val="left"/>
    </w:pPr>
    <w:rPr>
      <w:sz w:val="20"/>
    </w:rPr>
  </w:style>
  <w:style w:type="paragraph" w:customStyle="1" w:styleId="AgreementFooterJersey">
    <w:name w:val="Agreement Footer Jersey"/>
    <w:basedOn w:val="Normal"/>
    <w:rsid w:val="006E7E8D"/>
    <w:pPr>
      <w:jc w:val="left"/>
    </w:pPr>
    <w:rPr>
      <w:sz w:val="12"/>
      <w:szCs w:val="12"/>
    </w:rPr>
  </w:style>
  <w:style w:type="paragraph" w:customStyle="1" w:styleId="AgreementHeading1">
    <w:name w:val="Agreement Heading 1"/>
    <w:basedOn w:val="Normal"/>
    <w:next w:val="BlockText"/>
    <w:rsid w:val="006E7E8D"/>
    <w:pPr>
      <w:keepNext/>
      <w:numPr>
        <w:numId w:val="22"/>
      </w:numPr>
    </w:pPr>
    <w:rPr>
      <w:rFonts w:hAnsi="Times New Roman Bold"/>
      <w:b/>
      <w:caps/>
    </w:rPr>
  </w:style>
  <w:style w:type="paragraph" w:styleId="BlockText">
    <w:name w:val="Block Text"/>
    <w:basedOn w:val="Normal"/>
    <w:rsid w:val="006E7E8D"/>
    <w:pPr>
      <w:tabs>
        <w:tab w:val="left" w:pos="720"/>
      </w:tabs>
      <w:ind w:left="720"/>
    </w:pPr>
  </w:style>
  <w:style w:type="paragraph" w:styleId="BodyText">
    <w:name w:val="Body Text"/>
    <w:basedOn w:val="Normal"/>
    <w:link w:val="BodyTextChar"/>
    <w:rsid w:val="006E7E8D"/>
  </w:style>
  <w:style w:type="character" w:customStyle="1" w:styleId="BodyTextChar">
    <w:name w:val="Body Text Char"/>
    <w:basedOn w:val="DefaultParagraphFont"/>
    <w:link w:val="BodyText"/>
    <w:rsid w:val="006E7E8D"/>
    <w:rPr>
      <w:rFonts w:ascii="Calibri" w:hAnsi="Calibri"/>
      <w:sz w:val="21"/>
      <w:szCs w:val="20"/>
    </w:rPr>
  </w:style>
  <w:style w:type="paragraph" w:customStyle="1" w:styleId="AgreementHeading2">
    <w:name w:val="Agreement Heading 2"/>
    <w:basedOn w:val="BodyText"/>
    <w:rsid w:val="006E7E8D"/>
    <w:pPr>
      <w:numPr>
        <w:ilvl w:val="1"/>
        <w:numId w:val="22"/>
      </w:numPr>
    </w:pPr>
  </w:style>
  <w:style w:type="paragraph" w:customStyle="1" w:styleId="AgreementHeading2bold">
    <w:name w:val="Agreement Heading 2 bold"/>
    <w:basedOn w:val="AgreementHeading2"/>
    <w:next w:val="BlockText"/>
    <w:rsid w:val="006E7E8D"/>
    <w:pPr>
      <w:keepNext/>
      <w:numPr>
        <w:ilvl w:val="0"/>
        <w:numId w:val="0"/>
      </w:numPr>
    </w:pPr>
    <w:rPr>
      <w:b/>
    </w:rPr>
  </w:style>
  <w:style w:type="paragraph" w:customStyle="1" w:styleId="AgreementHeading3">
    <w:name w:val="Agreement Heading 3"/>
    <w:basedOn w:val="Normal"/>
    <w:rsid w:val="006E7E8D"/>
    <w:pPr>
      <w:numPr>
        <w:ilvl w:val="2"/>
        <w:numId w:val="22"/>
      </w:numPr>
    </w:pPr>
  </w:style>
  <w:style w:type="paragraph" w:customStyle="1" w:styleId="AgreementHeading4">
    <w:name w:val="Agreement Heading 4"/>
    <w:basedOn w:val="Normal"/>
    <w:rsid w:val="006E7E8D"/>
    <w:pPr>
      <w:numPr>
        <w:ilvl w:val="3"/>
        <w:numId w:val="22"/>
      </w:numPr>
    </w:pPr>
  </w:style>
  <w:style w:type="paragraph" w:customStyle="1" w:styleId="AgreementHeading5">
    <w:name w:val="Agreement Heading 5"/>
    <w:basedOn w:val="Normal"/>
    <w:rsid w:val="006E7E8D"/>
    <w:pPr>
      <w:numPr>
        <w:ilvl w:val="4"/>
        <w:numId w:val="22"/>
      </w:numPr>
    </w:pPr>
  </w:style>
  <w:style w:type="paragraph" w:customStyle="1" w:styleId="AgreementParties">
    <w:name w:val="Agreement Parties"/>
    <w:basedOn w:val="Normal"/>
    <w:rsid w:val="006E7E8D"/>
    <w:pPr>
      <w:numPr>
        <w:numId w:val="20"/>
      </w:numPr>
    </w:pPr>
  </w:style>
  <w:style w:type="paragraph" w:customStyle="1" w:styleId="AgreementRecitals">
    <w:name w:val="Agreement Recitals"/>
    <w:basedOn w:val="Normal"/>
    <w:rsid w:val="006E7E8D"/>
    <w:pPr>
      <w:numPr>
        <w:numId w:val="21"/>
      </w:numPr>
    </w:pPr>
  </w:style>
  <w:style w:type="paragraph" w:styleId="BalloonText">
    <w:name w:val="Balloon Text"/>
    <w:basedOn w:val="Normal"/>
    <w:link w:val="BalloonTextChar"/>
    <w:uiPriority w:val="99"/>
    <w:unhideWhenUsed/>
    <w:rsid w:val="006E7E8D"/>
    <w:pPr>
      <w:spacing w:after="0"/>
    </w:pPr>
    <w:rPr>
      <w:rFonts w:ascii="Tahoma" w:hAnsi="Tahoma" w:cs="Tahoma"/>
      <w:sz w:val="16"/>
      <w:szCs w:val="16"/>
    </w:rPr>
  </w:style>
  <w:style w:type="character" w:customStyle="1" w:styleId="BalloonTextChar">
    <w:name w:val="Balloon Text Char"/>
    <w:basedOn w:val="DefaultParagraphFont"/>
    <w:link w:val="BalloonText"/>
    <w:uiPriority w:val="99"/>
    <w:rsid w:val="006E7E8D"/>
    <w:rPr>
      <w:rFonts w:ascii="Tahoma" w:hAnsi="Tahoma" w:cs="Tahoma"/>
      <w:sz w:val="16"/>
      <w:szCs w:val="16"/>
    </w:rPr>
  </w:style>
  <w:style w:type="paragraph" w:styleId="Footer">
    <w:name w:val="footer"/>
    <w:basedOn w:val="Normal"/>
    <w:link w:val="FooterChar"/>
    <w:rsid w:val="006E7E8D"/>
    <w:pPr>
      <w:tabs>
        <w:tab w:val="center" w:pos="4153"/>
        <w:tab w:val="right" w:pos="8306"/>
      </w:tabs>
    </w:pPr>
    <w:rPr>
      <w:sz w:val="16"/>
    </w:rPr>
  </w:style>
  <w:style w:type="character" w:customStyle="1" w:styleId="FooterChar">
    <w:name w:val="Footer Char"/>
    <w:basedOn w:val="DefaultParagraphFont"/>
    <w:link w:val="Footer"/>
    <w:rsid w:val="006E7E8D"/>
    <w:rPr>
      <w:rFonts w:ascii="Calibri" w:hAnsi="Calibri"/>
      <w:sz w:val="16"/>
      <w:szCs w:val="20"/>
    </w:rPr>
  </w:style>
  <w:style w:type="paragraph" w:customStyle="1" w:styleId="frontcover">
    <w:name w:val="frontcover"/>
    <w:basedOn w:val="Normal"/>
    <w:rsid w:val="006E7E8D"/>
    <w:pPr>
      <w:jc w:val="center"/>
    </w:pPr>
    <w:rPr>
      <w:b/>
    </w:rPr>
  </w:style>
  <w:style w:type="paragraph" w:styleId="Header">
    <w:name w:val="header"/>
    <w:basedOn w:val="Normal"/>
    <w:link w:val="HeaderChar"/>
    <w:uiPriority w:val="99"/>
    <w:rsid w:val="006E7E8D"/>
    <w:pPr>
      <w:tabs>
        <w:tab w:val="center" w:pos="4153"/>
        <w:tab w:val="right" w:pos="8306"/>
      </w:tabs>
    </w:pPr>
  </w:style>
  <w:style w:type="character" w:customStyle="1" w:styleId="HeaderChar">
    <w:name w:val="Header Char"/>
    <w:basedOn w:val="DefaultParagraphFont"/>
    <w:link w:val="Header"/>
    <w:uiPriority w:val="99"/>
    <w:rsid w:val="006E7E8D"/>
    <w:rPr>
      <w:rFonts w:ascii="Calibri" w:hAnsi="Calibri"/>
      <w:sz w:val="21"/>
      <w:szCs w:val="20"/>
    </w:rPr>
  </w:style>
  <w:style w:type="character" w:styleId="Hyperlink">
    <w:name w:val="Hyperlink"/>
    <w:uiPriority w:val="99"/>
    <w:rsid w:val="006E7E8D"/>
    <w:rPr>
      <w:color w:val="0000FF"/>
      <w:u w:val="single"/>
    </w:rPr>
  </w:style>
  <w:style w:type="paragraph" w:customStyle="1" w:styleId="Level1noheading">
    <w:name w:val="Level 1 no heading"/>
    <w:basedOn w:val="AgreementHeading1"/>
    <w:rsid w:val="006E7E8D"/>
    <w:pPr>
      <w:numPr>
        <w:numId w:val="0"/>
      </w:numPr>
    </w:pPr>
    <w:rPr>
      <w:rFonts w:hAnsi="Times New Roman"/>
      <w:b w:val="0"/>
      <w:caps w:val="0"/>
    </w:rPr>
  </w:style>
  <w:style w:type="character" w:styleId="PageNumber">
    <w:name w:val="page number"/>
    <w:basedOn w:val="DefaultParagraphFont"/>
    <w:rsid w:val="006E7E8D"/>
  </w:style>
  <w:style w:type="paragraph" w:customStyle="1" w:styleId="ScheduleClauses">
    <w:name w:val="Schedule Clauses"/>
    <w:basedOn w:val="AgreementHeading1"/>
    <w:rsid w:val="006E7E8D"/>
    <w:pPr>
      <w:numPr>
        <w:numId w:val="23"/>
      </w:numPr>
    </w:pPr>
    <w:rPr>
      <w:rFonts w:hAnsi="Times New Roman"/>
      <w:b w:val="0"/>
      <w:caps w:val="0"/>
    </w:rPr>
  </w:style>
  <w:style w:type="paragraph" w:customStyle="1" w:styleId="ScheduleNumber">
    <w:name w:val="Schedule Number"/>
    <w:basedOn w:val="AgreementHeading1"/>
    <w:next w:val="Normal"/>
    <w:rsid w:val="006E7E8D"/>
    <w:pPr>
      <w:keepNext w:val="0"/>
      <w:keepLines/>
      <w:widowControl w:val="0"/>
      <w:numPr>
        <w:numId w:val="0"/>
      </w:numPr>
      <w:jc w:val="center"/>
    </w:pPr>
    <w:rPr>
      <w:rFonts w:hAnsi="Calibri"/>
    </w:rPr>
  </w:style>
  <w:style w:type="paragraph" w:customStyle="1" w:styleId="ScheduleTitle">
    <w:name w:val="Schedule Title"/>
    <w:basedOn w:val="ScheduleNumber"/>
    <w:next w:val="Normal"/>
    <w:rsid w:val="006E7E8D"/>
    <w:rPr>
      <w:b w:val="0"/>
      <w:caps w:val="0"/>
    </w:rPr>
  </w:style>
  <w:style w:type="table" w:styleId="TableGrid">
    <w:name w:val="Table Grid"/>
    <w:basedOn w:val="TableNormal"/>
    <w:rsid w:val="006E7E8D"/>
    <w:pPr>
      <w:spacing w:after="240" w:line="312" w:lineRule="auto"/>
      <w:jc w:val="both"/>
    </w:pPr>
    <w:rPr>
      <w:rFonts w:ascii="Calibri" w:hAnsi="Calibri"/>
      <w:sz w:val="21"/>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qFormat/>
    <w:rsid w:val="006E7E8D"/>
    <w:pPr>
      <w:spacing w:before="120" w:after="360"/>
      <w:jc w:val="center"/>
    </w:pPr>
    <w:rPr>
      <w:rFonts w:hAnsi="Times New Roman Bold" w:cs="Arial"/>
      <w:b/>
      <w:bCs/>
      <w:caps/>
      <w:kern w:val="28"/>
    </w:rPr>
  </w:style>
  <w:style w:type="character" w:customStyle="1" w:styleId="TitleChar">
    <w:name w:val="Title Char"/>
    <w:basedOn w:val="DefaultParagraphFont"/>
    <w:link w:val="Title"/>
    <w:rsid w:val="006E7E8D"/>
    <w:rPr>
      <w:rFonts w:ascii="Calibri" w:hAnsi="Times New Roman Bold" w:cs="Arial"/>
      <w:b/>
      <w:bCs/>
      <w:caps/>
      <w:kern w:val="28"/>
      <w:sz w:val="21"/>
      <w:szCs w:val="20"/>
    </w:rPr>
  </w:style>
  <w:style w:type="paragraph" w:styleId="TOC1">
    <w:name w:val="toc 1"/>
    <w:basedOn w:val="Normal"/>
    <w:next w:val="Normal"/>
    <w:autoRedefine/>
    <w:rsid w:val="006E7E8D"/>
    <w:pPr>
      <w:tabs>
        <w:tab w:val="right" w:pos="9015"/>
      </w:tabs>
    </w:pPr>
    <w:rPr>
      <w:caps/>
    </w:rPr>
  </w:style>
  <w:style w:type="paragraph" w:styleId="TOC2">
    <w:name w:val="toc 2"/>
    <w:basedOn w:val="Normal"/>
    <w:next w:val="Normal"/>
    <w:rsid w:val="006E7E8D"/>
    <w:pPr>
      <w:tabs>
        <w:tab w:val="right" w:pos="9015"/>
      </w:tabs>
      <w:ind w:left="703"/>
    </w:pPr>
  </w:style>
  <w:style w:type="paragraph" w:styleId="TOC3">
    <w:name w:val="toc 3"/>
    <w:basedOn w:val="Normal"/>
    <w:next w:val="Normal"/>
    <w:autoRedefine/>
    <w:rsid w:val="006E7E8D"/>
    <w:pPr>
      <w:ind w:left="440"/>
    </w:pPr>
  </w:style>
  <w:style w:type="paragraph" w:styleId="TOC4">
    <w:name w:val="toc 4"/>
    <w:basedOn w:val="Normal"/>
    <w:next w:val="Normal"/>
    <w:autoRedefine/>
    <w:rsid w:val="006E7E8D"/>
    <w:pPr>
      <w:ind w:left="660"/>
    </w:pPr>
  </w:style>
  <w:style w:type="paragraph" w:styleId="TOC5">
    <w:name w:val="toc 5"/>
    <w:basedOn w:val="Normal"/>
    <w:next w:val="Normal"/>
    <w:autoRedefine/>
    <w:rsid w:val="006E7E8D"/>
    <w:pPr>
      <w:ind w:left="880"/>
    </w:pPr>
  </w:style>
  <w:style w:type="paragraph" w:styleId="TOC6">
    <w:name w:val="toc 6"/>
    <w:basedOn w:val="Normal"/>
    <w:next w:val="Normal"/>
    <w:autoRedefine/>
    <w:rsid w:val="006E7E8D"/>
    <w:pPr>
      <w:ind w:left="1100"/>
    </w:pPr>
  </w:style>
  <w:style w:type="paragraph" w:styleId="TOC7">
    <w:name w:val="toc 7"/>
    <w:basedOn w:val="Normal"/>
    <w:next w:val="Normal"/>
    <w:autoRedefine/>
    <w:rsid w:val="006E7E8D"/>
    <w:pPr>
      <w:ind w:left="1320"/>
    </w:pPr>
  </w:style>
  <w:style w:type="paragraph" w:styleId="TOC8">
    <w:name w:val="toc 8"/>
    <w:basedOn w:val="Normal"/>
    <w:next w:val="Normal"/>
    <w:autoRedefine/>
    <w:rsid w:val="006E7E8D"/>
    <w:pPr>
      <w:ind w:left="1540"/>
    </w:pPr>
  </w:style>
  <w:style w:type="paragraph" w:styleId="TOC9">
    <w:name w:val="toc 9"/>
    <w:basedOn w:val="Normal"/>
    <w:next w:val="Normal"/>
    <w:autoRedefine/>
    <w:rsid w:val="006E7E8D"/>
    <w:pPr>
      <w:ind w:left="1760"/>
    </w:pPr>
  </w:style>
  <w:style w:type="paragraph" w:customStyle="1" w:styleId="TOC10">
    <w:name w:val="TOC1"/>
    <w:basedOn w:val="TOC1"/>
    <w:rsid w:val="006E7E8D"/>
    <w:pPr>
      <w:tabs>
        <w:tab w:val="left" w:pos="720"/>
      </w:tabs>
    </w:pPr>
    <w:rPr>
      <w:caps w:val="0"/>
    </w:rPr>
  </w:style>
  <w:style w:type="paragraph" w:customStyle="1" w:styleId="Default">
    <w:name w:val="Default"/>
    <w:rsid w:val="000C4532"/>
    <w:pPr>
      <w:autoSpaceDE w:val="0"/>
      <w:autoSpaceDN w:val="0"/>
      <w:adjustRightInd w:val="0"/>
    </w:pPr>
    <w:rPr>
      <w:rFonts w:ascii="Times New Roman" w:hAnsi="Times New Roman"/>
      <w:color w:val="000000"/>
      <w:sz w:val="24"/>
      <w:szCs w:val="24"/>
    </w:rPr>
  </w:style>
  <w:style w:type="paragraph" w:styleId="FootnoteText">
    <w:name w:val="footnote text"/>
    <w:aliases w:val="Carattere,Carattere Carattere Carattere Carattere,Testo nota a piè di pagina Carattere Carattere,Testo nota a piè di pagina Carattere Carattere Carattere Carattere,Testo nota a piè di pagina Carattere1 Carattere Carattere"/>
    <w:basedOn w:val="Normal"/>
    <w:link w:val="FootnoteTextChar"/>
    <w:uiPriority w:val="99"/>
    <w:qFormat/>
    <w:rsid w:val="00740F50"/>
    <w:pPr>
      <w:spacing w:after="0"/>
    </w:pPr>
    <w:rPr>
      <w:sz w:val="20"/>
    </w:rPr>
  </w:style>
  <w:style w:type="character" w:customStyle="1" w:styleId="FootnoteTextChar">
    <w:name w:val="Footnote Text Char"/>
    <w:aliases w:val="Carattere Char,Carattere Carattere Carattere Carattere Char,Testo nota a piè di pagina Carattere Carattere Char,Testo nota a piè di pagina Carattere Carattere Carattere Carattere Char"/>
    <w:basedOn w:val="DefaultParagraphFont"/>
    <w:link w:val="FootnoteText"/>
    <w:uiPriority w:val="99"/>
    <w:rsid w:val="00740F50"/>
    <w:rPr>
      <w:rFonts w:ascii="Calibri" w:hAnsi="Calibri"/>
      <w:sz w:val="20"/>
      <w:szCs w:val="20"/>
    </w:rPr>
  </w:style>
  <w:style w:type="character" w:styleId="FootnoteReference">
    <w:name w:val="footnote reference"/>
    <w:aliases w:val="Footnote Refernece,BVI fnr,callout,16 Point,Superscript 6 Point,Footnote Reference Superscript,Ref,de nota al pie,-E Fußnotenzeichen,number,SUPERS,EN Footnote Reference,-E Fuﬂnotenzeichen,-E Fuûnotenzeichen,Footnote number,F"/>
    <w:basedOn w:val="DefaultParagraphFont"/>
    <w:uiPriority w:val="99"/>
    <w:qFormat/>
    <w:rsid w:val="00740F50"/>
    <w:rPr>
      <w:vertAlign w:val="superscript"/>
    </w:rPr>
  </w:style>
  <w:style w:type="paragraph" w:styleId="ListParagraph">
    <w:name w:val="List Paragraph"/>
    <w:basedOn w:val="Normal"/>
    <w:uiPriority w:val="34"/>
    <w:qFormat/>
    <w:rsid w:val="005D783E"/>
    <w:pPr>
      <w:spacing w:after="160" w:line="259" w:lineRule="auto"/>
      <w:ind w:left="720"/>
      <w:contextualSpacing/>
      <w:jc w:val="left"/>
    </w:pPr>
    <w:rPr>
      <w:rFonts w:asciiTheme="minorHAnsi" w:eastAsiaTheme="minorHAnsi" w:hAnsiTheme="minorHAnsi" w:cstheme="minorBidi"/>
      <w:sz w:val="22"/>
      <w:szCs w:val="22"/>
      <w:lang w:val="fr-FR" w:eastAsia="en-US"/>
    </w:rPr>
  </w:style>
  <w:style w:type="character" w:customStyle="1" w:styleId="UnresolvedMention1">
    <w:name w:val="Unresolved Mention1"/>
    <w:basedOn w:val="DefaultParagraphFont"/>
    <w:uiPriority w:val="99"/>
    <w:semiHidden/>
    <w:unhideWhenUsed/>
    <w:rsid w:val="00D32C99"/>
    <w:rPr>
      <w:color w:val="808080"/>
      <w:shd w:val="clear" w:color="auto" w:fill="E6E6E6"/>
    </w:rPr>
  </w:style>
  <w:style w:type="paragraph" w:styleId="NormalWeb">
    <w:name w:val="Normal (Web)"/>
    <w:basedOn w:val="Normal"/>
    <w:uiPriority w:val="99"/>
    <w:unhideWhenUsed/>
    <w:rsid w:val="00BD0697"/>
    <w:pPr>
      <w:spacing w:before="100" w:beforeAutospacing="1" w:after="100" w:afterAutospacing="1"/>
      <w:jc w:val="left"/>
    </w:pPr>
    <w:rPr>
      <w:rFonts w:ascii="Times New Roman" w:hAnsi="Times New Roman"/>
      <w:sz w:val="24"/>
      <w:szCs w:val="24"/>
      <w:lang w:val="hu-HU" w:eastAsia="hu-HU"/>
    </w:rPr>
  </w:style>
  <w:style w:type="character" w:styleId="Strong">
    <w:name w:val="Strong"/>
    <w:basedOn w:val="DefaultParagraphFont"/>
    <w:uiPriority w:val="22"/>
    <w:qFormat/>
    <w:rsid w:val="00B05548"/>
    <w:rPr>
      <w:b/>
      <w:bCs/>
    </w:rPr>
  </w:style>
  <w:style w:type="character" w:customStyle="1" w:styleId="tlid-translation">
    <w:name w:val="tlid-translation"/>
    <w:basedOn w:val="DefaultParagraphFont"/>
    <w:rsid w:val="00631F24"/>
  </w:style>
  <w:style w:type="paragraph" w:styleId="NoSpacing">
    <w:name w:val="No Spacing"/>
    <w:uiPriority w:val="1"/>
    <w:qFormat/>
    <w:rsid w:val="00631F24"/>
    <w:rPr>
      <w:rFonts w:asciiTheme="minorHAnsi" w:eastAsiaTheme="minorHAnsi" w:hAnsiTheme="minorHAnsi" w:cstheme="minorBidi"/>
      <w:sz w:val="22"/>
      <w:szCs w:val="22"/>
      <w:lang w:val="en-US" w:eastAsia="en-US"/>
    </w:rPr>
  </w:style>
  <w:style w:type="character" w:customStyle="1" w:styleId="st">
    <w:name w:val="st"/>
    <w:basedOn w:val="DefaultParagraphFont"/>
    <w:rsid w:val="00631F24"/>
  </w:style>
  <w:style w:type="character" w:customStyle="1" w:styleId="gt-baf-cell">
    <w:name w:val="gt-baf-cell"/>
    <w:basedOn w:val="DefaultParagraphFont"/>
    <w:rsid w:val="00782731"/>
  </w:style>
  <w:style w:type="character" w:styleId="UnresolvedMention">
    <w:name w:val="Unresolved Mention"/>
    <w:basedOn w:val="DefaultParagraphFont"/>
    <w:uiPriority w:val="99"/>
    <w:semiHidden/>
    <w:unhideWhenUsed/>
    <w:rsid w:val="00492065"/>
    <w:rPr>
      <w:color w:val="605E5C"/>
      <w:shd w:val="clear" w:color="auto" w:fill="E1DFDD"/>
    </w:rPr>
  </w:style>
  <w:style w:type="character" w:customStyle="1" w:styleId="text">
    <w:name w:val="text"/>
    <w:basedOn w:val="DefaultParagraphFont"/>
    <w:rsid w:val="00492065"/>
  </w:style>
  <w:style w:type="character" w:styleId="Emphasis">
    <w:name w:val="Emphasis"/>
    <w:basedOn w:val="DefaultParagraphFont"/>
    <w:uiPriority w:val="20"/>
    <w:qFormat/>
    <w:rsid w:val="00492065"/>
    <w:rPr>
      <w:i/>
      <w:iCs/>
    </w:rPr>
  </w:style>
  <w:style w:type="paragraph" w:customStyle="1" w:styleId="DPBullet">
    <w:name w:val="DPBullet"/>
    <w:basedOn w:val="Normal"/>
    <w:uiPriority w:val="6"/>
    <w:qFormat/>
    <w:rsid w:val="008609CB"/>
    <w:pPr>
      <w:numPr>
        <w:numId w:val="40"/>
      </w:numPr>
      <w:spacing w:after="120" w:line="264" w:lineRule="auto"/>
      <w:contextualSpacing/>
      <w:jc w:val="left"/>
    </w:pPr>
    <w:rPr>
      <w:rFonts w:ascii="Garamond" w:eastAsiaTheme="minorHAnsi" w:hAnsi="Garamond"/>
      <w:lang w:eastAsia="en-US"/>
    </w:rPr>
  </w:style>
  <w:style w:type="paragraph" w:customStyle="1" w:styleId="DPBullet1">
    <w:name w:val="DPBullet1"/>
    <w:basedOn w:val="Normal"/>
    <w:uiPriority w:val="6"/>
    <w:rsid w:val="008609CB"/>
    <w:pPr>
      <w:numPr>
        <w:ilvl w:val="1"/>
        <w:numId w:val="40"/>
      </w:numPr>
      <w:spacing w:after="120" w:line="264" w:lineRule="auto"/>
      <w:contextualSpacing/>
      <w:jc w:val="left"/>
    </w:pPr>
    <w:rPr>
      <w:rFonts w:ascii="Garamond" w:eastAsiaTheme="minorHAnsi" w:hAnsi="Garamond"/>
      <w:lang w:eastAsia="en-US"/>
    </w:rPr>
  </w:style>
  <w:style w:type="paragraph" w:customStyle="1" w:styleId="DPBullet2">
    <w:name w:val="DPBullet2"/>
    <w:basedOn w:val="Normal"/>
    <w:uiPriority w:val="6"/>
    <w:rsid w:val="008609CB"/>
    <w:pPr>
      <w:numPr>
        <w:ilvl w:val="2"/>
        <w:numId w:val="40"/>
      </w:numPr>
      <w:spacing w:after="120" w:line="264" w:lineRule="auto"/>
      <w:contextualSpacing/>
      <w:jc w:val="left"/>
    </w:pPr>
    <w:rPr>
      <w:rFonts w:ascii="Garamond" w:eastAsiaTheme="minorHAnsi" w:hAnsi="Garamond"/>
      <w:lang w:eastAsia="en-US"/>
    </w:rPr>
  </w:style>
  <w:style w:type="paragraph" w:customStyle="1" w:styleId="DPHead2">
    <w:name w:val="DPHead2"/>
    <w:basedOn w:val="Normal"/>
    <w:next w:val="DPBodytxt"/>
    <w:uiPriority w:val="2"/>
    <w:qFormat/>
    <w:rsid w:val="008609CB"/>
    <w:pPr>
      <w:spacing w:after="60"/>
      <w:jc w:val="left"/>
      <w:outlineLvl w:val="2"/>
    </w:pPr>
    <w:rPr>
      <w:rFonts w:ascii="Arial" w:eastAsiaTheme="minorHAnsi" w:hAnsi="Arial" w:cs="Arial"/>
      <w:color w:val="4BACC6" w:themeColor="accent5"/>
      <w:sz w:val="24"/>
      <w:szCs w:val="24"/>
      <w:lang w:eastAsia="en-US"/>
    </w:rPr>
  </w:style>
  <w:style w:type="paragraph" w:customStyle="1" w:styleId="DPOpeningPara">
    <w:name w:val="DPOpeningPara"/>
    <w:basedOn w:val="Normal"/>
    <w:next w:val="DPBodytxt"/>
    <w:uiPriority w:val="5"/>
    <w:qFormat/>
    <w:rsid w:val="008609CB"/>
    <w:pPr>
      <w:spacing w:after="120" w:line="264" w:lineRule="auto"/>
      <w:jc w:val="left"/>
    </w:pPr>
    <w:rPr>
      <w:rFonts w:ascii="Garamond" w:eastAsiaTheme="minorHAnsi" w:hAnsi="Garamond" w:cs="Arial"/>
      <w:sz w:val="30"/>
      <w:lang w:eastAsia="en-US"/>
    </w:rPr>
  </w:style>
  <w:style w:type="paragraph" w:customStyle="1" w:styleId="DPBodytxt">
    <w:name w:val="DPBodytxt"/>
    <w:basedOn w:val="Normal"/>
    <w:uiPriority w:val="6"/>
    <w:qFormat/>
    <w:rsid w:val="008609CB"/>
    <w:pPr>
      <w:spacing w:after="120" w:line="264" w:lineRule="auto"/>
      <w:jc w:val="left"/>
    </w:pPr>
    <w:rPr>
      <w:rFonts w:ascii="Arial" w:eastAsiaTheme="minorHAnsi" w:hAnsi="Arial"/>
      <w:lang w:eastAsia="en-US"/>
    </w:rPr>
  </w:style>
  <w:style w:type="paragraph" w:customStyle="1" w:styleId="Bullet">
    <w:name w:val="Bullet"/>
    <w:basedOn w:val="DPBullet"/>
    <w:rsid w:val="008609CB"/>
    <w:pPr>
      <w:jc w:val="both"/>
    </w:pPr>
    <w:rPr>
      <w:rFonts w:ascii="Arial" w:hAnsi="Arial"/>
    </w:rPr>
  </w:style>
  <w:style w:type="character" w:customStyle="1" w:styleId="jlqj4b">
    <w:name w:val="jlqj4b"/>
    <w:basedOn w:val="DefaultParagraphFont"/>
    <w:rsid w:val="00D90E9D"/>
  </w:style>
  <w:style w:type="character" w:customStyle="1" w:styleId="hps">
    <w:name w:val="hps"/>
    <w:basedOn w:val="DefaultParagraphFont"/>
    <w:rsid w:val="00D90E9D"/>
  </w:style>
  <w:style w:type="character" w:customStyle="1" w:styleId="hgkelc">
    <w:name w:val="hgkelc"/>
    <w:basedOn w:val="DefaultParagraphFont"/>
    <w:rsid w:val="00D90E9D"/>
  </w:style>
  <w:style w:type="character" w:customStyle="1" w:styleId="Nmerodepgina1">
    <w:name w:val="Número de página1"/>
    <w:rsid w:val="00D90E9D"/>
    <w:rPr>
      <w:lang w:val="en-US"/>
    </w:rPr>
  </w:style>
  <w:style w:type="character" w:customStyle="1" w:styleId="FootnoteTextChar1">
    <w:name w:val="Footnote Text Char1"/>
    <w:uiPriority w:val="99"/>
    <w:rsid w:val="009224B4"/>
    <w:rPr>
      <w:rFonts w:ascii="Times New Roman" w:hAnsi="Times New Roman"/>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8399097">
      <w:bodyDiv w:val="1"/>
      <w:marLeft w:val="0"/>
      <w:marRight w:val="0"/>
      <w:marTop w:val="0"/>
      <w:marBottom w:val="0"/>
      <w:divBdr>
        <w:top w:val="none" w:sz="0" w:space="0" w:color="auto"/>
        <w:left w:val="none" w:sz="0" w:space="0" w:color="auto"/>
        <w:bottom w:val="none" w:sz="0" w:space="0" w:color="auto"/>
        <w:right w:val="none" w:sz="0" w:space="0" w:color="auto"/>
      </w:divBdr>
      <w:divsChild>
        <w:div w:id="860776105">
          <w:marLeft w:val="0"/>
          <w:marRight w:val="0"/>
          <w:marTop w:val="45"/>
          <w:marBottom w:val="0"/>
          <w:divBdr>
            <w:top w:val="none" w:sz="0" w:space="0" w:color="auto"/>
            <w:left w:val="none" w:sz="0" w:space="0" w:color="auto"/>
            <w:bottom w:val="none" w:sz="0" w:space="0" w:color="auto"/>
            <w:right w:val="none" w:sz="0" w:space="0" w:color="auto"/>
          </w:divBdr>
        </w:div>
        <w:div w:id="2049522232">
          <w:marLeft w:val="0"/>
          <w:marRight w:val="0"/>
          <w:marTop w:val="0"/>
          <w:marBottom w:val="0"/>
          <w:divBdr>
            <w:top w:val="none" w:sz="0" w:space="0" w:color="auto"/>
            <w:left w:val="none" w:sz="0" w:space="0" w:color="auto"/>
            <w:bottom w:val="none" w:sz="0" w:space="0" w:color="auto"/>
            <w:right w:val="none" w:sz="0" w:space="0" w:color="auto"/>
          </w:divBdr>
        </w:div>
      </w:divsChild>
    </w:div>
    <w:div w:id="1178665220">
      <w:bodyDiv w:val="1"/>
      <w:marLeft w:val="0"/>
      <w:marRight w:val="0"/>
      <w:marTop w:val="0"/>
      <w:marBottom w:val="0"/>
      <w:divBdr>
        <w:top w:val="none" w:sz="0" w:space="0" w:color="auto"/>
        <w:left w:val="none" w:sz="0" w:space="0" w:color="auto"/>
        <w:bottom w:val="none" w:sz="0" w:space="0" w:color="auto"/>
        <w:right w:val="none" w:sz="0" w:space="0" w:color="auto"/>
      </w:divBdr>
    </w:div>
    <w:div w:id="1851983977">
      <w:bodyDiv w:val="1"/>
      <w:marLeft w:val="0"/>
      <w:marRight w:val="0"/>
      <w:marTop w:val="0"/>
      <w:marBottom w:val="0"/>
      <w:divBdr>
        <w:top w:val="none" w:sz="0" w:space="0" w:color="auto"/>
        <w:left w:val="none" w:sz="0" w:space="0" w:color="auto"/>
        <w:bottom w:val="none" w:sz="0" w:space="0" w:color="auto"/>
        <w:right w:val="none" w:sz="0" w:space="0" w:color="auto"/>
      </w:divBdr>
    </w:div>
    <w:div w:id="1872188229">
      <w:bodyDiv w:val="1"/>
      <w:marLeft w:val="0"/>
      <w:marRight w:val="0"/>
      <w:marTop w:val="0"/>
      <w:marBottom w:val="0"/>
      <w:divBdr>
        <w:top w:val="none" w:sz="0" w:space="0" w:color="auto"/>
        <w:left w:val="none" w:sz="0" w:space="0" w:color="auto"/>
        <w:bottom w:val="none" w:sz="0" w:space="0" w:color="auto"/>
        <w:right w:val="none" w:sz="0" w:space="0" w:color="auto"/>
      </w:divBdr>
      <w:divsChild>
        <w:div w:id="1399590992">
          <w:marLeft w:val="0"/>
          <w:marRight w:val="0"/>
          <w:marTop w:val="45"/>
          <w:marBottom w:val="0"/>
          <w:divBdr>
            <w:top w:val="none" w:sz="0" w:space="0" w:color="auto"/>
            <w:left w:val="none" w:sz="0" w:space="0" w:color="auto"/>
            <w:bottom w:val="none" w:sz="0" w:space="0" w:color="auto"/>
            <w:right w:val="none" w:sz="0" w:space="0" w:color="auto"/>
          </w:divBdr>
        </w:div>
        <w:div w:id="12688052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4B1DD6-4972-40A2-8DA1-6CE5E505A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3</Pages>
  <Words>1318</Words>
  <Characters>7515</Characters>
  <Application>Microsoft Office Word</Application>
  <DocSecurity>0</DocSecurity>
  <PresentationFormat/>
  <Lines>62</Lines>
  <Paragraphs>17</Paragraphs>
  <ScaleCrop>false</ScaleCrop>
  <HeadingPairs>
    <vt:vector size="2" baseType="variant">
      <vt:variant>
        <vt:lpstr>Title</vt:lpstr>
      </vt:variant>
      <vt:variant>
        <vt:i4>1</vt:i4>
      </vt:variant>
    </vt:vector>
  </HeadingPairs>
  <TitlesOfParts>
    <vt:vector size="1" baseType="lpstr">
      <vt:lpstr/>
    </vt:vector>
  </TitlesOfParts>
  <Company>De Montfort University</Company>
  <LinksUpToDate>false</LinksUpToDate>
  <CharactersWithSpaces>8816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Omar</dc:creator>
  <cp:lastModifiedBy>Paul Newson</cp:lastModifiedBy>
  <cp:revision>8</cp:revision>
  <cp:lastPrinted>2017-11-20T20:14:00Z</cp:lastPrinted>
  <dcterms:created xsi:type="dcterms:W3CDTF">2021-05-25T19:44:00Z</dcterms:created>
  <dcterms:modified xsi:type="dcterms:W3CDTF">2023-05-02T14:58:00Z</dcterms:modified>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Footer">
    <vt:lpwstr>1039119/0162/J12269628v1</vt:lpwstr>
  </property>
  <property fmtid="{D5CDD505-2E9C-101B-9397-08002B2CF9AE}" pid="3" name="WSFooter">
    <vt:lpwstr>1039119/0162/J12269628v1</vt:lpwstr>
  </property>
</Properties>
</file>