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655F" w14:textId="77777777" w:rsidR="00EE1DF9" w:rsidRDefault="00EE1DF9" w:rsidP="005176F6">
      <w:pPr>
        <w:spacing w:after="0" w:line="240" w:lineRule="auto"/>
        <w:jc w:val="both"/>
        <w:rPr>
          <w:rFonts w:eastAsia="Times New Roman" w:cstheme="minorHAnsi"/>
          <w:b/>
          <w:bCs/>
          <w:kern w:val="0"/>
          <w:lang w:val="en-US" w:eastAsia="fr-FR"/>
          <w14:ligatures w14:val="none"/>
        </w:rPr>
      </w:pPr>
      <w:r>
        <w:rPr>
          <w:rFonts w:eastAsia="Times New Roman" w:cstheme="minorHAnsi"/>
          <w:b/>
          <w:bCs/>
          <w:kern w:val="0"/>
          <w:lang w:val="en-US" w:eastAsia="fr-FR"/>
          <w14:ligatures w14:val="none"/>
        </w:rPr>
        <w:t>Report</w:t>
      </w:r>
    </w:p>
    <w:p w14:paraId="7E00AE65" w14:textId="4AF54A40" w:rsidR="005176F6" w:rsidRDefault="00C377F0" w:rsidP="005176F6">
      <w:pPr>
        <w:spacing w:after="0" w:line="240" w:lineRule="auto"/>
        <w:jc w:val="both"/>
        <w:rPr>
          <w:rFonts w:eastAsia="Times New Roman" w:cstheme="minorHAnsi"/>
          <w:b/>
          <w:bCs/>
          <w:kern w:val="0"/>
          <w:lang w:val="en-US" w:eastAsia="fr-FR"/>
          <w14:ligatures w14:val="none"/>
        </w:rPr>
      </w:pPr>
      <w:r w:rsidRPr="005176F6">
        <w:rPr>
          <w:rFonts w:eastAsia="Times New Roman" w:cstheme="minorHAnsi"/>
          <w:b/>
          <w:bCs/>
          <w:kern w:val="0"/>
          <w:lang w:val="en-US" w:eastAsia="fr-FR"/>
          <w14:ligatures w14:val="none"/>
        </w:rPr>
        <w:t>R3 &amp; INSOL Europe’s 2023 International Restructuring Conference</w:t>
      </w:r>
    </w:p>
    <w:p w14:paraId="7B23EC75" w14:textId="77777777" w:rsidR="005176F6" w:rsidRPr="003D7DCD" w:rsidRDefault="005176F6" w:rsidP="005176F6">
      <w:pPr>
        <w:spacing w:after="0" w:line="240" w:lineRule="auto"/>
        <w:jc w:val="both"/>
        <w:rPr>
          <w:rFonts w:eastAsia="Times New Roman" w:cstheme="minorHAnsi"/>
          <w:kern w:val="0"/>
          <w:lang w:val="en-US" w:eastAsia="fr-FR"/>
          <w14:ligatures w14:val="none"/>
        </w:rPr>
      </w:pPr>
    </w:p>
    <w:p w14:paraId="2C0EF907" w14:textId="0023DA7C" w:rsidR="003D7DCD" w:rsidRDefault="005176F6" w:rsidP="003D7DCD">
      <w:pPr>
        <w:spacing w:after="0" w:line="240" w:lineRule="auto"/>
        <w:jc w:val="both"/>
        <w:rPr>
          <w:rFonts w:eastAsia="Times New Roman" w:cstheme="minorHAnsi"/>
          <w:kern w:val="0"/>
          <w:lang w:val="en-US" w:eastAsia="fr-FR"/>
          <w14:ligatures w14:val="none"/>
        </w:rPr>
      </w:pPr>
      <w:r w:rsidRPr="005176F6">
        <w:rPr>
          <w:rFonts w:eastAsia="Times New Roman" w:cstheme="minorHAnsi"/>
          <w:kern w:val="0"/>
          <w:lang w:val="en-US" w:eastAsia="fr-FR"/>
          <w14:ligatures w14:val="none"/>
        </w:rPr>
        <w:t xml:space="preserve">The </w:t>
      </w:r>
      <w:r w:rsidRPr="003D7DCD">
        <w:rPr>
          <w:rFonts w:eastAsia="Times New Roman" w:cstheme="minorHAnsi"/>
          <w:kern w:val="0"/>
          <w:lang w:val="en-US" w:eastAsia="fr-FR"/>
          <w14:ligatures w14:val="none"/>
        </w:rPr>
        <w:t>17</w:t>
      </w:r>
      <w:r w:rsidRPr="003801DA">
        <w:rPr>
          <w:rFonts w:eastAsia="Times New Roman" w:cstheme="minorHAnsi"/>
          <w:kern w:val="0"/>
          <w:vertAlign w:val="superscript"/>
          <w:lang w:val="en-US" w:eastAsia="fr-FR"/>
          <w14:ligatures w14:val="none"/>
        </w:rPr>
        <w:t>th</w:t>
      </w:r>
      <w:r w:rsidR="003801DA">
        <w:rPr>
          <w:rFonts w:eastAsia="Times New Roman" w:cstheme="minorHAnsi"/>
          <w:kern w:val="0"/>
          <w:lang w:val="en-US" w:eastAsia="fr-FR"/>
          <w14:ligatures w14:val="none"/>
        </w:rPr>
        <w:t xml:space="preserve"> </w:t>
      </w:r>
      <w:r w:rsidRPr="005176F6">
        <w:rPr>
          <w:rFonts w:eastAsia="Times New Roman" w:cstheme="minorHAnsi"/>
          <w:kern w:val="0"/>
          <w:lang w:val="en-US" w:eastAsia="fr-FR"/>
          <w14:ligatures w14:val="none"/>
        </w:rPr>
        <w:t xml:space="preserve">R3 </w:t>
      </w:r>
      <w:r w:rsidRPr="003D7DCD">
        <w:rPr>
          <w:rFonts w:eastAsia="Times New Roman" w:cstheme="minorHAnsi"/>
          <w:kern w:val="0"/>
          <w:lang w:val="en-US" w:eastAsia="fr-FR"/>
          <w14:ligatures w14:val="none"/>
        </w:rPr>
        <w:t>and</w:t>
      </w:r>
      <w:r w:rsidRPr="005176F6">
        <w:rPr>
          <w:rFonts w:eastAsia="Times New Roman" w:cstheme="minorHAnsi"/>
          <w:kern w:val="0"/>
          <w:lang w:val="en-US" w:eastAsia="fr-FR"/>
          <w14:ligatures w14:val="none"/>
        </w:rPr>
        <w:t xml:space="preserve"> INSOL Europe</w:t>
      </w:r>
      <w:r w:rsidRPr="003D7DCD">
        <w:rPr>
          <w:rFonts w:eastAsia="Times New Roman" w:cstheme="minorHAnsi"/>
          <w:kern w:val="0"/>
          <w:lang w:val="en-US" w:eastAsia="fr-FR"/>
          <w14:ligatures w14:val="none"/>
        </w:rPr>
        <w:t>’s</w:t>
      </w:r>
      <w:r w:rsidRPr="005176F6">
        <w:rPr>
          <w:rFonts w:eastAsia="Times New Roman" w:cstheme="minorHAnsi"/>
          <w:kern w:val="0"/>
          <w:lang w:val="en-US" w:eastAsia="fr-FR"/>
          <w14:ligatures w14:val="none"/>
        </w:rPr>
        <w:t xml:space="preserve"> International Restructuring Conference held in London on 1</w:t>
      </w:r>
      <w:r w:rsidRPr="003D7DCD">
        <w:rPr>
          <w:rFonts w:eastAsia="Times New Roman" w:cstheme="minorHAnsi"/>
          <w:kern w:val="0"/>
          <w:lang w:val="en-US" w:eastAsia="fr-FR"/>
          <w14:ligatures w14:val="none"/>
        </w:rPr>
        <w:t>5</w:t>
      </w:r>
      <w:r w:rsidRPr="005176F6">
        <w:rPr>
          <w:rFonts w:eastAsia="Times New Roman" w:cstheme="minorHAnsi"/>
          <w:kern w:val="0"/>
          <w:lang w:val="en-US" w:eastAsia="fr-FR"/>
          <w14:ligatures w14:val="none"/>
        </w:rPr>
        <w:t xml:space="preserve"> Ju</w:t>
      </w:r>
      <w:r w:rsidRPr="003D7DCD">
        <w:rPr>
          <w:rFonts w:eastAsia="Times New Roman" w:cstheme="minorHAnsi"/>
          <w:kern w:val="0"/>
          <w:lang w:val="en-US" w:eastAsia="fr-FR"/>
          <w14:ligatures w14:val="none"/>
        </w:rPr>
        <w:t>ne 2023</w:t>
      </w:r>
      <w:r w:rsidR="003D7DCD" w:rsidRPr="00C377F0">
        <w:rPr>
          <w:rFonts w:eastAsia="Times New Roman" w:cstheme="minorHAnsi"/>
          <w:kern w:val="0"/>
          <w:lang w:val="en-US" w:eastAsia="fr-FR"/>
          <w14:ligatures w14:val="none"/>
        </w:rPr>
        <w:t xml:space="preserve"> </w:t>
      </w:r>
      <w:r w:rsidRPr="005176F6">
        <w:rPr>
          <w:rFonts w:eastAsia="Times New Roman" w:cstheme="minorHAnsi"/>
          <w:kern w:val="0"/>
          <w:lang w:val="en-US" w:eastAsia="fr-FR"/>
          <w14:ligatures w14:val="none"/>
        </w:rPr>
        <w:t xml:space="preserve">was a magnet for </w:t>
      </w:r>
      <w:r w:rsidR="003D7DCD" w:rsidRPr="00C377F0">
        <w:rPr>
          <w:rFonts w:eastAsia="Times New Roman" w:cstheme="minorHAnsi"/>
          <w:kern w:val="0"/>
          <w:lang w:val="en-US" w:eastAsia="fr-FR"/>
          <w14:ligatures w14:val="none"/>
        </w:rPr>
        <w:t>restructuring and insolvency professionals with an interest in cross-border matters and</w:t>
      </w:r>
      <w:r w:rsidR="003D7DCD">
        <w:rPr>
          <w:rFonts w:eastAsia="Times New Roman" w:cstheme="minorHAnsi"/>
          <w:kern w:val="0"/>
          <w:lang w:val="en-US" w:eastAsia="fr-FR"/>
          <w14:ligatures w14:val="none"/>
        </w:rPr>
        <w:t xml:space="preserve"> </w:t>
      </w:r>
      <w:r w:rsidR="003D7DCD" w:rsidRPr="00C377F0">
        <w:rPr>
          <w:rFonts w:eastAsia="Times New Roman" w:cstheme="minorHAnsi"/>
          <w:kern w:val="0"/>
          <w:lang w:val="en-US" w:eastAsia="fr-FR"/>
          <w14:ligatures w14:val="none"/>
        </w:rPr>
        <w:t>all professionals interested in cross-border restructuring and insolvency.</w:t>
      </w:r>
    </w:p>
    <w:p w14:paraId="34663EBF" w14:textId="5574419B" w:rsidR="005176F6" w:rsidRPr="003D7DCD" w:rsidRDefault="005176F6" w:rsidP="005176F6">
      <w:pPr>
        <w:spacing w:after="0" w:line="240" w:lineRule="auto"/>
        <w:jc w:val="both"/>
        <w:rPr>
          <w:rFonts w:eastAsia="Times New Roman" w:cstheme="minorHAnsi"/>
          <w:kern w:val="0"/>
          <w:lang w:val="en-US" w:eastAsia="fr-FR"/>
          <w14:ligatures w14:val="none"/>
        </w:rPr>
      </w:pPr>
    </w:p>
    <w:p w14:paraId="69B2593E" w14:textId="102A977A" w:rsidR="003801DA" w:rsidRDefault="00160E8C" w:rsidP="003801DA">
      <w:pPr>
        <w:spacing w:after="0" w:line="240" w:lineRule="auto"/>
        <w:jc w:val="both"/>
        <w:rPr>
          <w:rFonts w:eastAsia="Times New Roman" w:cstheme="minorHAnsi"/>
          <w:kern w:val="0"/>
          <w:lang w:val="en-US" w:eastAsia="fr-FR"/>
          <w14:ligatures w14:val="none"/>
        </w:rPr>
      </w:pPr>
      <w:r>
        <w:rPr>
          <w:rFonts w:eastAsia="Times New Roman" w:cstheme="minorHAnsi"/>
          <w:kern w:val="0"/>
          <w:lang w:val="en-US" w:eastAsia="fr-FR"/>
          <w14:ligatures w14:val="none"/>
        </w:rPr>
        <w:t>The event</w:t>
      </w:r>
      <w:r w:rsidR="003801DA">
        <w:rPr>
          <w:rFonts w:eastAsia="Times New Roman" w:cstheme="minorHAnsi"/>
          <w:kern w:val="0"/>
          <w:lang w:val="en-US" w:eastAsia="fr-FR"/>
          <w14:ligatures w14:val="none"/>
        </w:rPr>
        <w:t xml:space="preserve"> </w:t>
      </w:r>
      <w:r w:rsidR="001B103F">
        <w:rPr>
          <w:rFonts w:eastAsia="Times New Roman" w:cstheme="minorHAnsi"/>
          <w:kern w:val="0"/>
          <w:lang w:val="en-US" w:eastAsia="fr-FR"/>
          <w14:ligatures w14:val="none"/>
        </w:rPr>
        <w:t xml:space="preserve">sponsored by </w:t>
      </w:r>
      <w:proofErr w:type="spellStart"/>
      <w:r w:rsidR="001B103F">
        <w:rPr>
          <w:rFonts w:eastAsia="Times New Roman" w:cstheme="minorHAnsi"/>
          <w:kern w:val="0"/>
          <w:lang w:val="en-US" w:eastAsia="fr-FR"/>
          <w14:ligatures w14:val="none"/>
        </w:rPr>
        <w:t>Lumon</w:t>
      </w:r>
      <w:proofErr w:type="spellEnd"/>
      <w:r w:rsidR="001B103F">
        <w:rPr>
          <w:rFonts w:eastAsia="Times New Roman" w:cstheme="minorHAnsi"/>
          <w:kern w:val="0"/>
          <w:lang w:val="en-US" w:eastAsia="fr-FR"/>
          <w14:ligatures w14:val="none"/>
        </w:rPr>
        <w:t xml:space="preserve"> </w:t>
      </w:r>
      <w:r w:rsidR="003801DA">
        <w:rPr>
          <w:rFonts w:eastAsia="Times New Roman" w:cstheme="minorHAnsi"/>
          <w:kern w:val="0"/>
          <w:lang w:val="en-US" w:eastAsia="fr-FR"/>
          <w14:ligatures w14:val="none"/>
        </w:rPr>
        <w:t xml:space="preserve">who took place </w:t>
      </w:r>
      <w:r w:rsidR="003801DA" w:rsidRPr="00C377F0">
        <w:rPr>
          <w:rFonts w:eastAsia="Times New Roman" w:cstheme="minorHAnsi"/>
          <w:kern w:val="0"/>
          <w:lang w:val="en-US" w:eastAsia="fr-FR"/>
          <w14:ligatures w14:val="none"/>
        </w:rPr>
        <w:t>at the sumptuous venue, No.11 Cavendish Square</w:t>
      </w:r>
      <w:r w:rsidR="003801DA">
        <w:rPr>
          <w:rFonts w:eastAsia="Times New Roman" w:cstheme="minorHAnsi"/>
          <w:kern w:val="0"/>
          <w:lang w:val="en-US" w:eastAsia="fr-FR"/>
          <w14:ligatures w14:val="none"/>
        </w:rPr>
        <w:t xml:space="preserve">, </w:t>
      </w:r>
      <w:r>
        <w:rPr>
          <w:rFonts w:eastAsia="Times New Roman" w:cstheme="minorHAnsi"/>
          <w:kern w:val="0"/>
          <w:lang w:val="en-US" w:eastAsia="fr-FR"/>
          <w14:ligatures w14:val="none"/>
        </w:rPr>
        <w:t>was sold out</w:t>
      </w:r>
      <w:r w:rsidR="00F74BCF">
        <w:rPr>
          <w:rFonts w:eastAsia="Times New Roman" w:cstheme="minorHAnsi"/>
          <w:kern w:val="0"/>
          <w:lang w:val="en-US" w:eastAsia="fr-FR"/>
          <w14:ligatures w14:val="none"/>
        </w:rPr>
        <w:t>!</w:t>
      </w:r>
      <w:r w:rsidRPr="005176F6">
        <w:rPr>
          <w:rFonts w:eastAsia="Times New Roman" w:cstheme="minorHAnsi"/>
          <w:kern w:val="0"/>
          <w:lang w:val="en-US" w:eastAsia="fr-FR"/>
          <w14:ligatures w14:val="none"/>
        </w:rPr>
        <w:t xml:space="preserve"> </w:t>
      </w:r>
      <w:r w:rsidR="003D7DCD" w:rsidRPr="003D7DCD">
        <w:rPr>
          <w:rFonts w:eastAsia="Times New Roman" w:cstheme="minorHAnsi"/>
          <w:kern w:val="0"/>
          <w:lang w:val="en-US" w:eastAsia="fr-FR"/>
          <w14:ligatures w14:val="none"/>
        </w:rPr>
        <w:t>11</w:t>
      </w:r>
      <w:r w:rsidR="003D7DCD" w:rsidRPr="005176F6">
        <w:rPr>
          <w:rFonts w:eastAsia="Times New Roman" w:cstheme="minorHAnsi"/>
          <w:kern w:val="0"/>
          <w:lang w:val="en-US" w:eastAsia="fr-FR"/>
          <w14:ligatures w14:val="none"/>
        </w:rPr>
        <w:t>0 delegates</w:t>
      </w:r>
      <w:r>
        <w:rPr>
          <w:rFonts w:eastAsia="Times New Roman" w:cstheme="minorHAnsi"/>
          <w:kern w:val="0"/>
          <w:lang w:val="en-US" w:eastAsia="fr-FR"/>
          <w14:ligatures w14:val="none"/>
        </w:rPr>
        <w:t xml:space="preserve"> </w:t>
      </w:r>
      <w:r w:rsidR="003D7DCD" w:rsidRPr="005176F6">
        <w:rPr>
          <w:rFonts w:eastAsia="Times New Roman" w:cstheme="minorHAnsi"/>
          <w:kern w:val="0"/>
          <w:lang w:val="en-US" w:eastAsia="fr-FR"/>
          <w14:ligatures w14:val="none"/>
        </w:rPr>
        <w:t xml:space="preserve">participated enthusiastically, contributing views from a range of jurisdictions including the UK, </w:t>
      </w:r>
      <w:r w:rsidR="003D7DCD" w:rsidRPr="003D7DCD">
        <w:rPr>
          <w:rFonts w:eastAsia="Times New Roman" w:cstheme="minorHAnsi"/>
          <w:kern w:val="0"/>
          <w:lang w:val="en-US" w:eastAsia="fr-FR"/>
          <w14:ligatures w14:val="none"/>
        </w:rPr>
        <w:t xml:space="preserve">the </w:t>
      </w:r>
      <w:r w:rsidR="003D7DCD" w:rsidRPr="005176F6">
        <w:rPr>
          <w:rFonts w:eastAsia="Times New Roman" w:cstheme="minorHAnsi"/>
          <w:kern w:val="0"/>
          <w:lang w:val="en-US" w:eastAsia="fr-FR"/>
          <w14:ligatures w14:val="none"/>
        </w:rPr>
        <w:t xml:space="preserve">Netherlands, Ireland, Germany, </w:t>
      </w:r>
      <w:r w:rsidR="003D7DCD" w:rsidRPr="003D7DCD">
        <w:rPr>
          <w:rFonts w:eastAsia="Times New Roman" w:cstheme="minorHAnsi"/>
          <w:kern w:val="0"/>
          <w:lang w:val="en-US" w:eastAsia="fr-FR"/>
          <w14:ligatures w14:val="none"/>
        </w:rPr>
        <w:t>Italy, Spain</w:t>
      </w:r>
      <w:r w:rsidR="003D7DCD" w:rsidRPr="005176F6">
        <w:rPr>
          <w:rFonts w:eastAsia="Times New Roman" w:cstheme="minorHAnsi"/>
          <w:kern w:val="0"/>
          <w:lang w:val="en-US" w:eastAsia="fr-FR"/>
          <w14:ligatures w14:val="none"/>
        </w:rPr>
        <w:t xml:space="preserve">, </w:t>
      </w:r>
      <w:proofErr w:type="gramStart"/>
      <w:r w:rsidR="003D7DCD" w:rsidRPr="005176F6">
        <w:rPr>
          <w:rFonts w:eastAsia="Times New Roman" w:cstheme="minorHAnsi"/>
          <w:kern w:val="0"/>
          <w:lang w:val="en-US" w:eastAsia="fr-FR"/>
          <w14:ligatures w14:val="none"/>
        </w:rPr>
        <w:t>France</w:t>
      </w:r>
      <w:proofErr w:type="gramEnd"/>
      <w:r w:rsidR="003D7DCD" w:rsidRPr="005176F6">
        <w:rPr>
          <w:rFonts w:eastAsia="Times New Roman" w:cstheme="minorHAnsi"/>
          <w:kern w:val="0"/>
          <w:lang w:val="en-US" w:eastAsia="fr-FR"/>
          <w14:ligatures w14:val="none"/>
        </w:rPr>
        <w:t xml:space="preserve"> and </w:t>
      </w:r>
      <w:r w:rsidR="003D7DCD" w:rsidRPr="003D7DCD">
        <w:rPr>
          <w:rFonts w:eastAsia="Times New Roman" w:cstheme="minorHAnsi"/>
          <w:kern w:val="0"/>
          <w:lang w:val="en-US" w:eastAsia="fr-FR"/>
          <w14:ligatures w14:val="none"/>
        </w:rPr>
        <w:t>Greece.</w:t>
      </w:r>
    </w:p>
    <w:p w14:paraId="4E2614D5" w14:textId="77777777" w:rsidR="003801DA" w:rsidRDefault="003801DA" w:rsidP="003801DA">
      <w:pPr>
        <w:spacing w:after="0" w:line="240" w:lineRule="auto"/>
        <w:jc w:val="both"/>
        <w:rPr>
          <w:rFonts w:eastAsia="Times New Roman" w:cstheme="minorHAnsi"/>
          <w:kern w:val="0"/>
          <w:lang w:val="en-US" w:eastAsia="fr-FR"/>
          <w14:ligatures w14:val="none"/>
        </w:rPr>
      </w:pPr>
    </w:p>
    <w:p w14:paraId="153A03F1" w14:textId="4749ABE8" w:rsidR="001B26E0" w:rsidRDefault="003801DA" w:rsidP="003D7DCD">
      <w:pPr>
        <w:spacing w:after="0" w:line="240" w:lineRule="auto"/>
        <w:jc w:val="both"/>
        <w:rPr>
          <w:rFonts w:eastAsia="Times New Roman" w:cstheme="minorHAnsi"/>
          <w:kern w:val="0"/>
          <w:lang w:val="en-US" w:eastAsia="fr-FR"/>
          <w14:ligatures w14:val="none"/>
        </w:rPr>
      </w:pPr>
      <w:r>
        <w:rPr>
          <w:rFonts w:eastAsia="Times New Roman" w:cstheme="minorHAnsi"/>
          <w:kern w:val="0"/>
          <w:lang w:val="en-US" w:eastAsia="fr-FR"/>
          <w14:ligatures w14:val="none"/>
        </w:rPr>
        <w:t xml:space="preserve">The </w:t>
      </w:r>
      <w:r w:rsidRPr="00C377F0">
        <w:rPr>
          <w:rFonts w:eastAsia="Times New Roman" w:cstheme="minorHAnsi"/>
          <w:kern w:val="0"/>
          <w:lang w:val="en-US" w:eastAsia="fr-FR"/>
          <w14:ligatures w14:val="none"/>
        </w:rPr>
        <w:t>leading South Square practitioners Barry Isaacs KC and Stefanie Wilkins</w:t>
      </w:r>
      <w:r>
        <w:rPr>
          <w:rFonts w:eastAsia="Times New Roman" w:cstheme="minorHAnsi"/>
          <w:kern w:val="0"/>
          <w:lang w:val="en-US" w:eastAsia="fr-FR"/>
          <w14:ligatures w14:val="none"/>
        </w:rPr>
        <w:t xml:space="preserve"> provided an </w:t>
      </w:r>
      <w:r w:rsidRPr="00C377F0">
        <w:rPr>
          <w:rFonts w:eastAsia="Times New Roman" w:cstheme="minorHAnsi"/>
          <w:kern w:val="0"/>
          <w:lang w:val="en-US" w:eastAsia="fr-FR"/>
          <w14:ligatures w14:val="none"/>
        </w:rPr>
        <w:t>update on significant recent cross-border insolvency cases</w:t>
      </w:r>
      <w:r w:rsidR="001B26E0">
        <w:rPr>
          <w:rFonts w:eastAsia="Times New Roman" w:cstheme="minorHAnsi"/>
          <w:kern w:val="0"/>
          <w:lang w:val="en-US" w:eastAsia="fr-FR"/>
          <w14:ligatures w14:val="none"/>
        </w:rPr>
        <w:t>.</w:t>
      </w:r>
    </w:p>
    <w:p w14:paraId="69A98DE7" w14:textId="33612388" w:rsidR="00160E8C" w:rsidRDefault="00160E8C" w:rsidP="003D7DCD">
      <w:pPr>
        <w:spacing w:after="0" w:line="240" w:lineRule="auto"/>
        <w:jc w:val="both"/>
        <w:rPr>
          <w:lang w:val="en-US"/>
        </w:rPr>
      </w:pPr>
      <w:r w:rsidRPr="00160E8C">
        <w:rPr>
          <w:lang w:val="en-US"/>
        </w:rPr>
        <w:t xml:space="preserve">In </w:t>
      </w:r>
      <w:r w:rsidR="001B26E0" w:rsidRPr="000108B0">
        <w:rPr>
          <w:i/>
          <w:iCs/>
          <w:lang w:val="en-US"/>
        </w:rPr>
        <w:t>Re</w:t>
      </w:r>
      <w:r w:rsidR="001B26E0">
        <w:rPr>
          <w:lang w:val="en-US"/>
        </w:rPr>
        <w:t xml:space="preserve"> </w:t>
      </w:r>
      <w:proofErr w:type="spellStart"/>
      <w:r w:rsidR="001B26E0" w:rsidRPr="004D187A">
        <w:rPr>
          <w:i/>
          <w:iCs/>
          <w:lang w:val="en-US"/>
        </w:rPr>
        <w:t>Cimolai</w:t>
      </w:r>
      <w:proofErr w:type="spellEnd"/>
      <w:r w:rsidRPr="00160E8C">
        <w:rPr>
          <w:lang w:val="en-US"/>
        </w:rPr>
        <w:t xml:space="preserve">, the English Court </w:t>
      </w:r>
      <w:proofErr w:type="spellStart"/>
      <w:r w:rsidRPr="00160E8C">
        <w:rPr>
          <w:lang w:val="en-US"/>
        </w:rPr>
        <w:t>recognised</w:t>
      </w:r>
      <w:proofErr w:type="spellEnd"/>
      <w:r w:rsidRPr="00160E8C">
        <w:rPr>
          <w:lang w:val="en-US"/>
        </w:rPr>
        <w:t xml:space="preserve"> Italian insolvency proceedings in respect of two Italian companies as foreign main proceedings under the Cross-Border Insolvency Regulations 2006 (CBIR). </w:t>
      </w:r>
      <w:r w:rsidR="001B26E0" w:rsidRPr="001B26E0">
        <w:rPr>
          <w:lang w:val="en-US"/>
        </w:rPr>
        <w:t xml:space="preserve">Pursuant to the recognition orders, proceedings commenced before the English Courts against the </w:t>
      </w:r>
      <w:proofErr w:type="spellStart"/>
      <w:r w:rsidR="001B26E0" w:rsidRPr="004D187A">
        <w:rPr>
          <w:i/>
          <w:iCs/>
          <w:lang w:val="en-US"/>
        </w:rPr>
        <w:t>Cimolai</w:t>
      </w:r>
      <w:proofErr w:type="spellEnd"/>
      <w:r w:rsidR="001B26E0" w:rsidRPr="001B26E0">
        <w:rPr>
          <w:lang w:val="en-US"/>
        </w:rPr>
        <w:t xml:space="preserve"> </w:t>
      </w:r>
      <w:r w:rsidR="00DF643D">
        <w:rPr>
          <w:lang w:val="en-US"/>
        </w:rPr>
        <w:t>companies</w:t>
      </w:r>
      <w:r w:rsidR="001B26E0" w:rsidRPr="001B26E0">
        <w:rPr>
          <w:lang w:val="en-US"/>
        </w:rPr>
        <w:t xml:space="preserve"> by </w:t>
      </w:r>
      <w:proofErr w:type="gramStart"/>
      <w:r w:rsidR="001B26E0" w:rsidRPr="001B26E0">
        <w:rPr>
          <w:lang w:val="en-US"/>
        </w:rPr>
        <w:t>a number of</w:t>
      </w:r>
      <w:proofErr w:type="gramEnd"/>
      <w:r w:rsidR="001B26E0" w:rsidRPr="001B26E0">
        <w:rPr>
          <w:lang w:val="en-US"/>
        </w:rPr>
        <w:t xml:space="preserve"> international banks and financial institutions following defaults under numerous structured foreign exchange derivatives will remain stayed pending the consideration and, if thought fit, approval of linked </w:t>
      </w:r>
      <w:proofErr w:type="spellStart"/>
      <w:r w:rsidR="001B26E0" w:rsidRPr="001B26E0">
        <w:rPr>
          <w:lang w:val="en-US"/>
        </w:rPr>
        <w:t>Concordato</w:t>
      </w:r>
      <w:proofErr w:type="spellEnd"/>
      <w:r w:rsidR="001B26E0" w:rsidRPr="001B26E0">
        <w:rPr>
          <w:lang w:val="en-US"/>
        </w:rPr>
        <w:t xml:space="preserve"> </w:t>
      </w:r>
      <w:proofErr w:type="spellStart"/>
      <w:r w:rsidR="001B26E0" w:rsidRPr="001B26E0">
        <w:rPr>
          <w:lang w:val="en-US"/>
        </w:rPr>
        <w:t>Preventivo</w:t>
      </w:r>
      <w:proofErr w:type="spellEnd"/>
      <w:r w:rsidR="001B26E0" w:rsidRPr="001B26E0">
        <w:rPr>
          <w:lang w:val="en-US"/>
        </w:rPr>
        <w:t xml:space="preserve"> and Part 26A Restructuring Plans in Italy and in the U</w:t>
      </w:r>
      <w:r w:rsidR="00DF643D">
        <w:rPr>
          <w:lang w:val="en-US"/>
        </w:rPr>
        <w:t>K</w:t>
      </w:r>
      <w:r w:rsidR="001B26E0" w:rsidRPr="001B26E0">
        <w:rPr>
          <w:lang w:val="en-US"/>
        </w:rPr>
        <w:t>.</w:t>
      </w:r>
    </w:p>
    <w:p w14:paraId="7125839D" w14:textId="1804E4E7" w:rsidR="00130EB5" w:rsidRPr="00130EB5" w:rsidRDefault="00A30D9D" w:rsidP="00130EB5">
      <w:pPr>
        <w:spacing w:after="0" w:line="240" w:lineRule="auto"/>
        <w:jc w:val="both"/>
        <w:rPr>
          <w:rFonts w:eastAsia="Times New Roman" w:cstheme="minorHAnsi"/>
          <w:kern w:val="0"/>
          <w:lang w:val="en-US" w:eastAsia="fr-FR"/>
          <w14:ligatures w14:val="none"/>
        </w:rPr>
      </w:pPr>
      <w:r>
        <w:rPr>
          <w:lang w:val="en-US"/>
        </w:rPr>
        <w:t xml:space="preserve">In </w:t>
      </w:r>
      <w:proofErr w:type="spellStart"/>
      <w:r w:rsidRPr="004D187A">
        <w:rPr>
          <w:i/>
          <w:iCs/>
          <w:lang w:val="en-US"/>
        </w:rPr>
        <w:t>Kireeva</w:t>
      </w:r>
      <w:proofErr w:type="spellEnd"/>
      <w:r>
        <w:rPr>
          <w:lang w:val="en-US"/>
        </w:rPr>
        <w:t>, t</w:t>
      </w:r>
      <w:r w:rsidRPr="00A30D9D">
        <w:rPr>
          <w:lang w:val="en-US"/>
        </w:rPr>
        <w:t xml:space="preserve">he Court of Appeal unanimously held that the </w:t>
      </w:r>
      <w:r w:rsidR="00130EB5">
        <w:rPr>
          <w:lang w:val="en-US"/>
        </w:rPr>
        <w:t xml:space="preserve">Russian </w:t>
      </w:r>
      <w:r w:rsidRPr="00A30D9D">
        <w:rPr>
          <w:lang w:val="en-US"/>
        </w:rPr>
        <w:t>trustee in bankruptcy</w:t>
      </w:r>
      <w:r w:rsidR="00130EB5" w:rsidRPr="00A30D9D">
        <w:rPr>
          <w:lang w:val="en-US"/>
        </w:rPr>
        <w:t>’s application for</w:t>
      </w:r>
      <w:r w:rsidR="00130EB5">
        <w:rPr>
          <w:lang w:val="en-US"/>
        </w:rPr>
        <w:t xml:space="preserve"> </w:t>
      </w:r>
      <w:r w:rsidR="00130EB5" w:rsidRPr="00A30D9D">
        <w:rPr>
          <w:lang w:val="en-US"/>
        </w:rPr>
        <w:t>recognition as</w:t>
      </w:r>
      <w:r w:rsidRPr="00A30D9D">
        <w:rPr>
          <w:lang w:val="en-US"/>
        </w:rPr>
        <w:t xml:space="preserve"> under common law</w:t>
      </w:r>
      <w:r w:rsidR="00130EB5">
        <w:rPr>
          <w:lang w:val="en-US"/>
        </w:rPr>
        <w:t xml:space="preserve"> </w:t>
      </w:r>
      <w:r w:rsidRPr="00A30D9D">
        <w:rPr>
          <w:lang w:val="en-US"/>
        </w:rPr>
        <w:t xml:space="preserve">should be remitted to the High Court for cross-examination on an allegation of fraud. </w:t>
      </w:r>
      <w:r w:rsidR="00130EB5" w:rsidRPr="00130EB5">
        <w:rPr>
          <w:rFonts w:eastAsia="Times New Roman" w:cstheme="minorHAnsi"/>
          <w:kern w:val="0"/>
          <w:lang w:val="en-US" w:eastAsia="fr-FR"/>
          <w14:ligatures w14:val="none"/>
        </w:rPr>
        <w:t>What is of more import is the decision that the English courts will not assist a foreign</w:t>
      </w:r>
      <w:r w:rsidR="00130EB5" w:rsidRPr="00130EB5">
        <w:rPr>
          <w:lang w:val="en-US"/>
        </w:rPr>
        <w:t xml:space="preserve"> </w:t>
      </w:r>
      <w:r w:rsidR="00130EB5" w:rsidRPr="00130EB5">
        <w:rPr>
          <w:rFonts w:eastAsia="Times New Roman" w:cstheme="minorHAnsi"/>
          <w:kern w:val="0"/>
          <w:lang w:val="en-US" w:eastAsia="fr-FR"/>
          <w14:ligatures w14:val="none"/>
        </w:rPr>
        <w:t xml:space="preserve">trustee, whose appointment has been </w:t>
      </w:r>
      <w:proofErr w:type="spellStart"/>
      <w:r w:rsidR="00130EB5" w:rsidRPr="00130EB5">
        <w:rPr>
          <w:rFonts w:eastAsia="Times New Roman" w:cstheme="minorHAnsi"/>
          <w:kern w:val="0"/>
          <w:lang w:val="en-US" w:eastAsia="fr-FR"/>
          <w14:ligatures w14:val="none"/>
        </w:rPr>
        <w:t>recognised</w:t>
      </w:r>
      <w:proofErr w:type="spellEnd"/>
      <w:r w:rsidR="00130EB5" w:rsidRPr="00130EB5">
        <w:rPr>
          <w:rFonts w:eastAsia="Times New Roman" w:cstheme="minorHAnsi"/>
          <w:kern w:val="0"/>
          <w:lang w:val="en-US" w:eastAsia="fr-FR"/>
          <w14:ligatures w14:val="none"/>
        </w:rPr>
        <w:t xml:space="preserve"> at common law, in relation to</w:t>
      </w:r>
      <w:r w:rsidR="00130EB5" w:rsidRPr="00130EB5">
        <w:rPr>
          <w:lang w:val="en-US"/>
        </w:rPr>
        <w:t xml:space="preserve"> </w:t>
      </w:r>
      <w:r w:rsidR="00130EB5" w:rsidRPr="00130EB5">
        <w:rPr>
          <w:rFonts w:eastAsia="Times New Roman" w:cstheme="minorHAnsi"/>
          <w:kern w:val="0"/>
          <w:lang w:val="en-US" w:eastAsia="fr-FR"/>
          <w14:ligatures w14:val="none"/>
        </w:rPr>
        <w:t>immovables in this jurisdiction.</w:t>
      </w:r>
      <w:r w:rsidR="00130EB5" w:rsidRPr="00130EB5">
        <w:rPr>
          <w:lang w:val="en-US"/>
        </w:rPr>
        <w:t xml:space="preserve"> </w:t>
      </w:r>
      <w:r w:rsidR="00130EB5" w:rsidRPr="00130EB5">
        <w:rPr>
          <w:rFonts w:eastAsia="Times New Roman" w:cstheme="minorHAnsi"/>
          <w:kern w:val="0"/>
          <w:lang w:val="en-US" w:eastAsia="fr-FR"/>
          <w14:ligatures w14:val="none"/>
        </w:rPr>
        <w:t>The court had to consider how modified universalism interacts with the immovables rule.</w:t>
      </w:r>
      <w:r w:rsidR="000D1060">
        <w:rPr>
          <w:rFonts w:eastAsia="Times New Roman" w:cstheme="minorHAnsi"/>
          <w:kern w:val="0"/>
          <w:lang w:val="en-US" w:eastAsia="fr-FR"/>
          <w14:ligatures w14:val="none"/>
        </w:rPr>
        <w:t xml:space="preserve"> </w:t>
      </w:r>
      <w:r w:rsidR="00130EB5" w:rsidRPr="00130EB5">
        <w:rPr>
          <w:lang w:val="en-US"/>
        </w:rPr>
        <w:t xml:space="preserve">The court’s decision on the latter issue is rooted in the so-called </w:t>
      </w:r>
      <w:r w:rsidR="000D1060">
        <w:rPr>
          <w:lang w:val="en-US"/>
        </w:rPr>
        <w:t>“</w:t>
      </w:r>
      <w:r w:rsidR="00130EB5" w:rsidRPr="00130EB5">
        <w:rPr>
          <w:lang w:val="en-US"/>
        </w:rPr>
        <w:t>immovables rule</w:t>
      </w:r>
      <w:r w:rsidR="000D1060">
        <w:rPr>
          <w:lang w:val="en-US"/>
        </w:rPr>
        <w:t>”</w:t>
      </w:r>
      <w:r w:rsidR="00130EB5" w:rsidRPr="00130EB5">
        <w:rPr>
          <w:lang w:val="en-US"/>
        </w:rPr>
        <w:t xml:space="preserve">, namely, the rule that rights over immovable property would be governed by the </w:t>
      </w:r>
      <w:r w:rsidR="00130EB5" w:rsidRPr="000D1060">
        <w:rPr>
          <w:i/>
          <w:iCs/>
          <w:lang w:val="en-US"/>
        </w:rPr>
        <w:t>lex situs</w:t>
      </w:r>
      <w:r w:rsidR="00130EB5" w:rsidRPr="00130EB5">
        <w:rPr>
          <w:lang w:val="en-US"/>
        </w:rPr>
        <w:t xml:space="preserve"> of the property. </w:t>
      </w:r>
    </w:p>
    <w:p w14:paraId="1E910A14" w14:textId="536AFF25" w:rsidR="00A73C62" w:rsidRPr="00C377F0" w:rsidRDefault="000D1060" w:rsidP="00034EAC">
      <w:pPr>
        <w:spacing w:after="0" w:line="240" w:lineRule="auto"/>
        <w:jc w:val="both"/>
        <w:rPr>
          <w:rFonts w:eastAsia="Times New Roman" w:cstheme="minorHAnsi"/>
          <w:kern w:val="0"/>
          <w:lang w:val="en-US" w:eastAsia="fr-FR"/>
          <w14:ligatures w14:val="none"/>
        </w:rPr>
      </w:pPr>
      <w:r>
        <w:rPr>
          <w:rFonts w:eastAsia="Times New Roman" w:cstheme="minorHAnsi"/>
          <w:kern w:val="0"/>
          <w:lang w:val="en-US" w:eastAsia="fr-FR"/>
          <w14:ligatures w14:val="none"/>
        </w:rPr>
        <w:t xml:space="preserve">The </w:t>
      </w:r>
      <w:r w:rsidRPr="00831770">
        <w:rPr>
          <w:rFonts w:eastAsia="Times New Roman" w:cstheme="minorHAnsi"/>
          <w:i/>
          <w:iCs/>
          <w:kern w:val="0"/>
          <w:lang w:val="en-US" w:eastAsia="fr-FR"/>
          <w14:ligatures w14:val="none"/>
        </w:rPr>
        <w:t>Norwegian Air</w:t>
      </w:r>
      <w:r>
        <w:rPr>
          <w:rFonts w:eastAsia="Times New Roman" w:cstheme="minorHAnsi"/>
          <w:kern w:val="0"/>
          <w:lang w:val="en-US" w:eastAsia="fr-FR"/>
          <w14:ligatures w14:val="none"/>
        </w:rPr>
        <w:t xml:space="preserve"> </w:t>
      </w:r>
      <w:r w:rsidRPr="00A73C62">
        <w:rPr>
          <w:rFonts w:eastAsia="Times New Roman" w:cstheme="minorHAnsi"/>
          <w:kern w:val="0"/>
          <w:lang w:val="en-US" w:eastAsia="fr-FR"/>
          <w14:ligatures w14:val="none"/>
        </w:rPr>
        <w:t xml:space="preserve">examinership proceedings </w:t>
      </w:r>
      <w:r>
        <w:rPr>
          <w:rFonts w:eastAsia="Times New Roman" w:cstheme="minorHAnsi"/>
          <w:kern w:val="0"/>
          <w:lang w:val="en-US" w:eastAsia="fr-FR"/>
          <w14:ligatures w14:val="none"/>
        </w:rPr>
        <w:t>key significance was then reminded</w:t>
      </w:r>
      <w:r w:rsidR="00191312">
        <w:rPr>
          <w:rFonts w:eastAsia="Times New Roman" w:cstheme="minorHAnsi"/>
          <w:kern w:val="0"/>
          <w:lang w:val="en-US" w:eastAsia="fr-FR"/>
          <w14:ligatures w14:val="none"/>
        </w:rPr>
        <w:t xml:space="preserve">. Indeed, </w:t>
      </w:r>
      <w:r w:rsidR="00DF643D">
        <w:rPr>
          <w:rFonts w:eastAsia="Times New Roman" w:cstheme="minorHAnsi"/>
          <w:kern w:val="0"/>
          <w:lang w:val="en-US" w:eastAsia="fr-FR"/>
          <w14:ligatures w14:val="none"/>
        </w:rPr>
        <w:t>this</w:t>
      </w:r>
      <w:r>
        <w:rPr>
          <w:rFonts w:eastAsia="Times New Roman" w:cstheme="minorHAnsi"/>
          <w:kern w:val="0"/>
          <w:lang w:val="en-US" w:eastAsia="fr-FR"/>
          <w14:ligatures w14:val="none"/>
        </w:rPr>
        <w:t xml:space="preserve"> </w:t>
      </w:r>
      <w:r w:rsidR="00DF643D">
        <w:rPr>
          <w:rFonts w:eastAsia="Times New Roman" w:cstheme="minorHAnsi"/>
          <w:kern w:val="0"/>
          <w:lang w:val="en-US" w:eastAsia="fr-FR"/>
          <w14:ligatures w14:val="none"/>
        </w:rPr>
        <w:t xml:space="preserve">decision </w:t>
      </w:r>
      <w:r>
        <w:rPr>
          <w:rFonts w:eastAsia="Times New Roman" w:cstheme="minorHAnsi"/>
          <w:kern w:val="0"/>
          <w:lang w:val="en-US" w:eastAsia="fr-FR"/>
          <w14:ligatures w14:val="none"/>
        </w:rPr>
        <w:t xml:space="preserve">introduces </w:t>
      </w:r>
      <w:r w:rsidR="00A73C62" w:rsidRPr="00A73C62">
        <w:rPr>
          <w:rFonts w:eastAsia="Times New Roman" w:cstheme="minorHAnsi"/>
          <w:kern w:val="0"/>
          <w:lang w:val="en-US" w:eastAsia="fr-FR"/>
          <w14:ligatures w14:val="none"/>
        </w:rPr>
        <w:t>the</w:t>
      </w:r>
      <w:r>
        <w:rPr>
          <w:rFonts w:eastAsia="Times New Roman" w:cstheme="minorHAnsi"/>
          <w:kern w:val="0"/>
          <w:lang w:val="en-US" w:eastAsia="fr-FR"/>
          <w14:ligatures w14:val="none"/>
        </w:rPr>
        <w:t xml:space="preserve"> </w:t>
      </w:r>
      <w:r w:rsidR="00A73C62" w:rsidRPr="00A73C62">
        <w:rPr>
          <w:rFonts w:eastAsia="Times New Roman" w:cstheme="minorHAnsi"/>
          <w:kern w:val="0"/>
          <w:lang w:val="en-US" w:eastAsia="fr-FR"/>
          <w14:ligatures w14:val="none"/>
        </w:rPr>
        <w:t>recognition of a statutory inroad into the well-established common law principle of the rule in</w:t>
      </w:r>
      <w:r>
        <w:rPr>
          <w:rFonts w:eastAsia="Times New Roman" w:cstheme="minorHAnsi"/>
          <w:kern w:val="0"/>
          <w:lang w:val="en-US" w:eastAsia="fr-FR"/>
          <w14:ligatures w14:val="none"/>
        </w:rPr>
        <w:t xml:space="preserve"> </w:t>
      </w:r>
      <w:r w:rsidR="00A73C62" w:rsidRPr="00A73C62">
        <w:rPr>
          <w:rFonts w:eastAsia="Times New Roman" w:cstheme="minorHAnsi"/>
          <w:kern w:val="0"/>
          <w:lang w:val="en-US" w:eastAsia="fr-FR"/>
          <w14:ligatures w14:val="none"/>
        </w:rPr>
        <w:t>Gibbs which may now provide an opportunity for</w:t>
      </w:r>
      <w:r>
        <w:rPr>
          <w:rFonts w:eastAsia="Times New Roman" w:cstheme="minorHAnsi"/>
          <w:kern w:val="0"/>
          <w:lang w:val="en-US" w:eastAsia="fr-FR"/>
          <w14:ligatures w14:val="none"/>
        </w:rPr>
        <w:t xml:space="preserve"> </w:t>
      </w:r>
      <w:r w:rsidR="00A73C62" w:rsidRPr="00A73C62">
        <w:rPr>
          <w:rFonts w:eastAsia="Times New Roman" w:cstheme="minorHAnsi"/>
          <w:kern w:val="0"/>
          <w:lang w:val="en-US" w:eastAsia="fr-FR"/>
          <w14:ligatures w14:val="none"/>
        </w:rPr>
        <w:t xml:space="preserve">foreign insolvency proceedings such as </w:t>
      </w:r>
      <w:r w:rsidR="00191312">
        <w:rPr>
          <w:rFonts w:eastAsia="Times New Roman" w:cstheme="minorHAnsi"/>
          <w:kern w:val="0"/>
          <w:lang w:val="en-US" w:eastAsia="fr-FR"/>
          <w14:ligatures w14:val="none"/>
        </w:rPr>
        <w:t xml:space="preserve">the </w:t>
      </w:r>
      <w:r w:rsidR="00191312" w:rsidRPr="00A73C62">
        <w:rPr>
          <w:rFonts w:eastAsia="Times New Roman" w:cstheme="minorHAnsi"/>
          <w:kern w:val="0"/>
          <w:lang w:val="en-US" w:eastAsia="fr-FR"/>
          <w14:ligatures w14:val="none"/>
        </w:rPr>
        <w:t>Irish</w:t>
      </w:r>
      <w:r w:rsidR="00191312">
        <w:rPr>
          <w:rFonts w:eastAsia="Times New Roman" w:cstheme="minorHAnsi"/>
          <w:kern w:val="0"/>
          <w:lang w:val="en-US" w:eastAsia="fr-FR"/>
          <w14:ligatures w14:val="none"/>
        </w:rPr>
        <w:t xml:space="preserve"> scheme of arrangement </w:t>
      </w:r>
      <w:r w:rsidR="00A73C62" w:rsidRPr="00A73C62">
        <w:rPr>
          <w:rFonts w:eastAsia="Times New Roman" w:cstheme="minorHAnsi"/>
          <w:kern w:val="0"/>
          <w:lang w:val="en-US" w:eastAsia="fr-FR"/>
          <w14:ligatures w14:val="none"/>
        </w:rPr>
        <w:t xml:space="preserve">and potentially </w:t>
      </w:r>
      <w:r w:rsidR="00191312">
        <w:rPr>
          <w:rFonts w:eastAsia="Times New Roman" w:cstheme="minorHAnsi"/>
          <w:kern w:val="0"/>
          <w:lang w:val="en-US" w:eastAsia="fr-FR"/>
          <w14:ligatures w14:val="none"/>
        </w:rPr>
        <w:t xml:space="preserve">the </w:t>
      </w:r>
      <w:r w:rsidR="00034EAC">
        <w:rPr>
          <w:rFonts w:eastAsia="Times New Roman" w:cstheme="minorHAnsi"/>
          <w:kern w:val="0"/>
          <w:lang w:val="en-US" w:eastAsia="fr-FR"/>
          <w14:ligatures w14:val="none"/>
        </w:rPr>
        <w:t xml:space="preserve">new </w:t>
      </w:r>
      <w:r w:rsidR="00034EAC" w:rsidRPr="00034EAC">
        <w:rPr>
          <w:rFonts w:eastAsia="Times New Roman" w:cstheme="minorHAnsi"/>
          <w:kern w:val="0"/>
          <w:lang w:val="en-US" w:eastAsia="fr-FR"/>
          <w14:ligatures w14:val="none"/>
        </w:rPr>
        <w:t>scheme of arrangement</w:t>
      </w:r>
      <w:r w:rsidR="00034EAC">
        <w:rPr>
          <w:rFonts w:eastAsia="Times New Roman" w:cstheme="minorHAnsi"/>
          <w:kern w:val="0"/>
          <w:lang w:val="en-US" w:eastAsia="fr-FR"/>
          <w14:ligatures w14:val="none"/>
        </w:rPr>
        <w:t xml:space="preserve"> </w:t>
      </w:r>
      <w:r w:rsidR="00191312">
        <w:rPr>
          <w:rFonts w:eastAsia="Times New Roman" w:cstheme="minorHAnsi"/>
          <w:kern w:val="0"/>
          <w:lang w:val="en-US" w:eastAsia="fr-FR"/>
          <w14:ligatures w14:val="none"/>
        </w:rPr>
        <w:t xml:space="preserve">of </w:t>
      </w:r>
      <w:r w:rsidR="00A73C62" w:rsidRPr="00A73C62">
        <w:rPr>
          <w:rFonts w:eastAsia="Times New Roman" w:cstheme="minorHAnsi"/>
          <w:kern w:val="0"/>
          <w:lang w:val="en-US" w:eastAsia="fr-FR"/>
          <w14:ligatures w14:val="none"/>
        </w:rPr>
        <w:t>Cayman Islands to compromise English law</w:t>
      </w:r>
      <w:r>
        <w:rPr>
          <w:rFonts w:eastAsia="Times New Roman" w:cstheme="minorHAnsi"/>
          <w:kern w:val="0"/>
          <w:lang w:val="en-US" w:eastAsia="fr-FR"/>
          <w14:ligatures w14:val="none"/>
        </w:rPr>
        <w:t xml:space="preserve"> </w:t>
      </w:r>
      <w:r w:rsidR="00A73C62" w:rsidRPr="00A73C62">
        <w:rPr>
          <w:rFonts w:eastAsia="Times New Roman" w:cstheme="minorHAnsi"/>
          <w:kern w:val="0"/>
          <w:lang w:val="en-US" w:eastAsia="fr-FR"/>
          <w14:ligatures w14:val="none"/>
        </w:rPr>
        <w:t>governed debt in certain circumstanc</w:t>
      </w:r>
      <w:r>
        <w:rPr>
          <w:rFonts w:eastAsia="Times New Roman" w:cstheme="minorHAnsi"/>
          <w:kern w:val="0"/>
          <w:lang w:val="en-US" w:eastAsia="fr-FR"/>
          <w14:ligatures w14:val="none"/>
        </w:rPr>
        <w:t>es.</w:t>
      </w:r>
    </w:p>
    <w:p w14:paraId="4D34BC19" w14:textId="6D00822B" w:rsidR="00DF643D" w:rsidRDefault="000D1060" w:rsidP="00DF643D">
      <w:pPr>
        <w:spacing w:after="0" w:line="240" w:lineRule="auto"/>
        <w:jc w:val="both"/>
        <w:rPr>
          <w:lang w:val="en-US"/>
        </w:rPr>
      </w:pPr>
      <w:r w:rsidRPr="000D1060">
        <w:rPr>
          <w:lang w:val="en-US"/>
        </w:rPr>
        <w:t xml:space="preserve">Finally, in </w:t>
      </w:r>
      <w:r w:rsidR="003801DA" w:rsidRPr="004D187A">
        <w:rPr>
          <w:i/>
          <w:iCs/>
          <w:lang w:val="en-US"/>
        </w:rPr>
        <w:t>Adler</w:t>
      </w:r>
      <w:r w:rsidRPr="000D1060">
        <w:rPr>
          <w:lang w:val="en-US"/>
        </w:rPr>
        <w:t>, the</w:t>
      </w:r>
      <w:r w:rsidR="003801DA" w:rsidRPr="000D1060">
        <w:rPr>
          <w:lang w:val="en-US"/>
        </w:rPr>
        <w:t xml:space="preserve"> Group</w:t>
      </w:r>
      <w:r w:rsidRPr="000D1060">
        <w:rPr>
          <w:lang w:val="en-US"/>
        </w:rPr>
        <w:t xml:space="preserve"> </w:t>
      </w:r>
      <w:r w:rsidR="003801DA" w:rsidRPr="000D1060">
        <w:rPr>
          <w:lang w:val="en-US"/>
        </w:rPr>
        <w:t>restructuring plan to prevent the German property company's imminent collapse was approved by London's High Court, despite opposition from some bondholders.</w:t>
      </w:r>
      <w:r w:rsidR="00DF643D">
        <w:rPr>
          <w:lang w:val="en-US"/>
        </w:rPr>
        <w:t xml:space="preserve"> </w:t>
      </w:r>
      <w:r w:rsidR="00E41B2C" w:rsidRPr="00E41B2C">
        <w:rPr>
          <w:lang w:val="en-US"/>
        </w:rPr>
        <w:t xml:space="preserve">This is the first time that German law governed debt issued by a Luxembourg holding company was compromised through an English Scheme or Plan. </w:t>
      </w:r>
      <w:r w:rsidR="00DF643D" w:rsidRPr="00EE1DF9">
        <w:rPr>
          <w:i/>
          <w:iCs/>
          <w:lang w:val="en-US"/>
        </w:rPr>
        <w:t>Adler</w:t>
      </w:r>
      <w:r w:rsidR="00DF643D" w:rsidRPr="00DF643D">
        <w:rPr>
          <w:lang w:val="en-US"/>
        </w:rPr>
        <w:t xml:space="preserve"> put forward evidence to the Court in the form of expert witness submissions regarding the likelihood of recognition in Germany. Following review of the evidence, the English Court was satisfied on the balance of probabilities that there is a reasonable prospect that the </w:t>
      </w:r>
      <w:r w:rsidR="00E2256C">
        <w:rPr>
          <w:lang w:val="en-US"/>
        </w:rPr>
        <w:t>p</w:t>
      </w:r>
      <w:r w:rsidR="00DF643D" w:rsidRPr="00DF643D">
        <w:rPr>
          <w:lang w:val="en-US"/>
        </w:rPr>
        <w:t xml:space="preserve">lan would be </w:t>
      </w:r>
      <w:proofErr w:type="spellStart"/>
      <w:r w:rsidR="00DF643D" w:rsidRPr="00DF643D">
        <w:rPr>
          <w:lang w:val="en-US"/>
        </w:rPr>
        <w:t>recognised</w:t>
      </w:r>
      <w:proofErr w:type="spellEnd"/>
      <w:r w:rsidR="00DF643D" w:rsidRPr="00DF643D">
        <w:rPr>
          <w:lang w:val="en-US"/>
        </w:rPr>
        <w:t xml:space="preserve"> in Germany.</w:t>
      </w:r>
    </w:p>
    <w:p w14:paraId="6D923E5F" w14:textId="77777777" w:rsidR="00DF643D" w:rsidRDefault="00DF643D" w:rsidP="005176F6">
      <w:pPr>
        <w:spacing w:after="0" w:line="240" w:lineRule="auto"/>
        <w:jc w:val="both"/>
        <w:rPr>
          <w:rFonts w:eastAsia="Times New Roman" w:cstheme="minorHAnsi"/>
          <w:kern w:val="0"/>
          <w:lang w:val="en-US" w:eastAsia="fr-FR"/>
          <w14:ligatures w14:val="none"/>
        </w:rPr>
      </w:pPr>
    </w:p>
    <w:p w14:paraId="26384C9A" w14:textId="2E25BC6D" w:rsidR="007A7903" w:rsidRPr="00E72A3B" w:rsidRDefault="00E2256C" w:rsidP="00E2256C">
      <w:pPr>
        <w:spacing w:after="0" w:line="240" w:lineRule="auto"/>
        <w:jc w:val="both"/>
        <w:rPr>
          <w:lang w:val="en-US"/>
        </w:rPr>
      </w:pPr>
      <w:r>
        <w:rPr>
          <w:rFonts w:eastAsia="Times New Roman" w:cstheme="minorHAnsi"/>
          <w:kern w:val="0"/>
          <w:lang w:val="en-US" w:eastAsia="fr-FR"/>
          <w14:ligatures w14:val="none"/>
        </w:rPr>
        <w:t>A panel session on t</w:t>
      </w:r>
      <w:r w:rsidR="00ED7CF5">
        <w:rPr>
          <w:rFonts w:eastAsia="Times New Roman" w:cstheme="minorHAnsi"/>
          <w:kern w:val="0"/>
          <w:lang w:val="en-US" w:eastAsia="fr-FR"/>
          <w14:ligatures w14:val="none"/>
        </w:rPr>
        <w:t xml:space="preserve">he latest developments from the crypto sector </w:t>
      </w:r>
      <w:r>
        <w:rPr>
          <w:rFonts w:eastAsia="Times New Roman" w:cstheme="minorHAnsi"/>
          <w:kern w:val="0"/>
          <w:lang w:val="en-US" w:eastAsia="fr-FR"/>
          <w14:ligatures w14:val="none"/>
        </w:rPr>
        <w:t>chaired</w:t>
      </w:r>
      <w:r w:rsidR="00ED7CF5">
        <w:rPr>
          <w:rFonts w:eastAsia="Times New Roman" w:cstheme="minorHAnsi"/>
          <w:kern w:val="0"/>
          <w:lang w:val="en-US" w:eastAsia="fr-FR"/>
          <w14:ligatures w14:val="none"/>
        </w:rPr>
        <w:t xml:space="preserve"> by Henry Page (Mercer &amp; Hole)</w:t>
      </w:r>
      <w:r>
        <w:rPr>
          <w:rFonts w:eastAsia="Times New Roman" w:cstheme="minorHAnsi"/>
          <w:kern w:val="0"/>
          <w:lang w:val="en-US" w:eastAsia="fr-FR"/>
          <w14:ligatures w14:val="none"/>
        </w:rPr>
        <w:t xml:space="preserve"> </w:t>
      </w:r>
      <w:r w:rsidRPr="00C377F0">
        <w:rPr>
          <w:rFonts w:eastAsia="Times New Roman" w:cstheme="minorHAnsi"/>
          <w:kern w:val="0"/>
          <w:lang w:val="en-US" w:eastAsia="fr-FR"/>
          <w14:ligatures w14:val="none"/>
        </w:rPr>
        <w:t xml:space="preserve">featuring renowned </w:t>
      </w:r>
      <w:r>
        <w:rPr>
          <w:rFonts w:eastAsia="Times New Roman" w:cstheme="minorHAnsi"/>
          <w:kern w:val="0"/>
          <w:lang w:val="en-US" w:eastAsia="fr-FR"/>
          <w14:ligatures w14:val="none"/>
        </w:rPr>
        <w:t>c</w:t>
      </w:r>
      <w:r w:rsidRPr="00C377F0">
        <w:rPr>
          <w:rFonts w:eastAsia="Times New Roman" w:cstheme="minorHAnsi"/>
          <w:kern w:val="0"/>
          <w:lang w:val="en-US" w:eastAsia="fr-FR"/>
          <w14:ligatures w14:val="none"/>
        </w:rPr>
        <w:t>rypto experts</w:t>
      </w:r>
      <w:r w:rsidR="00ED7CF5">
        <w:rPr>
          <w:rFonts w:eastAsia="Times New Roman" w:cstheme="minorHAnsi"/>
          <w:kern w:val="0"/>
          <w:lang w:val="en-US" w:eastAsia="fr-FR"/>
          <w14:ligatures w14:val="none"/>
        </w:rPr>
        <w:t xml:space="preserve"> Charles Kerrigan (CMS), Julia Marshall (Alvarez &amp; Marsal Europe) and Allister Manson (Opus</w:t>
      </w:r>
      <w:r>
        <w:rPr>
          <w:rFonts w:eastAsia="Times New Roman" w:cstheme="minorHAnsi"/>
          <w:kern w:val="0"/>
          <w:lang w:val="en-US" w:eastAsia="fr-FR"/>
          <w14:ligatures w14:val="none"/>
        </w:rPr>
        <w:t xml:space="preserve"> </w:t>
      </w:r>
      <w:r w:rsidRPr="00C377F0">
        <w:rPr>
          <w:rFonts w:eastAsia="Times New Roman" w:cstheme="minorHAnsi"/>
          <w:kern w:val="0"/>
          <w:lang w:val="en-US" w:eastAsia="fr-FR"/>
          <w14:ligatures w14:val="none"/>
        </w:rPr>
        <w:t>Business Advisory Group, UK)</w:t>
      </w:r>
      <w:r>
        <w:rPr>
          <w:rFonts w:eastAsia="Times New Roman" w:cstheme="minorHAnsi"/>
          <w:kern w:val="0"/>
          <w:lang w:val="en-US" w:eastAsia="fr-FR"/>
          <w14:ligatures w14:val="none"/>
        </w:rPr>
        <w:t xml:space="preserve"> took place.</w:t>
      </w:r>
      <w:r w:rsidR="007A7903">
        <w:rPr>
          <w:rFonts w:eastAsia="Times New Roman" w:cstheme="minorHAnsi"/>
          <w:kern w:val="0"/>
          <w:lang w:val="en-US" w:eastAsia="fr-FR"/>
          <w14:ligatures w14:val="none"/>
        </w:rPr>
        <w:t xml:space="preserve"> </w:t>
      </w:r>
      <w:proofErr w:type="spellStart"/>
      <w:r w:rsidR="007A7903">
        <w:rPr>
          <w:rFonts w:eastAsia="Times New Roman" w:cstheme="minorHAnsi"/>
          <w:kern w:val="0"/>
          <w:lang w:val="en-US" w:eastAsia="fr-FR"/>
          <w14:ligatures w14:val="none"/>
        </w:rPr>
        <w:t>C</w:t>
      </w:r>
      <w:r w:rsidR="007A7903" w:rsidRPr="007A7903">
        <w:rPr>
          <w:rFonts w:eastAsia="Times New Roman" w:cstheme="minorHAnsi"/>
          <w:kern w:val="0"/>
          <w:lang w:val="en-US" w:eastAsia="fr-FR"/>
          <w14:ligatures w14:val="none"/>
        </w:rPr>
        <w:t>ryptoassets</w:t>
      </w:r>
      <w:proofErr w:type="spellEnd"/>
      <w:r w:rsidR="007A7903" w:rsidRPr="007A7903">
        <w:rPr>
          <w:rFonts w:eastAsia="Times New Roman" w:cstheme="minorHAnsi"/>
          <w:kern w:val="0"/>
          <w:lang w:val="en-US" w:eastAsia="fr-FR"/>
          <w14:ligatures w14:val="none"/>
        </w:rPr>
        <w:t xml:space="preserve"> span a wide and rapidly evolving range of digital instruments,</w:t>
      </w:r>
      <w:r w:rsidR="007A7903">
        <w:rPr>
          <w:rFonts w:eastAsia="Times New Roman" w:cstheme="minorHAnsi"/>
          <w:kern w:val="0"/>
          <w:lang w:val="en-US" w:eastAsia="fr-FR"/>
          <w14:ligatures w14:val="none"/>
        </w:rPr>
        <w:t xml:space="preserve"> </w:t>
      </w:r>
      <w:r w:rsidR="007A7903" w:rsidRPr="007A7903">
        <w:rPr>
          <w:rFonts w:eastAsia="Times New Roman" w:cstheme="minorHAnsi"/>
          <w:kern w:val="0"/>
          <w:lang w:val="en-US" w:eastAsia="fr-FR"/>
          <w14:ligatures w14:val="none"/>
        </w:rPr>
        <w:t>although the market continues to be dominated by unbacked cryptocurrencies such</w:t>
      </w:r>
      <w:r w:rsidR="007A7903">
        <w:rPr>
          <w:rFonts w:eastAsia="Times New Roman" w:cstheme="minorHAnsi"/>
          <w:kern w:val="0"/>
          <w:lang w:val="en-US" w:eastAsia="fr-FR"/>
          <w14:ligatures w14:val="none"/>
        </w:rPr>
        <w:t xml:space="preserve"> </w:t>
      </w:r>
      <w:r w:rsidR="007A7903" w:rsidRPr="007A7903">
        <w:rPr>
          <w:rFonts w:eastAsia="Times New Roman" w:cstheme="minorHAnsi"/>
          <w:kern w:val="0"/>
          <w:lang w:val="en-US" w:eastAsia="fr-FR"/>
          <w14:ligatures w14:val="none"/>
        </w:rPr>
        <w:t>as Bitcoin</w:t>
      </w:r>
      <w:r w:rsidR="007A7903">
        <w:rPr>
          <w:rFonts w:eastAsia="Times New Roman" w:cstheme="minorHAnsi"/>
          <w:kern w:val="0"/>
          <w:lang w:val="en-US" w:eastAsia="fr-FR"/>
          <w14:ligatures w14:val="none"/>
        </w:rPr>
        <w:t>. They</w:t>
      </w:r>
      <w:r w:rsidR="007A7903" w:rsidRPr="007A7903">
        <w:rPr>
          <w:rFonts w:eastAsia="Times New Roman" w:cstheme="minorHAnsi"/>
          <w:kern w:val="0"/>
          <w:lang w:val="en-US" w:eastAsia="fr-FR"/>
          <w14:ligatures w14:val="none"/>
        </w:rPr>
        <w:t xml:space="preserve"> have the potential to bring benefits to financial services and the</w:t>
      </w:r>
      <w:r w:rsidR="007A7903">
        <w:rPr>
          <w:rFonts w:eastAsia="Times New Roman" w:cstheme="minorHAnsi"/>
          <w:kern w:val="0"/>
          <w:lang w:val="en-US" w:eastAsia="fr-FR"/>
          <w14:ligatures w14:val="none"/>
        </w:rPr>
        <w:t xml:space="preserve"> </w:t>
      </w:r>
      <w:r w:rsidR="007A7903" w:rsidRPr="007A7903">
        <w:rPr>
          <w:rFonts w:eastAsia="Times New Roman" w:cstheme="minorHAnsi"/>
          <w:kern w:val="0"/>
          <w:lang w:val="en-US" w:eastAsia="fr-FR"/>
          <w14:ligatures w14:val="none"/>
        </w:rPr>
        <w:t>wider economy</w:t>
      </w:r>
      <w:r w:rsidR="007A7903">
        <w:rPr>
          <w:rFonts w:eastAsia="Times New Roman" w:cstheme="minorHAnsi"/>
          <w:kern w:val="0"/>
          <w:lang w:val="en-US" w:eastAsia="fr-FR"/>
          <w14:ligatures w14:val="none"/>
        </w:rPr>
        <w:t xml:space="preserve"> b</w:t>
      </w:r>
      <w:r w:rsidR="007A7903" w:rsidRPr="007A7903">
        <w:rPr>
          <w:rFonts w:eastAsia="Times New Roman" w:cstheme="minorHAnsi"/>
          <w:kern w:val="0"/>
          <w:lang w:val="en-US" w:eastAsia="fr-FR"/>
          <w14:ligatures w14:val="none"/>
        </w:rPr>
        <w:t>ut also pose significant risks, given their significant price volatility and associated</w:t>
      </w:r>
      <w:r w:rsidR="007A7903">
        <w:rPr>
          <w:rFonts w:eastAsia="Times New Roman" w:cstheme="minorHAnsi"/>
          <w:kern w:val="0"/>
          <w:lang w:val="en-US" w:eastAsia="fr-FR"/>
          <w14:ligatures w14:val="none"/>
        </w:rPr>
        <w:t xml:space="preserve"> </w:t>
      </w:r>
      <w:r w:rsidR="007A7903" w:rsidRPr="007A7903">
        <w:rPr>
          <w:rFonts w:eastAsia="Times New Roman" w:cstheme="minorHAnsi"/>
          <w:kern w:val="0"/>
          <w:lang w:val="en-US" w:eastAsia="fr-FR"/>
          <w14:ligatures w14:val="none"/>
        </w:rPr>
        <w:t xml:space="preserve">risk of losses. </w:t>
      </w:r>
      <w:proofErr w:type="spellStart"/>
      <w:r w:rsidR="007A7903" w:rsidRPr="007A7903">
        <w:rPr>
          <w:lang w:val="en-US"/>
        </w:rPr>
        <w:t>Cryptoassets</w:t>
      </w:r>
      <w:proofErr w:type="spellEnd"/>
      <w:r w:rsidR="007A7903" w:rsidRPr="007A7903">
        <w:rPr>
          <w:lang w:val="en-US"/>
        </w:rPr>
        <w:t xml:space="preserve"> </w:t>
      </w:r>
      <w:r w:rsidR="007A7903" w:rsidRPr="007A7903">
        <w:rPr>
          <w:rFonts w:eastAsia="Times New Roman" w:cstheme="minorHAnsi"/>
          <w:kern w:val="0"/>
          <w:lang w:val="en-US" w:eastAsia="fr-FR"/>
          <w14:ligatures w14:val="none"/>
        </w:rPr>
        <w:t xml:space="preserve">are </w:t>
      </w:r>
      <w:r w:rsidR="00E72A3B">
        <w:rPr>
          <w:rFonts w:eastAsia="Times New Roman" w:cstheme="minorHAnsi"/>
          <w:kern w:val="0"/>
          <w:lang w:val="en-US" w:eastAsia="fr-FR"/>
          <w14:ligatures w14:val="none"/>
        </w:rPr>
        <w:t xml:space="preserve">increasingly </w:t>
      </w:r>
      <w:r w:rsidR="007A7903">
        <w:rPr>
          <w:rFonts w:eastAsia="Times New Roman" w:cstheme="minorHAnsi"/>
          <w:kern w:val="0"/>
          <w:lang w:val="en-US" w:eastAsia="fr-FR"/>
          <w14:ligatures w14:val="none"/>
        </w:rPr>
        <w:t>being</w:t>
      </w:r>
      <w:r w:rsidR="007A7903" w:rsidRPr="007A7903">
        <w:rPr>
          <w:rFonts w:eastAsia="Times New Roman" w:cstheme="minorHAnsi"/>
          <w:kern w:val="0"/>
          <w:lang w:val="en-US" w:eastAsia="fr-FR"/>
          <w14:ligatures w14:val="none"/>
        </w:rPr>
        <w:t xml:space="preserve"> used by</w:t>
      </w:r>
      <w:r w:rsidR="007A7903">
        <w:rPr>
          <w:rFonts w:eastAsia="Times New Roman" w:cstheme="minorHAnsi"/>
          <w:kern w:val="0"/>
          <w:lang w:val="en-US" w:eastAsia="fr-FR"/>
          <w14:ligatures w14:val="none"/>
        </w:rPr>
        <w:t xml:space="preserve"> </w:t>
      </w:r>
      <w:r w:rsidR="007A7903" w:rsidRPr="007A7903">
        <w:rPr>
          <w:rFonts w:eastAsia="Times New Roman" w:cstheme="minorHAnsi"/>
          <w:kern w:val="0"/>
          <w:lang w:val="en-US" w:eastAsia="fr-FR"/>
          <w14:ligatures w14:val="none"/>
        </w:rPr>
        <w:t>criminals in scams, fraud and money laundering</w:t>
      </w:r>
      <w:r w:rsidR="007A7903">
        <w:rPr>
          <w:rFonts w:eastAsia="Times New Roman" w:cstheme="minorHAnsi"/>
          <w:kern w:val="0"/>
          <w:lang w:val="en-US" w:eastAsia="fr-FR"/>
          <w14:ligatures w14:val="none"/>
        </w:rPr>
        <w:t xml:space="preserve"> </w:t>
      </w:r>
      <w:r w:rsidR="007A7903" w:rsidRPr="007A7903">
        <w:rPr>
          <w:lang w:val="en-US"/>
        </w:rPr>
        <w:t xml:space="preserve">and therefore </w:t>
      </w:r>
      <w:r w:rsidR="007A7903">
        <w:rPr>
          <w:lang w:val="en-US"/>
        </w:rPr>
        <w:t xml:space="preserve">will </w:t>
      </w:r>
      <w:r w:rsidR="007A7903" w:rsidRPr="007A7903">
        <w:rPr>
          <w:lang w:val="en-US"/>
        </w:rPr>
        <w:t xml:space="preserve">crop up in the growing number of company failures and personal bankruptcies </w:t>
      </w:r>
      <w:proofErr w:type="gramStart"/>
      <w:r w:rsidR="007A7903" w:rsidRPr="007A7903">
        <w:rPr>
          <w:lang w:val="en-US"/>
        </w:rPr>
        <w:t>in the near future</w:t>
      </w:r>
      <w:proofErr w:type="gramEnd"/>
      <w:r w:rsidR="007A7903" w:rsidRPr="007A7903">
        <w:rPr>
          <w:lang w:val="en-US"/>
        </w:rPr>
        <w:t>.</w:t>
      </w:r>
      <w:r w:rsidR="00E72A3B">
        <w:rPr>
          <w:lang w:val="en-US"/>
        </w:rPr>
        <w:t xml:space="preserve"> </w:t>
      </w:r>
      <w:r w:rsidR="00E72A3B" w:rsidRPr="00E72A3B">
        <w:rPr>
          <w:lang w:val="en-US"/>
        </w:rPr>
        <w:t xml:space="preserve">This is ever more prevalent with </w:t>
      </w:r>
      <w:proofErr w:type="gramStart"/>
      <w:r w:rsidR="00E72A3B" w:rsidRPr="00E72A3B">
        <w:rPr>
          <w:lang w:val="en-US"/>
        </w:rPr>
        <w:t>a number of</w:t>
      </w:r>
      <w:proofErr w:type="gramEnd"/>
      <w:r w:rsidR="00E72A3B" w:rsidRPr="00E72A3B">
        <w:rPr>
          <w:lang w:val="en-US"/>
        </w:rPr>
        <w:t xml:space="preserve"> recent high-profile crypto insolvencies including </w:t>
      </w:r>
      <w:r w:rsidR="00E72A3B" w:rsidRPr="00831770">
        <w:rPr>
          <w:i/>
          <w:iCs/>
          <w:lang w:val="en-US"/>
        </w:rPr>
        <w:t>Three Arrows Capital</w:t>
      </w:r>
      <w:r w:rsidR="00E72A3B" w:rsidRPr="00E72A3B">
        <w:rPr>
          <w:lang w:val="en-US"/>
        </w:rPr>
        <w:t xml:space="preserve">, </w:t>
      </w:r>
      <w:r w:rsidR="00E72A3B" w:rsidRPr="00831770">
        <w:rPr>
          <w:i/>
          <w:iCs/>
          <w:lang w:val="en-US"/>
        </w:rPr>
        <w:t>Celsius Network</w:t>
      </w:r>
      <w:r w:rsidR="00E72A3B" w:rsidRPr="00E72A3B">
        <w:rPr>
          <w:lang w:val="en-US"/>
        </w:rPr>
        <w:t xml:space="preserve"> and </w:t>
      </w:r>
      <w:r w:rsidR="00E72A3B" w:rsidRPr="00831770">
        <w:rPr>
          <w:i/>
          <w:iCs/>
          <w:lang w:val="en-US"/>
        </w:rPr>
        <w:t>FTX</w:t>
      </w:r>
      <w:r w:rsidR="00E72A3B" w:rsidRPr="00E72A3B">
        <w:rPr>
          <w:lang w:val="en-US"/>
        </w:rPr>
        <w:t xml:space="preserve">. </w:t>
      </w:r>
      <w:r w:rsidR="007A7903" w:rsidRPr="007A7903">
        <w:rPr>
          <w:rFonts w:eastAsia="Times New Roman" w:cstheme="minorHAnsi"/>
          <w:kern w:val="0"/>
          <w:lang w:val="en-US" w:eastAsia="fr-FR"/>
          <w14:ligatures w14:val="none"/>
        </w:rPr>
        <w:t xml:space="preserve">Effective regulation of </w:t>
      </w:r>
      <w:proofErr w:type="spellStart"/>
      <w:r w:rsidR="007A7903" w:rsidRPr="007A7903">
        <w:rPr>
          <w:rFonts w:eastAsia="Times New Roman" w:cstheme="minorHAnsi"/>
          <w:kern w:val="0"/>
          <w:lang w:val="en-US" w:eastAsia="fr-FR"/>
          <w14:ligatures w14:val="none"/>
        </w:rPr>
        <w:t>cryptoassets</w:t>
      </w:r>
      <w:proofErr w:type="spellEnd"/>
      <w:r w:rsidR="007A7903" w:rsidRPr="007A7903">
        <w:rPr>
          <w:rFonts w:eastAsia="Times New Roman" w:cstheme="minorHAnsi"/>
          <w:kern w:val="0"/>
          <w:lang w:val="en-US" w:eastAsia="fr-FR"/>
          <w14:ligatures w14:val="none"/>
        </w:rPr>
        <w:t xml:space="preserve"> should help to foster innovation and </w:t>
      </w:r>
      <w:proofErr w:type="spellStart"/>
      <w:r w:rsidR="007A7903" w:rsidRPr="007A7903">
        <w:rPr>
          <w:rFonts w:eastAsia="Times New Roman" w:cstheme="minorHAnsi"/>
          <w:kern w:val="0"/>
          <w:lang w:val="en-US" w:eastAsia="fr-FR"/>
          <w14:ligatures w14:val="none"/>
        </w:rPr>
        <w:t>maximise</w:t>
      </w:r>
      <w:proofErr w:type="spellEnd"/>
      <w:r w:rsidR="007A7903">
        <w:rPr>
          <w:rFonts w:eastAsia="Times New Roman" w:cstheme="minorHAnsi"/>
          <w:kern w:val="0"/>
          <w:lang w:val="en-US" w:eastAsia="fr-FR"/>
          <w14:ligatures w14:val="none"/>
        </w:rPr>
        <w:t xml:space="preserve"> </w:t>
      </w:r>
      <w:r w:rsidR="007A7903" w:rsidRPr="007A7903">
        <w:rPr>
          <w:rFonts w:eastAsia="Times New Roman" w:cstheme="minorHAnsi"/>
          <w:kern w:val="0"/>
          <w:lang w:val="en-US" w:eastAsia="fr-FR"/>
          <w14:ligatures w14:val="none"/>
        </w:rPr>
        <w:t xml:space="preserve">any potential benefits of </w:t>
      </w:r>
      <w:proofErr w:type="spellStart"/>
      <w:r w:rsidR="007A7903" w:rsidRPr="007A7903">
        <w:rPr>
          <w:rFonts w:eastAsia="Times New Roman" w:cstheme="minorHAnsi"/>
          <w:kern w:val="0"/>
          <w:lang w:val="en-US" w:eastAsia="fr-FR"/>
          <w14:ligatures w14:val="none"/>
        </w:rPr>
        <w:t>cryptoasset</w:t>
      </w:r>
      <w:proofErr w:type="spellEnd"/>
      <w:r w:rsidR="007A7903" w:rsidRPr="007A7903">
        <w:rPr>
          <w:rFonts w:eastAsia="Times New Roman" w:cstheme="minorHAnsi"/>
          <w:kern w:val="0"/>
          <w:lang w:val="en-US" w:eastAsia="fr-FR"/>
          <w14:ligatures w14:val="none"/>
        </w:rPr>
        <w:t xml:space="preserve"> technologies, while also mitigating</w:t>
      </w:r>
      <w:r w:rsidR="007A7903">
        <w:rPr>
          <w:rFonts w:eastAsia="Times New Roman" w:cstheme="minorHAnsi"/>
          <w:kern w:val="0"/>
          <w:lang w:val="en-US" w:eastAsia="fr-FR"/>
          <w14:ligatures w14:val="none"/>
        </w:rPr>
        <w:t xml:space="preserve"> </w:t>
      </w:r>
      <w:r w:rsidR="007A7903" w:rsidRPr="007A7903">
        <w:rPr>
          <w:rFonts w:eastAsia="Times New Roman" w:cstheme="minorHAnsi"/>
          <w:kern w:val="0"/>
          <w:lang w:val="en-US" w:eastAsia="fr-FR"/>
          <w14:ligatures w14:val="none"/>
        </w:rPr>
        <w:t>risks.</w:t>
      </w:r>
      <w:r w:rsidR="00E72A3B">
        <w:rPr>
          <w:lang w:val="en-US"/>
        </w:rPr>
        <w:t xml:space="preserve"> </w:t>
      </w:r>
      <w:r w:rsidR="007A7903" w:rsidRPr="007A7903">
        <w:rPr>
          <w:lang w:val="en-US"/>
        </w:rPr>
        <w:t xml:space="preserve">Insolvency practitioners need to be on the front foot quickly </w:t>
      </w:r>
      <w:r w:rsidR="007A7903" w:rsidRPr="007A7903">
        <w:rPr>
          <w:lang w:val="en-US"/>
        </w:rPr>
        <w:lastRenderedPageBreak/>
        <w:t xml:space="preserve">to identify and </w:t>
      </w:r>
      <w:proofErr w:type="spellStart"/>
      <w:r w:rsidR="007A7903" w:rsidRPr="007A7903">
        <w:rPr>
          <w:lang w:val="en-US"/>
        </w:rPr>
        <w:t>realise</w:t>
      </w:r>
      <w:proofErr w:type="spellEnd"/>
      <w:r w:rsidR="007A7903" w:rsidRPr="007A7903">
        <w:rPr>
          <w:lang w:val="en-US"/>
        </w:rPr>
        <w:t xml:space="preserve"> such </w:t>
      </w:r>
      <w:proofErr w:type="spellStart"/>
      <w:r w:rsidR="007A7903" w:rsidRPr="007A7903">
        <w:rPr>
          <w:lang w:val="en-US"/>
        </w:rPr>
        <w:t>cryptoassets</w:t>
      </w:r>
      <w:proofErr w:type="spellEnd"/>
      <w:r w:rsidR="007A7903" w:rsidRPr="007A7903">
        <w:rPr>
          <w:lang w:val="en-US"/>
        </w:rPr>
        <w:t>; failure to do so could materially impact the return to creditors and expose an officeholder to a claim by creditors.</w:t>
      </w:r>
    </w:p>
    <w:p w14:paraId="24ADD30D" w14:textId="77777777" w:rsidR="00E2256C" w:rsidRDefault="00E2256C" w:rsidP="00E2256C">
      <w:pPr>
        <w:spacing w:after="0" w:line="240" w:lineRule="auto"/>
        <w:jc w:val="both"/>
        <w:rPr>
          <w:rFonts w:eastAsia="Times New Roman" w:cstheme="minorHAnsi"/>
          <w:kern w:val="0"/>
          <w:lang w:val="en-US" w:eastAsia="fr-FR"/>
          <w14:ligatures w14:val="none"/>
        </w:rPr>
      </w:pPr>
    </w:p>
    <w:p w14:paraId="368B658E" w14:textId="4132E9DF" w:rsidR="00C80EBC" w:rsidRDefault="00E2256C" w:rsidP="00D112CA">
      <w:pPr>
        <w:spacing w:after="0" w:line="240" w:lineRule="auto"/>
        <w:jc w:val="both"/>
        <w:rPr>
          <w:lang w:val="en-US"/>
        </w:rPr>
      </w:pPr>
      <w:r w:rsidRPr="00C377F0">
        <w:rPr>
          <w:rFonts w:eastAsia="Times New Roman" w:cstheme="minorHAnsi"/>
          <w:kern w:val="0"/>
          <w:lang w:val="en-US" w:eastAsia="fr-FR"/>
          <w14:ligatures w14:val="none"/>
        </w:rPr>
        <w:t>John Willcock, editor of Global Turnaround, interview</w:t>
      </w:r>
      <w:r>
        <w:rPr>
          <w:rFonts w:eastAsia="Times New Roman" w:cstheme="minorHAnsi"/>
          <w:kern w:val="0"/>
          <w:lang w:val="en-US" w:eastAsia="fr-FR"/>
          <w14:ligatures w14:val="none"/>
        </w:rPr>
        <w:t>ed</w:t>
      </w:r>
      <w:r w:rsidRPr="00C377F0">
        <w:rPr>
          <w:rFonts w:eastAsia="Times New Roman" w:cstheme="minorHAnsi"/>
          <w:kern w:val="0"/>
          <w:lang w:val="en-US" w:eastAsia="fr-FR"/>
          <w14:ligatures w14:val="none"/>
        </w:rPr>
        <w:t xml:space="preserve"> Christopher Farmer of </w:t>
      </w:r>
      <w:proofErr w:type="spellStart"/>
      <w:r w:rsidRPr="00C377F0">
        <w:rPr>
          <w:rFonts w:eastAsia="Times New Roman" w:cstheme="minorHAnsi"/>
          <w:kern w:val="0"/>
          <w:lang w:val="en-US" w:eastAsia="fr-FR"/>
          <w14:ligatures w14:val="none"/>
        </w:rPr>
        <w:t>Teneo</w:t>
      </w:r>
      <w:proofErr w:type="spellEnd"/>
      <w:r w:rsidRPr="00C377F0">
        <w:rPr>
          <w:rFonts w:eastAsia="Times New Roman" w:cstheme="minorHAnsi"/>
          <w:kern w:val="0"/>
          <w:lang w:val="en-US" w:eastAsia="fr-FR"/>
          <w14:ligatures w14:val="none"/>
        </w:rPr>
        <w:t xml:space="preserve"> </w:t>
      </w:r>
      <w:r>
        <w:rPr>
          <w:rFonts w:eastAsia="Times New Roman" w:cstheme="minorHAnsi"/>
          <w:kern w:val="0"/>
          <w:lang w:val="en-US" w:eastAsia="fr-FR"/>
          <w14:ligatures w14:val="none"/>
        </w:rPr>
        <w:t xml:space="preserve">BVI </w:t>
      </w:r>
      <w:r w:rsidRPr="00C377F0">
        <w:rPr>
          <w:rFonts w:eastAsia="Times New Roman" w:cstheme="minorHAnsi"/>
          <w:kern w:val="0"/>
          <w:lang w:val="en-US" w:eastAsia="fr-FR"/>
          <w14:ligatures w14:val="none"/>
        </w:rPr>
        <w:t xml:space="preserve">on his experience at the coalface on the </w:t>
      </w:r>
      <w:r w:rsidRPr="00C377F0">
        <w:rPr>
          <w:rFonts w:eastAsia="Times New Roman" w:cstheme="minorHAnsi"/>
          <w:i/>
          <w:iCs/>
          <w:kern w:val="0"/>
          <w:lang w:val="en-US" w:eastAsia="fr-FR"/>
          <w14:ligatures w14:val="none"/>
        </w:rPr>
        <w:t>Three Arrows Capital</w:t>
      </w:r>
      <w:r w:rsidRPr="00C377F0">
        <w:rPr>
          <w:rFonts w:eastAsia="Times New Roman" w:cstheme="minorHAnsi"/>
          <w:kern w:val="0"/>
          <w:lang w:val="en-US" w:eastAsia="fr-FR"/>
          <w14:ligatures w14:val="none"/>
        </w:rPr>
        <w:t xml:space="preserve"> liquidation.</w:t>
      </w:r>
      <w:r>
        <w:rPr>
          <w:rFonts w:eastAsia="Times New Roman" w:cstheme="minorHAnsi"/>
          <w:kern w:val="0"/>
          <w:lang w:val="en-US" w:eastAsia="fr-FR"/>
          <w14:ligatures w14:val="none"/>
        </w:rPr>
        <w:t xml:space="preserve"> </w:t>
      </w:r>
      <w:r w:rsidRPr="00E2256C">
        <w:rPr>
          <w:lang w:val="en-US"/>
        </w:rPr>
        <w:t xml:space="preserve">Three Arrows conducted a high-profile and prominent cryptocurrency business as a digital asset hedge fund, reportedly operating assets </w:t>
      </w:r>
      <w:proofErr w:type="gramStart"/>
      <w:r w:rsidRPr="00E2256C">
        <w:rPr>
          <w:lang w:val="en-US"/>
        </w:rPr>
        <w:t>in excess of</w:t>
      </w:r>
      <w:proofErr w:type="gramEnd"/>
      <w:r w:rsidRPr="00E2256C">
        <w:rPr>
          <w:lang w:val="en-US"/>
        </w:rPr>
        <w:t xml:space="preserve"> US$10bn at one stage. Owing to the volatility in the crypto market the company entered liquidation in June 2022 with significant liabilities.</w:t>
      </w:r>
      <w:r w:rsidR="00C80EBC">
        <w:rPr>
          <w:lang w:val="en-US"/>
        </w:rPr>
        <w:t xml:space="preserve"> </w:t>
      </w:r>
      <w:r w:rsidR="00C80EBC" w:rsidRPr="00C80EBC">
        <w:rPr>
          <w:lang w:val="en-US"/>
        </w:rPr>
        <w:t xml:space="preserve">The latest auction saw the company’s collection of NFTs bring in nearly $11 million from a </w:t>
      </w:r>
      <w:proofErr w:type="spellStart"/>
      <w:r w:rsidR="00C80EBC" w:rsidRPr="00C80EBC">
        <w:rPr>
          <w:lang w:val="en-US"/>
        </w:rPr>
        <w:t>Sothby’s</w:t>
      </w:r>
      <w:proofErr w:type="spellEnd"/>
      <w:r w:rsidR="00C80EBC" w:rsidRPr="00C80EBC">
        <w:rPr>
          <w:lang w:val="en-US"/>
        </w:rPr>
        <w:t xml:space="preserve"> House action in New York.</w:t>
      </w:r>
      <w:r w:rsidR="00C80EBC">
        <w:rPr>
          <w:lang w:val="en-US"/>
        </w:rPr>
        <w:t xml:space="preserve"> S</w:t>
      </w:r>
      <w:r w:rsidR="00C80EBC" w:rsidRPr="00C80EBC">
        <w:rPr>
          <w:lang w:val="en-US"/>
        </w:rPr>
        <w:t>ome of the NFTs owned by the collapsed crypto hedge fund were sold privately bringing the figure closer to $17 million.</w:t>
      </w:r>
    </w:p>
    <w:p w14:paraId="32D2EF81" w14:textId="77777777" w:rsidR="006C4DE5" w:rsidRDefault="006C4DE5" w:rsidP="00D112CA">
      <w:pPr>
        <w:spacing w:after="0" w:line="240" w:lineRule="auto"/>
        <w:jc w:val="both"/>
        <w:rPr>
          <w:rFonts w:eastAsia="Times New Roman" w:cstheme="minorHAnsi"/>
          <w:kern w:val="0"/>
          <w:lang w:val="en-US" w:eastAsia="fr-FR"/>
          <w14:ligatures w14:val="none"/>
        </w:rPr>
      </w:pPr>
    </w:p>
    <w:p w14:paraId="2DDC27E2" w14:textId="77777777" w:rsidR="00191312" w:rsidRPr="00191312" w:rsidRDefault="00191312" w:rsidP="00D112CA">
      <w:pPr>
        <w:spacing w:after="0" w:line="240" w:lineRule="auto"/>
        <w:jc w:val="both"/>
        <w:rPr>
          <w:lang w:val="en-US"/>
        </w:rPr>
      </w:pPr>
      <w:r w:rsidRPr="00191312">
        <w:rPr>
          <w:lang w:val="en-US"/>
        </w:rPr>
        <w:t xml:space="preserve">Before 2021, companies from all over the world have frequently and routinely made use of English insolvency and restructuring laws to deal with their financial troubles. For companies in EU Member States, access to English law company voluntary arrangements or schemes of arrangement was predictable and recognition at home was secured under applicable EU Regulations. As EU law ceased to apply in 2021, the question arose whether this disruption and the resulting legal uncertainty would effectively limit the use of English procedures by EU-based companies. </w:t>
      </w:r>
    </w:p>
    <w:p w14:paraId="27B71CDA" w14:textId="77777777" w:rsidR="008B5E49" w:rsidRDefault="00191312" w:rsidP="00D112CA">
      <w:pPr>
        <w:spacing w:after="0" w:line="240" w:lineRule="auto"/>
        <w:jc w:val="both"/>
        <w:rPr>
          <w:rFonts w:eastAsia="Times New Roman" w:cstheme="minorHAnsi"/>
          <w:kern w:val="0"/>
          <w:lang w:val="en-US" w:eastAsia="fr-FR"/>
          <w14:ligatures w14:val="none"/>
        </w:rPr>
      </w:pPr>
      <w:r>
        <w:rPr>
          <w:rFonts w:eastAsia="Times New Roman" w:cstheme="minorHAnsi"/>
          <w:kern w:val="0"/>
          <w:lang w:val="en-US" w:eastAsia="fr-FR"/>
          <w14:ligatures w14:val="none"/>
        </w:rPr>
        <w:t xml:space="preserve">To answer this question, a </w:t>
      </w:r>
      <w:r w:rsidR="004D187A" w:rsidRPr="00C377F0">
        <w:rPr>
          <w:rFonts w:eastAsia="Times New Roman" w:cstheme="minorHAnsi"/>
          <w:kern w:val="0"/>
          <w:lang w:val="en-US" w:eastAsia="fr-FR"/>
          <w14:ligatures w14:val="none"/>
        </w:rPr>
        <w:t>panel session</w:t>
      </w:r>
      <w:r w:rsidR="004D187A">
        <w:rPr>
          <w:rFonts w:eastAsia="Times New Roman" w:cstheme="minorHAnsi"/>
          <w:kern w:val="0"/>
          <w:lang w:val="en-US" w:eastAsia="fr-FR"/>
          <w14:ligatures w14:val="none"/>
        </w:rPr>
        <w:t xml:space="preserve"> titled “Do you </w:t>
      </w:r>
      <w:proofErr w:type="spellStart"/>
      <w:r w:rsidR="004D187A">
        <w:rPr>
          <w:rFonts w:eastAsia="Times New Roman" w:cstheme="minorHAnsi"/>
          <w:kern w:val="0"/>
          <w:lang w:val="en-US" w:eastAsia="fr-FR"/>
          <w14:ligatures w14:val="none"/>
        </w:rPr>
        <w:t>recognise</w:t>
      </w:r>
      <w:proofErr w:type="spellEnd"/>
      <w:r w:rsidR="004D187A">
        <w:rPr>
          <w:rFonts w:eastAsia="Times New Roman" w:cstheme="minorHAnsi"/>
          <w:kern w:val="0"/>
          <w:lang w:val="en-US" w:eastAsia="fr-FR"/>
          <w14:ligatures w14:val="none"/>
        </w:rPr>
        <w:t xml:space="preserve"> me?”</w:t>
      </w:r>
      <w:r w:rsidR="004D187A" w:rsidRPr="00C377F0">
        <w:rPr>
          <w:rFonts w:eastAsia="Times New Roman" w:cstheme="minorHAnsi"/>
          <w:kern w:val="0"/>
          <w:lang w:val="en-US" w:eastAsia="fr-FR"/>
          <w14:ligatures w14:val="none"/>
        </w:rPr>
        <w:t xml:space="preserve"> on </w:t>
      </w:r>
      <w:r w:rsidR="004D187A">
        <w:rPr>
          <w:rFonts w:eastAsia="Times New Roman" w:cstheme="minorHAnsi"/>
          <w:kern w:val="0"/>
          <w:lang w:val="en-US" w:eastAsia="fr-FR"/>
          <w14:ligatures w14:val="none"/>
        </w:rPr>
        <w:t>r</w:t>
      </w:r>
      <w:r w:rsidR="004D187A" w:rsidRPr="00C377F0">
        <w:rPr>
          <w:rFonts w:eastAsia="Times New Roman" w:cstheme="minorHAnsi"/>
          <w:kern w:val="0"/>
          <w:lang w:val="en-US" w:eastAsia="fr-FR"/>
          <w14:ligatures w14:val="none"/>
        </w:rPr>
        <w:t xml:space="preserve">ecognition of </w:t>
      </w:r>
      <w:r w:rsidR="004D187A">
        <w:rPr>
          <w:rFonts w:eastAsia="Times New Roman" w:cstheme="minorHAnsi"/>
          <w:kern w:val="0"/>
          <w:lang w:val="en-US" w:eastAsia="fr-FR"/>
          <w14:ligatures w14:val="none"/>
        </w:rPr>
        <w:t>UK</w:t>
      </w:r>
      <w:r w:rsidR="004D187A" w:rsidRPr="00C377F0">
        <w:rPr>
          <w:rFonts w:eastAsia="Times New Roman" w:cstheme="minorHAnsi"/>
          <w:kern w:val="0"/>
          <w:lang w:val="en-US" w:eastAsia="fr-FR"/>
          <w14:ligatures w14:val="none"/>
        </w:rPr>
        <w:t xml:space="preserve"> and </w:t>
      </w:r>
      <w:r w:rsidR="004D187A">
        <w:rPr>
          <w:rFonts w:eastAsia="Times New Roman" w:cstheme="minorHAnsi"/>
          <w:kern w:val="0"/>
          <w:lang w:val="en-US" w:eastAsia="fr-FR"/>
          <w14:ligatures w14:val="none"/>
        </w:rPr>
        <w:t>EU Member States cross-border</w:t>
      </w:r>
      <w:r w:rsidR="004D187A" w:rsidRPr="00C377F0">
        <w:rPr>
          <w:rFonts w:eastAsia="Times New Roman" w:cstheme="minorHAnsi"/>
          <w:kern w:val="0"/>
          <w:lang w:val="en-US" w:eastAsia="fr-FR"/>
          <w14:ligatures w14:val="none"/>
        </w:rPr>
        <w:t xml:space="preserve"> insolvency proceedings in the Brexit</w:t>
      </w:r>
      <w:r w:rsidR="004D187A">
        <w:rPr>
          <w:rFonts w:eastAsia="Times New Roman" w:cstheme="minorHAnsi"/>
          <w:kern w:val="0"/>
          <w:lang w:val="en-US" w:eastAsia="fr-FR"/>
          <w14:ligatures w14:val="none"/>
        </w:rPr>
        <w:t xml:space="preserve"> </w:t>
      </w:r>
      <w:r w:rsidR="004D187A" w:rsidRPr="00C377F0">
        <w:rPr>
          <w:rFonts w:eastAsia="Times New Roman" w:cstheme="minorHAnsi"/>
          <w:kern w:val="0"/>
          <w:lang w:val="en-US" w:eastAsia="fr-FR"/>
          <w14:ligatures w14:val="none"/>
        </w:rPr>
        <w:t>aftermath</w:t>
      </w:r>
      <w:r w:rsidR="004D187A">
        <w:rPr>
          <w:rFonts w:eastAsia="Times New Roman" w:cstheme="minorHAnsi"/>
          <w:kern w:val="0"/>
          <w:lang w:val="en-US" w:eastAsia="fr-FR"/>
          <w14:ligatures w14:val="none"/>
        </w:rPr>
        <w:t xml:space="preserve"> </w:t>
      </w:r>
      <w:r>
        <w:rPr>
          <w:rFonts w:eastAsia="Times New Roman" w:cstheme="minorHAnsi"/>
          <w:kern w:val="0"/>
          <w:lang w:val="en-US" w:eastAsia="fr-FR"/>
          <w14:ligatures w14:val="none"/>
        </w:rPr>
        <w:t xml:space="preserve">took place, </w:t>
      </w:r>
      <w:r w:rsidR="004D187A" w:rsidRPr="00C377F0">
        <w:rPr>
          <w:rFonts w:eastAsia="Times New Roman" w:cstheme="minorHAnsi"/>
          <w:kern w:val="0"/>
          <w:lang w:val="en-US" w:eastAsia="fr-FR"/>
          <w14:ligatures w14:val="none"/>
        </w:rPr>
        <w:t xml:space="preserve">led </w:t>
      </w:r>
      <w:r w:rsidR="004D187A">
        <w:rPr>
          <w:rFonts w:eastAsia="Times New Roman" w:cstheme="minorHAnsi"/>
          <w:kern w:val="0"/>
          <w:lang w:val="en-US" w:eastAsia="fr-FR"/>
          <w14:ligatures w14:val="none"/>
        </w:rPr>
        <w:t xml:space="preserve">by </w:t>
      </w:r>
      <w:r w:rsidR="004D187A" w:rsidRPr="00C377F0">
        <w:rPr>
          <w:rFonts w:eastAsia="Times New Roman" w:cstheme="minorHAnsi"/>
          <w:kern w:val="0"/>
          <w:lang w:val="en-US" w:eastAsia="fr-FR"/>
          <w14:ligatures w14:val="none"/>
        </w:rPr>
        <w:t xml:space="preserve">Chris Laughton (Mercer &amp; Hole, UK) </w:t>
      </w:r>
      <w:r w:rsidR="004D187A">
        <w:rPr>
          <w:rFonts w:eastAsia="Times New Roman" w:cstheme="minorHAnsi"/>
          <w:kern w:val="0"/>
          <w:lang w:val="en-US" w:eastAsia="fr-FR"/>
          <w14:ligatures w14:val="none"/>
        </w:rPr>
        <w:t xml:space="preserve">who is also INSOL Europe Honorary Officer in </w:t>
      </w:r>
      <w:r w:rsidR="004D187A" w:rsidRPr="004D187A">
        <w:rPr>
          <w:shd w:val="clear" w:color="auto" w:fill="FFFFFF"/>
          <w:lang w:val="en-US"/>
        </w:rPr>
        <w:t xml:space="preserve">recognition of his outstanding contribution to the work of INSOL Europe as President </w:t>
      </w:r>
      <w:r w:rsidR="004D187A">
        <w:rPr>
          <w:shd w:val="clear" w:color="auto" w:fill="FFFFFF"/>
          <w:lang w:val="en-US"/>
        </w:rPr>
        <w:t xml:space="preserve">in </w:t>
      </w:r>
      <w:r w:rsidR="004D187A" w:rsidRPr="004D187A">
        <w:rPr>
          <w:shd w:val="clear" w:color="auto" w:fill="FFFFFF"/>
          <w:lang w:val="en-US"/>
        </w:rPr>
        <w:t xml:space="preserve">2010 - 2011 and Treasurer </w:t>
      </w:r>
      <w:r w:rsidR="004D187A">
        <w:rPr>
          <w:shd w:val="clear" w:color="auto" w:fill="FFFFFF"/>
          <w:lang w:val="en-US"/>
        </w:rPr>
        <w:t xml:space="preserve">from </w:t>
      </w:r>
      <w:r w:rsidR="004D187A" w:rsidRPr="004D187A">
        <w:rPr>
          <w:shd w:val="clear" w:color="auto" w:fill="FFFFFF"/>
          <w:lang w:val="en-US"/>
        </w:rPr>
        <w:t xml:space="preserve">2015 </w:t>
      </w:r>
      <w:r w:rsidR="004D187A">
        <w:rPr>
          <w:shd w:val="clear" w:color="auto" w:fill="FFFFFF"/>
          <w:lang w:val="en-US"/>
        </w:rPr>
        <w:t>to</w:t>
      </w:r>
      <w:r w:rsidR="004D187A" w:rsidRPr="004D187A">
        <w:rPr>
          <w:shd w:val="clear" w:color="auto" w:fill="FFFFFF"/>
          <w:lang w:val="en-US"/>
        </w:rPr>
        <w:t xml:space="preserve"> 2020.</w:t>
      </w:r>
      <w:r w:rsidR="004D187A">
        <w:rPr>
          <w:shd w:val="clear" w:color="auto" w:fill="FFFFFF"/>
          <w:lang w:val="en-US"/>
        </w:rPr>
        <w:t xml:space="preserve"> This panel session </w:t>
      </w:r>
      <w:r>
        <w:rPr>
          <w:rFonts w:eastAsia="Times New Roman" w:cstheme="minorHAnsi"/>
          <w:kern w:val="0"/>
          <w:lang w:val="en-US" w:eastAsia="fr-FR"/>
          <w14:ligatures w14:val="none"/>
        </w:rPr>
        <w:t>focused attention on</w:t>
      </w:r>
      <w:r w:rsidR="004D187A" w:rsidRPr="00C377F0">
        <w:rPr>
          <w:rFonts w:eastAsia="Times New Roman" w:cstheme="minorHAnsi"/>
          <w:kern w:val="0"/>
          <w:lang w:val="en-US" w:eastAsia="fr-FR"/>
          <w14:ligatures w14:val="none"/>
        </w:rPr>
        <w:t xml:space="preserve"> </w:t>
      </w:r>
      <w:r>
        <w:rPr>
          <w:rFonts w:eastAsia="Times New Roman" w:cstheme="minorHAnsi"/>
          <w:kern w:val="0"/>
          <w:lang w:val="en-US" w:eastAsia="fr-FR"/>
          <w14:ligatures w14:val="none"/>
        </w:rPr>
        <w:t>INSOL Europe experts</w:t>
      </w:r>
      <w:r w:rsidR="004D187A" w:rsidRPr="00C377F0">
        <w:rPr>
          <w:rFonts w:eastAsia="Times New Roman" w:cstheme="minorHAnsi"/>
          <w:kern w:val="0"/>
          <w:lang w:val="en-US" w:eastAsia="fr-FR"/>
          <w14:ligatures w14:val="none"/>
        </w:rPr>
        <w:t xml:space="preserve"> from different types of mainland jurisdictions including a country that has a form of the exequatur procedure (Italy with Giorgio Corno of Studio Corno </w:t>
      </w:r>
      <w:proofErr w:type="spellStart"/>
      <w:r w:rsidR="004D187A" w:rsidRPr="00C377F0">
        <w:rPr>
          <w:rFonts w:eastAsia="Times New Roman" w:cstheme="minorHAnsi"/>
          <w:kern w:val="0"/>
          <w:lang w:val="en-US" w:eastAsia="fr-FR"/>
          <w14:ligatures w14:val="none"/>
        </w:rPr>
        <w:t>Avvocati</w:t>
      </w:r>
      <w:proofErr w:type="spellEnd"/>
      <w:r w:rsidR="004D187A">
        <w:rPr>
          <w:rFonts w:eastAsia="Times New Roman" w:cstheme="minorHAnsi"/>
          <w:kern w:val="0"/>
          <w:lang w:val="en-US" w:eastAsia="fr-FR"/>
          <w14:ligatures w14:val="none"/>
        </w:rPr>
        <w:t xml:space="preserve"> who is also INSOL Europe Deputy president</w:t>
      </w:r>
      <w:r w:rsidR="004D187A" w:rsidRPr="00C377F0">
        <w:rPr>
          <w:rFonts w:eastAsia="Times New Roman" w:cstheme="minorHAnsi"/>
          <w:kern w:val="0"/>
          <w:lang w:val="en-US" w:eastAsia="fr-FR"/>
          <w14:ligatures w14:val="none"/>
        </w:rPr>
        <w:t xml:space="preserve">), a country that has adopted the UNCITRAL Model Law </w:t>
      </w:r>
      <w:r w:rsidR="008B5E49">
        <w:rPr>
          <w:rFonts w:eastAsia="Times New Roman" w:cstheme="minorHAnsi"/>
          <w:kern w:val="0"/>
          <w:lang w:val="en-US" w:eastAsia="fr-FR"/>
          <w14:ligatures w14:val="none"/>
        </w:rPr>
        <w:t xml:space="preserve">on Insolvency </w:t>
      </w:r>
      <w:r w:rsidR="004D187A" w:rsidRPr="00C377F0">
        <w:rPr>
          <w:rFonts w:eastAsia="Times New Roman" w:cstheme="minorHAnsi"/>
          <w:kern w:val="0"/>
          <w:lang w:val="en-US" w:eastAsia="fr-FR"/>
          <w14:ligatures w14:val="none"/>
        </w:rPr>
        <w:t xml:space="preserve">(Greece with Alexander Metallinos of POTAMITISVEKRIS) and a country that has provisions within its own private international law for companies in third countries, which look at where the company’s </w:t>
      </w:r>
      <w:proofErr w:type="spellStart"/>
      <w:r w:rsidR="004D187A" w:rsidRPr="00C377F0">
        <w:rPr>
          <w:rFonts w:eastAsia="Times New Roman" w:cstheme="minorHAnsi"/>
          <w:kern w:val="0"/>
          <w:lang w:val="en-US" w:eastAsia="fr-FR"/>
          <w14:ligatures w14:val="none"/>
        </w:rPr>
        <w:t>centre</w:t>
      </w:r>
      <w:proofErr w:type="spellEnd"/>
      <w:r w:rsidR="004D187A" w:rsidRPr="00C377F0">
        <w:rPr>
          <w:rFonts w:eastAsia="Times New Roman" w:cstheme="minorHAnsi"/>
          <w:kern w:val="0"/>
          <w:lang w:val="en-US" w:eastAsia="fr-FR"/>
          <w14:ligatures w14:val="none"/>
        </w:rPr>
        <w:t xml:space="preserve"> of main interests is, even though the EIR Recast does not apply, to grant recognition (</w:t>
      </w:r>
      <w:r w:rsidRPr="00C377F0">
        <w:rPr>
          <w:rFonts w:eastAsia="Times New Roman" w:cstheme="minorHAnsi"/>
          <w:kern w:val="0"/>
          <w:lang w:val="en-US" w:eastAsia="fr-FR"/>
          <w14:ligatures w14:val="none"/>
        </w:rPr>
        <w:t xml:space="preserve">Germany </w:t>
      </w:r>
      <w:r w:rsidR="004D187A" w:rsidRPr="00C377F0">
        <w:rPr>
          <w:rFonts w:eastAsia="Times New Roman" w:cstheme="minorHAnsi"/>
          <w:kern w:val="0"/>
          <w:lang w:val="en-US" w:eastAsia="fr-FR"/>
          <w14:ligatures w14:val="none"/>
        </w:rPr>
        <w:t xml:space="preserve">with Andrea Metz of </w:t>
      </w:r>
      <w:proofErr w:type="spellStart"/>
      <w:r w:rsidR="004D187A" w:rsidRPr="00C377F0">
        <w:rPr>
          <w:rFonts w:eastAsia="Times New Roman" w:cstheme="minorHAnsi"/>
          <w:kern w:val="0"/>
          <w:lang w:val="en-US" w:eastAsia="fr-FR"/>
          <w14:ligatures w14:val="none"/>
        </w:rPr>
        <w:t>Barckhaus</w:t>
      </w:r>
      <w:proofErr w:type="spellEnd"/>
      <w:r w:rsidR="004D187A" w:rsidRPr="00C377F0">
        <w:rPr>
          <w:rFonts w:eastAsia="Times New Roman" w:cstheme="minorHAnsi"/>
          <w:kern w:val="0"/>
          <w:lang w:val="en-US" w:eastAsia="fr-FR"/>
          <w14:ligatures w14:val="none"/>
        </w:rPr>
        <w:t>).</w:t>
      </w:r>
    </w:p>
    <w:p w14:paraId="4B31A614" w14:textId="181AA35E" w:rsidR="00D112CA" w:rsidRDefault="00D112CA" w:rsidP="00D112CA">
      <w:pPr>
        <w:spacing w:after="0" w:line="240" w:lineRule="auto"/>
        <w:jc w:val="both"/>
        <w:rPr>
          <w:lang w:val="en-US"/>
        </w:rPr>
      </w:pPr>
      <w:r>
        <w:rPr>
          <w:rFonts w:eastAsia="Times New Roman" w:cstheme="minorHAnsi"/>
          <w:kern w:val="0"/>
          <w:lang w:val="en-US" w:eastAsia="fr-FR"/>
          <w14:ligatures w14:val="none"/>
        </w:rPr>
        <w:t xml:space="preserve">Chris </w:t>
      </w:r>
      <w:r>
        <w:rPr>
          <w:color w:val="000000"/>
          <w:lang w:val="en-GB"/>
        </w:rPr>
        <w:t xml:space="preserve">reminded the </w:t>
      </w:r>
      <w:r w:rsidRPr="00D112CA">
        <w:rPr>
          <w:lang w:val="en-US"/>
        </w:rPr>
        <w:t xml:space="preserve">INSOL Europe/ </w:t>
      </w:r>
      <w:proofErr w:type="spellStart"/>
      <w:r w:rsidRPr="00D112CA">
        <w:rPr>
          <w:lang w:val="en-US"/>
        </w:rPr>
        <w:t>LexisPSL</w:t>
      </w:r>
      <w:proofErr w:type="spellEnd"/>
      <w:r w:rsidRPr="00D112CA">
        <w:rPr>
          <w:lang w:val="en-US"/>
        </w:rPr>
        <w:t xml:space="preserve"> 2022 Joint Guide on “</w:t>
      </w:r>
      <w:r w:rsidRPr="00EE1DF9">
        <w:rPr>
          <w:i/>
          <w:iCs/>
          <w:lang w:val="en-US"/>
        </w:rPr>
        <w:t xml:space="preserve">How EU Member States </w:t>
      </w:r>
      <w:proofErr w:type="spellStart"/>
      <w:r w:rsidRPr="00EE1DF9">
        <w:rPr>
          <w:i/>
          <w:iCs/>
          <w:lang w:val="en-US"/>
        </w:rPr>
        <w:t>recognise</w:t>
      </w:r>
      <w:proofErr w:type="spellEnd"/>
      <w:r w:rsidRPr="00EE1DF9">
        <w:rPr>
          <w:i/>
          <w:iCs/>
          <w:lang w:val="en-US"/>
        </w:rPr>
        <w:t xml:space="preserve"> insolvency and restructuring proceedings of a third country</w:t>
      </w:r>
      <w:r>
        <w:rPr>
          <w:lang w:val="en-US"/>
        </w:rPr>
        <w:t>”</w:t>
      </w:r>
      <w:r w:rsidR="00831770">
        <w:rPr>
          <w:rStyle w:val="Appelnotedebasdep"/>
          <w:lang w:val="en-US"/>
        </w:rPr>
        <w:footnoteReference w:id="1"/>
      </w:r>
      <w:r>
        <w:rPr>
          <w:lang w:val="en-US"/>
        </w:rPr>
        <w:t xml:space="preserve"> as a useful tool</w:t>
      </w:r>
      <w:r w:rsidR="00E41B2C">
        <w:rPr>
          <w:lang w:val="en-US"/>
        </w:rPr>
        <w:t xml:space="preserve"> for </w:t>
      </w:r>
      <w:r w:rsidR="00E41B2C" w:rsidRPr="00C377F0">
        <w:rPr>
          <w:rFonts w:eastAsia="Times New Roman" w:cstheme="minorHAnsi"/>
          <w:kern w:val="0"/>
          <w:lang w:val="en-US" w:eastAsia="fr-FR"/>
          <w14:ligatures w14:val="none"/>
        </w:rPr>
        <w:t>all professionals interested in cross-border restructuring and insolvency</w:t>
      </w:r>
      <w:r w:rsidR="00191312">
        <w:rPr>
          <w:rFonts w:eastAsia="Times New Roman" w:cstheme="minorHAnsi"/>
          <w:kern w:val="0"/>
          <w:lang w:val="en-US" w:eastAsia="fr-FR"/>
          <w14:ligatures w14:val="none"/>
        </w:rPr>
        <w:t xml:space="preserve"> and then </w:t>
      </w:r>
      <w:r w:rsidR="00191312">
        <w:rPr>
          <w:color w:val="000000"/>
          <w:lang w:val="en-GB"/>
        </w:rPr>
        <w:t>covered the recognition of continental insolvency procedures/plans into UK and</w:t>
      </w:r>
      <w:r>
        <w:rPr>
          <w:lang w:val="en-US"/>
        </w:rPr>
        <w:t>.</w:t>
      </w:r>
    </w:p>
    <w:p w14:paraId="796DB970" w14:textId="4D01E302" w:rsidR="007A1755" w:rsidRDefault="00D112CA" w:rsidP="007A1755">
      <w:pPr>
        <w:spacing w:after="0" w:line="240" w:lineRule="auto"/>
        <w:jc w:val="both"/>
        <w:rPr>
          <w:rFonts w:eastAsia="Times New Roman" w:cstheme="minorHAnsi"/>
          <w:kern w:val="0"/>
          <w:lang w:val="en-US" w:eastAsia="fr-FR"/>
          <w14:ligatures w14:val="none"/>
        </w:rPr>
      </w:pPr>
      <w:r>
        <w:rPr>
          <w:lang w:val="en-US"/>
        </w:rPr>
        <w:t xml:space="preserve">If the recognition of UK Cross-Border insolvency in </w:t>
      </w:r>
      <w:r w:rsidR="008B5E49">
        <w:rPr>
          <w:lang w:val="en-US"/>
        </w:rPr>
        <w:t xml:space="preserve">the EU in </w:t>
      </w:r>
      <w:r>
        <w:rPr>
          <w:lang w:val="en-US"/>
        </w:rPr>
        <w:t xml:space="preserve">the Brexit aftermath </w:t>
      </w:r>
      <w:r w:rsidR="001B103F">
        <w:rPr>
          <w:lang w:val="en-US"/>
        </w:rPr>
        <w:t>is</w:t>
      </w:r>
      <w:r>
        <w:rPr>
          <w:lang w:val="en-US"/>
        </w:rPr>
        <w:t xml:space="preserve"> still difficult, Chris highlighte</w:t>
      </w:r>
      <w:r w:rsidRPr="00D112CA">
        <w:rPr>
          <w:lang w:val="en-US"/>
        </w:rPr>
        <w:t xml:space="preserve">d </w:t>
      </w:r>
      <w:r>
        <w:rPr>
          <w:lang w:val="en-US"/>
        </w:rPr>
        <w:t xml:space="preserve">the </w:t>
      </w:r>
      <w:r w:rsidRPr="007A1755">
        <w:rPr>
          <w:lang w:val="en-US"/>
        </w:rPr>
        <w:t>“</w:t>
      </w:r>
      <w:r w:rsidRPr="00C8165D">
        <w:rPr>
          <w:i/>
          <w:iCs/>
          <w:lang w:val="en-US"/>
        </w:rPr>
        <w:t>Study on the issue of abusive forum shopping in insolvency proceedings</w:t>
      </w:r>
      <w:r w:rsidRPr="007A1755">
        <w:rPr>
          <w:lang w:val="en-US"/>
        </w:rPr>
        <w:t>”</w:t>
      </w:r>
      <w:r w:rsidR="00831770">
        <w:rPr>
          <w:rStyle w:val="Appelnotedebasdep"/>
          <w:lang w:val="en-US"/>
        </w:rPr>
        <w:footnoteReference w:id="2"/>
      </w:r>
      <w:r w:rsidRPr="007A1755">
        <w:rPr>
          <w:lang w:val="en-US"/>
        </w:rPr>
        <w:t xml:space="preserve"> </w:t>
      </w:r>
      <w:r w:rsidRPr="00D112CA">
        <w:rPr>
          <w:lang w:val="en-US"/>
        </w:rPr>
        <w:t>commissioned by the European Commission’s DG JUST</w:t>
      </w:r>
      <w:r w:rsidR="007A1755">
        <w:rPr>
          <w:lang w:val="en-US"/>
        </w:rPr>
        <w:t>.</w:t>
      </w:r>
      <w:r w:rsidRPr="00D112CA">
        <w:rPr>
          <w:lang w:val="en-US"/>
        </w:rPr>
        <w:t xml:space="preserve"> </w:t>
      </w:r>
      <w:r>
        <w:rPr>
          <w:lang w:val="en-US"/>
        </w:rPr>
        <w:t>Indeed, the study provides an assessment of the UK schemes of arrangements and restructuring plans and possible mechanisms for their cross-border circulation in the EU and concludes that Court judgments or orders confirming (</w:t>
      </w:r>
      <w:r w:rsidR="001B103F">
        <w:rPr>
          <w:lang w:val="en-US"/>
        </w:rPr>
        <w:t xml:space="preserve">or </w:t>
      </w:r>
      <w:r>
        <w:rPr>
          <w:lang w:val="en-US"/>
        </w:rPr>
        <w:t xml:space="preserve">sanctioning) a UK scheme of arrangement may be entitled to EU wide recognition under the Hague Convention of 2 July 2019 on the Recognition and Enforcement of Foreign Judgments in Civil or Commercial Matters </w:t>
      </w:r>
      <w:proofErr w:type="spellStart"/>
      <w:r>
        <w:rPr>
          <w:lang w:val="en-US"/>
        </w:rPr>
        <w:t>where</w:t>
      </w:r>
      <w:proofErr w:type="spellEnd"/>
      <w:r>
        <w:rPr>
          <w:lang w:val="en-US"/>
        </w:rPr>
        <w:t xml:space="preserve"> also the EU is considering accession.</w:t>
      </w:r>
    </w:p>
    <w:p w14:paraId="452FACBD" w14:textId="1B0836E2" w:rsidR="00357643" w:rsidRPr="007A1755" w:rsidRDefault="007A1755" w:rsidP="00357643">
      <w:pPr>
        <w:spacing w:after="0" w:line="240" w:lineRule="auto"/>
        <w:jc w:val="both"/>
        <w:rPr>
          <w:lang w:val="en-US"/>
        </w:rPr>
      </w:pPr>
      <w:r>
        <w:rPr>
          <w:lang w:val="en-US"/>
        </w:rPr>
        <w:t>Chris also mentioned the study titled “</w:t>
      </w:r>
      <w:r w:rsidRPr="00C8165D">
        <w:rPr>
          <w:i/>
          <w:iCs/>
          <w:lang w:val="en-US"/>
        </w:rPr>
        <w:t>ensuring Efficient Cooperation with the UK in civil law matters</w:t>
      </w:r>
      <w:r w:rsidR="00C8165D">
        <w:rPr>
          <w:lang w:val="en-US"/>
        </w:rPr>
        <w:t>”</w:t>
      </w:r>
      <w:r w:rsidR="00831770">
        <w:rPr>
          <w:rStyle w:val="Appelnotedebasdep"/>
          <w:lang w:val="en-US"/>
        </w:rPr>
        <w:footnoteReference w:id="3"/>
      </w:r>
      <w:r w:rsidRPr="007A1755">
        <w:rPr>
          <w:lang w:val="en-US"/>
        </w:rPr>
        <w:t xml:space="preserve"> commissioned by the European Parliament’s Policy Department for Citizens’ Rights and Constitutional Affairs </w:t>
      </w:r>
      <w:r>
        <w:rPr>
          <w:lang w:val="en-US"/>
        </w:rPr>
        <w:t>that</w:t>
      </w:r>
      <w:r w:rsidRPr="007A1755">
        <w:rPr>
          <w:lang w:val="en-US"/>
        </w:rPr>
        <w:t xml:space="preserve"> analyses the implications of Brexit in relation to the profile of judicial cooperation in civil matters. </w:t>
      </w:r>
      <w:r>
        <w:rPr>
          <w:lang w:val="en-US"/>
        </w:rPr>
        <w:t>The study</w:t>
      </w:r>
      <w:r w:rsidRPr="007A1755">
        <w:rPr>
          <w:lang w:val="en-US"/>
        </w:rPr>
        <w:t xml:space="preserve"> examines the existing legal framework </w:t>
      </w:r>
      <w:proofErr w:type="gramStart"/>
      <w:r w:rsidRPr="007A1755">
        <w:rPr>
          <w:lang w:val="en-US"/>
        </w:rPr>
        <w:t>in order to</w:t>
      </w:r>
      <w:proofErr w:type="gramEnd"/>
      <w:r w:rsidRPr="007A1755">
        <w:rPr>
          <w:lang w:val="en-US"/>
        </w:rPr>
        <w:t xml:space="preserve"> identify the areas of law in respect of which there is a gap in the relationship between the EU and the UK</w:t>
      </w:r>
      <w:r>
        <w:rPr>
          <w:lang w:val="en-US"/>
        </w:rPr>
        <w:t xml:space="preserve"> and </w:t>
      </w:r>
      <w:r w:rsidRPr="007A1755">
        <w:rPr>
          <w:lang w:val="en-US"/>
        </w:rPr>
        <w:t xml:space="preserve">the consequences of the UK's failure to accede to the 2007 Lugano Convention. </w:t>
      </w:r>
      <w:r>
        <w:rPr>
          <w:lang w:val="en-US"/>
        </w:rPr>
        <w:t xml:space="preserve">According to the study, the </w:t>
      </w:r>
      <w:r w:rsidRPr="007A1755">
        <w:rPr>
          <w:lang w:val="en-US"/>
        </w:rPr>
        <w:t xml:space="preserve">conclusion of new </w:t>
      </w:r>
      <w:r w:rsidRPr="007A1755">
        <w:rPr>
          <w:lang w:val="en-US"/>
        </w:rPr>
        <w:lastRenderedPageBreak/>
        <w:t>treaties between the EU and the UK should be pursued in relation to those areas where there is a regulatory gap</w:t>
      </w:r>
      <w:r w:rsidR="008B5E49">
        <w:rPr>
          <w:lang w:val="en-US"/>
        </w:rPr>
        <w:t>.</w:t>
      </w:r>
      <w:r w:rsidR="00357643">
        <w:rPr>
          <w:lang w:val="en-US"/>
        </w:rPr>
        <w:t xml:space="preserve"> As regards</w:t>
      </w:r>
      <w:r w:rsidR="00DF4EB2">
        <w:rPr>
          <w:lang w:val="en-US"/>
        </w:rPr>
        <w:t xml:space="preserve"> </w:t>
      </w:r>
      <w:r w:rsidR="00DF4EB2" w:rsidRPr="00DF4EB2">
        <w:rPr>
          <w:lang w:val="en-US"/>
        </w:rPr>
        <w:t xml:space="preserve">the </w:t>
      </w:r>
      <w:r w:rsidR="00DF4EB2">
        <w:rPr>
          <w:lang w:val="en-US"/>
        </w:rPr>
        <w:t>f</w:t>
      </w:r>
      <w:r w:rsidR="00DF4EB2" w:rsidRPr="00DF4EB2">
        <w:rPr>
          <w:lang w:val="en-US"/>
        </w:rPr>
        <w:t xml:space="preserve">ield of </w:t>
      </w:r>
      <w:r w:rsidR="00DF4EB2">
        <w:rPr>
          <w:lang w:val="en-US"/>
        </w:rPr>
        <w:t>j</w:t>
      </w:r>
      <w:r w:rsidR="00DF4EB2" w:rsidRPr="00DF4EB2">
        <w:rPr>
          <w:lang w:val="en-US"/>
        </w:rPr>
        <w:t xml:space="preserve">udicial </w:t>
      </w:r>
      <w:r w:rsidR="00DF4EB2">
        <w:rPr>
          <w:lang w:val="en-US"/>
        </w:rPr>
        <w:t>c</w:t>
      </w:r>
      <w:r w:rsidR="00DF4EB2" w:rsidRPr="00DF4EB2">
        <w:rPr>
          <w:lang w:val="en-US"/>
        </w:rPr>
        <w:t xml:space="preserve">ooperation in </w:t>
      </w:r>
      <w:r w:rsidR="00DF4EB2">
        <w:rPr>
          <w:lang w:val="en-US"/>
        </w:rPr>
        <w:t>i</w:t>
      </w:r>
      <w:r w:rsidR="00DF4EB2" w:rsidRPr="00DF4EB2">
        <w:rPr>
          <w:lang w:val="en-US"/>
        </w:rPr>
        <w:t xml:space="preserve">nsolvency </w:t>
      </w:r>
      <w:r w:rsidR="00DF4EB2">
        <w:rPr>
          <w:lang w:val="en-US"/>
        </w:rPr>
        <w:t>p</w:t>
      </w:r>
      <w:r w:rsidR="00DF4EB2" w:rsidRPr="00DF4EB2">
        <w:rPr>
          <w:lang w:val="en-US"/>
        </w:rPr>
        <w:t>roceedings</w:t>
      </w:r>
      <w:r w:rsidR="00357643">
        <w:rPr>
          <w:lang w:val="en-US"/>
        </w:rPr>
        <w:t>,</w:t>
      </w:r>
      <w:r w:rsidR="00C0327B">
        <w:rPr>
          <w:lang w:val="en-US"/>
        </w:rPr>
        <w:t xml:space="preserve"> t</w:t>
      </w:r>
      <w:r w:rsidR="00C0327B" w:rsidRPr="00C0327B">
        <w:rPr>
          <w:lang w:val="en-US"/>
        </w:rPr>
        <w:t xml:space="preserve">he non-application of the regulations in respect of the UK will </w:t>
      </w:r>
      <w:r w:rsidR="00AE1E84">
        <w:rPr>
          <w:lang w:val="en-US"/>
        </w:rPr>
        <w:t xml:space="preserve">indeed </w:t>
      </w:r>
      <w:r w:rsidR="00C0327B" w:rsidRPr="00C0327B">
        <w:rPr>
          <w:lang w:val="en-US"/>
        </w:rPr>
        <w:t>lead to the possibility of parallel proceedings taking place, with the risk of conflicting decisions regarding the interests of creditors. In addition, there will be obstacles inherent in the circulation of judgments</w:t>
      </w:r>
      <w:r w:rsidR="00357643" w:rsidRPr="00C0327B">
        <w:rPr>
          <w:lang w:val="en-US"/>
        </w:rPr>
        <w:t>.</w:t>
      </w:r>
      <w:r w:rsidR="005A104F">
        <w:rPr>
          <w:lang w:val="en-US"/>
        </w:rPr>
        <w:t xml:space="preserve"> According to the study, it</w:t>
      </w:r>
      <w:r w:rsidR="005A104F" w:rsidRPr="005A104F">
        <w:rPr>
          <w:lang w:val="en-US"/>
        </w:rPr>
        <w:t xml:space="preserve"> would </w:t>
      </w:r>
      <w:r w:rsidR="005A104F">
        <w:rPr>
          <w:lang w:val="en-US"/>
        </w:rPr>
        <w:t xml:space="preserve">also </w:t>
      </w:r>
      <w:r w:rsidR="005A104F" w:rsidRPr="005A104F">
        <w:rPr>
          <w:lang w:val="en-US"/>
        </w:rPr>
        <w:t xml:space="preserve">be important to reintroduce forms of coordination between the different proceedings opened in different states, in order to facilitate the satisfaction of creditors and, ultimately, the same interest of the person declared insolvent in a speedy closure of bankruptcy proceedings and an efficient liquidation of assets, not to mention the possibility of easier access to debt restructuring measures or </w:t>
      </w:r>
      <w:proofErr w:type="gramStart"/>
      <w:r w:rsidR="005A104F" w:rsidRPr="005A104F">
        <w:rPr>
          <w:lang w:val="en-US"/>
        </w:rPr>
        <w:t>composition</w:t>
      </w:r>
      <w:proofErr w:type="gramEnd"/>
    </w:p>
    <w:p w14:paraId="77EB2777" w14:textId="77777777" w:rsidR="007A1755" w:rsidRDefault="007A1755" w:rsidP="007A1755">
      <w:pPr>
        <w:spacing w:after="0" w:line="240" w:lineRule="auto"/>
        <w:jc w:val="both"/>
        <w:rPr>
          <w:rFonts w:eastAsia="Times New Roman" w:cstheme="minorHAnsi"/>
          <w:kern w:val="0"/>
          <w:lang w:val="en-US" w:eastAsia="fr-FR"/>
          <w14:ligatures w14:val="none"/>
        </w:rPr>
      </w:pPr>
    </w:p>
    <w:p w14:paraId="76B39C23" w14:textId="1B29FFF4" w:rsidR="008B5E49" w:rsidRPr="008B5E49" w:rsidRDefault="008B5E49" w:rsidP="007A1755">
      <w:pPr>
        <w:spacing w:after="0" w:line="240" w:lineRule="auto"/>
        <w:jc w:val="both"/>
        <w:rPr>
          <w:rFonts w:eastAsia="Times New Roman" w:cstheme="minorHAnsi"/>
          <w:kern w:val="0"/>
          <w:lang w:val="en-US" w:eastAsia="fr-FR"/>
          <w14:ligatures w14:val="none"/>
        </w:rPr>
      </w:pPr>
      <w:r w:rsidRPr="008B5E49">
        <w:rPr>
          <w:lang w:val="en-US"/>
        </w:rPr>
        <w:t>Th</w:t>
      </w:r>
      <w:r>
        <w:rPr>
          <w:lang w:val="en-US"/>
        </w:rPr>
        <w:t>e</w:t>
      </w:r>
      <w:r w:rsidRPr="008B5E49">
        <w:rPr>
          <w:lang w:val="en-US"/>
        </w:rPr>
        <w:t xml:space="preserve"> question </w:t>
      </w:r>
      <w:r>
        <w:rPr>
          <w:lang w:val="en-US"/>
        </w:rPr>
        <w:t xml:space="preserve">of the </w:t>
      </w:r>
      <w:r w:rsidRPr="008B5E49">
        <w:rPr>
          <w:lang w:val="en-US"/>
        </w:rPr>
        <w:t>limit</w:t>
      </w:r>
      <w:r>
        <w:rPr>
          <w:lang w:val="en-US"/>
        </w:rPr>
        <w:t>ed</w:t>
      </w:r>
      <w:r w:rsidRPr="008B5E49">
        <w:rPr>
          <w:lang w:val="en-US"/>
        </w:rPr>
        <w:t xml:space="preserve"> use of English procedures by EU-based companies </w:t>
      </w:r>
      <w:r>
        <w:rPr>
          <w:lang w:val="en-US"/>
        </w:rPr>
        <w:t xml:space="preserve">in the Brexit aftermath </w:t>
      </w:r>
      <w:r w:rsidRPr="008B5E49">
        <w:rPr>
          <w:lang w:val="en-US"/>
        </w:rPr>
        <w:t xml:space="preserve">loomed even larger as EU Member States had begun to improve their laws and saw their own “schemes” come into effect in 2021, most prominently in the Netherlands and Germany, following the implementation of the </w:t>
      </w:r>
      <w:r w:rsidRPr="00E40537">
        <w:rPr>
          <w:rFonts w:ascii="Calibri" w:hAnsi="Calibri" w:cs="Calibri"/>
          <w:lang w:val="en-US"/>
        </w:rPr>
        <w:t>Directive on Restructuring and Insolvency o</w:t>
      </w:r>
      <w:r>
        <w:rPr>
          <w:rFonts w:ascii="Calibri" w:hAnsi="Calibri" w:cs="Calibri"/>
          <w:lang w:val="en-US"/>
        </w:rPr>
        <w:t>f</w:t>
      </w:r>
      <w:r w:rsidRPr="00E40537">
        <w:rPr>
          <w:rFonts w:ascii="Calibri" w:hAnsi="Calibri" w:cs="Calibri"/>
          <w:lang w:val="en-US"/>
        </w:rPr>
        <w:t xml:space="preserve"> 20 June 2019</w:t>
      </w:r>
      <w:r w:rsidRPr="008B5E49">
        <w:rPr>
          <w:lang w:val="en-US"/>
        </w:rPr>
        <w:t>.</w:t>
      </w:r>
    </w:p>
    <w:p w14:paraId="2106474F" w14:textId="3359A59E" w:rsidR="003D4415" w:rsidRPr="00831770" w:rsidRDefault="00C377F0" w:rsidP="00E41B2C">
      <w:pPr>
        <w:spacing w:after="0" w:line="240" w:lineRule="auto"/>
        <w:jc w:val="both"/>
        <w:rPr>
          <w:rFonts w:eastAsia="Times New Roman" w:cstheme="minorHAnsi"/>
          <w:kern w:val="0"/>
          <w:lang w:val="en-US" w:eastAsia="fr-FR"/>
          <w14:ligatures w14:val="none"/>
        </w:rPr>
      </w:pPr>
      <w:r w:rsidRPr="00C377F0">
        <w:rPr>
          <w:rFonts w:eastAsia="Times New Roman" w:cstheme="minorHAnsi"/>
          <w:kern w:val="0"/>
          <w:lang w:val="en-US" w:eastAsia="fr-FR"/>
          <w14:ligatures w14:val="none"/>
        </w:rPr>
        <w:t xml:space="preserve">A panel session comparing expert practitioners’ experiences of the English restructuring plan, the Dutch WHOA and the German </w:t>
      </w:r>
      <w:proofErr w:type="spellStart"/>
      <w:r w:rsidRPr="00C377F0">
        <w:rPr>
          <w:rFonts w:eastAsia="Times New Roman" w:cstheme="minorHAnsi"/>
          <w:kern w:val="0"/>
          <w:lang w:val="en-US" w:eastAsia="fr-FR"/>
          <w14:ligatures w14:val="none"/>
        </w:rPr>
        <w:t>StaRUG</w:t>
      </w:r>
      <w:proofErr w:type="spellEnd"/>
      <w:r w:rsidRPr="00C377F0">
        <w:rPr>
          <w:rFonts w:eastAsia="Times New Roman" w:cstheme="minorHAnsi"/>
          <w:kern w:val="0"/>
          <w:lang w:val="en-US" w:eastAsia="fr-FR"/>
          <w14:ligatures w14:val="none"/>
        </w:rPr>
        <w:t xml:space="preserve"> includ</w:t>
      </w:r>
      <w:r w:rsidR="007A1755">
        <w:rPr>
          <w:rFonts w:eastAsia="Times New Roman" w:cstheme="minorHAnsi"/>
          <w:kern w:val="0"/>
          <w:lang w:val="en-US" w:eastAsia="fr-FR"/>
          <w14:ligatures w14:val="none"/>
        </w:rPr>
        <w:t>ing</w:t>
      </w:r>
      <w:r w:rsidRPr="00C377F0">
        <w:rPr>
          <w:rFonts w:eastAsia="Times New Roman" w:cstheme="minorHAnsi"/>
          <w:kern w:val="0"/>
          <w:lang w:val="en-US" w:eastAsia="fr-FR"/>
          <w14:ligatures w14:val="none"/>
        </w:rPr>
        <w:t xml:space="preserve"> Kate Stephenson (Kirkland &amp; Ellis, UK), Sebastiaan van den Berg (RESOR, The Netherlands) and Marlene </w:t>
      </w:r>
      <w:proofErr w:type="spellStart"/>
      <w:r w:rsidRPr="00C377F0">
        <w:rPr>
          <w:rFonts w:eastAsia="Times New Roman" w:cstheme="minorHAnsi"/>
          <w:kern w:val="0"/>
          <w:lang w:val="en-US" w:eastAsia="fr-FR"/>
          <w14:ligatures w14:val="none"/>
        </w:rPr>
        <w:t>Ruf</w:t>
      </w:r>
      <w:proofErr w:type="spellEnd"/>
      <w:r w:rsidRPr="00C377F0">
        <w:rPr>
          <w:rFonts w:eastAsia="Times New Roman" w:cstheme="minorHAnsi"/>
          <w:kern w:val="0"/>
          <w:lang w:val="en-US" w:eastAsia="fr-FR"/>
          <w14:ligatures w14:val="none"/>
        </w:rPr>
        <w:t xml:space="preserve"> (Kirkland &amp; Ellis, Munich) who has been leading the </w:t>
      </w:r>
      <w:r w:rsidRPr="00C377F0">
        <w:rPr>
          <w:rFonts w:eastAsia="Times New Roman" w:cstheme="minorHAnsi"/>
          <w:i/>
          <w:iCs/>
          <w:kern w:val="0"/>
          <w:lang w:val="en-US" w:eastAsia="fr-FR"/>
          <w14:ligatures w14:val="none"/>
        </w:rPr>
        <w:t>Adler</w:t>
      </w:r>
      <w:r w:rsidRPr="00C377F0">
        <w:rPr>
          <w:rFonts w:eastAsia="Times New Roman" w:cstheme="minorHAnsi"/>
          <w:kern w:val="0"/>
          <w:lang w:val="en-US" w:eastAsia="fr-FR"/>
          <w14:ligatures w14:val="none"/>
        </w:rPr>
        <w:t xml:space="preserve"> restructuring</w:t>
      </w:r>
      <w:r w:rsidR="007A1755">
        <w:rPr>
          <w:rFonts w:eastAsia="Times New Roman" w:cstheme="minorHAnsi"/>
          <w:kern w:val="0"/>
          <w:lang w:val="en-US" w:eastAsia="fr-FR"/>
          <w14:ligatures w14:val="none"/>
        </w:rPr>
        <w:t xml:space="preserve"> took place.</w:t>
      </w:r>
      <w:r w:rsidR="00831770">
        <w:rPr>
          <w:rFonts w:eastAsia="Times New Roman" w:cstheme="minorHAnsi"/>
          <w:kern w:val="0"/>
          <w:lang w:val="en-US" w:eastAsia="fr-FR"/>
          <w14:ligatures w14:val="none"/>
        </w:rPr>
        <w:t xml:space="preserve"> </w:t>
      </w:r>
      <w:r w:rsidR="00831770" w:rsidRPr="00831770">
        <w:rPr>
          <w:lang w:val="en-US"/>
        </w:rPr>
        <w:t xml:space="preserve">The case of the German </w:t>
      </w:r>
      <w:r w:rsidR="00831770" w:rsidRPr="00831770">
        <w:rPr>
          <w:i/>
          <w:iCs/>
          <w:lang w:val="en-US"/>
        </w:rPr>
        <w:t>Adler</w:t>
      </w:r>
      <w:r w:rsidR="00831770" w:rsidRPr="00831770">
        <w:rPr>
          <w:lang w:val="en-US"/>
        </w:rPr>
        <w:t xml:space="preserve"> Real Estate Group indicates that the disruption caused by the Brexit has done little damage to the comfort of foreign companies and their legal advisors in making use of English procedures </w:t>
      </w:r>
      <w:proofErr w:type="gramStart"/>
      <w:r w:rsidR="00831770" w:rsidRPr="00831770">
        <w:rPr>
          <w:lang w:val="en-US"/>
        </w:rPr>
        <w:t>to day</w:t>
      </w:r>
      <w:proofErr w:type="gramEnd"/>
      <w:r w:rsidR="00831770" w:rsidRPr="00831770">
        <w:rPr>
          <w:lang w:val="en-US"/>
        </w:rPr>
        <w:t>.</w:t>
      </w:r>
    </w:p>
    <w:p w14:paraId="4555347B" w14:textId="77777777" w:rsidR="00831770" w:rsidRPr="00831770" w:rsidRDefault="00831770" w:rsidP="00E41B2C">
      <w:pPr>
        <w:spacing w:after="0" w:line="240" w:lineRule="auto"/>
        <w:jc w:val="both"/>
        <w:rPr>
          <w:rFonts w:ascii="Calibri" w:hAnsi="Calibri" w:cs="Calibri"/>
          <w:lang w:val="en-US"/>
        </w:rPr>
      </w:pPr>
    </w:p>
    <w:p w14:paraId="2206F62E" w14:textId="5114B8DA" w:rsidR="00E41B2C" w:rsidRPr="00E41B2C" w:rsidRDefault="00C0327B" w:rsidP="00E41B2C">
      <w:pPr>
        <w:spacing w:after="0" w:line="240" w:lineRule="auto"/>
        <w:jc w:val="both"/>
        <w:rPr>
          <w:rFonts w:ascii="Calibri" w:hAnsi="Calibri" w:cs="Calibri"/>
          <w:lang w:val="en-US"/>
        </w:rPr>
      </w:pPr>
      <w:r w:rsidRPr="00E40537">
        <w:rPr>
          <w:rFonts w:ascii="Calibri" w:hAnsi="Calibri" w:cs="Calibri"/>
          <w:lang w:val="en-US"/>
        </w:rPr>
        <w:t xml:space="preserve">Although the Directive on Restructuring and Insolvency adopted on 20 June 2019 has not been transposed in all Member States yet, the European Commission already published on 7 December 2022 the proposal for a Directive </w:t>
      </w:r>
      <w:proofErr w:type="spellStart"/>
      <w:r w:rsidRPr="00E40537">
        <w:rPr>
          <w:rFonts w:ascii="Calibri" w:hAnsi="Calibri" w:cs="Calibri"/>
          <w:lang w:val="en-US"/>
        </w:rPr>
        <w:t>harmonising</w:t>
      </w:r>
      <w:proofErr w:type="spellEnd"/>
      <w:r w:rsidRPr="00E40537">
        <w:rPr>
          <w:rFonts w:ascii="Calibri" w:hAnsi="Calibri" w:cs="Calibri"/>
          <w:lang w:val="en-US"/>
        </w:rPr>
        <w:t xml:space="preserve"> certain aspects of insolvency law</w:t>
      </w:r>
      <w:r>
        <w:rPr>
          <w:rFonts w:ascii="Calibri" w:hAnsi="Calibri" w:cs="Calibri"/>
          <w:lang w:val="en-US"/>
        </w:rPr>
        <w:t xml:space="preserve">. </w:t>
      </w:r>
      <w:r>
        <w:rPr>
          <w:rFonts w:eastAsia="Times New Roman" w:cstheme="minorHAnsi"/>
          <w:kern w:val="0"/>
          <w:lang w:val="en-US" w:eastAsia="fr-FR"/>
          <w14:ligatures w14:val="none"/>
        </w:rPr>
        <w:t xml:space="preserve">The last </w:t>
      </w:r>
      <w:r w:rsidRPr="00C377F0">
        <w:rPr>
          <w:rFonts w:eastAsia="Times New Roman" w:cstheme="minorHAnsi"/>
          <w:kern w:val="0"/>
          <w:lang w:val="en-US" w:eastAsia="fr-FR"/>
          <w14:ligatures w14:val="none"/>
        </w:rPr>
        <w:t xml:space="preserve">panel session </w:t>
      </w:r>
      <w:r>
        <w:rPr>
          <w:rFonts w:eastAsia="Times New Roman" w:cstheme="minorHAnsi"/>
          <w:kern w:val="0"/>
          <w:lang w:val="en-US" w:eastAsia="fr-FR"/>
          <w14:ligatures w14:val="none"/>
        </w:rPr>
        <w:t>l</w:t>
      </w:r>
      <w:r w:rsidRPr="00C377F0">
        <w:rPr>
          <w:rFonts w:eastAsia="Times New Roman" w:cstheme="minorHAnsi"/>
          <w:kern w:val="0"/>
          <w:lang w:val="en-US" w:eastAsia="fr-FR"/>
          <w14:ligatures w14:val="none"/>
        </w:rPr>
        <w:t xml:space="preserve">ed by Rita Gismondi (Gianni &amp; </w:t>
      </w:r>
      <w:proofErr w:type="spellStart"/>
      <w:r w:rsidRPr="00C377F0">
        <w:rPr>
          <w:rFonts w:eastAsia="Times New Roman" w:cstheme="minorHAnsi"/>
          <w:kern w:val="0"/>
          <w:lang w:val="en-US" w:eastAsia="fr-FR"/>
          <w14:ligatures w14:val="none"/>
        </w:rPr>
        <w:t>Origoni</w:t>
      </w:r>
      <w:proofErr w:type="spellEnd"/>
      <w:r w:rsidRPr="00C377F0">
        <w:rPr>
          <w:rFonts w:eastAsia="Times New Roman" w:cstheme="minorHAnsi"/>
          <w:kern w:val="0"/>
          <w:lang w:val="en-US" w:eastAsia="fr-FR"/>
          <w14:ligatures w14:val="none"/>
        </w:rPr>
        <w:t xml:space="preserve">, Italy) </w:t>
      </w:r>
      <w:r>
        <w:rPr>
          <w:rFonts w:eastAsia="Times New Roman" w:cstheme="minorHAnsi"/>
          <w:kern w:val="0"/>
          <w:lang w:val="en-US" w:eastAsia="fr-FR"/>
          <w14:ligatures w14:val="none"/>
        </w:rPr>
        <w:t xml:space="preserve">focused on this proposal and </w:t>
      </w:r>
      <w:r w:rsidRPr="00C377F0">
        <w:rPr>
          <w:rFonts w:eastAsia="Times New Roman" w:cstheme="minorHAnsi"/>
          <w:kern w:val="0"/>
          <w:lang w:val="en-US" w:eastAsia="fr-FR"/>
          <w14:ligatures w14:val="none"/>
        </w:rPr>
        <w:t>featur</w:t>
      </w:r>
      <w:r>
        <w:rPr>
          <w:rFonts w:eastAsia="Times New Roman" w:cstheme="minorHAnsi"/>
          <w:kern w:val="0"/>
          <w:lang w:val="en-US" w:eastAsia="fr-FR"/>
          <w14:ligatures w14:val="none"/>
        </w:rPr>
        <w:t>ed</w:t>
      </w:r>
      <w:r w:rsidRPr="00C377F0">
        <w:rPr>
          <w:rFonts w:eastAsia="Times New Roman" w:cstheme="minorHAnsi"/>
          <w:kern w:val="0"/>
          <w:lang w:val="en-US" w:eastAsia="fr-FR"/>
          <w14:ligatures w14:val="none"/>
        </w:rPr>
        <w:t xml:space="preserve"> Niels </w:t>
      </w:r>
      <w:proofErr w:type="spellStart"/>
      <w:r w:rsidRPr="00C377F0">
        <w:rPr>
          <w:rFonts w:eastAsia="Times New Roman" w:cstheme="minorHAnsi"/>
          <w:kern w:val="0"/>
          <w:lang w:val="en-US" w:eastAsia="fr-FR"/>
          <w14:ligatures w14:val="none"/>
        </w:rPr>
        <w:t>Pannevis</w:t>
      </w:r>
      <w:proofErr w:type="spellEnd"/>
      <w:r w:rsidRPr="00C377F0">
        <w:rPr>
          <w:rFonts w:eastAsia="Times New Roman" w:cstheme="minorHAnsi"/>
          <w:kern w:val="0"/>
          <w:lang w:val="en-US" w:eastAsia="fr-FR"/>
          <w14:ligatures w14:val="none"/>
        </w:rPr>
        <w:t xml:space="preserve"> (RESOR Amsterdam, The Netherlands) and Kat Burke (IWIRC European Regional Director)</w:t>
      </w:r>
      <w:r>
        <w:rPr>
          <w:rFonts w:eastAsia="Times New Roman" w:cstheme="minorHAnsi"/>
          <w:kern w:val="0"/>
          <w:lang w:val="en-US" w:eastAsia="fr-FR"/>
          <w14:ligatures w14:val="none"/>
        </w:rPr>
        <w:t>.</w:t>
      </w:r>
      <w:r>
        <w:rPr>
          <w:rFonts w:ascii="Calibri" w:hAnsi="Calibri" w:cs="Calibri"/>
          <w:lang w:val="en-US"/>
        </w:rPr>
        <w:t xml:space="preserve"> The </w:t>
      </w:r>
      <w:r w:rsidRPr="00E40537">
        <w:rPr>
          <w:rFonts w:ascii="Calibri" w:hAnsi="Calibri" w:cs="Calibri"/>
          <w:lang w:val="en-US"/>
        </w:rPr>
        <w:t xml:space="preserve">objective </w:t>
      </w:r>
      <w:r>
        <w:rPr>
          <w:rFonts w:ascii="Calibri" w:hAnsi="Calibri" w:cs="Calibri"/>
          <w:lang w:val="en-US"/>
        </w:rPr>
        <w:t xml:space="preserve">of this proposal </w:t>
      </w:r>
      <w:r w:rsidRPr="00E40537">
        <w:rPr>
          <w:rFonts w:ascii="Calibri" w:hAnsi="Calibri" w:cs="Calibri"/>
          <w:lang w:val="en-US"/>
        </w:rPr>
        <w:t xml:space="preserve">is to reduce differences in substantial insolvency laws and hence address the issue of more inefficient insolvency laws in some Member States, increasing the predictability of insolvency proceedings in general and lowering obstacles to the free movement of capital. By </w:t>
      </w:r>
      <w:proofErr w:type="spellStart"/>
      <w:r w:rsidRPr="00E40537">
        <w:rPr>
          <w:rFonts w:ascii="Calibri" w:hAnsi="Calibri" w:cs="Calibri"/>
          <w:lang w:val="en-US"/>
        </w:rPr>
        <w:t>harmonising</w:t>
      </w:r>
      <w:proofErr w:type="spellEnd"/>
      <w:r w:rsidRPr="00E40537">
        <w:rPr>
          <w:rFonts w:ascii="Calibri" w:hAnsi="Calibri" w:cs="Calibri"/>
          <w:lang w:val="en-US"/>
        </w:rPr>
        <w:t xml:space="preserve"> targeted aspects of insolvency laws, the proposal aims</w:t>
      </w:r>
      <w:proofErr w:type="gramStart"/>
      <w:r w:rsidRPr="00E40537">
        <w:rPr>
          <w:rFonts w:ascii="Calibri" w:hAnsi="Calibri" w:cs="Calibri"/>
          <w:lang w:val="en-US"/>
        </w:rPr>
        <w:t>, in particular, to</w:t>
      </w:r>
      <w:proofErr w:type="gramEnd"/>
      <w:r w:rsidRPr="00E40537">
        <w:rPr>
          <w:rFonts w:ascii="Calibri" w:hAnsi="Calibri" w:cs="Calibri"/>
          <w:lang w:val="en-US"/>
        </w:rPr>
        <w:t xml:space="preserve"> reduce information and learning costs for cross-border investors thus expanding the choice of funding available to companies across the Union.</w:t>
      </w:r>
      <w:r w:rsidR="00E41B2C">
        <w:rPr>
          <w:rFonts w:ascii="Calibri" w:hAnsi="Calibri" w:cs="Calibri"/>
          <w:lang w:val="en-US"/>
        </w:rPr>
        <w:t xml:space="preserve"> T</w:t>
      </w:r>
      <w:r w:rsidR="00E41B2C" w:rsidRPr="00E41B2C">
        <w:rPr>
          <w:rFonts w:ascii="Calibri" w:hAnsi="Calibri" w:cs="Calibri"/>
          <w:lang w:val="en-US"/>
        </w:rPr>
        <w:t xml:space="preserve">he </w:t>
      </w:r>
      <w:r w:rsidR="00E41B2C">
        <w:rPr>
          <w:rFonts w:ascii="Calibri" w:hAnsi="Calibri" w:cs="Calibri"/>
          <w:lang w:val="en-US"/>
        </w:rPr>
        <w:t xml:space="preserve">panel leader and the </w:t>
      </w:r>
      <w:proofErr w:type="spellStart"/>
      <w:r w:rsidR="00E41B2C">
        <w:rPr>
          <w:rFonts w:ascii="Calibri" w:hAnsi="Calibri" w:cs="Calibri"/>
          <w:lang w:val="en-US"/>
        </w:rPr>
        <w:t>panellists</w:t>
      </w:r>
      <w:proofErr w:type="spellEnd"/>
      <w:r w:rsidR="00E41B2C">
        <w:rPr>
          <w:rFonts w:ascii="Calibri" w:hAnsi="Calibri" w:cs="Calibri"/>
          <w:lang w:val="en-US"/>
        </w:rPr>
        <w:t xml:space="preserve"> </w:t>
      </w:r>
      <w:proofErr w:type="spellStart"/>
      <w:r w:rsidR="00E41B2C">
        <w:rPr>
          <w:rFonts w:ascii="Calibri" w:hAnsi="Calibri" w:cs="Calibri"/>
          <w:lang w:val="en-US"/>
        </w:rPr>
        <w:t>analysed</w:t>
      </w:r>
      <w:proofErr w:type="spellEnd"/>
      <w:r w:rsidR="00E41B2C">
        <w:rPr>
          <w:rFonts w:ascii="Calibri" w:hAnsi="Calibri" w:cs="Calibri"/>
          <w:lang w:val="en-US"/>
        </w:rPr>
        <w:t xml:space="preserve"> the targeted areas of </w:t>
      </w:r>
      <w:proofErr w:type="spellStart"/>
      <w:r w:rsidR="00E41B2C">
        <w:rPr>
          <w:rFonts w:ascii="Calibri" w:hAnsi="Calibri" w:cs="Calibri"/>
          <w:lang w:val="en-US"/>
        </w:rPr>
        <w:t>harmoni</w:t>
      </w:r>
      <w:r w:rsidR="005A104F">
        <w:rPr>
          <w:rFonts w:ascii="Calibri" w:hAnsi="Calibri" w:cs="Calibri"/>
          <w:lang w:val="en-US"/>
        </w:rPr>
        <w:t>s</w:t>
      </w:r>
      <w:r w:rsidR="00E41B2C">
        <w:rPr>
          <w:rFonts w:ascii="Calibri" w:hAnsi="Calibri" w:cs="Calibri"/>
          <w:lang w:val="en-US"/>
        </w:rPr>
        <w:t>ation</w:t>
      </w:r>
      <w:proofErr w:type="spellEnd"/>
      <w:r w:rsidR="00E41B2C">
        <w:rPr>
          <w:rFonts w:ascii="Calibri" w:hAnsi="Calibri" w:cs="Calibri"/>
          <w:lang w:val="en-US"/>
        </w:rPr>
        <w:t xml:space="preserve"> law </w:t>
      </w:r>
      <w:proofErr w:type="gramStart"/>
      <w:r w:rsidR="00E41B2C">
        <w:rPr>
          <w:rFonts w:ascii="Calibri" w:hAnsi="Calibri" w:cs="Calibri"/>
          <w:lang w:val="en-US"/>
        </w:rPr>
        <w:t>i.e.</w:t>
      </w:r>
      <w:proofErr w:type="gramEnd"/>
      <w:r w:rsidR="00E41B2C">
        <w:rPr>
          <w:rFonts w:ascii="Calibri" w:hAnsi="Calibri" w:cs="Calibri"/>
          <w:lang w:val="en-US"/>
        </w:rPr>
        <w:t xml:space="preserve"> </w:t>
      </w:r>
      <w:r w:rsidR="00E41B2C" w:rsidRPr="00E41B2C">
        <w:rPr>
          <w:rFonts w:ascii="Calibri" w:hAnsi="Calibri" w:cs="Calibri"/>
          <w:lang w:val="en-US"/>
        </w:rPr>
        <w:t>avoidance</w:t>
      </w:r>
      <w:r w:rsidR="00E41B2C">
        <w:rPr>
          <w:rFonts w:ascii="Calibri" w:hAnsi="Calibri" w:cs="Calibri"/>
          <w:lang w:val="en-US"/>
        </w:rPr>
        <w:t xml:space="preserve"> </w:t>
      </w:r>
      <w:r w:rsidR="00E41B2C" w:rsidRPr="00E41B2C">
        <w:rPr>
          <w:rFonts w:ascii="Calibri" w:hAnsi="Calibri" w:cs="Calibri"/>
          <w:lang w:val="en-US"/>
        </w:rPr>
        <w:t>actions, tracing asset</w:t>
      </w:r>
      <w:r w:rsidR="00E41B2C">
        <w:rPr>
          <w:rFonts w:ascii="Calibri" w:hAnsi="Calibri" w:cs="Calibri"/>
          <w:lang w:val="en-US"/>
        </w:rPr>
        <w:t>s</w:t>
      </w:r>
      <w:r w:rsidR="00E41B2C" w:rsidRPr="00E41B2C">
        <w:rPr>
          <w:rFonts w:ascii="Calibri" w:hAnsi="Calibri" w:cs="Calibri"/>
          <w:lang w:val="en-US"/>
        </w:rPr>
        <w:t>, pre-pack proceedings, duties of directors, simplified winding-up</w:t>
      </w:r>
      <w:r w:rsidR="00E41B2C">
        <w:rPr>
          <w:rFonts w:ascii="Calibri" w:hAnsi="Calibri" w:cs="Calibri"/>
          <w:lang w:val="en-US"/>
        </w:rPr>
        <w:t xml:space="preserve"> </w:t>
      </w:r>
      <w:r w:rsidR="00E41B2C" w:rsidRPr="00E41B2C">
        <w:rPr>
          <w:rFonts w:ascii="Calibri" w:hAnsi="Calibri" w:cs="Calibri"/>
          <w:lang w:val="en-US"/>
        </w:rPr>
        <w:t>proceedings for microenterprises</w:t>
      </w:r>
      <w:r w:rsidR="00E41B2C">
        <w:rPr>
          <w:rFonts w:ascii="Calibri" w:hAnsi="Calibri" w:cs="Calibri"/>
          <w:lang w:val="en-US"/>
        </w:rPr>
        <w:t xml:space="preserve"> and</w:t>
      </w:r>
      <w:r w:rsidR="00E41B2C" w:rsidRPr="00E41B2C">
        <w:rPr>
          <w:rFonts w:ascii="Calibri" w:hAnsi="Calibri" w:cs="Calibri"/>
          <w:lang w:val="en-US"/>
        </w:rPr>
        <w:t xml:space="preserve"> creditors’ committee</w:t>
      </w:r>
      <w:r w:rsidR="00E41B2C">
        <w:rPr>
          <w:rFonts w:ascii="Calibri" w:hAnsi="Calibri" w:cs="Calibri"/>
          <w:lang w:val="en-US"/>
        </w:rPr>
        <w:t>.</w:t>
      </w:r>
    </w:p>
    <w:p w14:paraId="6325E8B6" w14:textId="77777777" w:rsidR="00A57AE2" w:rsidRDefault="00A57AE2" w:rsidP="005176F6">
      <w:pPr>
        <w:spacing w:after="0" w:line="240" w:lineRule="auto"/>
        <w:jc w:val="both"/>
        <w:rPr>
          <w:rFonts w:cstheme="minorHAnsi"/>
          <w:lang w:val="en-US"/>
        </w:rPr>
      </w:pPr>
    </w:p>
    <w:p w14:paraId="35C382AD" w14:textId="4658F479" w:rsidR="00831770" w:rsidRPr="00831770" w:rsidRDefault="00831770" w:rsidP="005176F6">
      <w:pPr>
        <w:spacing w:after="0" w:line="240" w:lineRule="auto"/>
        <w:jc w:val="both"/>
        <w:rPr>
          <w:rFonts w:cstheme="minorHAnsi"/>
          <w:b/>
          <w:bCs/>
          <w:lang w:val="en-US"/>
        </w:rPr>
      </w:pPr>
      <w:r w:rsidRPr="00831770">
        <w:rPr>
          <w:rFonts w:cstheme="minorHAnsi"/>
          <w:b/>
          <w:bCs/>
          <w:lang w:val="en-US"/>
        </w:rPr>
        <w:t>R3 &amp; INSOL Europe: enthusiastic networking</w:t>
      </w:r>
      <w:r>
        <w:rPr>
          <w:rFonts w:cstheme="minorHAnsi"/>
          <w:b/>
          <w:bCs/>
          <w:lang w:val="en-US"/>
        </w:rPr>
        <w:t>!</w:t>
      </w:r>
    </w:p>
    <w:p w14:paraId="7540A3D3" w14:textId="77777777" w:rsidR="00831770" w:rsidRDefault="00C8165D" w:rsidP="00831770">
      <w:pPr>
        <w:spacing w:after="0" w:line="240" w:lineRule="auto"/>
        <w:jc w:val="both"/>
        <w:rPr>
          <w:rFonts w:cstheme="minorHAnsi"/>
          <w:lang w:val="en-US"/>
        </w:rPr>
      </w:pPr>
      <w:r w:rsidRPr="00A57AE2">
        <w:rPr>
          <w:rFonts w:cstheme="minorHAnsi"/>
          <w:lang w:val="en-US"/>
        </w:rPr>
        <w:t>Other features of the day were</w:t>
      </w:r>
      <w:r>
        <w:rPr>
          <w:rFonts w:cstheme="minorHAnsi"/>
          <w:lang w:val="en-US"/>
        </w:rPr>
        <w:t xml:space="preserve"> </w:t>
      </w:r>
      <w:r w:rsidRPr="00A57AE2">
        <w:rPr>
          <w:rFonts w:cstheme="minorHAnsi"/>
          <w:lang w:val="en-US"/>
        </w:rPr>
        <w:t>the enthusiastic networking and</w:t>
      </w:r>
      <w:r>
        <w:rPr>
          <w:rFonts w:cstheme="minorHAnsi"/>
          <w:lang w:val="en-US"/>
        </w:rPr>
        <w:t xml:space="preserve"> </w:t>
      </w:r>
      <w:r w:rsidRPr="00A57AE2">
        <w:rPr>
          <w:rFonts w:cstheme="minorHAnsi"/>
          <w:lang w:val="en-US"/>
        </w:rPr>
        <w:t>the engagement of delegates</w:t>
      </w:r>
      <w:r>
        <w:rPr>
          <w:rFonts w:cstheme="minorHAnsi"/>
          <w:lang w:val="en-US"/>
        </w:rPr>
        <w:t xml:space="preserve"> </w:t>
      </w:r>
      <w:r w:rsidRPr="00A57AE2">
        <w:rPr>
          <w:rFonts w:cstheme="minorHAnsi"/>
          <w:lang w:val="en-US"/>
        </w:rPr>
        <w:t>throughout the day, Morgan</w:t>
      </w:r>
      <w:r>
        <w:rPr>
          <w:rFonts w:cstheme="minorHAnsi"/>
          <w:lang w:val="en-US"/>
        </w:rPr>
        <w:t xml:space="preserve"> </w:t>
      </w:r>
      <w:r w:rsidRPr="00A57AE2">
        <w:rPr>
          <w:rFonts w:cstheme="minorHAnsi"/>
          <w:lang w:val="en-US"/>
        </w:rPr>
        <w:t>Bowen’s</w:t>
      </w:r>
      <w:r>
        <w:rPr>
          <w:rFonts w:cstheme="minorHAnsi"/>
          <w:lang w:val="en-US"/>
        </w:rPr>
        <w:t xml:space="preserve">, </w:t>
      </w:r>
      <w:r w:rsidRPr="00A57AE2">
        <w:rPr>
          <w:rFonts w:cstheme="minorHAnsi"/>
          <w:lang w:val="en-US"/>
        </w:rPr>
        <w:t>Sebastiaan</w:t>
      </w:r>
      <w:r>
        <w:rPr>
          <w:rFonts w:cstheme="minorHAnsi"/>
          <w:lang w:val="en-US"/>
        </w:rPr>
        <w:t xml:space="preserve"> </w:t>
      </w:r>
      <w:r w:rsidRPr="00A57AE2">
        <w:rPr>
          <w:rFonts w:cstheme="minorHAnsi"/>
          <w:lang w:val="en-US"/>
        </w:rPr>
        <w:t xml:space="preserve">van den Berg’s and </w:t>
      </w:r>
      <w:r>
        <w:rPr>
          <w:rFonts w:cstheme="minorHAnsi"/>
          <w:lang w:val="en-US"/>
        </w:rPr>
        <w:t xml:space="preserve">Christos </w:t>
      </w:r>
      <w:proofErr w:type="spellStart"/>
      <w:r>
        <w:rPr>
          <w:rFonts w:cstheme="minorHAnsi"/>
          <w:lang w:val="en-US"/>
        </w:rPr>
        <w:t>Christoforou’s</w:t>
      </w:r>
      <w:proofErr w:type="spellEnd"/>
      <w:r>
        <w:rPr>
          <w:rFonts w:cstheme="minorHAnsi"/>
          <w:lang w:val="en-US"/>
        </w:rPr>
        <w:t xml:space="preserve"> </w:t>
      </w:r>
      <w:r w:rsidRPr="00A57AE2">
        <w:rPr>
          <w:rFonts w:cstheme="minorHAnsi"/>
          <w:lang w:val="en-US"/>
        </w:rPr>
        <w:t>able chairing of the</w:t>
      </w:r>
      <w:r>
        <w:rPr>
          <w:rFonts w:cstheme="minorHAnsi"/>
          <w:lang w:val="en-US"/>
        </w:rPr>
        <w:t xml:space="preserve"> </w:t>
      </w:r>
      <w:r w:rsidRPr="00A57AE2">
        <w:rPr>
          <w:rFonts w:cstheme="minorHAnsi"/>
          <w:lang w:val="en-US"/>
        </w:rPr>
        <w:t>conference</w:t>
      </w:r>
      <w:r>
        <w:rPr>
          <w:rFonts w:cstheme="minorHAnsi"/>
          <w:lang w:val="en-US"/>
        </w:rPr>
        <w:t>.</w:t>
      </w:r>
    </w:p>
    <w:p w14:paraId="26FBF93D" w14:textId="77777777" w:rsidR="00831770" w:rsidRDefault="00831770" w:rsidP="00831770">
      <w:pPr>
        <w:spacing w:after="0" w:line="240" w:lineRule="auto"/>
        <w:jc w:val="both"/>
        <w:rPr>
          <w:rFonts w:cstheme="minorHAnsi"/>
          <w:lang w:val="en-US"/>
        </w:rPr>
      </w:pPr>
      <w:r>
        <w:rPr>
          <w:rFonts w:eastAsia="Times New Roman" w:cstheme="minorHAnsi"/>
          <w:kern w:val="0"/>
          <w:lang w:val="en-US" w:eastAsia="fr-FR"/>
          <w14:ligatures w14:val="none"/>
        </w:rPr>
        <w:t>T</w:t>
      </w:r>
      <w:r w:rsidRPr="00C377F0">
        <w:rPr>
          <w:rFonts w:eastAsia="Times New Roman" w:cstheme="minorHAnsi"/>
          <w:kern w:val="0"/>
          <w:lang w:val="en-US" w:eastAsia="fr-FR"/>
          <w14:ligatures w14:val="none"/>
        </w:rPr>
        <w:t xml:space="preserve">he President of R3 Nicky Fisher (Herron Fisher, UK) </w:t>
      </w:r>
      <w:r>
        <w:rPr>
          <w:rFonts w:eastAsia="Times New Roman" w:cstheme="minorHAnsi"/>
          <w:kern w:val="0"/>
          <w:lang w:val="en-US" w:eastAsia="fr-FR"/>
          <w14:ligatures w14:val="none"/>
        </w:rPr>
        <w:t>highlighted that</w:t>
      </w:r>
      <w:r w:rsidRPr="00831770">
        <w:rPr>
          <w:rFonts w:eastAsia="Times New Roman" w:cstheme="minorHAnsi"/>
          <w:kern w:val="0"/>
          <w:lang w:val="en-US" w:eastAsia="fr-FR"/>
          <w14:ligatures w14:val="none"/>
        </w:rPr>
        <w:t xml:space="preserve"> R3 will continue to work closely with </w:t>
      </w:r>
      <w:r>
        <w:rPr>
          <w:rFonts w:eastAsia="Times New Roman" w:cstheme="minorHAnsi"/>
          <w:kern w:val="0"/>
          <w:lang w:val="en-US" w:eastAsia="fr-FR"/>
          <w14:ligatures w14:val="none"/>
        </w:rPr>
        <w:t>INSOL Europe</w:t>
      </w:r>
      <w:r w:rsidRPr="00831770">
        <w:rPr>
          <w:rFonts w:eastAsia="Times New Roman" w:cstheme="minorHAnsi"/>
          <w:kern w:val="0"/>
          <w:lang w:val="en-US" w:eastAsia="fr-FR"/>
          <w14:ligatures w14:val="none"/>
        </w:rPr>
        <w:t xml:space="preserve"> and the profession across Europe, to promote the work of insolvency and restructuring professionals, and to share knowledge and best practice.</w:t>
      </w:r>
    </w:p>
    <w:p w14:paraId="4C0F07D9" w14:textId="2B956A29" w:rsidR="00F74BCF" w:rsidRPr="00831770" w:rsidRDefault="002347C7" w:rsidP="00831770">
      <w:pPr>
        <w:spacing w:after="0" w:line="240" w:lineRule="auto"/>
        <w:jc w:val="both"/>
        <w:rPr>
          <w:rFonts w:cstheme="minorHAnsi"/>
          <w:lang w:val="en-US"/>
        </w:rPr>
      </w:pPr>
      <w:proofErr w:type="gramStart"/>
      <w:r>
        <w:rPr>
          <w:rFonts w:cstheme="minorHAnsi"/>
          <w:lang w:val="en-US"/>
        </w:rPr>
        <w:t>Last but not least</w:t>
      </w:r>
      <w:proofErr w:type="gramEnd"/>
      <w:r>
        <w:rPr>
          <w:rFonts w:cstheme="minorHAnsi"/>
          <w:lang w:val="en-US"/>
        </w:rPr>
        <w:t xml:space="preserve">, </w:t>
      </w:r>
      <w:r w:rsidR="00831770">
        <w:rPr>
          <w:rFonts w:cstheme="minorHAnsi"/>
          <w:lang w:val="en-US"/>
        </w:rPr>
        <w:t xml:space="preserve">the president </w:t>
      </w:r>
      <w:r w:rsidR="00A57AE2">
        <w:rPr>
          <w:rFonts w:cstheme="minorHAnsi"/>
          <w:lang w:val="en-US"/>
        </w:rPr>
        <w:t>Barry Cahir</w:t>
      </w:r>
      <w:r w:rsidR="00A57AE2" w:rsidRPr="00A57AE2">
        <w:rPr>
          <w:rFonts w:cstheme="minorHAnsi"/>
          <w:lang w:val="en-US"/>
        </w:rPr>
        <w:t>’s reminde</w:t>
      </w:r>
      <w:r>
        <w:rPr>
          <w:rFonts w:cstheme="minorHAnsi"/>
          <w:lang w:val="en-US"/>
        </w:rPr>
        <w:t>d</w:t>
      </w:r>
      <w:r w:rsidR="00A57AE2">
        <w:rPr>
          <w:rFonts w:cstheme="minorHAnsi"/>
          <w:lang w:val="en-US"/>
        </w:rPr>
        <w:t xml:space="preserve"> </w:t>
      </w:r>
      <w:r w:rsidR="00A57AE2" w:rsidRPr="00A57AE2">
        <w:rPr>
          <w:rFonts w:cstheme="minorHAnsi"/>
          <w:lang w:val="en-US"/>
        </w:rPr>
        <w:t>the benefits</w:t>
      </w:r>
      <w:r w:rsidR="00A57AE2">
        <w:rPr>
          <w:rFonts w:cstheme="minorHAnsi"/>
          <w:lang w:val="en-US"/>
        </w:rPr>
        <w:t xml:space="preserve"> </w:t>
      </w:r>
      <w:r w:rsidR="00A57AE2" w:rsidRPr="00A57AE2">
        <w:rPr>
          <w:rFonts w:cstheme="minorHAnsi"/>
          <w:lang w:val="en-US"/>
        </w:rPr>
        <w:t>of membership of INSOL</w:t>
      </w:r>
      <w:r w:rsidR="00A57AE2">
        <w:rPr>
          <w:rFonts w:cstheme="minorHAnsi"/>
          <w:lang w:val="en-US"/>
        </w:rPr>
        <w:t xml:space="preserve"> </w:t>
      </w:r>
      <w:r w:rsidR="00A57AE2" w:rsidRPr="00A57AE2">
        <w:rPr>
          <w:rFonts w:cstheme="minorHAnsi"/>
          <w:lang w:val="en-US"/>
        </w:rPr>
        <w:t>Europe, explaining the work and</w:t>
      </w:r>
      <w:r w:rsidR="00A57AE2">
        <w:rPr>
          <w:rFonts w:cstheme="minorHAnsi"/>
          <w:lang w:val="en-US"/>
        </w:rPr>
        <w:t xml:space="preserve"> </w:t>
      </w:r>
      <w:r w:rsidR="00A57AE2" w:rsidRPr="00A57AE2">
        <w:rPr>
          <w:rFonts w:cstheme="minorHAnsi"/>
          <w:lang w:val="en-US"/>
        </w:rPr>
        <w:t>reach of the association and</w:t>
      </w:r>
      <w:r w:rsidR="00A57AE2">
        <w:rPr>
          <w:rFonts w:cstheme="minorHAnsi"/>
          <w:lang w:val="en-US"/>
        </w:rPr>
        <w:t xml:space="preserve"> </w:t>
      </w:r>
      <w:r w:rsidR="00A57AE2" w:rsidRPr="00A57AE2">
        <w:rPr>
          <w:rFonts w:cstheme="minorHAnsi"/>
          <w:lang w:val="en-US"/>
        </w:rPr>
        <w:t>encouraging delegates who were</w:t>
      </w:r>
      <w:r w:rsidR="00A57AE2">
        <w:rPr>
          <w:rFonts w:cstheme="minorHAnsi"/>
          <w:lang w:val="en-US"/>
        </w:rPr>
        <w:t xml:space="preserve"> </w:t>
      </w:r>
      <w:r w:rsidR="00A57AE2" w:rsidRPr="00A57AE2">
        <w:rPr>
          <w:rFonts w:cstheme="minorHAnsi"/>
          <w:lang w:val="en-US"/>
        </w:rPr>
        <w:t>not already members to join us.</w:t>
      </w:r>
      <w:r>
        <w:rPr>
          <w:rFonts w:cstheme="minorHAnsi"/>
          <w:lang w:val="en-US"/>
        </w:rPr>
        <w:t xml:space="preserve"> Barry also reminded that r</w:t>
      </w:r>
      <w:r w:rsidRPr="005176F6">
        <w:rPr>
          <w:rFonts w:cstheme="minorHAnsi"/>
          <w:lang w:val="en-US"/>
        </w:rPr>
        <w:t xml:space="preserve">eaching out to our colleagues in </w:t>
      </w:r>
      <w:r>
        <w:rPr>
          <w:rFonts w:cstheme="minorHAnsi"/>
          <w:lang w:val="en-US"/>
        </w:rPr>
        <w:t xml:space="preserve">R3 </w:t>
      </w:r>
      <w:r w:rsidRPr="005176F6">
        <w:rPr>
          <w:rFonts w:cstheme="minorHAnsi"/>
          <w:lang w:val="en-US"/>
        </w:rPr>
        <w:t>is so important. Swapping expertise and</w:t>
      </w:r>
      <w:r>
        <w:rPr>
          <w:rFonts w:cstheme="minorHAnsi"/>
          <w:lang w:val="en-US"/>
        </w:rPr>
        <w:t xml:space="preserve"> </w:t>
      </w:r>
      <w:r w:rsidRPr="005176F6">
        <w:rPr>
          <w:rFonts w:cstheme="minorHAnsi"/>
          <w:lang w:val="en-US"/>
        </w:rPr>
        <w:t xml:space="preserve">building contacts are central to our </w:t>
      </w:r>
      <w:r>
        <w:rPr>
          <w:rFonts w:cstheme="minorHAnsi"/>
          <w:lang w:val="en-US"/>
        </w:rPr>
        <w:t>industry!</w:t>
      </w:r>
      <w:r w:rsidR="00F74BCF">
        <w:rPr>
          <w:rFonts w:cstheme="minorHAnsi"/>
          <w:lang w:val="en-US"/>
        </w:rPr>
        <w:t xml:space="preserve"> R3 and INSOL Europe are already eager to run the joint event next year!</w:t>
      </w:r>
    </w:p>
    <w:p w14:paraId="283EA56F" w14:textId="77777777" w:rsidR="00831770" w:rsidRPr="00831770" w:rsidRDefault="00831770" w:rsidP="00831770">
      <w:pPr>
        <w:rPr>
          <w:rFonts w:eastAsia="Times New Roman" w:cstheme="minorHAnsi"/>
          <w:kern w:val="0"/>
          <w:lang w:val="en-US" w:eastAsia="fr-FR"/>
          <w14:ligatures w14:val="none"/>
        </w:rPr>
      </w:pPr>
    </w:p>
    <w:sectPr w:rsidR="00831770" w:rsidRPr="008317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61A7" w14:textId="77777777" w:rsidR="0059781E" w:rsidRDefault="0059781E" w:rsidP="00C0327B">
      <w:pPr>
        <w:spacing w:after="0" w:line="240" w:lineRule="auto"/>
      </w:pPr>
      <w:r>
        <w:separator/>
      </w:r>
    </w:p>
  </w:endnote>
  <w:endnote w:type="continuationSeparator" w:id="0">
    <w:p w14:paraId="7C39D7E8" w14:textId="77777777" w:rsidR="0059781E" w:rsidRDefault="0059781E" w:rsidP="00C0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3272" w14:textId="77777777" w:rsidR="0059781E" w:rsidRDefault="0059781E" w:rsidP="00C0327B">
      <w:pPr>
        <w:spacing w:after="0" w:line="240" w:lineRule="auto"/>
      </w:pPr>
      <w:r>
        <w:separator/>
      </w:r>
    </w:p>
  </w:footnote>
  <w:footnote w:type="continuationSeparator" w:id="0">
    <w:p w14:paraId="706D673E" w14:textId="77777777" w:rsidR="0059781E" w:rsidRDefault="0059781E" w:rsidP="00C0327B">
      <w:pPr>
        <w:spacing w:after="0" w:line="240" w:lineRule="auto"/>
      </w:pPr>
      <w:r>
        <w:continuationSeparator/>
      </w:r>
    </w:p>
  </w:footnote>
  <w:footnote w:id="1">
    <w:p w14:paraId="50FA117B" w14:textId="303E0590" w:rsidR="00831770" w:rsidRDefault="00831770">
      <w:pPr>
        <w:pStyle w:val="Notedebasdepage"/>
      </w:pPr>
      <w:r>
        <w:rPr>
          <w:rStyle w:val="Appelnotedebasdep"/>
        </w:rPr>
        <w:footnoteRef/>
      </w:r>
      <w:r>
        <w:t xml:space="preserve"> </w:t>
      </w:r>
      <w:hyperlink r:id="rId1" w:history="1">
        <w:r w:rsidR="000108B0" w:rsidRPr="006E2296">
          <w:rPr>
            <w:rStyle w:val="Lienhypertexte"/>
          </w:rPr>
          <w:t>https://www.insol-europe.org/technical-content/insol-europelexispsl-joint-projects</w:t>
        </w:r>
      </w:hyperlink>
      <w:r w:rsidR="000108B0">
        <w:t xml:space="preserve"> </w:t>
      </w:r>
    </w:p>
  </w:footnote>
  <w:footnote w:id="2">
    <w:p w14:paraId="5C6EACB3" w14:textId="0F122B2C" w:rsidR="00831770" w:rsidRDefault="00831770">
      <w:pPr>
        <w:pStyle w:val="Notedebasdepage"/>
      </w:pPr>
      <w:r>
        <w:rPr>
          <w:rStyle w:val="Appelnotedebasdep"/>
        </w:rPr>
        <w:footnoteRef/>
      </w:r>
      <w:r>
        <w:t xml:space="preserve"> </w:t>
      </w:r>
      <w:hyperlink r:id="rId2" w:history="1">
        <w:r w:rsidRPr="0022276F">
          <w:rPr>
            <w:rStyle w:val="Lienhypertexte"/>
          </w:rPr>
          <w:t>https://commission.europa.eu/system/files/2023-02/Final%20Report%20-%20Abusive%20Forum%20Shopping_Febr%202022.pdf</w:t>
        </w:r>
      </w:hyperlink>
      <w:r>
        <w:t xml:space="preserve"> </w:t>
      </w:r>
    </w:p>
  </w:footnote>
  <w:footnote w:id="3">
    <w:p w14:paraId="25F4581F" w14:textId="7D3DF5D6" w:rsidR="00831770" w:rsidRDefault="00831770">
      <w:pPr>
        <w:pStyle w:val="Notedebasdepage"/>
      </w:pPr>
      <w:r>
        <w:rPr>
          <w:rStyle w:val="Appelnotedebasdep"/>
        </w:rPr>
        <w:footnoteRef/>
      </w:r>
      <w:r>
        <w:t xml:space="preserve"> </w:t>
      </w:r>
      <w:hyperlink r:id="rId3" w:history="1">
        <w:r w:rsidRPr="0022276F">
          <w:rPr>
            <w:rStyle w:val="Lienhypertexte"/>
          </w:rPr>
          <w:t>https://www.europarl.europa.eu/thinktank/en/document/IPOL_STU(2023)743340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77D03"/>
    <w:multiLevelType w:val="multilevel"/>
    <w:tmpl w:val="6B76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895217"/>
    <w:multiLevelType w:val="multilevel"/>
    <w:tmpl w:val="28D4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568779">
    <w:abstractNumId w:val="1"/>
  </w:num>
  <w:num w:numId="2" w16cid:durableId="100127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3D"/>
    <w:rsid w:val="000108B0"/>
    <w:rsid w:val="00031F1E"/>
    <w:rsid w:val="00034EAC"/>
    <w:rsid w:val="00095E0B"/>
    <w:rsid w:val="000D1060"/>
    <w:rsid w:val="00130EB5"/>
    <w:rsid w:val="00160E8C"/>
    <w:rsid w:val="00191312"/>
    <w:rsid w:val="001B103F"/>
    <w:rsid w:val="001B26E0"/>
    <w:rsid w:val="002347C7"/>
    <w:rsid w:val="00357643"/>
    <w:rsid w:val="003801DA"/>
    <w:rsid w:val="003D4415"/>
    <w:rsid w:val="003D7DCD"/>
    <w:rsid w:val="004D187A"/>
    <w:rsid w:val="004F4650"/>
    <w:rsid w:val="005176F6"/>
    <w:rsid w:val="0059781E"/>
    <w:rsid w:val="005A104F"/>
    <w:rsid w:val="006C4DE5"/>
    <w:rsid w:val="006E243D"/>
    <w:rsid w:val="007A1755"/>
    <w:rsid w:val="007A7903"/>
    <w:rsid w:val="00831770"/>
    <w:rsid w:val="008B5E49"/>
    <w:rsid w:val="00A30D9D"/>
    <w:rsid w:val="00A57AE2"/>
    <w:rsid w:val="00A73C62"/>
    <w:rsid w:val="00AD2BD1"/>
    <w:rsid w:val="00AE1E84"/>
    <w:rsid w:val="00B85B50"/>
    <w:rsid w:val="00C0327B"/>
    <w:rsid w:val="00C377F0"/>
    <w:rsid w:val="00C6578E"/>
    <w:rsid w:val="00C80EBC"/>
    <w:rsid w:val="00C8165D"/>
    <w:rsid w:val="00D112CA"/>
    <w:rsid w:val="00DF4EB2"/>
    <w:rsid w:val="00DF643D"/>
    <w:rsid w:val="00E2256C"/>
    <w:rsid w:val="00E41B2C"/>
    <w:rsid w:val="00E66202"/>
    <w:rsid w:val="00E72A3B"/>
    <w:rsid w:val="00ED7CF5"/>
    <w:rsid w:val="00EE1DF9"/>
    <w:rsid w:val="00EE555A"/>
    <w:rsid w:val="00F74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FC8D"/>
  <w15:chartTrackingRefBased/>
  <w15:docId w15:val="{D4F9164E-FE1A-46A7-8AE1-08781640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73C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377F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377F0"/>
    <w:rPr>
      <w:b/>
      <w:bCs/>
    </w:rPr>
  </w:style>
  <w:style w:type="character" w:styleId="Lienhypertexte">
    <w:name w:val="Hyperlink"/>
    <w:basedOn w:val="Policepardfaut"/>
    <w:uiPriority w:val="99"/>
    <w:unhideWhenUsed/>
    <w:rsid w:val="00C377F0"/>
    <w:rPr>
      <w:color w:val="0000FF"/>
      <w:u w:val="single"/>
    </w:rPr>
  </w:style>
  <w:style w:type="character" w:customStyle="1" w:styleId="il">
    <w:name w:val="il"/>
    <w:basedOn w:val="Policepardfaut"/>
    <w:rsid w:val="00C377F0"/>
  </w:style>
  <w:style w:type="character" w:styleId="Accentuation">
    <w:name w:val="Emphasis"/>
    <w:basedOn w:val="Policepardfaut"/>
    <w:uiPriority w:val="20"/>
    <w:qFormat/>
    <w:rsid w:val="00C377F0"/>
    <w:rPr>
      <w:i/>
      <w:iCs/>
    </w:rPr>
  </w:style>
  <w:style w:type="character" w:customStyle="1" w:styleId="Titre1Car">
    <w:name w:val="Titre 1 Car"/>
    <w:basedOn w:val="Policepardfaut"/>
    <w:link w:val="Titre1"/>
    <w:uiPriority w:val="9"/>
    <w:rsid w:val="00A73C62"/>
    <w:rPr>
      <w:rFonts w:ascii="Times New Roman" w:eastAsia="Times New Roman" w:hAnsi="Times New Roman" w:cs="Times New Roman"/>
      <w:b/>
      <w:bCs/>
      <w:kern w:val="36"/>
      <w:sz w:val="48"/>
      <w:szCs w:val="48"/>
      <w:lang w:eastAsia="fr-FR"/>
      <w14:ligatures w14:val="none"/>
    </w:rPr>
  </w:style>
  <w:style w:type="paragraph" w:customStyle="1" w:styleId="texttext1fzle">
    <w:name w:val="text__text__1fzle"/>
    <w:basedOn w:val="Normal"/>
    <w:rsid w:val="003801D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Default">
    <w:name w:val="Default"/>
    <w:rsid w:val="007A1755"/>
    <w:pPr>
      <w:autoSpaceDE w:val="0"/>
      <w:autoSpaceDN w:val="0"/>
      <w:adjustRightInd w:val="0"/>
      <w:spacing w:after="0" w:line="240" w:lineRule="auto"/>
    </w:pPr>
    <w:rPr>
      <w:rFonts w:ascii="Myriad Pro" w:hAnsi="Myriad Pro" w:cs="Myriad Pro"/>
      <w:color w:val="000000"/>
      <w:kern w:val="0"/>
      <w:sz w:val="24"/>
      <w:szCs w:val="24"/>
    </w:rPr>
  </w:style>
  <w:style w:type="paragraph" w:styleId="Notedebasdepage">
    <w:name w:val="footnote text"/>
    <w:basedOn w:val="Normal"/>
    <w:link w:val="NotedebasdepageCar"/>
    <w:uiPriority w:val="99"/>
    <w:semiHidden/>
    <w:unhideWhenUsed/>
    <w:rsid w:val="00C0327B"/>
    <w:pPr>
      <w:spacing w:after="0" w:line="240" w:lineRule="auto"/>
    </w:pPr>
    <w:rPr>
      <w:kern w:val="0"/>
      <w:sz w:val="20"/>
      <w:szCs w:val="20"/>
      <w14:ligatures w14:val="none"/>
    </w:rPr>
  </w:style>
  <w:style w:type="character" w:customStyle="1" w:styleId="NotedebasdepageCar">
    <w:name w:val="Note de bas de page Car"/>
    <w:basedOn w:val="Policepardfaut"/>
    <w:link w:val="Notedebasdepage"/>
    <w:uiPriority w:val="99"/>
    <w:semiHidden/>
    <w:rsid w:val="00C0327B"/>
    <w:rPr>
      <w:kern w:val="0"/>
      <w:sz w:val="20"/>
      <w:szCs w:val="20"/>
      <w14:ligatures w14:val="none"/>
    </w:rPr>
  </w:style>
  <w:style w:type="character" w:styleId="Appelnotedebasdep">
    <w:name w:val="footnote reference"/>
    <w:basedOn w:val="Policepardfaut"/>
    <w:uiPriority w:val="99"/>
    <w:semiHidden/>
    <w:unhideWhenUsed/>
    <w:rsid w:val="00C0327B"/>
    <w:rPr>
      <w:vertAlign w:val="superscript"/>
    </w:rPr>
  </w:style>
  <w:style w:type="paragraph" w:customStyle="1" w:styleId="title-bold">
    <w:name w:val="title-bold"/>
    <w:basedOn w:val="Normal"/>
    <w:rsid w:val="00C0327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831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3194">
      <w:bodyDiv w:val="1"/>
      <w:marLeft w:val="0"/>
      <w:marRight w:val="0"/>
      <w:marTop w:val="0"/>
      <w:marBottom w:val="0"/>
      <w:divBdr>
        <w:top w:val="none" w:sz="0" w:space="0" w:color="auto"/>
        <w:left w:val="none" w:sz="0" w:space="0" w:color="auto"/>
        <w:bottom w:val="none" w:sz="0" w:space="0" w:color="auto"/>
        <w:right w:val="none" w:sz="0" w:space="0" w:color="auto"/>
      </w:divBdr>
    </w:div>
    <w:div w:id="488130771">
      <w:bodyDiv w:val="1"/>
      <w:marLeft w:val="0"/>
      <w:marRight w:val="0"/>
      <w:marTop w:val="0"/>
      <w:marBottom w:val="0"/>
      <w:divBdr>
        <w:top w:val="none" w:sz="0" w:space="0" w:color="auto"/>
        <w:left w:val="none" w:sz="0" w:space="0" w:color="auto"/>
        <w:bottom w:val="none" w:sz="0" w:space="0" w:color="auto"/>
        <w:right w:val="none" w:sz="0" w:space="0" w:color="auto"/>
      </w:divBdr>
    </w:div>
    <w:div w:id="489253110">
      <w:bodyDiv w:val="1"/>
      <w:marLeft w:val="0"/>
      <w:marRight w:val="0"/>
      <w:marTop w:val="0"/>
      <w:marBottom w:val="0"/>
      <w:divBdr>
        <w:top w:val="none" w:sz="0" w:space="0" w:color="auto"/>
        <w:left w:val="none" w:sz="0" w:space="0" w:color="auto"/>
        <w:bottom w:val="none" w:sz="0" w:space="0" w:color="auto"/>
        <w:right w:val="none" w:sz="0" w:space="0" w:color="auto"/>
      </w:divBdr>
    </w:div>
    <w:div w:id="553276963">
      <w:bodyDiv w:val="1"/>
      <w:marLeft w:val="0"/>
      <w:marRight w:val="0"/>
      <w:marTop w:val="0"/>
      <w:marBottom w:val="0"/>
      <w:divBdr>
        <w:top w:val="none" w:sz="0" w:space="0" w:color="auto"/>
        <w:left w:val="none" w:sz="0" w:space="0" w:color="auto"/>
        <w:bottom w:val="none" w:sz="0" w:space="0" w:color="auto"/>
        <w:right w:val="none" w:sz="0" w:space="0" w:color="auto"/>
      </w:divBdr>
    </w:div>
    <w:div w:id="769931666">
      <w:bodyDiv w:val="1"/>
      <w:marLeft w:val="0"/>
      <w:marRight w:val="0"/>
      <w:marTop w:val="0"/>
      <w:marBottom w:val="0"/>
      <w:divBdr>
        <w:top w:val="none" w:sz="0" w:space="0" w:color="auto"/>
        <w:left w:val="none" w:sz="0" w:space="0" w:color="auto"/>
        <w:bottom w:val="none" w:sz="0" w:space="0" w:color="auto"/>
        <w:right w:val="none" w:sz="0" w:space="0" w:color="auto"/>
      </w:divBdr>
    </w:div>
    <w:div w:id="892811269">
      <w:bodyDiv w:val="1"/>
      <w:marLeft w:val="0"/>
      <w:marRight w:val="0"/>
      <w:marTop w:val="0"/>
      <w:marBottom w:val="0"/>
      <w:divBdr>
        <w:top w:val="none" w:sz="0" w:space="0" w:color="auto"/>
        <w:left w:val="none" w:sz="0" w:space="0" w:color="auto"/>
        <w:bottom w:val="none" w:sz="0" w:space="0" w:color="auto"/>
        <w:right w:val="none" w:sz="0" w:space="0" w:color="auto"/>
      </w:divBdr>
    </w:div>
    <w:div w:id="954410933">
      <w:bodyDiv w:val="1"/>
      <w:marLeft w:val="0"/>
      <w:marRight w:val="0"/>
      <w:marTop w:val="0"/>
      <w:marBottom w:val="0"/>
      <w:divBdr>
        <w:top w:val="none" w:sz="0" w:space="0" w:color="auto"/>
        <w:left w:val="none" w:sz="0" w:space="0" w:color="auto"/>
        <w:bottom w:val="none" w:sz="0" w:space="0" w:color="auto"/>
        <w:right w:val="none" w:sz="0" w:space="0" w:color="auto"/>
      </w:divBdr>
      <w:divsChild>
        <w:div w:id="954600227">
          <w:marLeft w:val="0"/>
          <w:marRight w:val="0"/>
          <w:marTop w:val="0"/>
          <w:marBottom w:val="0"/>
          <w:divBdr>
            <w:top w:val="none" w:sz="0" w:space="0" w:color="auto"/>
            <w:left w:val="none" w:sz="0" w:space="0" w:color="auto"/>
            <w:bottom w:val="none" w:sz="0" w:space="0" w:color="auto"/>
            <w:right w:val="none" w:sz="0" w:space="0" w:color="auto"/>
          </w:divBdr>
          <w:divsChild>
            <w:div w:id="18021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2874">
      <w:bodyDiv w:val="1"/>
      <w:marLeft w:val="0"/>
      <w:marRight w:val="0"/>
      <w:marTop w:val="0"/>
      <w:marBottom w:val="0"/>
      <w:divBdr>
        <w:top w:val="none" w:sz="0" w:space="0" w:color="auto"/>
        <w:left w:val="none" w:sz="0" w:space="0" w:color="auto"/>
        <w:bottom w:val="none" w:sz="0" w:space="0" w:color="auto"/>
        <w:right w:val="none" w:sz="0" w:space="0" w:color="auto"/>
      </w:divBdr>
    </w:div>
    <w:div w:id="1411541459">
      <w:bodyDiv w:val="1"/>
      <w:marLeft w:val="0"/>
      <w:marRight w:val="0"/>
      <w:marTop w:val="0"/>
      <w:marBottom w:val="0"/>
      <w:divBdr>
        <w:top w:val="none" w:sz="0" w:space="0" w:color="auto"/>
        <w:left w:val="none" w:sz="0" w:space="0" w:color="auto"/>
        <w:bottom w:val="none" w:sz="0" w:space="0" w:color="auto"/>
        <w:right w:val="none" w:sz="0" w:space="0" w:color="auto"/>
      </w:divBdr>
    </w:div>
    <w:div w:id="1476680142">
      <w:bodyDiv w:val="1"/>
      <w:marLeft w:val="0"/>
      <w:marRight w:val="0"/>
      <w:marTop w:val="0"/>
      <w:marBottom w:val="0"/>
      <w:divBdr>
        <w:top w:val="none" w:sz="0" w:space="0" w:color="auto"/>
        <w:left w:val="none" w:sz="0" w:space="0" w:color="auto"/>
        <w:bottom w:val="none" w:sz="0" w:space="0" w:color="auto"/>
        <w:right w:val="none" w:sz="0" w:space="0" w:color="auto"/>
      </w:divBdr>
    </w:div>
    <w:div w:id="2032611723">
      <w:bodyDiv w:val="1"/>
      <w:marLeft w:val="0"/>
      <w:marRight w:val="0"/>
      <w:marTop w:val="0"/>
      <w:marBottom w:val="0"/>
      <w:divBdr>
        <w:top w:val="none" w:sz="0" w:space="0" w:color="auto"/>
        <w:left w:val="none" w:sz="0" w:space="0" w:color="auto"/>
        <w:bottom w:val="none" w:sz="0" w:space="0" w:color="auto"/>
        <w:right w:val="none" w:sz="0" w:space="0" w:color="auto"/>
      </w:divBdr>
    </w:div>
    <w:div w:id="2062747232">
      <w:bodyDiv w:val="1"/>
      <w:marLeft w:val="0"/>
      <w:marRight w:val="0"/>
      <w:marTop w:val="0"/>
      <w:marBottom w:val="0"/>
      <w:divBdr>
        <w:top w:val="none" w:sz="0" w:space="0" w:color="auto"/>
        <w:left w:val="none" w:sz="0" w:space="0" w:color="auto"/>
        <w:bottom w:val="none" w:sz="0" w:space="0" w:color="auto"/>
        <w:right w:val="none" w:sz="0" w:space="0" w:color="auto"/>
      </w:divBdr>
    </w:div>
    <w:div w:id="21120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thinktank/en/document/IPOL_STU(2023)743340" TargetMode="External"/><Relationship Id="rId2" Type="http://schemas.openxmlformats.org/officeDocument/2006/relationships/hyperlink" Target="https://commission.europa.eu/system/files/2023-02/Final%20Report%20-%20Abusive%20Forum%20Shopping_Febr%202022.pdf" TargetMode="External"/><Relationship Id="rId1" Type="http://schemas.openxmlformats.org/officeDocument/2006/relationships/hyperlink" Target="https://www.insol-europe.org/technical-content/insol-europelexispsl-joint-projec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76E9-475A-4946-8F83-B3F9CDE2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1947</Words>
  <Characters>10710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Inacio</dc:creator>
  <cp:keywords/>
  <dc:description/>
  <cp:lastModifiedBy>Emmanuelle Inacio</cp:lastModifiedBy>
  <cp:revision>2</cp:revision>
  <dcterms:created xsi:type="dcterms:W3CDTF">2023-06-26T15:46:00Z</dcterms:created>
  <dcterms:modified xsi:type="dcterms:W3CDTF">2023-06-26T15:46:00Z</dcterms:modified>
</cp:coreProperties>
</file>