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C55F4F" w:rsidRDefault="005D783E" w:rsidP="003C338F">
      <w:pPr>
        <w:tabs>
          <w:tab w:val="left" w:pos="474"/>
        </w:tabs>
        <w:spacing w:after="0"/>
        <w:contextualSpacing/>
        <w:rPr>
          <w:rFonts w:ascii="Times New Roman" w:hAnsi="Times New Roman"/>
          <w:sz w:val="24"/>
          <w:szCs w:val="24"/>
        </w:rPr>
      </w:pPr>
    </w:p>
    <w:p w14:paraId="39E9118B" w14:textId="561C5F5A" w:rsidR="00617533" w:rsidRPr="00C55F4F" w:rsidRDefault="00492065" w:rsidP="008609CB">
      <w:pPr>
        <w:spacing w:after="0"/>
        <w:contextualSpacing/>
        <w:jc w:val="center"/>
        <w:rPr>
          <w:rFonts w:ascii="Times New Roman" w:hAnsi="Times New Roman"/>
          <w:b/>
          <w:sz w:val="24"/>
          <w:szCs w:val="24"/>
        </w:rPr>
      </w:pPr>
      <w:r w:rsidRPr="00C55F4F">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C55F4F" w:rsidRDefault="00617533" w:rsidP="008609CB">
      <w:pPr>
        <w:spacing w:after="0"/>
        <w:contextualSpacing/>
        <w:jc w:val="center"/>
        <w:rPr>
          <w:rFonts w:ascii="Times New Roman" w:hAnsi="Times New Roman"/>
          <w:b/>
          <w:sz w:val="24"/>
          <w:szCs w:val="24"/>
        </w:rPr>
      </w:pPr>
    </w:p>
    <w:p w14:paraId="2C7EFD65" w14:textId="3DB3A2AF" w:rsidR="00617533" w:rsidRPr="00C55F4F" w:rsidRDefault="00617533" w:rsidP="008609CB">
      <w:pPr>
        <w:spacing w:after="0"/>
        <w:contextualSpacing/>
        <w:jc w:val="center"/>
        <w:rPr>
          <w:rFonts w:ascii="Times New Roman" w:hAnsi="Times New Roman"/>
          <w:b/>
          <w:sz w:val="36"/>
          <w:szCs w:val="36"/>
        </w:rPr>
      </w:pPr>
      <w:r w:rsidRPr="00C55F4F">
        <w:rPr>
          <w:rFonts w:ascii="Times New Roman" w:hAnsi="Times New Roman"/>
          <w:b/>
          <w:sz w:val="36"/>
          <w:szCs w:val="36"/>
        </w:rPr>
        <w:t xml:space="preserve">Inside Story – </w:t>
      </w:r>
      <w:r w:rsidR="00570F35" w:rsidRPr="00C55F4F">
        <w:rPr>
          <w:rFonts w:ascii="Times New Roman" w:hAnsi="Times New Roman"/>
          <w:b/>
          <w:sz w:val="36"/>
          <w:szCs w:val="36"/>
        </w:rPr>
        <w:t>September</w:t>
      </w:r>
      <w:r w:rsidR="00786CA6" w:rsidRPr="00C55F4F">
        <w:rPr>
          <w:rFonts w:ascii="Times New Roman" w:hAnsi="Times New Roman"/>
          <w:b/>
          <w:sz w:val="36"/>
          <w:szCs w:val="36"/>
        </w:rPr>
        <w:t xml:space="preserve"> </w:t>
      </w:r>
      <w:r w:rsidRPr="00C55F4F">
        <w:rPr>
          <w:rFonts w:ascii="Times New Roman" w:hAnsi="Times New Roman"/>
          <w:b/>
          <w:sz w:val="36"/>
          <w:szCs w:val="36"/>
        </w:rPr>
        <w:t>20</w:t>
      </w:r>
      <w:r w:rsidR="00782731" w:rsidRPr="00C55F4F">
        <w:rPr>
          <w:rFonts w:ascii="Times New Roman" w:hAnsi="Times New Roman"/>
          <w:b/>
          <w:sz w:val="36"/>
          <w:szCs w:val="36"/>
        </w:rPr>
        <w:t>2</w:t>
      </w:r>
      <w:r w:rsidR="007E0056" w:rsidRPr="00C55F4F">
        <w:rPr>
          <w:rFonts w:ascii="Times New Roman" w:hAnsi="Times New Roman"/>
          <w:b/>
          <w:sz w:val="36"/>
          <w:szCs w:val="36"/>
        </w:rPr>
        <w:t>3</w:t>
      </w:r>
    </w:p>
    <w:p w14:paraId="1ECBC4F0" w14:textId="77777777" w:rsidR="00617533" w:rsidRPr="00C55F4F" w:rsidRDefault="00617533" w:rsidP="008609CB">
      <w:pPr>
        <w:spacing w:after="0"/>
        <w:contextualSpacing/>
        <w:jc w:val="center"/>
        <w:rPr>
          <w:rFonts w:ascii="Times New Roman" w:hAnsi="Times New Roman"/>
          <w:b/>
          <w:sz w:val="24"/>
          <w:szCs w:val="24"/>
        </w:rPr>
      </w:pPr>
    </w:p>
    <w:p w14:paraId="11E69E17" w14:textId="77777777" w:rsidR="00C55F4F" w:rsidRPr="00C55F4F" w:rsidRDefault="00C55F4F" w:rsidP="005D72D5">
      <w:pPr>
        <w:spacing w:after="0"/>
        <w:jc w:val="center"/>
        <w:rPr>
          <w:rFonts w:ascii="Times New Roman" w:hAnsi="Times New Roman"/>
          <w:b/>
          <w:bCs/>
          <w:sz w:val="28"/>
          <w:szCs w:val="28"/>
        </w:rPr>
      </w:pPr>
      <w:r w:rsidRPr="00C55F4F">
        <w:rPr>
          <w:rFonts w:ascii="Times New Roman" w:hAnsi="Times New Roman"/>
          <w:b/>
          <w:bCs/>
          <w:sz w:val="28"/>
          <w:szCs w:val="28"/>
        </w:rPr>
        <w:t>Pushing the Envelope in Times of War:</w:t>
      </w:r>
    </w:p>
    <w:p w14:paraId="06ED0B51" w14:textId="474766D5" w:rsidR="00C55F4F" w:rsidRPr="00C55F4F" w:rsidRDefault="00C55F4F" w:rsidP="005D72D5">
      <w:pPr>
        <w:spacing w:after="0"/>
        <w:jc w:val="center"/>
        <w:rPr>
          <w:rFonts w:ascii="Times New Roman" w:hAnsi="Times New Roman"/>
          <w:b/>
          <w:bCs/>
          <w:sz w:val="28"/>
          <w:szCs w:val="28"/>
        </w:rPr>
      </w:pPr>
      <w:r w:rsidRPr="00C55F4F">
        <w:rPr>
          <w:rFonts w:ascii="Times New Roman" w:hAnsi="Times New Roman"/>
          <w:b/>
          <w:bCs/>
          <w:sz w:val="28"/>
          <w:szCs w:val="28"/>
        </w:rPr>
        <w:t>Insolvency-Related Judgments and</w:t>
      </w:r>
    </w:p>
    <w:p w14:paraId="550B630D" w14:textId="4ED7C903" w:rsidR="005D72D5" w:rsidRPr="00C55F4F" w:rsidRDefault="00C55F4F" w:rsidP="005D72D5">
      <w:pPr>
        <w:spacing w:after="0"/>
        <w:jc w:val="center"/>
        <w:rPr>
          <w:rFonts w:ascii="Times New Roman" w:hAnsi="Times New Roman"/>
          <w:b/>
          <w:bCs/>
          <w:sz w:val="28"/>
          <w:szCs w:val="28"/>
        </w:rPr>
      </w:pPr>
      <w:r w:rsidRPr="00C55F4F">
        <w:rPr>
          <w:rFonts w:ascii="Times New Roman" w:hAnsi="Times New Roman"/>
          <w:b/>
          <w:bCs/>
          <w:sz w:val="28"/>
          <w:szCs w:val="28"/>
        </w:rPr>
        <w:t>Ukraine’s Recent Insolvency Court Practice</w:t>
      </w:r>
    </w:p>
    <w:p w14:paraId="75DFE654" w14:textId="77777777" w:rsidR="00E71E7B" w:rsidRPr="00C55F4F" w:rsidRDefault="00E71E7B" w:rsidP="008609CB">
      <w:pPr>
        <w:spacing w:after="0"/>
        <w:contextualSpacing/>
        <w:jc w:val="center"/>
        <w:rPr>
          <w:rFonts w:ascii="Times New Roman" w:hAnsi="Times New Roman"/>
          <w:sz w:val="28"/>
          <w:szCs w:val="28"/>
        </w:rPr>
      </w:pPr>
    </w:p>
    <w:p w14:paraId="7C3F9ABE" w14:textId="542FBF9A" w:rsidR="00570F35" w:rsidRPr="00C55F4F" w:rsidRDefault="00570F35" w:rsidP="00570F35">
      <w:pPr>
        <w:spacing w:after="0"/>
        <w:contextualSpacing/>
        <w:jc w:val="center"/>
        <w:rPr>
          <w:rFonts w:ascii="Times New Roman" w:hAnsi="Times New Roman"/>
          <w:i/>
          <w:iCs/>
          <w:sz w:val="20"/>
        </w:rPr>
      </w:pPr>
      <w:r w:rsidRPr="00C55F4F">
        <w:rPr>
          <w:rFonts w:ascii="Times New Roman" w:hAnsi="Times New Roman"/>
          <w:i/>
          <w:iCs/>
          <w:sz w:val="20"/>
        </w:rPr>
        <w:t xml:space="preserve">Dr Olha </w:t>
      </w:r>
      <w:r w:rsidRPr="00C55F4F">
        <w:rPr>
          <w:rFonts w:ascii="Times New Roman" w:hAnsi="Times New Roman"/>
          <w:i/>
          <w:iCs/>
          <w:sz w:val="20"/>
        </w:rPr>
        <w:t>Stakheyeva-Bogovyk</w:t>
      </w:r>
      <w:r w:rsidRPr="00C55F4F">
        <w:rPr>
          <w:rFonts w:ascii="Times New Roman" w:hAnsi="Times New Roman"/>
          <w:i/>
          <w:iCs/>
          <w:sz w:val="20"/>
        </w:rPr>
        <w:t xml:space="preserve">, </w:t>
      </w:r>
      <w:r w:rsidRPr="00C55F4F">
        <w:rPr>
          <w:rFonts w:ascii="Times New Roman" w:hAnsi="Times New Roman"/>
          <w:i/>
          <w:iCs/>
          <w:sz w:val="20"/>
        </w:rPr>
        <w:t>Attorney-at-law</w:t>
      </w:r>
      <w:r w:rsidRPr="00C55F4F">
        <w:rPr>
          <w:rFonts w:ascii="Times New Roman" w:hAnsi="Times New Roman"/>
          <w:i/>
          <w:iCs/>
          <w:sz w:val="20"/>
        </w:rPr>
        <w:t>,</w:t>
      </w:r>
      <w:r w:rsidRPr="00C55F4F">
        <w:rPr>
          <w:rFonts w:ascii="Times New Roman" w:hAnsi="Times New Roman"/>
          <w:i/>
          <w:iCs/>
          <w:sz w:val="20"/>
        </w:rPr>
        <w:t xml:space="preserve"> Ukraine</w:t>
      </w:r>
      <w:r w:rsidRPr="00C55F4F">
        <w:rPr>
          <w:rFonts w:ascii="Times New Roman" w:hAnsi="Times New Roman"/>
          <w:i/>
          <w:iCs/>
          <w:sz w:val="20"/>
        </w:rPr>
        <w:t>;</w:t>
      </w:r>
    </w:p>
    <w:p w14:paraId="7A695652" w14:textId="77777777" w:rsidR="00570F35" w:rsidRPr="00C55F4F" w:rsidRDefault="00570F35" w:rsidP="00570F35">
      <w:pPr>
        <w:spacing w:after="0"/>
        <w:contextualSpacing/>
        <w:jc w:val="center"/>
        <w:rPr>
          <w:rFonts w:ascii="Times New Roman" w:hAnsi="Times New Roman"/>
          <w:i/>
          <w:iCs/>
          <w:sz w:val="20"/>
        </w:rPr>
      </w:pPr>
      <w:r w:rsidRPr="00C55F4F">
        <w:rPr>
          <w:rFonts w:ascii="Times New Roman" w:hAnsi="Times New Roman"/>
          <w:i/>
          <w:iCs/>
          <w:sz w:val="20"/>
        </w:rPr>
        <w:t>Associate</w:t>
      </w:r>
      <w:r w:rsidRPr="00C55F4F">
        <w:rPr>
          <w:rFonts w:ascii="Times New Roman" w:hAnsi="Times New Roman"/>
          <w:i/>
          <w:iCs/>
          <w:sz w:val="20"/>
        </w:rPr>
        <w:t>,</w:t>
      </w:r>
      <w:r w:rsidRPr="00C55F4F">
        <w:rPr>
          <w:rFonts w:ascii="Times New Roman" w:hAnsi="Times New Roman"/>
          <w:i/>
          <w:iCs/>
          <w:sz w:val="20"/>
        </w:rPr>
        <w:t xml:space="preserve"> McDermott Will &amp; Emery UK LLP</w:t>
      </w:r>
      <w:r w:rsidRPr="00C55F4F">
        <w:rPr>
          <w:rFonts w:ascii="Times New Roman" w:hAnsi="Times New Roman"/>
          <w:i/>
          <w:iCs/>
          <w:sz w:val="20"/>
        </w:rPr>
        <w:t>.</w:t>
      </w:r>
    </w:p>
    <w:p w14:paraId="716971A7" w14:textId="3621721D" w:rsidR="00104015" w:rsidRPr="00C55F4F" w:rsidRDefault="00570F35" w:rsidP="00570F35">
      <w:pPr>
        <w:spacing w:after="0"/>
        <w:contextualSpacing/>
        <w:jc w:val="center"/>
        <w:rPr>
          <w:rFonts w:ascii="Times New Roman" w:hAnsi="Times New Roman"/>
          <w:i/>
          <w:iCs/>
          <w:sz w:val="20"/>
          <w:shd w:val="clear" w:color="auto" w:fill="FFFFFF"/>
        </w:rPr>
      </w:pPr>
      <w:r w:rsidRPr="00C55F4F">
        <w:rPr>
          <w:rFonts w:ascii="Times New Roman" w:hAnsi="Times New Roman"/>
          <w:i/>
          <w:iCs/>
          <w:sz w:val="20"/>
        </w:rPr>
        <w:t>E-mail: &lt;</w:t>
      </w:r>
      <w:hyperlink r:id="rId9" w:history="1">
        <w:r w:rsidRPr="00C55F4F">
          <w:rPr>
            <w:rStyle w:val="Hyperlink"/>
            <w:rFonts w:ascii="Times New Roman" w:hAnsi="Times New Roman"/>
            <w:i/>
            <w:iCs/>
            <w:color w:val="auto"/>
            <w:sz w:val="20"/>
            <w:u w:val="none"/>
          </w:rPr>
          <w:t>ostakheyeva-bogovyk@mwe.com</w:t>
        </w:r>
      </w:hyperlink>
      <w:r w:rsidR="005D72D5" w:rsidRPr="00C55F4F">
        <w:rPr>
          <w:rFonts w:ascii="Times New Roman" w:hAnsi="Times New Roman"/>
          <w:i/>
          <w:iCs/>
          <w:sz w:val="20"/>
          <w:shd w:val="clear" w:color="auto" w:fill="FFFFFF"/>
        </w:rPr>
        <w:t>&gt;.</w:t>
      </w:r>
    </w:p>
    <w:p w14:paraId="127C267D" w14:textId="77777777" w:rsidR="00E71E7B" w:rsidRPr="00C55F4F" w:rsidRDefault="00E71E7B" w:rsidP="001E7A6F">
      <w:pPr>
        <w:spacing w:after="0"/>
        <w:contextualSpacing/>
        <w:rPr>
          <w:rFonts w:ascii="Times New Roman" w:hAnsi="Times New Roman"/>
          <w:i/>
          <w:sz w:val="24"/>
          <w:szCs w:val="24"/>
        </w:rPr>
      </w:pPr>
    </w:p>
    <w:p w14:paraId="3FDD4E1F" w14:textId="3DA5C6B1" w:rsidR="00E71E7B" w:rsidRPr="00C55F4F" w:rsidRDefault="00E71E7B" w:rsidP="005D72D5">
      <w:pPr>
        <w:spacing w:after="0"/>
        <w:contextualSpacing/>
        <w:rPr>
          <w:rFonts w:ascii="Times New Roman" w:hAnsi="Times New Roman"/>
          <w:sz w:val="24"/>
          <w:szCs w:val="24"/>
        </w:rPr>
      </w:pPr>
      <w:r w:rsidRPr="00C55F4F">
        <w:rPr>
          <w:rFonts w:ascii="Times New Roman" w:hAnsi="Times New Roman"/>
          <w:i/>
          <w:iCs/>
          <w:sz w:val="24"/>
          <w:szCs w:val="24"/>
        </w:rPr>
        <w:t>Introduction</w:t>
      </w:r>
    </w:p>
    <w:p w14:paraId="022788C5" w14:textId="77777777" w:rsidR="00E71E7B" w:rsidRPr="00C55F4F" w:rsidRDefault="00E71E7B" w:rsidP="00570F35">
      <w:pPr>
        <w:spacing w:after="0"/>
        <w:contextualSpacing/>
        <w:rPr>
          <w:rFonts w:ascii="Times New Roman" w:hAnsi="Times New Roman"/>
          <w:sz w:val="24"/>
          <w:szCs w:val="24"/>
        </w:rPr>
      </w:pPr>
    </w:p>
    <w:p w14:paraId="57411A56" w14:textId="5F9A24FF"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 xml:space="preserve">Russia’s military aggression against Ukraine since 24 February 2022 not only dramatically changed the lives of millions of Ukrainians, but inevitably triggered the need ‘to move faster’ and re-adjust to new war-related circumstances. The law and judiciary are no exception. </w:t>
      </w:r>
    </w:p>
    <w:p w14:paraId="75668F72" w14:textId="77777777" w:rsidR="00B724ED" w:rsidRPr="00C55F4F" w:rsidRDefault="00B724ED" w:rsidP="00570F35">
      <w:pPr>
        <w:spacing w:after="0"/>
        <w:contextualSpacing/>
        <w:rPr>
          <w:rFonts w:ascii="Times New Roman" w:hAnsi="Times New Roman"/>
          <w:sz w:val="24"/>
          <w:szCs w:val="24"/>
        </w:rPr>
      </w:pPr>
    </w:p>
    <w:p w14:paraId="779C43FC" w14:textId="3B1546A1"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 xml:space="preserve">This </w:t>
      </w:r>
      <w:r w:rsidR="00B724ED" w:rsidRPr="00C55F4F">
        <w:rPr>
          <w:rFonts w:ascii="Times New Roman" w:hAnsi="Times New Roman"/>
          <w:sz w:val="24"/>
          <w:szCs w:val="24"/>
        </w:rPr>
        <w:t>Inside Story</w:t>
      </w:r>
      <w:r w:rsidRPr="00C55F4F">
        <w:rPr>
          <w:rFonts w:ascii="Times New Roman" w:hAnsi="Times New Roman"/>
          <w:sz w:val="24"/>
          <w:szCs w:val="24"/>
        </w:rPr>
        <w:t xml:space="preserve"> aims to briefly shed light on Ukrainian recent landmark court practice in insolvency cases, which </w:t>
      </w:r>
      <w:r w:rsidR="00B724ED" w:rsidRPr="00C55F4F">
        <w:rPr>
          <w:rFonts w:ascii="Times New Roman" w:hAnsi="Times New Roman"/>
          <w:sz w:val="24"/>
          <w:szCs w:val="24"/>
        </w:rPr>
        <w:t xml:space="preserve">has </w:t>
      </w:r>
      <w:r w:rsidRPr="00C55F4F">
        <w:rPr>
          <w:rFonts w:ascii="Times New Roman" w:hAnsi="Times New Roman"/>
          <w:sz w:val="24"/>
          <w:szCs w:val="24"/>
        </w:rPr>
        <w:t>pushed the envelop</w:t>
      </w:r>
      <w:r w:rsidR="00B724ED" w:rsidRPr="00C55F4F">
        <w:rPr>
          <w:rFonts w:ascii="Times New Roman" w:hAnsi="Times New Roman"/>
          <w:sz w:val="24"/>
          <w:szCs w:val="24"/>
        </w:rPr>
        <w:t>e</w:t>
      </w:r>
      <w:r w:rsidRPr="00C55F4F">
        <w:rPr>
          <w:rFonts w:ascii="Times New Roman" w:hAnsi="Times New Roman"/>
          <w:sz w:val="24"/>
          <w:szCs w:val="24"/>
        </w:rPr>
        <w:t xml:space="preserve"> due to war circumstances and </w:t>
      </w:r>
      <w:r w:rsidR="00B724ED" w:rsidRPr="00C55F4F">
        <w:rPr>
          <w:rFonts w:ascii="Times New Roman" w:hAnsi="Times New Roman"/>
          <w:sz w:val="24"/>
          <w:szCs w:val="24"/>
        </w:rPr>
        <w:t xml:space="preserve">given </w:t>
      </w:r>
      <w:r w:rsidRPr="00C55F4F">
        <w:rPr>
          <w:rFonts w:ascii="Times New Roman" w:hAnsi="Times New Roman"/>
          <w:sz w:val="24"/>
          <w:szCs w:val="24"/>
        </w:rPr>
        <w:t>a green light to consider the debtor’s claims on compensation of damages caused by Russia’s aggression against Ukraine at the location of and within the debtor’s pending insolvency case in Ukraine.</w:t>
      </w:r>
    </w:p>
    <w:p w14:paraId="76F86BBF" w14:textId="77777777" w:rsidR="00B724ED" w:rsidRPr="00C55F4F" w:rsidRDefault="00B724ED" w:rsidP="00570F35">
      <w:pPr>
        <w:spacing w:after="0"/>
        <w:contextualSpacing/>
        <w:rPr>
          <w:rFonts w:ascii="Times New Roman" w:hAnsi="Times New Roman"/>
          <w:sz w:val="24"/>
          <w:szCs w:val="24"/>
        </w:rPr>
      </w:pPr>
    </w:p>
    <w:p w14:paraId="40E90638" w14:textId="7440DA02"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Naturally, this case further provides food for thought as to the prospects of qualifying such a court decision as ‘an insolvency-related judgment’ for the purposes of future recognition and enforcement thereof abroad with the view to the UNCITRAL Model Law On Recognition and Enforcement of Insolvency-Related Judgments (‘MLIRJ’).</w:t>
      </w:r>
    </w:p>
    <w:p w14:paraId="46A06CEF" w14:textId="77777777" w:rsidR="00570F35" w:rsidRPr="00C55F4F" w:rsidRDefault="00570F35" w:rsidP="00570F35">
      <w:pPr>
        <w:spacing w:after="0"/>
        <w:contextualSpacing/>
        <w:rPr>
          <w:rFonts w:ascii="Times New Roman" w:hAnsi="Times New Roman"/>
          <w:sz w:val="24"/>
          <w:szCs w:val="24"/>
        </w:rPr>
      </w:pPr>
    </w:p>
    <w:p w14:paraId="2A7953AF" w14:textId="6750CB2E" w:rsidR="00570F35" w:rsidRPr="00C55F4F" w:rsidRDefault="00570F35" w:rsidP="00570F35">
      <w:pPr>
        <w:spacing w:after="0"/>
        <w:contextualSpacing/>
        <w:rPr>
          <w:rFonts w:ascii="Times New Roman" w:hAnsi="Times New Roman"/>
          <w:i/>
          <w:iCs/>
          <w:sz w:val="24"/>
          <w:szCs w:val="24"/>
        </w:rPr>
      </w:pPr>
      <w:r w:rsidRPr="00C55F4F">
        <w:rPr>
          <w:rFonts w:ascii="Times New Roman" w:hAnsi="Times New Roman"/>
          <w:i/>
          <w:iCs/>
          <w:sz w:val="24"/>
          <w:szCs w:val="24"/>
        </w:rPr>
        <w:t xml:space="preserve">Ukrainian </w:t>
      </w:r>
      <w:r w:rsidR="00B724ED" w:rsidRPr="00C55F4F">
        <w:rPr>
          <w:rFonts w:ascii="Times New Roman" w:hAnsi="Times New Roman"/>
          <w:i/>
          <w:iCs/>
          <w:sz w:val="24"/>
          <w:szCs w:val="24"/>
        </w:rPr>
        <w:t>C</w:t>
      </w:r>
      <w:r w:rsidRPr="00C55F4F">
        <w:rPr>
          <w:rFonts w:ascii="Times New Roman" w:hAnsi="Times New Roman"/>
          <w:i/>
          <w:iCs/>
          <w:sz w:val="24"/>
          <w:szCs w:val="24"/>
        </w:rPr>
        <w:t xml:space="preserve">ourt </w:t>
      </w:r>
      <w:r w:rsidR="00B724ED" w:rsidRPr="00C55F4F">
        <w:rPr>
          <w:rFonts w:ascii="Times New Roman" w:hAnsi="Times New Roman"/>
          <w:i/>
          <w:iCs/>
          <w:sz w:val="24"/>
          <w:szCs w:val="24"/>
        </w:rPr>
        <w:t>P</w:t>
      </w:r>
      <w:r w:rsidRPr="00C55F4F">
        <w:rPr>
          <w:rFonts w:ascii="Times New Roman" w:hAnsi="Times New Roman"/>
          <w:i/>
          <w:iCs/>
          <w:sz w:val="24"/>
          <w:szCs w:val="24"/>
        </w:rPr>
        <w:t>ractice</w:t>
      </w:r>
    </w:p>
    <w:p w14:paraId="0B8C328D" w14:textId="77777777" w:rsidR="00570F35" w:rsidRPr="00C55F4F" w:rsidRDefault="00570F35" w:rsidP="00570F35">
      <w:pPr>
        <w:spacing w:after="0"/>
        <w:contextualSpacing/>
        <w:rPr>
          <w:rFonts w:ascii="Times New Roman" w:hAnsi="Times New Roman"/>
          <w:b/>
          <w:bCs/>
          <w:sz w:val="24"/>
          <w:szCs w:val="24"/>
        </w:rPr>
      </w:pPr>
    </w:p>
    <w:p w14:paraId="1C7BF3C3" w14:textId="09793D0E"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On 02 February 2023</w:t>
      </w:r>
      <w:r w:rsidR="00B724ED" w:rsidRPr="00C55F4F">
        <w:rPr>
          <w:rFonts w:ascii="Times New Roman" w:hAnsi="Times New Roman"/>
          <w:sz w:val="24"/>
          <w:szCs w:val="24"/>
        </w:rPr>
        <w:t>,</w:t>
      </w:r>
      <w:r w:rsidRPr="00C55F4F">
        <w:rPr>
          <w:rFonts w:ascii="Times New Roman" w:hAnsi="Times New Roman"/>
          <w:sz w:val="24"/>
          <w:szCs w:val="24"/>
        </w:rPr>
        <w:t xml:space="preserve"> the Commercial Court of Zaporizhzhia Region (Ukraine) rendered a Decision in Case No. 908/1100/22 (908/2455/22)</w:t>
      </w:r>
      <w:r w:rsidRPr="00C55F4F">
        <w:rPr>
          <w:rStyle w:val="FootnoteReference"/>
          <w:rFonts w:ascii="Times New Roman" w:hAnsi="Times New Roman"/>
          <w:sz w:val="24"/>
          <w:szCs w:val="24"/>
        </w:rPr>
        <w:footnoteReference w:id="1"/>
      </w:r>
      <w:r w:rsidRPr="00C55F4F">
        <w:rPr>
          <w:rFonts w:ascii="Times New Roman" w:hAnsi="Times New Roman"/>
          <w:sz w:val="24"/>
          <w:szCs w:val="24"/>
        </w:rPr>
        <w:t xml:space="preserve"> (Judge: Mr O.O. Yuldashev), upholding in full a pecuniary claim of a farming </w:t>
      </w:r>
      <w:r w:rsidR="00B724ED" w:rsidRPr="00C55F4F">
        <w:rPr>
          <w:rFonts w:ascii="Times New Roman" w:hAnsi="Times New Roman"/>
          <w:sz w:val="24"/>
          <w:szCs w:val="24"/>
        </w:rPr>
        <w:t xml:space="preserve">entity </w:t>
      </w:r>
      <w:r w:rsidRPr="00C55F4F">
        <w:rPr>
          <w:rFonts w:ascii="Times New Roman" w:hAnsi="Times New Roman"/>
          <w:sz w:val="24"/>
          <w:szCs w:val="24"/>
        </w:rPr>
        <w:t xml:space="preserve">‘SYu Zhnyva’ (СЮ Жнива) (‘Claimant’ and ‘Debtor’) against the state of Russia, in the </w:t>
      </w:r>
      <w:r w:rsidR="00B724ED" w:rsidRPr="00C55F4F">
        <w:rPr>
          <w:rFonts w:ascii="Times New Roman" w:hAnsi="Times New Roman"/>
          <w:sz w:val="24"/>
          <w:szCs w:val="24"/>
        </w:rPr>
        <w:t>person</w:t>
      </w:r>
      <w:r w:rsidRPr="00C55F4F">
        <w:rPr>
          <w:rFonts w:ascii="Times New Roman" w:hAnsi="Times New Roman"/>
          <w:sz w:val="24"/>
          <w:szCs w:val="24"/>
        </w:rPr>
        <w:t xml:space="preserve"> of the Ministry of Justice of </w:t>
      </w:r>
      <w:r w:rsidR="00B724ED" w:rsidRPr="00C55F4F">
        <w:rPr>
          <w:rFonts w:ascii="Times New Roman" w:hAnsi="Times New Roman"/>
          <w:sz w:val="24"/>
          <w:szCs w:val="24"/>
        </w:rPr>
        <w:t xml:space="preserve">the </w:t>
      </w:r>
      <w:r w:rsidRPr="00C55F4F">
        <w:rPr>
          <w:rFonts w:ascii="Times New Roman" w:hAnsi="Times New Roman"/>
          <w:sz w:val="24"/>
          <w:szCs w:val="24"/>
        </w:rPr>
        <w:t xml:space="preserve">Russian Federation (‘Defendant’), for the compensation of proprietary damage (‘war-related claims’) in the amount equivalent to USD 130,307,773.95. The claim was filed by the Debtor at the </w:t>
      </w:r>
      <w:r w:rsidRPr="00C55F4F">
        <w:rPr>
          <w:rFonts w:ascii="Times New Roman" w:hAnsi="Times New Roman"/>
          <w:sz w:val="24"/>
          <w:szCs w:val="24"/>
        </w:rPr>
        <w:lastRenderedPageBreak/>
        <w:t>location of and within the pending insolvency case, which was opened against the Debtor by a creditor – LLC ‘Agrarij of Ukraine’, Kyiv.</w:t>
      </w:r>
    </w:p>
    <w:p w14:paraId="09A686EB" w14:textId="77777777" w:rsidR="00B724ED" w:rsidRPr="00C55F4F" w:rsidRDefault="00B724ED" w:rsidP="00570F35">
      <w:pPr>
        <w:spacing w:after="0"/>
        <w:contextualSpacing/>
        <w:rPr>
          <w:rFonts w:ascii="Times New Roman" w:hAnsi="Times New Roman"/>
          <w:sz w:val="24"/>
          <w:szCs w:val="24"/>
        </w:rPr>
      </w:pPr>
    </w:p>
    <w:p w14:paraId="5A433D94" w14:textId="2401228F"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The Claimant/ Debtor relied on Article 7</w:t>
      </w:r>
      <w:r w:rsidR="00B724ED" w:rsidRPr="00C55F4F">
        <w:rPr>
          <w:rFonts w:ascii="Times New Roman" w:hAnsi="Times New Roman"/>
          <w:sz w:val="24"/>
          <w:szCs w:val="24"/>
        </w:rPr>
        <w:t>, paragraph 2</w:t>
      </w:r>
      <w:r w:rsidRPr="00C55F4F">
        <w:rPr>
          <w:rFonts w:ascii="Times New Roman" w:hAnsi="Times New Roman"/>
          <w:sz w:val="24"/>
          <w:szCs w:val="24"/>
        </w:rPr>
        <w:t xml:space="preserve"> of the Bankruptcy Code of Ukraine (‘BCU’),</w:t>
      </w:r>
      <w:r w:rsidR="00B724ED" w:rsidRPr="00C55F4F">
        <w:rPr>
          <w:rStyle w:val="FootnoteReference"/>
          <w:rFonts w:ascii="Times New Roman" w:hAnsi="Times New Roman"/>
          <w:sz w:val="24"/>
          <w:szCs w:val="24"/>
        </w:rPr>
        <w:footnoteReference w:id="2"/>
      </w:r>
      <w:r w:rsidRPr="00C55F4F">
        <w:rPr>
          <w:rFonts w:ascii="Times New Roman" w:hAnsi="Times New Roman"/>
          <w:sz w:val="24"/>
          <w:szCs w:val="24"/>
        </w:rPr>
        <w:t xml:space="preserve"> which allowed for the commercial court, hearing an insolvency case, to consider all proprietary claims, which ‘the debtor is a party to’, within the pending insolvency case.</w:t>
      </w:r>
    </w:p>
    <w:p w14:paraId="62BE59C4" w14:textId="77777777" w:rsidR="00B724ED" w:rsidRPr="00C55F4F" w:rsidRDefault="00B724ED" w:rsidP="00570F35">
      <w:pPr>
        <w:spacing w:after="0"/>
        <w:contextualSpacing/>
        <w:rPr>
          <w:rFonts w:ascii="Times New Roman" w:hAnsi="Times New Roman"/>
          <w:sz w:val="24"/>
          <w:szCs w:val="24"/>
        </w:rPr>
      </w:pPr>
    </w:p>
    <w:p w14:paraId="33984F7E" w14:textId="5A9782C4"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The Claimant/Debtor submitted that</w:t>
      </w:r>
      <w:r w:rsidR="00B724ED" w:rsidRPr="00C55F4F">
        <w:rPr>
          <w:rFonts w:ascii="Times New Roman" w:hAnsi="Times New Roman"/>
          <w:sz w:val="24"/>
          <w:szCs w:val="24"/>
        </w:rPr>
        <w:t>,</w:t>
      </w:r>
      <w:r w:rsidRPr="00C55F4F">
        <w:rPr>
          <w:rFonts w:ascii="Times New Roman" w:hAnsi="Times New Roman"/>
          <w:sz w:val="24"/>
          <w:szCs w:val="24"/>
        </w:rPr>
        <w:t xml:space="preserve"> due to Russia’s military aggression against Ukraine, the temporary occupation of the territories of Zaporizhzhia and Kherson Regions of Ukraine, and illegal actions of the military forces of Russia in Ukraine, </w:t>
      </w:r>
      <w:r w:rsidR="00B724ED" w:rsidRPr="00C55F4F">
        <w:rPr>
          <w:rFonts w:ascii="Times New Roman" w:hAnsi="Times New Roman"/>
          <w:sz w:val="24"/>
          <w:szCs w:val="24"/>
        </w:rPr>
        <w:t>such as the</w:t>
      </w:r>
      <w:r w:rsidRPr="00C55F4F">
        <w:rPr>
          <w:rFonts w:ascii="Times New Roman" w:hAnsi="Times New Roman"/>
          <w:sz w:val="24"/>
          <w:szCs w:val="24"/>
        </w:rPr>
        <w:t xml:space="preserve"> theft of Ukrainian grain from the warehouses and destruction of the grain harvest, the Claimant/ Debtor suffered losses in the total amount of UAH 3,812,140,896.11</w:t>
      </w:r>
      <w:r w:rsidR="00B724ED" w:rsidRPr="00C55F4F">
        <w:rPr>
          <w:rFonts w:ascii="Times New Roman" w:hAnsi="Times New Roman"/>
          <w:sz w:val="24"/>
          <w:szCs w:val="24"/>
        </w:rPr>
        <w:t xml:space="preserve"> (</w:t>
      </w:r>
      <w:r w:rsidRPr="00C55F4F">
        <w:rPr>
          <w:rFonts w:ascii="Times New Roman" w:hAnsi="Times New Roman"/>
          <w:sz w:val="24"/>
          <w:szCs w:val="24"/>
        </w:rPr>
        <w:t>equivalent to USD 130,307,773.95</w:t>
      </w:r>
      <w:r w:rsidR="00B724ED" w:rsidRPr="00C55F4F">
        <w:rPr>
          <w:rFonts w:ascii="Times New Roman" w:hAnsi="Times New Roman"/>
          <w:sz w:val="24"/>
          <w:szCs w:val="24"/>
        </w:rPr>
        <w:t>)</w:t>
      </w:r>
      <w:r w:rsidRPr="00C55F4F">
        <w:rPr>
          <w:rFonts w:ascii="Times New Roman" w:hAnsi="Times New Roman"/>
          <w:sz w:val="24"/>
          <w:szCs w:val="24"/>
        </w:rPr>
        <w:t>.</w:t>
      </w:r>
      <w:r w:rsidR="00B724ED" w:rsidRPr="00C55F4F">
        <w:rPr>
          <w:rFonts w:ascii="Times New Roman" w:hAnsi="Times New Roman"/>
          <w:sz w:val="24"/>
          <w:szCs w:val="24"/>
        </w:rPr>
        <w:t xml:space="preserve"> </w:t>
      </w:r>
      <w:r w:rsidRPr="00C55F4F">
        <w:rPr>
          <w:rFonts w:ascii="Times New Roman" w:hAnsi="Times New Roman"/>
          <w:sz w:val="24"/>
          <w:szCs w:val="24"/>
        </w:rPr>
        <w:t>In brief, the court was satisfied with the evidence on the balance of probabilities, which substantiated the statement of claim, and upheld the claim in full.</w:t>
      </w:r>
    </w:p>
    <w:p w14:paraId="04666A71" w14:textId="77777777" w:rsidR="00B724ED" w:rsidRPr="00C55F4F" w:rsidRDefault="00B724ED" w:rsidP="00570F35">
      <w:pPr>
        <w:spacing w:after="0"/>
        <w:contextualSpacing/>
        <w:rPr>
          <w:rFonts w:ascii="Times New Roman" w:hAnsi="Times New Roman"/>
          <w:sz w:val="24"/>
          <w:szCs w:val="24"/>
        </w:rPr>
      </w:pPr>
    </w:p>
    <w:p w14:paraId="31B551FF" w14:textId="77777777" w:rsidR="00B724ED"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 xml:space="preserve">This court decision is deemed </w:t>
      </w:r>
      <w:r w:rsidR="00B724ED" w:rsidRPr="00C55F4F">
        <w:rPr>
          <w:rFonts w:ascii="Times New Roman" w:hAnsi="Times New Roman"/>
          <w:sz w:val="24"/>
          <w:szCs w:val="24"/>
        </w:rPr>
        <w:t xml:space="preserve">a </w:t>
      </w:r>
      <w:r w:rsidRPr="00C55F4F">
        <w:rPr>
          <w:rFonts w:ascii="Times New Roman" w:hAnsi="Times New Roman"/>
          <w:sz w:val="24"/>
          <w:szCs w:val="24"/>
        </w:rPr>
        <w:t xml:space="preserve">landmark </w:t>
      </w:r>
      <w:r w:rsidR="00B724ED" w:rsidRPr="00C55F4F">
        <w:rPr>
          <w:rFonts w:ascii="Times New Roman" w:hAnsi="Times New Roman"/>
          <w:sz w:val="24"/>
          <w:szCs w:val="24"/>
        </w:rPr>
        <w:t xml:space="preserve">judgment, </w:t>
      </w:r>
      <w:r w:rsidRPr="00C55F4F">
        <w:rPr>
          <w:rFonts w:ascii="Times New Roman" w:hAnsi="Times New Roman"/>
          <w:sz w:val="24"/>
          <w:szCs w:val="24"/>
        </w:rPr>
        <w:t>as it gave a green light to:</w:t>
      </w:r>
    </w:p>
    <w:p w14:paraId="615883F8" w14:textId="77777777" w:rsidR="00B724ED" w:rsidRPr="00C55F4F" w:rsidRDefault="00B724ED" w:rsidP="00570F35">
      <w:pPr>
        <w:spacing w:after="0"/>
        <w:contextualSpacing/>
        <w:rPr>
          <w:rFonts w:ascii="Times New Roman" w:hAnsi="Times New Roman"/>
          <w:sz w:val="24"/>
          <w:szCs w:val="24"/>
        </w:rPr>
      </w:pPr>
    </w:p>
    <w:p w14:paraId="2E3ED985" w14:textId="77777777" w:rsidR="00B724ED" w:rsidRPr="00C55F4F" w:rsidRDefault="00570F35" w:rsidP="00B724ED">
      <w:pPr>
        <w:spacing w:after="0"/>
        <w:ind w:left="720"/>
        <w:contextualSpacing/>
        <w:rPr>
          <w:rFonts w:ascii="Times New Roman" w:hAnsi="Times New Roman"/>
          <w:sz w:val="24"/>
          <w:szCs w:val="24"/>
        </w:rPr>
      </w:pPr>
      <w:r w:rsidRPr="00C55F4F">
        <w:rPr>
          <w:rFonts w:ascii="Times New Roman" w:hAnsi="Times New Roman"/>
          <w:sz w:val="24"/>
          <w:szCs w:val="24"/>
        </w:rPr>
        <w:t>a) considering such war-related claims within the debtor’s pending insolvency case for the purposes of concentrati</w:t>
      </w:r>
      <w:r w:rsidR="00B724ED" w:rsidRPr="00C55F4F">
        <w:rPr>
          <w:rFonts w:ascii="Times New Roman" w:hAnsi="Times New Roman"/>
          <w:sz w:val="24"/>
          <w:szCs w:val="24"/>
        </w:rPr>
        <w:t>ng</w:t>
      </w:r>
      <w:r w:rsidRPr="00C55F4F">
        <w:rPr>
          <w:rFonts w:ascii="Times New Roman" w:hAnsi="Times New Roman"/>
          <w:sz w:val="24"/>
          <w:szCs w:val="24"/>
        </w:rPr>
        <w:t xml:space="preserve"> all proprietary claims in the hands of one ‘insolvency’ judge so </w:t>
      </w:r>
      <w:r w:rsidR="00B724ED" w:rsidRPr="00C55F4F">
        <w:rPr>
          <w:rFonts w:ascii="Times New Roman" w:hAnsi="Times New Roman"/>
          <w:sz w:val="24"/>
          <w:szCs w:val="24"/>
        </w:rPr>
        <w:t xml:space="preserve">as </w:t>
      </w:r>
      <w:r w:rsidRPr="00C55F4F">
        <w:rPr>
          <w:rFonts w:ascii="Times New Roman" w:hAnsi="Times New Roman"/>
          <w:sz w:val="24"/>
          <w:szCs w:val="24"/>
        </w:rPr>
        <w:t xml:space="preserve">to exercise </w:t>
      </w:r>
      <w:r w:rsidR="00B724ED" w:rsidRPr="00C55F4F">
        <w:rPr>
          <w:rFonts w:ascii="Times New Roman" w:hAnsi="Times New Roman"/>
          <w:sz w:val="24"/>
          <w:szCs w:val="24"/>
        </w:rPr>
        <w:t xml:space="preserve">judicial </w:t>
      </w:r>
      <w:r w:rsidRPr="00C55F4F">
        <w:rPr>
          <w:rFonts w:ascii="Times New Roman" w:hAnsi="Times New Roman"/>
          <w:sz w:val="24"/>
          <w:szCs w:val="24"/>
        </w:rPr>
        <w:t xml:space="preserve">control over </w:t>
      </w:r>
      <w:r w:rsidR="00B724ED" w:rsidRPr="00C55F4F">
        <w:rPr>
          <w:rFonts w:ascii="Times New Roman" w:hAnsi="Times New Roman"/>
          <w:sz w:val="24"/>
          <w:szCs w:val="24"/>
        </w:rPr>
        <w:t xml:space="preserve">all the </w:t>
      </w:r>
      <w:r w:rsidRPr="00C55F4F">
        <w:rPr>
          <w:rFonts w:ascii="Times New Roman" w:hAnsi="Times New Roman"/>
          <w:sz w:val="24"/>
          <w:szCs w:val="24"/>
        </w:rPr>
        <w:t>debtor’s matters, when the debtor has been placed in a ‘special regime’ triggered by the opening of the insolvency case;</w:t>
      </w:r>
    </w:p>
    <w:p w14:paraId="6D9AD6A2" w14:textId="77777777" w:rsidR="00B724ED" w:rsidRPr="00C55F4F" w:rsidRDefault="00B724ED" w:rsidP="00B724ED">
      <w:pPr>
        <w:spacing w:after="0"/>
        <w:ind w:left="720"/>
        <w:contextualSpacing/>
        <w:rPr>
          <w:rFonts w:ascii="Times New Roman" w:hAnsi="Times New Roman"/>
          <w:sz w:val="24"/>
          <w:szCs w:val="24"/>
        </w:rPr>
      </w:pPr>
    </w:p>
    <w:p w14:paraId="0FB4444F" w14:textId="4DA9291B" w:rsidR="00B724ED" w:rsidRPr="00C55F4F" w:rsidRDefault="00570F35" w:rsidP="00B724ED">
      <w:pPr>
        <w:spacing w:after="0"/>
        <w:ind w:left="720"/>
        <w:contextualSpacing/>
        <w:rPr>
          <w:rFonts w:ascii="Times New Roman" w:hAnsi="Times New Roman"/>
          <w:sz w:val="24"/>
          <w:szCs w:val="24"/>
        </w:rPr>
      </w:pPr>
      <w:r w:rsidRPr="00C55F4F">
        <w:rPr>
          <w:rFonts w:ascii="Times New Roman" w:hAnsi="Times New Roman"/>
          <w:sz w:val="24"/>
          <w:szCs w:val="24"/>
        </w:rPr>
        <w:t>b) potentially deem</w:t>
      </w:r>
      <w:r w:rsidR="00B724ED" w:rsidRPr="00C55F4F">
        <w:rPr>
          <w:rFonts w:ascii="Times New Roman" w:hAnsi="Times New Roman"/>
          <w:sz w:val="24"/>
          <w:szCs w:val="24"/>
        </w:rPr>
        <w:t>ing</w:t>
      </w:r>
      <w:r w:rsidRPr="00C55F4F">
        <w:rPr>
          <w:rFonts w:ascii="Times New Roman" w:hAnsi="Times New Roman"/>
          <w:sz w:val="24"/>
          <w:szCs w:val="24"/>
        </w:rPr>
        <w:t xml:space="preserve"> and qualify</w:t>
      </w:r>
      <w:r w:rsidR="00B724ED" w:rsidRPr="00C55F4F">
        <w:rPr>
          <w:rFonts w:ascii="Times New Roman" w:hAnsi="Times New Roman"/>
          <w:sz w:val="24"/>
          <w:szCs w:val="24"/>
        </w:rPr>
        <w:t>ing</w:t>
      </w:r>
      <w:r w:rsidRPr="00C55F4F">
        <w:rPr>
          <w:rFonts w:ascii="Times New Roman" w:hAnsi="Times New Roman"/>
          <w:sz w:val="24"/>
          <w:szCs w:val="24"/>
        </w:rPr>
        <w:t xml:space="preserve"> such claims as ‘insolvency-related’ (for potential foreign recognition and enforcement purposes);</w:t>
      </w:r>
    </w:p>
    <w:p w14:paraId="07D665DF" w14:textId="77777777" w:rsidR="00B724ED" w:rsidRPr="00C55F4F" w:rsidRDefault="00B724ED" w:rsidP="00B724ED">
      <w:pPr>
        <w:spacing w:after="0"/>
        <w:ind w:left="720"/>
        <w:contextualSpacing/>
        <w:rPr>
          <w:rFonts w:ascii="Times New Roman" w:hAnsi="Times New Roman"/>
          <w:sz w:val="24"/>
          <w:szCs w:val="24"/>
        </w:rPr>
      </w:pPr>
    </w:p>
    <w:p w14:paraId="0B0D5097" w14:textId="179C4666" w:rsidR="00B724ED" w:rsidRPr="00C55F4F" w:rsidRDefault="00570F35" w:rsidP="00B724ED">
      <w:pPr>
        <w:spacing w:after="0"/>
        <w:ind w:left="720"/>
        <w:contextualSpacing/>
        <w:rPr>
          <w:rFonts w:ascii="Times New Roman" w:hAnsi="Times New Roman"/>
          <w:sz w:val="24"/>
          <w:szCs w:val="24"/>
        </w:rPr>
      </w:pPr>
      <w:r w:rsidRPr="00C55F4F">
        <w:rPr>
          <w:rFonts w:ascii="Times New Roman" w:hAnsi="Times New Roman"/>
          <w:sz w:val="24"/>
          <w:szCs w:val="24"/>
        </w:rPr>
        <w:t>c) reinforc</w:t>
      </w:r>
      <w:r w:rsidR="00B724ED" w:rsidRPr="00C55F4F">
        <w:rPr>
          <w:rFonts w:ascii="Times New Roman" w:hAnsi="Times New Roman"/>
          <w:sz w:val="24"/>
          <w:szCs w:val="24"/>
        </w:rPr>
        <w:t>ing</w:t>
      </w:r>
      <w:r w:rsidRPr="00C55F4F">
        <w:rPr>
          <w:rFonts w:ascii="Times New Roman" w:hAnsi="Times New Roman"/>
          <w:sz w:val="24"/>
          <w:szCs w:val="24"/>
        </w:rPr>
        <w:t xml:space="preserve"> the commercial court’s territorial jurisdiction to hear such claims</w:t>
      </w:r>
      <w:r w:rsidR="00B724ED" w:rsidRPr="00C55F4F">
        <w:rPr>
          <w:rFonts w:ascii="Times New Roman" w:hAnsi="Times New Roman"/>
          <w:sz w:val="24"/>
          <w:szCs w:val="24"/>
        </w:rPr>
        <w:t>,</w:t>
      </w:r>
      <w:r w:rsidRPr="00C55F4F">
        <w:rPr>
          <w:rFonts w:ascii="Times New Roman" w:hAnsi="Times New Roman"/>
          <w:sz w:val="24"/>
          <w:szCs w:val="24"/>
        </w:rPr>
        <w:t xml:space="preserve"> not at the location of a defendant or the damage</w:t>
      </w:r>
      <w:r w:rsidR="00B724ED" w:rsidRPr="00C55F4F">
        <w:rPr>
          <w:rFonts w:ascii="Times New Roman" w:hAnsi="Times New Roman"/>
          <w:sz w:val="24"/>
          <w:szCs w:val="24"/>
        </w:rPr>
        <w:t xml:space="preserve"> </w:t>
      </w:r>
      <w:r w:rsidR="00B724ED" w:rsidRPr="00C55F4F">
        <w:rPr>
          <w:rFonts w:ascii="Times New Roman" w:hAnsi="Times New Roman"/>
          <w:sz w:val="24"/>
          <w:szCs w:val="24"/>
        </w:rPr>
        <w:t>caused</w:t>
      </w:r>
      <w:r w:rsidRPr="00C55F4F">
        <w:rPr>
          <w:rFonts w:ascii="Times New Roman" w:hAnsi="Times New Roman"/>
          <w:sz w:val="24"/>
          <w:szCs w:val="24"/>
        </w:rPr>
        <w:t>, but at the location of the pending insolvency case;</w:t>
      </w:r>
      <w:r w:rsidRPr="00C55F4F">
        <w:rPr>
          <w:rStyle w:val="FootnoteReference"/>
          <w:rFonts w:ascii="Times New Roman" w:hAnsi="Times New Roman"/>
          <w:sz w:val="24"/>
          <w:szCs w:val="24"/>
        </w:rPr>
        <w:footnoteReference w:id="3"/>
      </w:r>
    </w:p>
    <w:p w14:paraId="1C0FF90B" w14:textId="77777777" w:rsidR="00B724ED" w:rsidRPr="00C55F4F" w:rsidRDefault="00B724ED" w:rsidP="00B724ED">
      <w:pPr>
        <w:spacing w:after="0"/>
        <w:ind w:left="720"/>
        <w:contextualSpacing/>
        <w:rPr>
          <w:rFonts w:ascii="Times New Roman" w:hAnsi="Times New Roman"/>
          <w:sz w:val="24"/>
          <w:szCs w:val="24"/>
        </w:rPr>
      </w:pPr>
    </w:p>
    <w:p w14:paraId="433B78E0" w14:textId="470EC107" w:rsidR="00B724ED" w:rsidRPr="00C55F4F" w:rsidRDefault="00570F35" w:rsidP="00B724ED">
      <w:pPr>
        <w:spacing w:after="0"/>
        <w:ind w:left="720"/>
        <w:contextualSpacing/>
        <w:rPr>
          <w:rFonts w:ascii="Times New Roman" w:hAnsi="Times New Roman"/>
          <w:sz w:val="24"/>
          <w:szCs w:val="24"/>
        </w:rPr>
      </w:pPr>
      <w:r w:rsidRPr="00C55F4F">
        <w:rPr>
          <w:rFonts w:ascii="Times New Roman" w:hAnsi="Times New Roman"/>
          <w:sz w:val="24"/>
          <w:szCs w:val="24"/>
        </w:rPr>
        <w:t>d) reinforc</w:t>
      </w:r>
      <w:r w:rsidR="00B724ED" w:rsidRPr="00C55F4F">
        <w:rPr>
          <w:rFonts w:ascii="Times New Roman" w:hAnsi="Times New Roman"/>
          <w:sz w:val="24"/>
          <w:szCs w:val="24"/>
        </w:rPr>
        <w:t>ing</w:t>
      </w:r>
      <w:r w:rsidRPr="00C55F4F">
        <w:rPr>
          <w:rFonts w:ascii="Times New Roman" w:hAnsi="Times New Roman"/>
          <w:sz w:val="24"/>
          <w:szCs w:val="24"/>
        </w:rPr>
        <w:t xml:space="preserve"> the stripping of Russia</w:t>
      </w:r>
      <w:r w:rsidR="00B724ED" w:rsidRPr="00C55F4F">
        <w:rPr>
          <w:rFonts w:ascii="Times New Roman" w:hAnsi="Times New Roman"/>
          <w:sz w:val="24"/>
          <w:szCs w:val="24"/>
        </w:rPr>
        <w:t>n</w:t>
      </w:r>
      <w:r w:rsidRPr="00C55F4F">
        <w:rPr>
          <w:rFonts w:ascii="Times New Roman" w:hAnsi="Times New Roman"/>
          <w:sz w:val="24"/>
          <w:szCs w:val="24"/>
        </w:rPr>
        <w:t xml:space="preserve"> state immunity against adjudication of such claims in Ukraine</w:t>
      </w:r>
      <w:r w:rsidR="00B724ED" w:rsidRPr="00C55F4F">
        <w:rPr>
          <w:rFonts w:ascii="Times New Roman" w:hAnsi="Times New Roman"/>
          <w:sz w:val="24"/>
          <w:szCs w:val="24"/>
        </w:rPr>
        <w:t xml:space="preserve"> (incidentally</w:t>
      </w:r>
      <w:r w:rsidRPr="00C55F4F">
        <w:rPr>
          <w:rFonts w:ascii="Times New Roman" w:hAnsi="Times New Roman"/>
          <w:sz w:val="24"/>
          <w:szCs w:val="24"/>
        </w:rPr>
        <w:t xml:space="preserve"> allow</w:t>
      </w:r>
      <w:r w:rsidR="00B724ED" w:rsidRPr="00C55F4F">
        <w:rPr>
          <w:rFonts w:ascii="Times New Roman" w:hAnsi="Times New Roman"/>
          <w:sz w:val="24"/>
          <w:szCs w:val="24"/>
        </w:rPr>
        <w:t>ing</w:t>
      </w:r>
      <w:r w:rsidRPr="00C55F4F">
        <w:rPr>
          <w:rFonts w:ascii="Times New Roman" w:hAnsi="Times New Roman"/>
          <w:sz w:val="24"/>
          <w:szCs w:val="24"/>
        </w:rPr>
        <w:t xml:space="preserve"> for the possibility of servi</w:t>
      </w:r>
      <w:r w:rsidR="00B724ED" w:rsidRPr="00C55F4F">
        <w:rPr>
          <w:rFonts w:ascii="Times New Roman" w:hAnsi="Times New Roman"/>
          <w:sz w:val="24"/>
          <w:szCs w:val="24"/>
        </w:rPr>
        <w:t>ce of</w:t>
      </w:r>
      <w:r w:rsidRPr="00C55F4F">
        <w:rPr>
          <w:rFonts w:ascii="Times New Roman" w:hAnsi="Times New Roman"/>
          <w:sz w:val="24"/>
          <w:szCs w:val="24"/>
        </w:rPr>
        <w:t xml:space="preserve"> documents on the Defendant via the embassy of the Russian Federation in Poland, in light of termination of diplomatic relations between Ukraine and Russia since 24 February 2022</w:t>
      </w:r>
      <w:r w:rsidR="00B724ED" w:rsidRPr="00C55F4F">
        <w:rPr>
          <w:rFonts w:ascii="Times New Roman" w:hAnsi="Times New Roman"/>
          <w:sz w:val="24"/>
          <w:szCs w:val="24"/>
        </w:rPr>
        <w:t>,</w:t>
      </w:r>
      <w:r w:rsidRPr="00C55F4F">
        <w:rPr>
          <w:rFonts w:ascii="Times New Roman" w:hAnsi="Times New Roman"/>
          <w:sz w:val="24"/>
          <w:szCs w:val="24"/>
        </w:rPr>
        <w:t xml:space="preserve"> and an alternative additional method of notifying the Defendant of the opening of the proceedings by online notification at the Ukrainian official website of the judiciary ‘Judicial Power’</w:t>
      </w:r>
      <w:r w:rsidR="00B724ED" w:rsidRPr="00C55F4F">
        <w:rPr>
          <w:rFonts w:ascii="Times New Roman" w:hAnsi="Times New Roman"/>
          <w:sz w:val="24"/>
          <w:szCs w:val="24"/>
        </w:rPr>
        <w:t>)</w:t>
      </w:r>
      <w:r w:rsidRPr="00C55F4F">
        <w:rPr>
          <w:rFonts w:ascii="Times New Roman" w:hAnsi="Times New Roman"/>
          <w:sz w:val="24"/>
          <w:szCs w:val="24"/>
        </w:rPr>
        <w:t>;</w:t>
      </w:r>
      <w:r w:rsidR="00B724ED" w:rsidRPr="00C55F4F">
        <w:rPr>
          <w:rFonts w:ascii="Times New Roman" w:hAnsi="Times New Roman"/>
          <w:sz w:val="24"/>
          <w:szCs w:val="24"/>
        </w:rPr>
        <w:t xml:space="preserve"> and</w:t>
      </w:r>
    </w:p>
    <w:p w14:paraId="2F0F79E9" w14:textId="77777777" w:rsidR="00B724ED" w:rsidRPr="00C55F4F" w:rsidRDefault="00B724ED" w:rsidP="00B724ED">
      <w:pPr>
        <w:spacing w:after="0"/>
        <w:ind w:left="720"/>
        <w:contextualSpacing/>
        <w:rPr>
          <w:rFonts w:ascii="Times New Roman" w:hAnsi="Times New Roman"/>
          <w:sz w:val="24"/>
          <w:szCs w:val="24"/>
        </w:rPr>
      </w:pPr>
    </w:p>
    <w:p w14:paraId="752E6FF5" w14:textId="2BD1EA1F" w:rsidR="00570F35" w:rsidRPr="00C55F4F" w:rsidRDefault="00570F35" w:rsidP="00B724ED">
      <w:pPr>
        <w:spacing w:after="0"/>
        <w:ind w:left="720"/>
        <w:contextualSpacing/>
        <w:rPr>
          <w:rFonts w:ascii="Times New Roman" w:hAnsi="Times New Roman"/>
          <w:sz w:val="24"/>
          <w:szCs w:val="24"/>
        </w:rPr>
      </w:pPr>
      <w:r w:rsidRPr="00C55F4F">
        <w:rPr>
          <w:rFonts w:ascii="Times New Roman" w:hAnsi="Times New Roman"/>
          <w:sz w:val="24"/>
          <w:szCs w:val="24"/>
        </w:rPr>
        <w:t>e) emphasiz</w:t>
      </w:r>
      <w:r w:rsidR="00B724ED" w:rsidRPr="00C55F4F">
        <w:rPr>
          <w:rFonts w:ascii="Times New Roman" w:hAnsi="Times New Roman"/>
          <w:sz w:val="24"/>
          <w:szCs w:val="24"/>
        </w:rPr>
        <w:t>ing</w:t>
      </w:r>
      <w:r w:rsidRPr="00C55F4F">
        <w:rPr>
          <w:rFonts w:ascii="Times New Roman" w:hAnsi="Times New Roman"/>
          <w:sz w:val="24"/>
          <w:szCs w:val="24"/>
        </w:rPr>
        <w:t xml:space="preserve"> the ‘preponderance of probabilities’ standard of proof test for such civil tort claims </w:t>
      </w:r>
      <w:r w:rsidR="00B724ED" w:rsidRPr="00C55F4F">
        <w:rPr>
          <w:rFonts w:ascii="Times New Roman" w:hAnsi="Times New Roman"/>
          <w:sz w:val="24"/>
          <w:szCs w:val="24"/>
        </w:rPr>
        <w:t>for</w:t>
      </w:r>
      <w:r w:rsidRPr="00C55F4F">
        <w:rPr>
          <w:rFonts w:ascii="Times New Roman" w:hAnsi="Times New Roman"/>
          <w:sz w:val="24"/>
          <w:szCs w:val="24"/>
        </w:rPr>
        <w:t xml:space="preserve"> compensation of damage caused by war.</w:t>
      </w:r>
    </w:p>
    <w:p w14:paraId="3EDE40CC" w14:textId="77777777" w:rsidR="00B724ED" w:rsidRPr="00C55F4F" w:rsidRDefault="00B724ED" w:rsidP="00570F35">
      <w:pPr>
        <w:spacing w:after="0"/>
        <w:contextualSpacing/>
        <w:rPr>
          <w:rFonts w:ascii="Times New Roman" w:hAnsi="Times New Roman"/>
          <w:sz w:val="24"/>
          <w:szCs w:val="24"/>
        </w:rPr>
      </w:pPr>
    </w:p>
    <w:p w14:paraId="118A0C62" w14:textId="198CA70E" w:rsidR="00570F35" w:rsidRPr="00C55F4F" w:rsidRDefault="00B724ED" w:rsidP="00570F35">
      <w:pPr>
        <w:spacing w:after="0"/>
        <w:contextualSpacing/>
        <w:rPr>
          <w:rFonts w:ascii="Times New Roman" w:hAnsi="Times New Roman"/>
          <w:sz w:val="24"/>
          <w:szCs w:val="24"/>
        </w:rPr>
      </w:pPr>
      <w:r w:rsidRPr="00C55F4F">
        <w:rPr>
          <w:rFonts w:ascii="Times New Roman" w:hAnsi="Times New Roman"/>
          <w:sz w:val="24"/>
          <w:szCs w:val="24"/>
        </w:rPr>
        <w:lastRenderedPageBreak/>
        <w:t>More i</w:t>
      </w:r>
      <w:r w:rsidR="00570F35" w:rsidRPr="00C55F4F">
        <w:rPr>
          <w:rFonts w:ascii="Times New Roman" w:hAnsi="Times New Roman"/>
          <w:sz w:val="24"/>
          <w:szCs w:val="24"/>
        </w:rPr>
        <w:t>mportantly, this landmark decision does not remain only on paper</w:t>
      </w:r>
      <w:r w:rsidRPr="00C55F4F">
        <w:rPr>
          <w:rFonts w:ascii="Times New Roman" w:hAnsi="Times New Roman"/>
          <w:sz w:val="24"/>
          <w:szCs w:val="24"/>
        </w:rPr>
        <w:t>,</w:t>
      </w:r>
      <w:r w:rsidR="00570F35" w:rsidRPr="00C55F4F">
        <w:rPr>
          <w:rFonts w:ascii="Times New Roman" w:hAnsi="Times New Roman"/>
          <w:sz w:val="24"/>
          <w:szCs w:val="24"/>
        </w:rPr>
        <w:t xml:space="preserve"> but could </w:t>
      </w:r>
      <w:r w:rsidRPr="00C55F4F">
        <w:rPr>
          <w:rFonts w:ascii="Times New Roman" w:hAnsi="Times New Roman"/>
          <w:sz w:val="24"/>
          <w:szCs w:val="24"/>
        </w:rPr>
        <w:t xml:space="preserve">potentially </w:t>
      </w:r>
      <w:r w:rsidR="00570F35" w:rsidRPr="00C55F4F">
        <w:rPr>
          <w:rFonts w:ascii="Times New Roman" w:hAnsi="Times New Roman"/>
          <w:sz w:val="24"/>
          <w:szCs w:val="24"/>
        </w:rPr>
        <w:t xml:space="preserve">be granted </w:t>
      </w:r>
      <w:r w:rsidRPr="00C55F4F">
        <w:rPr>
          <w:rFonts w:ascii="Times New Roman" w:hAnsi="Times New Roman"/>
          <w:sz w:val="24"/>
          <w:szCs w:val="24"/>
        </w:rPr>
        <w:t xml:space="preserve">swift </w:t>
      </w:r>
      <w:r w:rsidR="00570F35" w:rsidRPr="00C55F4F">
        <w:rPr>
          <w:rFonts w:ascii="Times New Roman" w:hAnsi="Times New Roman"/>
          <w:sz w:val="24"/>
          <w:szCs w:val="24"/>
        </w:rPr>
        <w:t xml:space="preserve">recognition and enforcement abroad, so </w:t>
      </w:r>
      <w:r w:rsidRPr="00C55F4F">
        <w:rPr>
          <w:rFonts w:ascii="Times New Roman" w:hAnsi="Times New Roman"/>
          <w:sz w:val="24"/>
          <w:szCs w:val="24"/>
        </w:rPr>
        <w:t xml:space="preserve">as </w:t>
      </w:r>
      <w:r w:rsidR="00570F35" w:rsidRPr="00C55F4F">
        <w:rPr>
          <w:rFonts w:ascii="Times New Roman" w:hAnsi="Times New Roman"/>
          <w:sz w:val="24"/>
          <w:szCs w:val="24"/>
        </w:rPr>
        <w:t>to enable the efficient fulfilment of the insolvency estate for the future distribution and satisfaction of creditors’ claims. Meanwhile, the state immunity and public policy considerations are left aside, so for the states to decide how to overcome that hurdle.</w:t>
      </w:r>
    </w:p>
    <w:p w14:paraId="4B2CECAA" w14:textId="77777777" w:rsidR="00570F35" w:rsidRPr="00C55F4F" w:rsidRDefault="00570F35" w:rsidP="00570F35">
      <w:pPr>
        <w:spacing w:after="0"/>
        <w:contextualSpacing/>
        <w:rPr>
          <w:rFonts w:ascii="Times New Roman" w:hAnsi="Times New Roman"/>
          <w:sz w:val="24"/>
          <w:szCs w:val="24"/>
        </w:rPr>
      </w:pPr>
    </w:p>
    <w:p w14:paraId="15801C6A" w14:textId="63E1A1EF" w:rsidR="00570F35" w:rsidRPr="00C55F4F" w:rsidRDefault="00570F35" w:rsidP="00570F35">
      <w:pPr>
        <w:spacing w:after="0"/>
        <w:contextualSpacing/>
        <w:rPr>
          <w:rFonts w:ascii="Times New Roman" w:hAnsi="Times New Roman"/>
          <w:i/>
          <w:iCs/>
          <w:sz w:val="24"/>
          <w:szCs w:val="24"/>
        </w:rPr>
      </w:pPr>
      <w:r w:rsidRPr="00C55F4F">
        <w:rPr>
          <w:rFonts w:ascii="Times New Roman" w:hAnsi="Times New Roman"/>
          <w:i/>
          <w:iCs/>
          <w:sz w:val="24"/>
          <w:szCs w:val="24"/>
        </w:rPr>
        <w:t xml:space="preserve">The </w:t>
      </w:r>
      <w:r w:rsidR="00B724ED" w:rsidRPr="00C55F4F">
        <w:rPr>
          <w:rFonts w:ascii="Times New Roman" w:hAnsi="Times New Roman"/>
          <w:i/>
          <w:iCs/>
          <w:sz w:val="24"/>
          <w:szCs w:val="24"/>
        </w:rPr>
        <w:t>D</w:t>
      </w:r>
      <w:r w:rsidRPr="00C55F4F">
        <w:rPr>
          <w:rFonts w:ascii="Times New Roman" w:hAnsi="Times New Roman"/>
          <w:i/>
          <w:iCs/>
          <w:sz w:val="24"/>
          <w:szCs w:val="24"/>
        </w:rPr>
        <w:t xml:space="preserve">efinition of ‘an </w:t>
      </w:r>
      <w:r w:rsidR="00B724ED" w:rsidRPr="00C55F4F">
        <w:rPr>
          <w:rFonts w:ascii="Times New Roman" w:hAnsi="Times New Roman"/>
          <w:i/>
          <w:iCs/>
          <w:sz w:val="24"/>
          <w:szCs w:val="24"/>
        </w:rPr>
        <w:t>I</w:t>
      </w:r>
      <w:r w:rsidRPr="00C55F4F">
        <w:rPr>
          <w:rFonts w:ascii="Times New Roman" w:hAnsi="Times New Roman"/>
          <w:i/>
          <w:iCs/>
          <w:sz w:val="24"/>
          <w:szCs w:val="24"/>
        </w:rPr>
        <w:t xml:space="preserve">nsolvency-related </w:t>
      </w:r>
      <w:r w:rsidR="00B724ED" w:rsidRPr="00C55F4F">
        <w:rPr>
          <w:rFonts w:ascii="Times New Roman" w:hAnsi="Times New Roman"/>
          <w:i/>
          <w:iCs/>
          <w:sz w:val="24"/>
          <w:szCs w:val="24"/>
        </w:rPr>
        <w:t>J</w:t>
      </w:r>
      <w:r w:rsidRPr="00C55F4F">
        <w:rPr>
          <w:rFonts w:ascii="Times New Roman" w:hAnsi="Times New Roman"/>
          <w:i/>
          <w:iCs/>
          <w:sz w:val="24"/>
          <w:szCs w:val="24"/>
        </w:rPr>
        <w:t>udgment’ under the MLIRJ</w:t>
      </w:r>
    </w:p>
    <w:p w14:paraId="6ECEBC23" w14:textId="77777777" w:rsidR="00570F35" w:rsidRPr="00C55F4F" w:rsidRDefault="00570F35" w:rsidP="00570F35">
      <w:pPr>
        <w:spacing w:after="0"/>
        <w:contextualSpacing/>
        <w:rPr>
          <w:rFonts w:ascii="Times New Roman" w:hAnsi="Times New Roman"/>
          <w:b/>
          <w:bCs/>
          <w:sz w:val="24"/>
          <w:szCs w:val="24"/>
        </w:rPr>
      </w:pPr>
    </w:p>
    <w:p w14:paraId="0C147C4F" w14:textId="1DD2E53C"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It is appreciated that it is up to each jurisdiction to define the scope and what type of judgments can be capable of recognition and enforcement as an ‘insolvency-related judgment’ in a particular jurisdiction.</w:t>
      </w:r>
    </w:p>
    <w:p w14:paraId="049C2E3A" w14:textId="77777777" w:rsidR="00B724ED" w:rsidRPr="00C55F4F" w:rsidRDefault="00B724ED" w:rsidP="00570F35">
      <w:pPr>
        <w:spacing w:after="0"/>
        <w:contextualSpacing/>
        <w:rPr>
          <w:rFonts w:ascii="Times New Roman" w:hAnsi="Times New Roman"/>
          <w:sz w:val="24"/>
          <w:szCs w:val="24"/>
        </w:rPr>
      </w:pPr>
    </w:p>
    <w:p w14:paraId="08F1A444" w14:textId="3F6AF133"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Article 2 (d) of the MLIRJ</w:t>
      </w:r>
      <w:r w:rsidRPr="00C55F4F">
        <w:rPr>
          <w:rStyle w:val="FootnoteReference"/>
          <w:rFonts w:ascii="Times New Roman" w:hAnsi="Times New Roman"/>
          <w:sz w:val="24"/>
          <w:szCs w:val="24"/>
        </w:rPr>
        <w:footnoteReference w:id="4"/>
      </w:r>
      <w:r w:rsidRPr="00C55F4F">
        <w:rPr>
          <w:rFonts w:ascii="Times New Roman" w:hAnsi="Times New Roman"/>
          <w:sz w:val="24"/>
          <w:szCs w:val="24"/>
        </w:rPr>
        <w:t xml:space="preserve"> sets two (2) cumulative attributes for a judgment to qualify as ‘insolvency related’, i.e.:</w:t>
      </w:r>
    </w:p>
    <w:p w14:paraId="04B40261" w14:textId="77777777" w:rsidR="00B724ED" w:rsidRPr="00C55F4F" w:rsidRDefault="00B724ED" w:rsidP="00570F35">
      <w:pPr>
        <w:spacing w:after="0"/>
        <w:contextualSpacing/>
        <w:rPr>
          <w:rFonts w:ascii="Times New Roman" w:hAnsi="Times New Roman"/>
          <w:sz w:val="24"/>
          <w:szCs w:val="24"/>
        </w:rPr>
      </w:pPr>
    </w:p>
    <w:p w14:paraId="393775B5" w14:textId="08CBF658" w:rsidR="00570F35" w:rsidRPr="00C55F4F" w:rsidRDefault="00570F35" w:rsidP="00B724ED">
      <w:pPr>
        <w:spacing w:after="0"/>
        <w:ind w:left="720"/>
        <w:contextualSpacing/>
        <w:rPr>
          <w:rFonts w:ascii="Times New Roman" w:hAnsi="Times New Roman"/>
          <w:color w:val="000000" w:themeColor="text1"/>
          <w:sz w:val="24"/>
          <w:szCs w:val="24"/>
        </w:rPr>
      </w:pPr>
      <w:r w:rsidRPr="00C55F4F">
        <w:rPr>
          <w:rFonts w:ascii="Times New Roman" w:hAnsi="Times New Roman"/>
          <w:sz w:val="24"/>
          <w:szCs w:val="24"/>
        </w:rPr>
        <w:t>(1</w:t>
      </w:r>
      <w:r w:rsidRPr="00C55F4F">
        <w:rPr>
          <w:rFonts w:ascii="Times New Roman" w:hAnsi="Times New Roman"/>
          <w:color w:val="000000" w:themeColor="text1"/>
          <w:sz w:val="24"/>
          <w:szCs w:val="24"/>
        </w:rPr>
        <w:t>) it arises as a consequence of or is materially associated with an insolvency proceeding, whether or not that insolvency proceeding has closed; and</w:t>
      </w:r>
    </w:p>
    <w:p w14:paraId="08C071E5" w14:textId="77777777" w:rsidR="00B724ED" w:rsidRPr="00C55F4F" w:rsidRDefault="00B724ED" w:rsidP="00B724ED">
      <w:pPr>
        <w:spacing w:after="0"/>
        <w:ind w:left="720"/>
        <w:contextualSpacing/>
        <w:rPr>
          <w:rFonts w:ascii="Times New Roman" w:hAnsi="Times New Roman"/>
          <w:color w:val="000000" w:themeColor="text1"/>
          <w:sz w:val="24"/>
          <w:szCs w:val="24"/>
        </w:rPr>
      </w:pPr>
    </w:p>
    <w:p w14:paraId="1FAB72A7" w14:textId="18582642" w:rsidR="00570F35" w:rsidRPr="00C55F4F" w:rsidRDefault="00570F35" w:rsidP="00B724ED">
      <w:pPr>
        <w:spacing w:after="0"/>
        <w:ind w:left="720"/>
        <w:contextualSpacing/>
        <w:rPr>
          <w:rFonts w:ascii="Times New Roman" w:hAnsi="Times New Roman"/>
          <w:color w:val="000000" w:themeColor="text1"/>
          <w:sz w:val="24"/>
          <w:szCs w:val="24"/>
        </w:rPr>
      </w:pPr>
      <w:r w:rsidRPr="00C55F4F">
        <w:rPr>
          <w:rFonts w:ascii="Times New Roman" w:hAnsi="Times New Roman"/>
          <w:color w:val="000000" w:themeColor="text1"/>
          <w:sz w:val="24"/>
          <w:szCs w:val="24"/>
        </w:rPr>
        <w:t>(2) it was issued on or after the commencement of that insolvency proceeding.</w:t>
      </w:r>
    </w:p>
    <w:p w14:paraId="373F7429" w14:textId="77777777" w:rsidR="00B724ED" w:rsidRPr="00C55F4F" w:rsidRDefault="00B724ED" w:rsidP="00570F35">
      <w:pPr>
        <w:spacing w:after="0"/>
        <w:rPr>
          <w:rFonts w:ascii="Times New Roman" w:hAnsi="Times New Roman"/>
          <w:sz w:val="24"/>
          <w:szCs w:val="24"/>
        </w:rPr>
      </w:pPr>
    </w:p>
    <w:p w14:paraId="0F5A389A" w14:textId="12E9911D" w:rsidR="00570F35" w:rsidRPr="00C55F4F" w:rsidRDefault="00570F35" w:rsidP="00570F35">
      <w:pPr>
        <w:spacing w:after="0"/>
        <w:rPr>
          <w:rFonts w:ascii="Times New Roman" w:hAnsi="Times New Roman"/>
          <w:sz w:val="24"/>
          <w:szCs w:val="24"/>
        </w:rPr>
      </w:pPr>
      <w:r w:rsidRPr="00C55F4F">
        <w:rPr>
          <w:rFonts w:ascii="Times New Roman" w:hAnsi="Times New Roman"/>
          <w:sz w:val="24"/>
          <w:szCs w:val="24"/>
        </w:rPr>
        <w:t>At the same time, a judgment commencing an insolvency proceeding is expressly excluded from the definition of the ‘insolvency-related judgment’.</w:t>
      </w:r>
    </w:p>
    <w:p w14:paraId="68F7262A" w14:textId="77777777" w:rsidR="0035179B" w:rsidRPr="00C55F4F" w:rsidRDefault="0035179B" w:rsidP="00570F35">
      <w:pPr>
        <w:spacing w:after="0"/>
        <w:contextualSpacing/>
        <w:rPr>
          <w:rFonts w:ascii="Times New Roman" w:hAnsi="Times New Roman"/>
          <w:sz w:val="24"/>
          <w:szCs w:val="24"/>
        </w:rPr>
      </w:pPr>
    </w:p>
    <w:p w14:paraId="133A2DCF" w14:textId="3080F3CE" w:rsidR="00570F35" w:rsidRPr="00C55F4F" w:rsidRDefault="00570F35" w:rsidP="00570F35">
      <w:pPr>
        <w:spacing w:after="0"/>
        <w:contextualSpacing/>
        <w:rPr>
          <w:rFonts w:ascii="Times New Roman" w:hAnsi="Times New Roman"/>
          <w:i/>
          <w:iCs/>
          <w:sz w:val="24"/>
          <w:szCs w:val="24"/>
        </w:rPr>
      </w:pPr>
      <w:r w:rsidRPr="00C55F4F">
        <w:rPr>
          <w:rFonts w:ascii="Times New Roman" w:hAnsi="Times New Roman"/>
          <w:sz w:val="24"/>
          <w:szCs w:val="24"/>
        </w:rPr>
        <w:t xml:space="preserve">It is deemed that the suggested definition of an ‘insolvency-related judgment’ under the MLIRJ is quite vague as </w:t>
      </w:r>
      <w:r w:rsidRPr="00C55F4F">
        <w:rPr>
          <w:rFonts w:ascii="Times New Roman" w:hAnsi="Times New Roman"/>
          <w:i/>
          <w:iCs/>
          <w:sz w:val="24"/>
          <w:szCs w:val="24"/>
        </w:rPr>
        <w:t>de facto</w:t>
      </w:r>
      <w:r w:rsidRPr="00C55F4F">
        <w:rPr>
          <w:rFonts w:ascii="Times New Roman" w:hAnsi="Times New Roman"/>
          <w:sz w:val="24"/>
          <w:szCs w:val="24"/>
        </w:rPr>
        <w:t xml:space="preserve"> almost any further judgment that is handed down by the court when the insolvency proceeding has been opened would inevitably or most likely ‘arise as a consequence of or be materially associated with an insolvency proceeding’, due to introduction of a ‘special regime’.</w:t>
      </w:r>
    </w:p>
    <w:p w14:paraId="2A4B2D86" w14:textId="77777777" w:rsidR="00C55F4F" w:rsidRPr="00C55F4F" w:rsidRDefault="00C55F4F" w:rsidP="00570F35">
      <w:pPr>
        <w:spacing w:after="0"/>
        <w:contextualSpacing/>
        <w:rPr>
          <w:rFonts w:ascii="Times New Roman" w:hAnsi="Times New Roman"/>
          <w:sz w:val="24"/>
          <w:szCs w:val="24"/>
        </w:rPr>
      </w:pPr>
    </w:p>
    <w:p w14:paraId="39FC2B14" w14:textId="149A2B29"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 xml:space="preserve">For instance, with the opening of an insolvency proceeding usually a stay/moratorium would apply, which would inevitably trigger disputes around a number of issues, i.e.: the scope and extend of a moratorium and a ‘special treatment’ of contracts, potential </w:t>
      </w:r>
      <w:r w:rsidRPr="00C55F4F">
        <w:rPr>
          <w:rFonts w:ascii="Times New Roman" w:hAnsi="Times New Roman"/>
          <w:i/>
          <w:iCs/>
          <w:sz w:val="24"/>
          <w:szCs w:val="24"/>
        </w:rPr>
        <w:t>ipso facto</w:t>
      </w:r>
      <w:r w:rsidRPr="00C55F4F">
        <w:rPr>
          <w:rFonts w:ascii="Times New Roman" w:hAnsi="Times New Roman"/>
          <w:sz w:val="24"/>
          <w:szCs w:val="24"/>
        </w:rPr>
        <w:t xml:space="preserve"> clauses disputes around their performance/non-performance, acceleration of payment or termination; potential disputes around foreclosure on a collateral and other enforcement actions in the zone of insolvency and further transactions when in insolvency, including transaction avoidance claims; tax- and employee-related claims, etc.</w:t>
      </w:r>
    </w:p>
    <w:p w14:paraId="6E43EC60" w14:textId="77777777" w:rsidR="00C55F4F" w:rsidRPr="00C55F4F" w:rsidRDefault="00C55F4F" w:rsidP="00570F35">
      <w:pPr>
        <w:spacing w:after="0"/>
        <w:contextualSpacing/>
        <w:rPr>
          <w:rFonts w:ascii="Times New Roman" w:hAnsi="Times New Roman"/>
          <w:sz w:val="24"/>
          <w:szCs w:val="24"/>
        </w:rPr>
      </w:pPr>
    </w:p>
    <w:p w14:paraId="1A0D5FAE" w14:textId="405AE4F0" w:rsidR="00570F35" w:rsidRPr="00C55F4F" w:rsidRDefault="00570F35" w:rsidP="00570F35">
      <w:pPr>
        <w:spacing w:after="0"/>
        <w:contextualSpacing/>
        <w:rPr>
          <w:rFonts w:ascii="Times New Roman" w:hAnsi="Times New Roman"/>
          <w:sz w:val="24"/>
          <w:szCs w:val="24"/>
        </w:rPr>
      </w:pPr>
      <w:r w:rsidRPr="00C55F4F">
        <w:rPr>
          <w:rFonts w:ascii="Times New Roman" w:hAnsi="Times New Roman"/>
          <w:sz w:val="24"/>
          <w:szCs w:val="24"/>
        </w:rPr>
        <w:t>At the same time, para</w:t>
      </w:r>
      <w:r w:rsidR="00C55F4F" w:rsidRPr="00C55F4F">
        <w:rPr>
          <w:rFonts w:ascii="Times New Roman" w:hAnsi="Times New Roman"/>
          <w:sz w:val="24"/>
          <w:szCs w:val="24"/>
        </w:rPr>
        <w:t>graph</w:t>
      </w:r>
      <w:r w:rsidRPr="00C55F4F">
        <w:rPr>
          <w:rFonts w:ascii="Times New Roman" w:hAnsi="Times New Roman"/>
          <w:sz w:val="24"/>
          <w:szCs w:val="24"/>
        </w:rPr>
        <w:t xml:space="preserve"> 60 of the Guide to MLIRJ provides an unexhaustive list of the types of judgment that might be considered as insolvency-related judgments</w:t>
      </w:r>
      <w:r w:rsidR="00C55F4F" w:rsidRPr="00C55F4F">
        <w:rPr>
          <w:rFonts w:ascii="Times New Roman" w:hAnsi="Times New Roman"/>
          <w:sz w:val="24"/>
          <w:szCs w:val="24"/>
        </w:rPr>
        <w:t>.</w:t>
      </w:r>
      <w:r w:rsidRPr="00C55F4F">
        <w:rPr>
          <w:rStyle w:val="FootnoteReference"/>
          <w:rFonts w:ascii="Times New Roman" w:hAnsi="Times New Roman"/>
          <w:sz w:val="24"/>
          <w:szCs w:val="24"/>
        </w:rPr>
        <w:footnoteReference w:id="5"/>
      </w:r>
      <w:r w:rsidRPr="00C55F4F">
        <w:rPr>
          <w:rFonts w:ascii="Times New Roman" w:hAnsi="Times New Roman"/>
          <w:sz w:val="24"/>
          <w:szCs w:val="24"/>
        </w:rPr>
        <w:t xml:space="preserve"> They still lack </w:t>
      </w:r>
      <w:r w:rsidRPr="00C55F4F">
        <w:rPr>
          <w:rFonts w:ascii="Times New Roman" w:hAnsi="Times New Roman"/>
          <w:sz w:val="24"/>
          <w:szCs w:val="24"/>
        </w:rPr>
        <w:lastRenderedPageBreak/>
        <w:t xml:space="preserve">any commonality of criteria that could define an insolvency-related judgment. Meanwhile, item (d) of </w:t>
      </w:r>
      <w:r w:rsidR="00C55F4F" w:rsidRPr="00C55F4F">
        <w:rPr>
          <w:rFonts w:ascii="Times New Roman" w:hAnsi="Times New Roman"/>
          <w:sz w:val="24"/>
          <w:szCs w:val="24"/>
        </w:rPr>
        <w:t xml:space="preserve">paragraph </w:t>
      </w:r>
      <w:r w:rsidRPr="00C55F4F">
        <w:rPr>
          <w:rFonts w:ascii="Times New Roman" w:hAnsi="Times New Roman"/>
          <w:sz w:val="24"/>
          <w:szCs w:val="24"/>
        </w:rPr>
        <w:t>60 of the Guide seems to fit our purposes most as it covers any money/ performance judgment, other than the one arisen from transaction avoidance or alike claims. This may be a good fit for the war-related claims on compensation of proprietary damage to the debtor, which was considered within a pending insolvency case. But again, it will be a</w:t>
      </w:r>
      <w:r w:rsidR="00C55F4F" w:rsidRPr="00C55F4F">
        <w:rPr>
          <w:rFonts w:ascii="Times New Roman" w:hAnsi="Times New Roman"/>
          <w:sz w:val="24"/>
          <w:szCs w:val="24"/>
        </w:rPr>
        <w:t>t the</w:t>
      </w:r>
      <w:r w:rsidRPr="00C55F4F">
        <w:rPr>
          <w:rFonts w:ascii="Times New Roman" w:hAnsi="Times New Roman"/>
          <w:sz w:val="24"/>
          <w:szCs w:val="24"/>
        </w:rPr>
        <w:t xml:space="preserve"> discretion of a particular jurisdiction. Let’s live and see how the MLIRJ gets enacted by the respective states.</w:t>
      </w:r>
    </w:p>
    <w:p w14:paraId="3FFCCCCE" w14:textId="77777777" w:rsidR="00C55F4F" w:rsidRPr="00C55F4F" w:rsidRDefault="00C55F4F" w:rsidP="00570F35">
      <w:pPr>
        <w:spacing w:after="0"/>
        <w:contextualSpacing/>
        <w:rPr>
          <w:rFonts w:ascii="Times New Roman" w:hAnsi="Times New Roman"/>
          <w:sz w:val="24"/>
          <w:szCs w:val="24"/>
        </w:rPr>
      </w:pPr>
    </w:p>
    <w:p w14:paraId="6D588A06" w14:textId="6032697F" w:rsidR="00570F35" w:rsidRPr="00C55F4F" w:rsidRDefault="00570F35" w:rsidP="00570F35">
      <w:pPr>
        <w:spacing w:after="0"/>
        <w:contextualSpacing/>
        <w:rPr>
          <w:rFonts w:ascii="Times New Roman" w:hAnsi="Times New Roman"/>
          <w:b/>
          <w:bCs/>
          <w:sz w:val="24"/>
          <w:szCs w:val="24"/>
        </w:rPr>
      </w:pPr>
      <w:r w:rsidRPr="00C55F4F">
        <w:rPr>
          <w:rFonts w:ascii="Times New Roman" w:hAnsi="Times New Roman"/>
          <w:i/>
          <w:iCs/>
          <w:sz w:val="24"/>
          <w:szCs w:val="24"/>
        </w:rPr>
        <w:t>Conclu</w:t>
      </w:r>
      <w:r w:rsidR="00C55F4F" w:rsidRPr="00C55F4F">
        <w:rPr>
          <w:rFonts w:ascii="Times New Roman" w:hAnsi="Times New Roman"/>
          <w:i/>
          <w:iCs/>
          <w:sz w:val="24"/>
          <w:szCs w:val="24"/>
        </w:rPr>
        <w:t>sion</w:t>
      </w:r>
    </w:p>
    <w:p w14:paraId="78B3F798" w14:textId="77777777" w:rsidR="00570F35" w:rsidRPr="00C55F4F" w:rsidRDefault="00570F35" w:rsidP="00570F35">
      <w:pPr>
        <w:spacing w:after="0"/>
        <w:contextualSpacing/>
        <w:rPr>
          <w:rFonts w:ascii="Times New Roman" w:hAnsi="Times New Roman"/>
          <w:sz w:val="24"/>
          <w:szCs w:val="24"/>
        </w:rPr>
      </w:pPr>
    </w:p>
    <w:p w14:paraId="5761A948" w14:textId="214573F2" w:rsidR="0047439B" w:rsidRPr="00C55F4F" w:rsidRDefault="00570F35" w:rsidP="00570F35">
      <w:pPr>
        <w:spacing w:after="0"/>
        <w:rPr>
          <w:rFonts w:ascii="Times New Roman" w:hAnsi="Times New Roman"/>
          <w:sz w:val="24"/>
          <w:szCs w:val="24"/>
        </w:rPr>
      </w:pPr>
      <w:r w:rsidRPr="00C55F4F">
        <w:rPr>
          <w:rFonts w:ascii="Times New Roman" w:hAnsi="Times New Roman"/>
          <w:sz w:val="24"/>
          <w:szCs w:val="24"/>
        </w:rPr>
        <w:t>Setting two rather broad cumulative criteria for a judgment to qualify as ‘insolvency related’ under Article 2(d) of the MLIRJ (i.e. to arise as a consequence of or is materially associated with an insolvency proceeding, and to be issued on or after the commencement of the insolvency proceeding) will inevitably trigger disputes. Given that the debtor gets placed into a ‘special regime’ with the opening of the insolvency proceeding, it is highly likely that each claim thereafter could potentially qualify as insolvency related. Therefore, maybe it would be worthwhile to simply list the type of claims/judgments which will be expressly excluded from the implemented MLIRJ. Food for thought</w:t>
      </w:r>
      <w:r w:rsidR="00C55F4F" w:rsidRPr="00C55F4F">
        <w:rPr>
          <w:rFonts w:ascii="Times New Roman" w:hAnsi="Times New Roman"/>
          <w:sz w:val="24"/>
          <w:szCs w:val="24"/>
        </w:rPr>
        <w:t>!</w:t>
      </w:r>
    </w:p>
    <w:sectPr w:rsidR="0047439B" w:rsidRPr="00C55F4F"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9FA2" w14:textId="77777777" w:rsidR="00CF5FBB" w:rsidRDefault="00CF5FBB">
      <w:r>
        <w:separator/>
      </w:r>
    </w:p>
  </w:endnote>
  <w:endnote w:type="continuationSeparator" w:id="0">
    <w:p w14:paraId="14C4BD46" w14:textId="77777777" w:rsidR="00CF5FBB" w:rsidRDefault="00CF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7DCF" w14:textId="77777777" w:rsidR="00CF5FBB" w:rsidRDefault="00CF5FBB">
      <w:r>
        <w:separator/>
      </w:r>
    </w:p>
  </w:footnote>
  <w:footnote w:type="continuationSeparator" w:id="0">
    <w:p w14:paraId="458888F0" w14:textId="77777777" w:rsidR="00CF5FBB" w:rsidRDefault="00CF5FBB">
      <w:r>
        <w:continuationSeparator/>
      </w:r>
    </w:p>
  </w:footnote>
  <w:footnote w:id="1">
    <w:p w14:paraId="32E3B442" w14:textId="47C55E06" w:rsidR="00570F35" w:rsidRPr="00570F35" w:rsidRDefault="00570F35" w:rsidP="00570F35">
      <w:pPr>
        <w:pStyle w:val="FootnoteText"/>
        <w:rPr>
          <w:rFonts w:ascii="Times New Roman" w:hAnsi="Times New Roman"/>
        </w:rPr>
      </w:pPr>
      <w:r w:rsidRPr="00570F35">
        <w:rPr>
          <w:rStyle w:val="FootnoteReference"/>
          <w:rFonts w:ascii="Times New Roman" w:hAnsi="Times New Roman"/>
        </w:rPr>
        <w:footnoteRef/>
      </w:r>
      <w:r w:rsidRPr="00570F35">
        <w:rPr>
          <w:rFonts w:ascii="Times New Roman" w:hAnsi="Times New Roman"/>
        </w:rPr>
        <w:t xml:space="preserve"> Decision of the Commercial Court of Zaporizhzhia Region (Ukraine) in Case No. 908/1100/22 (908/2455/22) d</w:t>
      </w:r>
      <w:r w:rsidR="00B724ED">
        <w:rPr>
          <w:rFonts w:ascii="Times New Roman" w:hAnsi="Times New Roman"/>
        </w:rPr>
        <w:t>ate</w:t>
      </w:r>
      <w:r w:rsidRPr="00570F35">
        <w:rPr>
          <w:rFonts w:ascii="Times New Roman" w:hAnsi="Times New Roman"/>
        </w:rPr>
        <w:t>d 2 February 2023 (Judge: Mr O.O. Yuldashev).</w:t>
      </w:r>
    </w:p>
  </w:footnote>
  <w:footnote w:id="2">
    <w:p w14:paraId="0F431F6C" w14:textId="0D9D809B" w:rsidR="00B724ED" w:rsidRPr="00570F35" w:rsidRDefault="00B724ED" w:rsidP="00B724ED">
      <w:pPr>
        <w:pStyle w:val="FootnoteText"/>
        <w:rPr>
          <w:rFonts w:ascii="Times New Roman" w:hAnsi="Times New Roman"/>
        </w:rPr>
      </w:pPr>
      <w:r w:rsidRPr="00570F35">
        <w:rPr>
          <w:rStyle w:val="FootnoteReference"/>
          <w:rFonts w:ascii="Times New Roman" w:hAnsi="Times New Roman"/>
        </w:rPr>
        <w:footnoteRef/>
      </w:r>
      <w:r w:rsidRPr="00570F35">
        <w:rPr>
          <w:rFonts w:ascii="Times New Roman" w:hAnsi="Times New Roman"/>
        </w:rPr>
        <w:t xml:space="preserve"> </w:t>
      </w:r>
      <w:r w:rsidRPr="00570F35">
        <w:rPr>
          <w:rFonts w:ascii="Times New Roman" w:hAnsi="Times New Roman"/>
          <w:i/>
          <w:iCs/>
        </w:rPr>
        <w:t>Para 2 of Article 7 of the BCU:</w:t>
      </w:r>
      <w:r w:rsidRPr="00570F35">
        <w:rPr>
          <w:rFonts w:ascii="Times New Roman" w:hAnsi="Times New Roman"/>
        </w:rPr>
        <w:t xml:space="preserve"> ‘the commercial court, considering an insolvency case, shall hear within this [insolvency] case, all proprietary claims/ disputes, </w:t>
      </w:r>
      <w:r w:rsidRPr="00570F35">
        <w:rPr>
          <w:rFonts w:ascii="Times New Roman" w:hAnsi="Times New Roman"/>
          <w:i/>
          <w:iCs/>
        </w:rPr>
        <w:t>which the debtor is a party to</w:t>
      </w:r>
      <w:r w:rsidRPr="00570F35">
        <w:rPr>
          <w:rFonts w:ascii="Times New Roman" w:hAnsi="Times New Roman"/>
        </w:rPr>
        <w:t>; the claims against the debtor and its property; the claims on invalidation of auction results; claims on invalidation of any transactions/ agreements, entered into by the debtor; claims on vindication of debtor’s assets or recovery of its value; salary-related claims; debtor’s employee-related claims; other claims against the debtor.’</w:t>
      </w:r>
    </w:p>
  </w:footnote>
  <w:footnote w:id="3">
    <w:p w14:paraId="2CC4DC25" w14:textId="3B2B77BE" w:rsidR="00570F35" w:rsidRPr="00570F35" w:rsidRDefault="00570F35" w:rsidP="00570F35">
      <w:pPr>
        <w:pStyle w:val="FootnoteText"/>
        <w:rPr>
          <w:rFonts w:ascii="Times New Roman" w:hAnsi="Times New Roman"/>
        </w:rPr>
      </w:pPr>
      <w:r w:rsidRPr="00570F35">
        <w:rPr>
          <w:rStyle w:val="FootnoteReference"/>
          <w:rFonts w:ascii="Times New Roman" w:hAnsi="Times New Roman"/>
        </w:rPr>
        <w:footnoteRef/>
      </w:r>
      <w:r w:rsidRPr="00570F35">
        <w:rPr>
          <w:rFonts w:ascii="Times New Roman" w:hAnsi="Times New Roman"/>
        </w:rPr>
        <w:t xml:space="preserve"> Under the recent Law of Ukraine ‘On Amendments to Certain Legislative Acts of Ukraine Regarding the Conduct and Administration of Bankruptcy Procedures in Martial Law’ No. 3249-IX dd. 13 July 2023 (in force as of 29 July 2023), para 2 of Article 7 of the BCU has been </w:t>
      </w:r>
      <w:r w:rsidRPr="00570F35">
        <w:rPr>
          <w:rFonts w:ascii="Times New Roman" w:hAnsi="Times New Roman"/>
          <w:i/>
          <w:iCs/>
        </w:rPr>
        <w:t xml:space="preserve">amended </w:t>
      </w:r>
      <w:r w:rsidRPr="00570F35">
        <w:rPr>
          <w:rFonts w:ascii="Times New Roman" w:hAnsi="Times New Roman"/>
        </w:rPr>
        <w:t xml:space="preserve">in such a way so that now ‘the claims for compensation of damages and/or loss caused to the debtor’ have </w:t>
      </w:r>
      <w:r w:rsidRPr="00570F35">
        <w:rPr>
          <w:rFonts w:ascii="Times New Roman" w:hAnsi="Times New Roman"/>
          <w:i/>
          <w:iCs/>
        </w:rPr>
        <w:t xml:space="preserve">expressly been added to the jurisdiction </w:t>
      </w:r>
      <w:r w:rsidRPr="00570F35">
        <w:rPr>
          <w:rFonts w:ascii="Times New Roman" w:hAnsi="Times New Roman"/>
        </w:rPr>
        <w:t>of commercial courts considering a pending insolvency case.</w:t>
      </w:r>
    </w:p>
  </w:footnote>
  <w:footnote w:id="4">
    <w:p w14:paraId="173E4C43" w14:textId="77777777" w:rsidR="00570F35" w:rsidRPr="00570F35" w:rsidRDefault="00570F35" w:rsidP="00570F35">
      <w:pPr>
        <w:pStyle w:val="FootnoteText"/>
        <w:rPr>
          <w:rFonts w:ascii="Times New Roman" w:hAnsi="Times New Roman"/>
        </w:rPr>
      </w:pPr>
      <w:r w:rsidRPr="00570F35">
        <w:rPr>
          <w:rStyle w:val="FootnoteReference"/>
          <w:rFonts w:ascii="Times New Roman" w:hAnsi="Times New Roman"/>
        </w:rPr>
        <w:footnoteRef/>
      </w:r>
      <w:r w:rsidRPr="00570F35">
        <w:rPr>
          <w:rFonts w:ascii="Times New Roman" w:hAnsi="Times New Roman"/>
        </w:rPr>
        <w:t xml:space="preserve"> </w:t>
      </w:r>
      <w:hyperlink r:id="rId1" w:history="1">
        <w:r w:rsidRPr="00570F35">
          <w:rPr>
            <w:rStyle w:val="Hyperlink"/>
            <w:rFonts w:ascii="Times New Roman" w:hAnsi="Times New Roman"/>
          </w:rPr>
          <w:t>https://uncitral.un.org/sites/uncitral.un.org/files/media-documents/uncitral/en/ml_recognition_gte_e.pdf</w:t>
        </w:r>
      </w:hyperlink>
      <w:r w:rsidRPr="00570F35">
        <w:rPr>
          <w:rFonts w:ascii="Times New Roman" w:hAnsi="Times New Roman"/>
        </w:rPr>
        <w:t xml:space="preserve"> </w:t>
      </w:r>
    </w:p>
  </w:footnote>
  <w:footnote w:id="5">
    <w:p w14:paraId="4C00717E" w14:textId="77777777" w:rsidR="00570F35" w:rsidRPr="00570F35" w:rsidRDefault="00570F35" w:rsidP="00570F35">
      <w:pPr>
        <w:pStyle w:val="FootnoteText"/>
        <w:rPr>
          <w:rFonts w:ascii="Times New Roman" w:hAnsi="Times New Roman"/>
        </w:rPr>
      </w:pPr>
      <w:r w:rsidRPr="00570F35">
        <w:rPr>
          <w:rStyle w:val="FootnoteReference"/>
          <w:rFonts w:ascii="Times New Roman" w:hAnsi="Times New Roman"/>
        </w:rPr>
        <w:footnoteRef/>
      </w:r>
      <w:r w:rsidRPr="00570F35">
        <w:rPr>
          <w:rFonts w:ascii="Times New Roman" w:hAnsi="Times New Roman"/>
        </w:rPr>
        <w:t xml:space="preserve"> (a) A judgment dealing with constitution and disposal of assets of the insolvency estate, such as whether an asset is part of, should be turned over to, or was properly (or improperly) disposed of by the insolvency estate; </w:t>
      </w:r>
    </w:p>
    <w:p w14:paraId="480ECFBB" w14:textId="77777777" w:rsidR="00570F35" w:rsidRPr="00570F35" w:rsidRDefault="00570F35" w:rsidP="00570F35">
      <w:pPr>
        <w:pStyle w:val="FootnoteText"/>
        <w:rPr>
          <w:rFonts w:ascii="Times New Roman" w:hAnsi="Times New Roman"/>
        </w:rPr>
      </w:pPr>
      <w:r w:rsidRPr="00570F35">
        <w:rPr>
          <w:rFonts w:ascii="Times New Roman" w:hAnsi="Times New Roman"/>
        </w:rPr>
        <w:t xml:space="preserve">(b) A judgment determining whether a transaction involving the debtor or assets of its insolvency estate should be avoided because it upset the principle of equitable treatment of creditors (preferential transactions) or improperly reduced the value of the estate (transactions at an undervalue); </w:t>
      </w:r>
    </w:p>
    <w:p w14:paraId="7B44146B" w14:textId="77777777" w:rsidR="00570F35" w:rsidRPr="00570F35" w:rsidRDefault="00570F35" w:rsidP="00570F35">
      <w:pPr>
        <w:pStyle w:val="FootnoteText"/>
        <w:rPr>
          <w:rFonts w:ascii="Times New Roman" w:hAnsi="Times New Roman"/>
        </w:rPr>
      </w:pPr>
      <w:r w:rsidRPr="00570F35">
        <w:rPr>
          <w:rFonts w:ascii="Times New Roman" w:hAnsi="Times New Roman"/>
        </w:rPr>
        <w:t xml:space="preserve">(c) A judgment determining that a representative or director of the debtor is liable for action taken when the debtor was insolvent or in the period approaching insolvency, and the cause of action relating to that liability was one that could be pursued by or on behalf of the debtor’s insolvency estate under the law relating to insolvency […]; </w:t>
      </w:r>
    </w:p>
    <w:p w14:paraId="7DD044C1" w14:textId="77777777" w:rsidR="00570F35" w:rsidRPr="00570F35" w:rsidRDefault="00570F35" w:rsidP="00570F35">
      <w:pPr>
        <w:pStyle w:val="FootnoteText"/>
        <w:rPr>
          <w:rFonts w:ascii="Times New Roman" w:hAnsi="Times New Roman"/>
        </w:rPr>
      </w:pPr>
      <w:r w:rsidRPr="00570F35">
        <w:rPr>
          <w:rFonts w:ascii="Times New Roman" w:hAnsi="Times New Roman"/>
        </w:rPr>
        <w:t xml:space="preserve">(d) A judgment determining whether the debtor owes or is owed a sum or any other performance not covered by subparagraph (a) or (b); </w:t>
      </w:r>
    </w:p>
    <w:p w14:paraId="39EA91EE" w14:textId="77777777" w:rsidR="00570F35" w:rsidRPr="00570F35" w:rsidRDefault="00570F35" w:rsidP="00570F35">
      <w:pPr>
        <w:pStyle w:val="FootnoteText"/>
        <w:rPr>
          <w:rFonts w:ascii="Times New Roman" w:hAnsi="Times New Roman"/>
        </w:rPr>
      </w:pPr>
      <w:r w:rsidRPr="00570F35">
        <w:rPr>
          <w:rFonts w:ascii="Times New Roman" w:hAnsi="Times New Roman"/>
        </w:rPr>
        <w:t xml:space="preserve">e) A judgment (i) confirming or varying a plan of reorganization or liquidation, (ii) granting a discharge of the debtor or of a debt, or (iii) approving a voluntary or out-of-court restructuring agreement, and </w:t>
      </w:r>
    </w:p>
    <w:p w14:paraId="76ED2E00" w14:textId="77777777" w:rsidR="00570F35" w:rsidRPr="00570F35" w:rsidRDefault="00570F35" w:rsidP="00570F35">
      <w:pPr>
        <w:pStyle w:val="FootnoteText"/>
        <w:rPr>
          <w:rFonts w:ascii="Times New Roman" w:hAnsi="Times New Roman"/>
        </w:rPr>
      </w:pPr>
      <w:r w:rsidRPr="00570F35">
        <w:rPr>
          <w:rFonts w:ascii="Times New Roman" w:hAnsi="Times New Roman"/>
        </w:rPr>
        <w:t>(f) A judgment for the examination of a director of the debtor, where that director is located in a third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4CBF16D5" w:rsidR="00D90E9D" w:rsidRPr="00570F35" w:rsidRDefault="00BF3D3E" w:rsidP="00D90E9D">
    <w:pPr>
      <w:pStyle w:val="Header"/>
      <w:spacing w:after="0"/>
      <w:rPr>
        <w:rFonts w:ascii="Times New Roman" w:hAnsi="Times New Roman"/>
        <w:b/>
        <w:sz w:val="20"/>
      </w:rPr>
    </w:pPr>
    <w:r w:rsidRPr="00570F35">
      <w:rPr>
        <w:rFonts w:ascii="Times New Roman" w:hAnsi="Times New Roman"/>
        <w:b/>
        <w:sz w:val="20"/>
      </w:rPr>
      <w:t>Inside Story (</w:t>
    </w:r>
    <w:r w:rsidR="00570F35" w:rsidRPr="00570F35">
      <w:rPr>
        <w:rFonts w:ascii="Times New Roman" w:hAnsi="Times New Roman"/>
        <w:b/>
        <w:sz w:val="20"/>
      </w:rPr>
      <w:t>September</w:t>
    </w:r>
    <w:r w:rsidR="002A5779" w:rsidRPr="00570F35">
      <w:rPr>
        <w:rFonts w:ascii="Times New Roman" w:hAnsi="Times New Roman"/>
        <w:b/>
        <w:sz w:val="20"/>
      </w:rPr>
      <w:t xml:space="preserve"> 20</w:t>
    </w:r>
    <w:r w:rsidR="00087612" w:rsidRPr="00570F35">
      <w:rPr>
        <w:rFonts w:ascii="Times New Roman" w:hAnsi="Times New Roman"/>
        <w:b/>
        <w:sz w:val="20"/>
      </w:rPr>
      <w:t>2</w:t>
    </w:r>
    <w:r w:rsidR="007E0056" w:rsidRPr="00570F35">
      <w:rPr>
        <w:rFonts w:ascii="Times New Roman" w:hAnsi="Times New Roman"/>
        <w:b/>
        <w:sz w:val="20"/>
      </w:rPr>
      <w:t>3</w:t>
    </w:r>
    <w:r w:rsidR="00D90E9D" w:rsidRPr="00570F35">
      <w:rPr>
        <w:rFonts w:ascii="Times New Roman" w:hAnsi="Times New Roman"/>
        <w:b/>
        <w:sz w:val="20"/>
      </w:rPr>
      <w:t>)</w:t>
    </w:r>
  </w:p>
  <w:p w14:paraId="0F2C5C5A" w14:textId="28BE4EEE" w:rsidR="00BF3D3E" w:rsidRPr="00570F35" w:rsidRDefault="00570F35" w:rsidP="00D90E9D">
    <w:pPr>
      <w:pStyle w:val="Header"/>
      <w:spacing w:after="0"/>
      <w:rPr>
        <w:rFonts w:ascii="Times New Roman" w:hAnsi="Times New Roman"/>
        <w:b/>
        <w:sz w:val="20"/>
        <w:lang w:val="fr-FR"/>
      </w:rPr>
    </w:pPr>
    <w:r w:rsidRPr="00570F35">
      <w:rPr>
        <w:rFonts w:ascii="Times New Roman" w:hAnsi="Times New Roman"/>
        <w:b/>
        <w:sz w:val="20"/>
        <w:lang w:val="fr-FR"/>
      </w:rPr>
      <w:t xml:space="preserve">Olha </w:t>
    </w:r>
    <w:r w:rsidRPr="00570F35">
      <w:rPr>
        <w:rFonts w:ascii="Times New Roman" w:hAnsi="Times New Roman"/>
        <w:b/>
        <w:bCs/>
        <w:sz w:val="20"/>
      </w:rPr>
      <w:t>Stakheyeva-Bogovyk</w:t>
    </w:r>
    <w:r w:rsidRPr="00570F35">
      <w:rPr>
        <w:rFonts w:ascii="Times New Roman" w:hAnsi="Times New Roman"/>
        <w:b/>
        <w:sz w:val="20"/>
        <w:lang w:val="fr-FR"/>
      </w:rPr>
      <w:t xml:space="preserve"> </w:t>
    </w:r>
    <w:r w:rsidR="00BF3D3E" w:rsidRPr="00570F35">
      <w:rPr>
        <w:rFonts w:ascii="Times New Roman" w:hAnsi="Times New Roman"/>
        <w:b/>
        <w:sz w:val="20"/>
        <w:lang w:val="fr-FR"/>
      </w:rPr>
      <w:t>(</w:t>
    </w:r>
    <w:r w:rsidR="005D72D5" w:rsidRPr="00570F35">
      <w:rPr>
        <w:rFonts w:ascii="Times New Roman" w:hAnsi="Times New Roman"/>
        <w:b/>
        <w:sz w:val="20"/>
        <w:lang w:val="fr-FR"/>
      </w:rPr>
      <w:t>U</w:t>
    </w:r>
    <w:r w:rsidRPr="00570F35">
      <w:rPr>
        <w:rFonts w:ascii="Times New Roman" w:hAnsi="Times New Roman"/>
        <w:b/>
        <w:sz w:val="20"/>
        <w:lang w:val="fr-FR"/>
      </w:rPr>
      <w:t>kraine</w:t>
    </w:r>
    <w:r w:rsidR="00BF3D3E" w:rsidRPr="00570F35">
      <w:rPr>
        <w:rFonts w:ascii="Times New Roman" w:hAnsi="Times New Roman"/>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0"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3"/>
  </w:num>
  <w:num w:numId="2">
    <w:abstractNumId w:val="9"/>
  </w:num>
  <w:num w:numId="3">
    <w:abstractNumId w:val="32"/>
  </w:num>
  <w:num w:numId="4">
    <w:abstractNumId w:val="15"/>
  </w:num>
  <w:num w:numId="5">
    <w:abstractNumId w:val="18"/>
  </w:num>
  <w:num w:numId="6">
    <w:abstractNumId w:val="33"/>
  </w:num>
  <w:num w:numId="7">
    <w:abstractNumId w:val="0"/>
  </w:num>
  <w:num w:numId="8">
    <w:abstractNumId w:val="12"/>
  </w:num>
  <w:num w:numId="9">
    <w:abstractNumId w:val="2"/>
  </w:num>
  <w:num w:numId="10">
    <w:abstractNumId w:val="1"/>
  </w:num>
  <w:num w:numId="11">
    <w:abstractNumId w:val="27"/>
  </w:num>
  <w:num w:numId="12">
    <w:abstractNumId w:val="11"/>
  </w:num>
  <w:num w:numId="13">
    <w:abstractNumId w:val="25"/>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9"/>
  </w:num>
  <w:num w:numId="21">
    <w:abstractNumId w:val="32"/>
  </w:num>
  <w:num w:numId="22">
    <w:abstractNumId w:val="18"/>
  </w:num>
  <w:num w:numId="23">
    <w:abstractNumId w:val="15"/>
  </w:num>
  <w:num w:numId="24">
    <w:abstractNumId w:val="28"/>
  </w:num>
  <w:num w:numId="25">
    <w:abstractNumId w:val="21"/>
  </w:num>
  <w:num w:numId="26">
    <w:abstractNumId w:val="24"/>
  </w:num>
  <w:num w:numId="27">
    <w:abstractNumId w:val="19"/>
  </w:num>
  <w:num w:numId="28">
    <w:abstractNumId w:val="22"/>
  </w:num>
  <w:num w:numId="29">
    <w:abstractNumId w:val="7"/>
  </w:num>
  <w:num w:numId="30">
    <w:abstractNumId w:val="14"/>
  </w:num>
  <w:num w:numId="31">
    <w:abstractNumId w:val="4"/>
  </w:num>
  <w:num w:numId="32">
    <w:abstractNumId w:val="3"/>
  </w:num>
  <w:num w:numId="33">
    <w:abstractNumId w:val="31"/>
  </w:num>
  <w:num w:numId="34">
    <w:abstractNumId w:val="23"/>
  </w:num>
  <w:num w:numId="35">
    <w:abstractNumId w:val="26"/>
  </w:num>
  <w:num w:numId="36">
    <w:abstractNumId w:val="10"/>
  </w:num>
  <w:num w:numId="37">
    <w:abstractNumId w:val="5"/>
  </w:num>
  <w:num w:numId="38">
    <w:abstractNumId w:val="17"/>
  </w:num>
  <w:num w:numId="39">
    <w:abstractNumId w:val="6"/>
  </w:num>
  <w:num w:numId="40">
    <w:abstractNumId w:val="29"/>
  </w:num>
  <w:num w:numId="41">
    <w:abstractNumId w:val="30"/>
  </w:num>
  <w:num w:numId="42">
    <w:abstractNumId w:val="16"/>
  </w:num>
  <w:num w:numId="43">
    <w:abstractNumId w:val="8"/>
  </w:num>
  <w:num w:numId="4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3021B6"/>
    <w:rsid w:val="003217E3"/>
    <w:rsid w:val="0032563F"/>
    <w:rsid w:val="003267D1"/>
    <w:rsid w:val="00340FF0"/>
    <w:rsid w:val="003441B9"/>
    <w:rsid w:val="0035179B"/>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0F35"/>
    <w:rsid w:val="00573EFA"/>
    <w:rsid w:val="005764A7"/>
    <w:rsid w:val="00577785"/>
    <w:rsid w:val="00581DAF"/>
    <w:rsid w:val="00593E77"/>
    <w:rsid w:val="0059441E"/>
    <w:rsid w:val="005D6C09"/>
    <w:rsid w:val="005D72D5"/>
    <w:rsid w:val="005D783E"/>
    <w:rsid w:val="005D79E3"/>
    <w:rsid w:val="005E270C"/>
    <w:rsid w:val="005E7C6B"/>
    <w:rsid w:val="00603657"/>
    <w:rsid w:val="00617533"/>
    <w:rsid w:val="00623598"/>
    <w:rsid w:val="00631F24"/>
    <w:rsid w:val="006441B0"/>
    <w:rsid w:val="00674D11"/>
    <w:rsid w:val="00694350"/>
    <w:rsid w:val="006945CB"/>
    <w:rsid w:val="006D0A86"/>
    <w:rsid w:val="006E7E8D"/>
    <w:rsid w:val="00703D03"/>
    <w:rsid w:val="00707113"/>
    <w:rsid w:val="00740F50"/>
    <w:rsid w:val="00752792"/>
    <w:rsid w:val="00753FB5"/>
    <w:rsid w:val="00772427"/>
    <w:rsid w:val="00772DFE"/>
    <w:rsid w:val="00782731"/>
    <w:rsid w:val="00785E77"/>
    <w:rsid w:val="00786CA6"/>
    <w:rsid w:val="00790DFB"/>
    <w:rsid w:val="007A0387"/>
    <w:rsid w:val="007C4484"/>
    <w:rsid w:val="007D135C"/>
    <w:rsid w:val="007D39E7"/>
    <w:rsid w:val="007E0056"/>
    <w:rsid w:val="007E1590"/>
    <w:rsid w:val="00807744"/>
    <w:rsid w:val="0083341F"/>
    <w:rsid w:val="008432D1"/>
    <w:rsid w:val="00847988"/>
    <w:rsid w:val="008506FC"/>
    <w:rsid w:val="008609CB"/>
    <w:rsid w:val="00867725"/>
    <w:rsid w:val="00872A8B"/>
    <w:rsid w:val="00876BCD"/>
    <w:rsid w:val="00877CBB"/>
    <w:rsid w:val="00886023"/>
    <w:rsid w:val="008979BB"/>
    <w:rsid w:val="008A229B"/>
    <w:rsid w:val="008B0583"/>
    <w:rsid w:val="009069C9"/>
    <w:rsid w:val="009224B4"/>
    <w:rsid w:val="00933B42"/>
    <w:rsid w:val="0093601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724ED"/>
    <w:rsid w:val="00B80DEB"/>
    <w:rsid w:val="00BA1EF1"/>
    <w:rsid w:val="00BC225C"/>
    <w:rsid w:val="00BC4C0D"/>
    <w:rsid w:val="00BD0697"/>
    <w:rsid w:val="00BE2B07"/>
    <w:rsid w:val="00BF3D3E"/>
    <w:rsid w:val="00C16DFA"/>
    <w:rsid w:val="00C2522B"/>
    <w:rsid w:val="00C378D4"/>
    <w:rsid w:val="00C55F4F"/>
    <w:rsid w:val="00C900E1"/>
    <w:rsid w:val="00C96534"/>
    <w:rsid w:val="00CA2E89"/>
    <w:rsid w:val="00CA53BB"/>
    <w:rsid w:val="00CB7636"/>
    <w:rsid w:val="00CE09C4"/>
    <w:rsid w:val="00CF5FBB"/>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paragraph" w:styleId="Index1">
    <w:name w:val="index 1"/>
    <w:basedOn w:val="Normal"/>
    <w:next w:val="Normal"/>
    <w:autoRedefine/>
    <w:semiHidden/>
    <w:unhideWhenUsed/>
    <w:rsid w:val="00570F35"/>
    <w:pPr>
      <w:spacing w:after="0"/>
      <w:ind w:left="210" w:hanging="210"/>
    </w:pPr>
  </w:style>
  <w:style w:type="paragraph" w:styleId="IndexHeading">
    <w:name w:val="index heading"/>
    <w:basedOn w:val="Normal"/>
    <w:next w:val="Normal"/>
    <w:uiPriority w:val="99"/>
    <w:semiHidden/>
    <w:unhideWhenUsed/>
    <w:rsid w:val="00570F35"/>
    <w:pPr>
      <w:jc w:val="left"/>
    </w:pPr>
    <w:rPr>
      <w:rFonts w:ascii="Times New Roman" w:eastAsiaTheme="majorEastAsia" w:hAnsi="Times New Roman" w:cstheme="majorBidi"/>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takheyeva-bogovyk@mw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citral.un.org/sites/uncitral.un.org/files/media-documents/uncitral/en/ml_recognition_gte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B1DD6-4972-40A2-8DA1-6CE5E505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1196</Words>
  <Characters>6823</Characters>
  <Application>Microsoft Office Word</Application>
  <DocSecurity>0</DocSecurity>
  <PresentationFormat/>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Omar</dc:creator>
  <cp:lastModifiedBy>Paul Omar</cp:lastModifiedBy>
  <cp:revision>10</cp:revision>
  <cp:lastPrinted>2017-11-20T20:14:00Z</cp:lastPrinted>
  <dcterms:created xsi:type="dcterms:W3CDTF">2021-05-25T19:44:00Z</dcterms:created>
  <dcterms:modified xsi:type="dcterms:W3CDTF">2023-08-30T12:57:00Z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