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40BFA" w14:textId="77777777" w:rsidR="00EC0E74" w:rsidRPr="0093728D" w:rsidRDefault="00EC0E74" w:rsidP="00EC0E74">
      <w:pPr>
        <w:contextualSpacing/>
        <w:jc w:val="center"/>
        <w:rPr>
          <w:b/>
          <w:sz w:val="24"/>
          <w:szCs w:val="24"/>
          <w:lang w:val="en-GB"/>
        </w:rPr>
      </w:pPr>
      <w:r w:rsidRPr="0093728D">
        <w:rPr>
          <w:b/>
          <w:noProof/>
          <w:sz w:val="24"/>
          <w:szCs w:val="24"/>
          <w:lang w:val="en-GB" w:eastAsia="en-GB"/>
        </w:rPr>
        <w:drawing>
          <wp:inline distT="0" distB="0" distL="0" distR="0" wp14:anchorId="62B22B27" wp14:editId="682E71AC">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621C6397" w14:textId="77777777" w:rsidR="00EC0E74" w:rsidRPr="0093728D" w:rsidRDefault="00EC0E74" w:rsidP="00EC0E74">
      <w:pPr>
        <w:jc w:val="center"/>
        <w:rPr>
          <w:b/>
          <w:sz w:val="24"/>
          <w:szCs w:val="24"/>
          <w:lang w:val="en-GB"/>
        </w:rPr>
      </w:pPr>
    </w:p>
    <w:p w14:paraId="762575BD" w14:textId="15863233" w:rsidR="00EC0E74" w:rsidRPr="0093728D" w:rsidRDefault="00EC0E74" w:rsidP="00EC0E74">
      <w:pPr>
        <w:jc w:val="center"/>
        <w:rPr>
          <w:b/>
          <w:sz w:val="36"/>
          <w:szCs w:val="36"/>
          <w:lang w:val="en-GB"/>
        </w:rPr>
      </w:pPr>
      <w:r w:rsidRPr="0093728D">
        <w:rPr>
          <w:b/>
          <w:sz w:val="36"/>
          <w:szCs w:val="36"/>
          <w:lang w:val="en-GB"/>
        </w:rPr>
        <w:t>Inside Story –</w:t>
      </w:r>
      <w:r w:rsidR="00E41266" w:rsidRPr="0093728D">
        <w:rPr>
          <w:b/>
          <w:sz w:val="36"/>
          <w:szCs w:val="36"/>
          <w:lang w:val="en-GB"/>
        </w:rPr>
        <w:t xml:space="preserve"> </w:t>
      </w:r>
      <w:r w:rsidR="003E1F5A" w:rsidRPr="0093728D">
        <w:rPr>
          <w:b/>
          <w:sz w:val="36"/>
          <w:szCs w:val="36"/>
          <w:lang w:val="en-GB"/>
        </w:rPr>
        <w:t>December</w:t>
      </w:r>
      <w:r w:rsidR="00E41266" w:rsidRPr="0093728D">
        <w:rPr>
          <w:b/>
          <w:sz w:val="36"/>
          <w:szCs w:val="36"/>
          <w:lang w:val="en-GB"/>
        </w:rPr>
        <w:t xml:space="preserve"> </w:t>
      </w:r>
      <w:r w:rsidRPr="0093728D">
        <w:rPr>
          <w:b/>
          <w:sz w:val="36"/>
          <w:szCs w:val="36"/>
          <w:lang w:val="en-GB"/>
        </w:rPr>
        <w:t>2023</w:t>
      </w:r>
    </w:p>
    <w:p w14:paraId="1622C45B" w14:textId="77777777" w:rsidR="00EC0E74" w:rsidRPr="0093728D" w:rsidRDefault="00EC0E74" w:rsidP="00EC0E74">
      <w:pPr>
        <w:jc w:val="center"/>
        <w:rPr>
          <w:b/>
          <w:sz w:val="24"/>
          <w:szCs w:val="24"/>
          <w:lang w:val="en-GB"/>
        </w:rPr>
      </w:pPr>
    </w:p>
    <w:p w14:paraId="282EA251" w14:textId="3A0C8224" w:rsidR="00EC0E74" w:rsidRPr="0093728D" w:rsidRDefault="00E41266" w:rsidP="00EC0E74">
      <w:pPr>
        <w:jc w:val="center"/>
        <w:rPr>
          <w:b/>
          <w:bCs/>
          <w:sz w:val="28"/>
          <w:szCs w:val="28"/>
          <w:lang w:val="en-GB"/>
        </w:rPr>
      </w:pPr>
      <w:r w:rsidRPr="0093728D">
        <w:rPr>
          <w:b/>
          <w:bCs/>
          <w:sz w:val="28"/>
          <w:szCs w:val="28"/>
          <w:lang w:val="en-GB"/>
        </w:rPr>
        <w:t>Small and State Funded – An Empirical Study of Liquidations in Scotland</w:t>
      </w:r>
    </w:p>
    <w:p w14:paraId="258A6F07" w14:textId="2015CAFB" w:rsidR="00EC0E74" w:rsidRPr="0093728D" w:rsidRDefault="00EC0E74" w:rsidP="00EC0E74">
      <w:pPr>
        <w:jc w:val="center"/>
        <w:rPr>
          <w:b/>
          <w:sz w:val="28"/>
          <w:szCs w:val="28"/>
          <w:lang w:val="en-GB"/>
        </w:rPr>
      </w:pPr>
    </w:p>
    <w:p w14:paraId="01B64AF9" w14:textId="655CA471" w:rsidR="00EC0E74" w:rsidRPr="0093728D" w:rsidRDefault="00E41266" w:rsidP="001F672C">
      <w:pPr>
        <w:jc w:val="center"/>
        <w:rPr>
          <w:i/>
          <w:iCs/>
          <w:color w:val="242424"/>
          <w:sz w:val="24"/>
          <w:szCs w:val="24"/>
          <w:shd w:val="clear" w:color="auto" w:fill="FFFFFF"/>
          <w:lang w:val="en-GB"/>
        </w:rPr>
      </w:pPr>
      <w:r w:rsidRPr="0093728D">
        <w:rPr>
          <w:i/>
          <w:iCs/>
          <w:color w:val="242424"/>
          <w:sz w:val="24"/>
          <w:szCs w:val="24"/>
          <w:shd w:val="clear" w:color="auto" w:fill="FFFFFF"/>
          <w:lang w:val="en-GB"/>
        </w:rPr>
        <w:t>Dr Jonathan Hardman, Senior Lecturer, University of Edinburgh, UK; Email: &lt;jonathan.hardman@ed.ac.uk&gt;;</w:t>
      </w:r>
    </w:p>
    <w:p w14:paraId="2E1D5D44" w14:textId="6266230D" w:rsidR="00E41266" w:rsidRPr="0093728D" w:rsidRDefault="00E41266" w:rsidP="001F672C">
      <w:pPr>
        <w:jc w:val="center"/>
        <w:rPr>
          <w:i/>
          <w:iCs/>
          <w:sz w:val="24"/>
          <w:szCs w:val="24"/>
          <w:lang w:val="en-GB"/>
        </w:rPr>
      </w:pPr>
      <w:r w:rsidRPr="0093728D">
        <w:rPr>
          <w:i/>
          <w:iCs/>
          <w:color w:val="242424"/>
          <w:sz w:val="24"/>
          <w:szCs w:val="24"/>
          <w:shd w:val="clear" w:color="auto" w:fill="FFFFFF"/>
          <w:lang w:val="en-GB"/>
        </w:rPr>
        <w:t>and Dr Alisdair MacPherson, Senior Lecturer, Un</w:t>
      </w:r>
      <w:r w:rsidR="00592C8D" w:rsidRPr="0093728D">
        <w:rPr>
          <w:i/>
          <w:iCs/>
          <w:color w:val="242424"/>
          <w:sz w:val="24"/>
          <w:szCs w:val="24"/>
          <w:shd w:val="clear" w:color="auto" w:fill="FFFFFF"/>
          <w:lang w:val="en-GB"/>
        </w:rPr>
        <w:t>i</w:t>
      </w:r>
      <w:r w:rsidRPr="0093728D">
        <w:rPr>
          <w:i/>
          <w:iCs/>
          <w:color w:val="242424"/>
          <w:sz w:val="24"/>
          <w:szCs w:val="24"/>
          <w:shd w:val="clear" w:color="auto" w:fill="FFFFFF"/>
          <w:lang w:val="en-GB"/>
        </w:rPr>
        <w:t>versity of Aberdeen, UK; Email: &lt;alisdair.macpherson@abdn.ac.uk&gt;</w:t>
      </w:r>
    </w:p>
    <w:p w14:paraId="4966E8EE" w14:textId="77777777" w:rsidR="00EC0E74" w:rsidRPr="0093728D" w:rsidRDefault="00EC0E74" w:rsidP="00EC0E74">
      <w:pPr>
        <w:jc w:val="center"/>
        <w:rPr>
          <w:b/>
          <w:sz w:val="24"/>
          <w:szCs w:val="24"/>
          <w:lang w:val="en-GB"/>
        </w:rPr>
      </w:pPr>
    </w:p>
    <w:p w14:paraId="2F63E1B5" w14:textId="7230D5F8" w:rsidR="003C51BC" w:rsidRPr="0093728D" w:rsidRDefault="00EC0E74" w:rsidP="00EC0E74">
      <w:pPr>
        <w:pStyle w:val="Body"/>
        <w:jc w:val="both"/>
        <w:rPr>
          <w:rFonts w:cs="Times New Roman"/>
          <w:b/>
          <w:bCs/>
          <w:color w:val="auto"/>
          <w:sz w:val="24"/>
          <w:szCs w:val="24"/>
          <w:lang w:val="en-GB"/>
        </w:rPr>
      </w:pPr>
      <w:r w:rsidRPr="0093728D">
        <w:rPr>
          <w:rFonts w:cs="Times New Roman"/>
          <w:bCs/>
          <w:i/>
          <w:color w:val="auto"/>
          <w:sz w:val="24"/>
          <w:szCs w:val="24"/>
          <w:lang w:val="en-GB"/>
        </w:rPr>
        <w:t>Introduction</w:t>
      </w:r>
    </w:p>
    <w:p w14:paraId="7A8B51A2" w14:textId="1FCAAD95" w:rsidR="001F672C" w:rsidRPr="0093728D" w:rsidRDefault="001F672C" w:rsidP="001F672C">
      <w:pPr>
        <w:jc w:val="both"/>
        <w:rPr>
          <w:sz w:val="24"/>
          <w:szCs w:val="24"/>
          <w:lang w:val="en-GB"/>
        </w:rPr>
      </w:pPr>
    </w:p>
    <w:p w14:paraId="561B0B2E" w14:textId="7EF10D36" w:rsidR="00FC3BB4" w:rsidRPr="0093728D" w:rsidRDefault="00592C8D" w:rsidP="001F672C">
      <w:pPr>
        <w:jc w:val="both"/>
        <w:rPr>
          <w:sz w:val="24"/>
          <w:szCs w:val="24"/>
          <w:lang w:val="en-GB"/>
        </w:rPr>
      </w:pPr>
      <w:r w:rsidRPr="0093728D">
        <w:rPr>
          <w:sz w:val="24"/>
          <w:szCs w:val="24"/>
          <w:lang w:val="en-GB"/>
        </w:rPr>
        <w:t>There is a significant degree of uniformity between corporate insolvency law in Scotland and in England and Wales, with many key elements reserved to the UK Parliament.</w:t>
      </w:r>
      <w:r w:rsidR="00DF7F30" w:rsidRPr="0093728D">
        <w:rPr>
          <w:rStyle w:val="FootnoteReference"/>
          <w:sz w:val="24"/>
          <w:szCs w:val="24"/>
          <w:lang w:val="en-GB"/>
        </w:rPr>
        <w:footnoteReference w:id="1"/>
      </w:r>
      <w:r w:rsidRPr="0093728D">
        <w:rPr>
          <w:sz w:val="24"/>
          <w:szCs w:val="24"/>
          <w:lang w:val="en-GB"/>
        </w:rPr>
        <w:t xml:space="preserve"> The same types of corporate insolvency procedure exist in both systems, including liquidation in its various guises: members’ voluntary liquidation (MVL), creditors’ voluntary liquidation (CVL) and compulsory liquidation (winding up by the court). Nevertheless, </w:t>
      </w:r>
      <w:r w:rsidR="00DF7F30" w:rsidRPr="0093728D">
        <w:rPr>
          <w:sz w:val="24"/>
          <w:szCs w:val="24"/>
          <w:lang w:val="en-GB"/>
        </w:rPr>
        <w:t>there are differences in the relevant laws and insolvency practice</w:t>
      </w:r>
      <w:r w:rsidRPr="0093728D">
        <w:rPr>
          <w:sz w:val="24"/>
          <w:szCs w:val="24"/>
          <w:lang w:val="en-GB"/>
        </w:rPr>
        <w:t>.</w:t>
      </w:r>
      <w:r w:rsidR="00DF7F30" w:rsidRPr="0093728D">
        <w:rPr>
          <w:sz w:val="24"/>
          <w:szCs w:val="24"/>
          <w:lang w:val="en-GB"/>
        </w:rPr>
        <w:t xml:space="preserve"> This is reflected in the fact that compulsory liquidations have historically been more commonplace in Scotland than CVLs</w:t>
      </w:r>
      <w:r w:rsidR="003E1F5A" w:rsidRPr="0093728D">
        <w:rPr>
          <w:sz w:val="24"/>
          <w:szCs w:val="24"/>
          <w:lang w:val="en-GB"/>
        </w:rPr>
        <w:t>,</w:t>
      </w:r>
      <w:r w:rsidR="00DF7F30" w:rsidRPr="0093728D">
        <w:rPr>
          <w:sz w:val="24"/>
          <w:szCs w:val="24"/>
          <w:lang w:val="en-GB"/>
        </w:rPr>
        <w:t xml:space="preserve"> but the opposite is true for England and Wales.</w:t>
      </w:r>
      <w:r w:rsidR="00DF7F30" w:rsidRPr="0093728D">
        <w:rPr>
          <w:rStyle w:val="FootnoteReference"/>
          <w:sz w:val="24"/>
          <w:szCs w:val="24"/>
          <w:lang w:val="en-GB"/>
        </w:rPr>
        <w:footnoteReference w:id="2"/>
      </w:r>
      <w:r w:rsidRPr="0093728D">
        <w:rPr>
          <w:sz w:val="24"/>
          <w:szCs w:val="24"/>
          <w:lang w:val="en-GB"/>
        </w:rPr>
        <w:t xml:space="preserve"> </w:t>
      </w:r>
      <w:r w:rsidR="00DF7F30" w:rsidRPr="0093728D">
        <w:rPr>
          <w:sz w:val="24"/>
          <w:szCs w:val="24"/>
          <w:lang w:val="en-GB"/>
        </w:rPr>
        <w:t>There are also differences in adjacent areas of law</w:t>
      </w:r>
      <w:r w:rsidR="003E1F5A" w:rsidRPr="0093728D">
        <w:rPr>
          <w:sz w:val="24"/>
          <w:szCs w:val="24"/>
          <w:lang w:val="en-GB"/>
        </w:rPr>
        <w:t>,</w:t>
      </w:r>
      <w:r w:rsidR="00DF7F30" w:rsidRPr="0093728D">
        <w:rPr>
          <w:sz w:val="24"/>
          <w:szCs w:val="24"/>
          <w:lang w:val="en-GB"/>
        </w:rPr>
        <w:t xml:space="preserve"> such as the law of debt and the law of secured transactions, </w:t>
      </w:r>
      <w:r w:rsidR="003E1F5A" w:rsidRPr="0093728D">
        <w:rPr>
          <w:sz w:val="24"/>
          <w:szCs w:val="24"/>
          <w:lang w:val="en-GB"/>
        </w:rPr>
        <w:t>with</w:t>
      </w:r>
      <w:r w:rsidR="00DF7F30" w:rsidRPr="0093728D">
        <w:rPr>
          <w:sz w:val="24"/>
          <w:szCs w:val="24"/>
          <w:lang w:val="en-GB"/>
        </w:rPr>
        <w:t xml:space="preserve"> these hav</w:t>
      </w:r>
      <w:r w:rsidR="003E1F5A" w:rsidRPr="0093728D">
        <w:rPr>
          <w:sz w:val="24"/>
          <w:szCs w:val="24"/>
          <w:lang w:val="en-GB"/>
        </w:rPr>
        <w:t>ing</w:t>
      </w:r>
      <w:r w:rsidR="00DF7F30" w:rsidRPr="0093728D">
        <w:rPr>
          <w:sz w:val="24"/>
          <w:szCs w:val="24"/>
          <w:lang w:val="en-GB"/>
        </w:rPr>
        <w:t xml:space="preserve"> an impact on insolvency outcomes.</w:t>
      </w:r>
    </w:p>
    <w:p w14:paraId="1B5C9666" w14:textId="77777777" w:rsidR="00DF7F30" w:rsidRPr="0093728D" w:rsidRDefault="00DF7F30" w:rsidP="001F672C">
      <w:pPr>
        <w:jc w:val="both"/>
        <w:rPr>
          <w:sz w:val="24"/>
          <w:szCs w:val="24"/>
          <w:lang w:val="en-GB"/>
        </w:rPr>
      </w:pPr>
    </w:p>
    <w:p w14:paraId="5E4B6C3F" w14:textId="1C4D3ED4" w:rsidR="00DF7F30" w:rsidRPr="0093728D" w:rsidRDefault="00DF7F30" w:rsidP="001F672C">
      <w:pPr>
        <w:jc w:val="both"/>
        <w:rPr>
          <w:sz w:val="24"/>
          <w:szCs w:val="24"/>
          <w:lang w:val="en-GB"/>
        </w:rPr>
      </w:pPr>
      <w:r w:rsidRPr="0093728D">
        <w:rPr>
          <w:sz w:val="24"/>
          <w:szCs w:val="24"/>
          <w:lang w:val="en-GB"/>
        </w:rPr>
        <w:t>Despite the contrasts between English law and Scots law and the availability of valuable data, there is a general absence of empirical analysis of corporate insolvency in Scotland.</w:t>
      </w:r>
      <w:r w:rsidR="00A17A4B" w:rsidRPr="0093728D">
        <w:rPr>
          <w:rStyle w:val="FootnoteReference"/>
          <w:sz w:val="24"/>
          <w:szCs w:val="24"/>
          <w:lang w:val="en-GB"/>
        </w:rPr>
        <w:footnoteReference w:id="3"/>
      </w:r>
      <w:r w:rsidR="00A17A4B" w:rsidRPr="0093728D">
        <w:rPr>
          <w:sz w:val="24"/>
          <w:szCs w:val="24"/>
          <w:lang w:val="en-GB"/>
        </w:rPr>
        <w:t xml:space="preserve"> </w:t>
      </w:r>
      <w:r w:rsidRPr="0093728D">
        <w:rPr>
          <w:sz w:val="24"/>
          <w:szCs w:val="24"/>
          <w:lang w:val="en-GB"/>
        </w:rPr>
        <w:t xml:space="preserve">Consequently, </w:t>
      </w:r>
      <w:r w:rsidR="003E1F5A" w:rsidRPr="0093728D">
        <w:rPr>
          <w:sz w:val="24"/>
          <w:szCs w:val="24"/>
          <w:lang w:val="en-GB"/>
        </w:rPr>
        <w:t>the authors</w:t>
      </w:r>
      <w:r w:rsidRPr="0093728D">
        <w:rPr>
          <w:sz w:val="24"/>
          <w:szCs w:val="24"/>
          <w:lang w:val="en-GB"/>
        </w:rPr>
        <w:t xml:space="preserve"> undertook a study </w:t>
      </w:r>
      <w:r w:rsidR="00A17A4B" w:rsidRPr="0093728D">
        <w:rPr>
          <w:sz w:val="24"/>
          <w:szCs w:val="24"/>
          <w:lang w:val="en-GB"/>
        </w:rPr>
        <w:t>to examine insolvent liquidation</w:t>
      </w:r>
      <w:r w:rsidR="000828EB" w:rsidRPr="0093728D">
        <w:rPr>
          <w:sz w:val="24"/>
          <w:szCs w:val="24"/>
          <w:lang w:val="en-GB"/>
        </w:rPr>
        <w:t xml:space="preserve">s </w:t>
      </w:r>
      <w:r w:rsidR="00A17A4B" w:rsidRPr="0093728D">
        <w:rPr>
          <w:sz w:val="24"/>
          <w:szCs w:val="24"/>
          <w:lang w:val="en-GB"/>
        </w:rPr>
        <w:t xml:space="preserve">(i.e. CVLs and compulsory liquidations) for Scottish companies whose liquidations </w:t>
      </w:r>
      <w:r w:rsidR="00403F37" w:rsidRPr="0093728D">
        <w:rPr>
          <w:sz w:val="24"/>
          <w:szCs w:val="24"/>
          <w:lang w:val="en-GB"/>
        </w:rPr>
        <w:t xml:space="preserve">had their end point </w:t>
      </w:r>
      <w:r w:rsidR="00A17A4B" w:rsidRPr="0093728D">
        <w:rPr>
          <w:sz w:val="24"/>
          <w:szCs w:val="24"/>
          <w:lang w:val="en-GB"/>
        </w:rPr>
        <w:t>within a 12-month period.</w:t>
      </w:r>
      <w:r w:rsidR="00403F37" w:rsidRPr="0093728D">
        <w:rPr>
          <w:rStyle w:val="FootnoteReference"/>
          <w:sz w:val="24"/>
          <w:szCs w:val="24"/>
          <w:lang w:val="en-GB"/>
        </w:rPr>
        <w:footnoteReference w:id="4"/>
      </w:r>
      <w:r w:rsidR="00A17A4B" w:rsidRPr="0093728D">
        <w:rPr>
          <w:sz w:val="24"/>
          <w:szCs w:val="24"/>
          <w:lang w:val="en-GB"/>
        </w:rPr>
        <w:t xml:space="preserve"> This enabled us to make a number of significant findings regarding the size of estates of liquidated companies, </w:t>
      </w:r>
      <w:r w:rsidR="00A060F8" w:rsidRPr="0093728D">
        <w:rPr>
          <w:sz w:val="24"/>
          <w:szCs w:val="24"/>
          <w:lang w:val="en-GB"/>
        </w:rPr>
        <w:t>their lifespans and the duration of the liquidation</w:t>
      </w:r>
      <w:r w:rsidR="000828EB" w:rsidRPr="0093728D">
        <w:rPr>
          <w:sz w:val="24"/>
          <w:szCs w:val="24"/>
          <w:lang w:val="en-GB"/>
        </w:rPr>
        <w:t xml:space="preserve"> procedure</w:t>
      </w:r>
      <w:r w:rsidR="00A060F8" w:rsidRPr="0093728D">
        <w:rPr>
          <w:sz w:val="24"/>
          <w:szCs w:val="24"/>
          <w:lang w:val="en-GB"/>
        </w:rPr>
        <w:t xml:space="preserve">s, as well as with </w:t>
      </w:r>
      <w:r w:rsidR="00A060F8" w:rsidRPr="0093728D">
        <w:rPr>
          <w:sz w:val="24"/>
          <w:szCs w:val="24"/>
          <w:lang w:val="en-GB"/>
        </w:rPr>
        <w:lastRenderedPageBreak/>
        <w:t xml:space="preserve">respect to expenses, the role of state and the recoveries </w:t>
      </w:r>
      <w:r w:rsidR="003E1F5A" w:rsidRPr="0093728D">
        <w:rPr>
          <w:sz w:val="24"/>
          <w:szCs w:val="24"/>
          <w:lang w:val="en-GB"/>
        </w:rPr>
        <w:t>by</w:t>
      </w:r>
      <w:r w:rsidR="00A060F8" w:rsidRPr="0093728D">
        <w:rPr>
          <w:sz w:val="24"/>
          <w:szCs w:val="24"/>
          <w:lang w:val="en-GB"/>
        </w:rPr>
        <w:t xml:space="preserve"> various groups of creditors.</w:t>
      </w:r>
      <w:r w:rsidR="006755ED" w:rsidRPr="0093728D">
        <w:rPr>
          <w:sz w:val="24"/>
          <w:szCs w:val="24"/>
          <w:lang w:val="en-GB"/>
        </w:rPr>
        <w:t xml:space="preserve"> The results of </w:t>
      </w:r>
      <w:r w:rsidR="000828EB" w:rsidRPr="0093728D">
        <w:rPr>
          <w:sz w:val="24"/>
          <w:szCs w:val="24"/>
          <w:lang w:val="en-GB"/>
        </w:rPr>
        <w:t xml:space="preserve">the </w:t>
      </w:r>
      <w:r w:rsidR="006755ED" w:rsidRPr="0093728D">
        <w:rPr>
          <w:sz w:val="24"/>
          <w:szCs w:val="24"/>
          <w:lang w:val="en-GB"/>
        </w:rPr>
        <w:t xml:space="preserve">study will appear in an article </w:t>
      </w:r>
      <w:r w:rsidR="008370EC" w:rsidRPr="0093728D">
        <w:rPr>
          <w:sz w:val="24"/>
          <w:szCs w:val="24"/>
          <w:lang w:val="en-GB"/>
        </w:rPr>
        <w:t xml:space="preserve">to be published </w:t>
      </w:r>
      <w:r w:rsidR="006755ED" w:rsidRPr="0093728D">
        <w:rPr>
          <w:sz w:val="24"/>
          <w:szCs w:val="24"/>
          <w:lang w:val="en-GB"/>
        </w:rPr>
        <w:t xml:space="preserve">in the </w:t>
      </w:r>
      <w:r w:rsidR="006755ED" w:rsidRPr="0093728D">
        <w:rPr>
          <w:i/>
          <w:iCs/>
          <w:sz w:val="24"/>
          <w:szCs w:val="24"/>
          <w:lang w:val="en-GB"/>
        </w:rPr>
        <w:t>International Insolvency Review</w:t>
      </w:r>
      <w:r w:rsidR="006755ED" w:rsidRPr="0093728D">
        <w:rPr>
          <w:sz w:val="24"/>
          <w:szCs w:val="24"/>
          <w:lang w:val="en-GB"/>
        </w:rPr>
        <w:t>.</w:t>
      </w:r>
      <w:r w:rsidR="008D63CD" w:rsidRPr="0093728D">
        <w:rPr>
          <w:rStyle w:val="FootnoteReference"/>
          <w:sz w:val="24"/>
          <w:szCs w:val="24"/>
          <w:lang w:val="en-GB"/>
        </w:rPr>
        <w:footnoteReference w:id="5"/>
      </w:r>
    </w:p>
    <w:p w14:paraId="6108EB0F" w14:textId="77777777" w:rsidR="00DF7F30" w:rsidRPr="0093728D" w:rsidRDefault="00DF7F30" w:rsidP="001F672C">
      <w:pPr>
        <w:jc w:val="both"/>
        <w:rPr>
          <w:sz w:val="24"/>
          <w:szCs w:val="24"/>
          <w:lang w:val="en-GB"/>
        </w:rPr>
      </w:pPr>
    </w:p>
    <w:p w14:paraId="4DC7AD4F" w14:textId="780EC308" w:rsidR="001F672C" w:rsidRPr="0093728D" w:rsidRDefault="00A17A4B" w:rsidP="001F672C">
      <w:pPr>
        <w:jc w:val="both"/>
        <w:rPr>
          <w:i/>
          <w:iCs/>
          <w:sz w:val="24"/>
          <w:szCs w:val="24"/>
          <w:lang w:val="en-GB"/>
        </w:rPr>
      </w:pPr>
      <w:r w:rsidRPr="0093728D">
        <w:rPr>
          <w:i/>
          <w:iCs/>
          <w:sz w:val="24"/>
          <w:szCs w:val="24"/>
          <w:lang w:val="en-GB"/>
        </w:rPr>
        <w:t>Acquiring</w:t>
      </w:r>
      <w:r w:rsidR="00E41266" w:rsidRPr="0093728D">
        <w:rPr>
          <w:i/>
          <w:iCs/>
          <w:sz w:val="24"/>
          <w:szCs w:val="24"/>
          <w:lang w:val="en-GB"/>
        </w:rPr>
        <w:t xml:space="preserve"> the Data</w:t>
      </w:r>
    </w:p>
    <w:p w14:paraId="65A39281" w14:textId="3D71E04E" w:rsidR="001F672C" w:rsidRPr="0093728D" w:rsidRDefault="001F672C" w:rsidP="001F672C">
      <w:pPr>
        <w:jc w:val="both"/>
        <w:rPr>
          <w:sz w:val="24"/>
          <w:szCs w:val="24"/>
          <w:lang w:val="en-GB"/>
        </w:rPr>
      </w:pPr>
    </w:p>
    <w:p w14:paraId="4B9449B4" w14:textId="4B64DEE7" w:rsidR="00672FA7" w:rsidRPr="0093728D" w:rsidRDefault="00A060F8" w:rsidP="001F672C">
      <w:pPr>
        <w:jc w:val="both"/>
        <w:rPr>
          <w:sz w:val="24"/>
          <w:szCs w:val="24"/>
          <w:lang w:val="en-GB"/>
        </w:rPr>
      </w:pPr>
      <w:r w:rsidRPr="0093728D">
        <w:rPr>
          <w:sz w:val="24"/>
          <w:szCs w:val="24"/>
          <w:lang w:val="en-GB"/>
        </w:rPr>
        <w:t xml:space="preserve">In order to </w:t>
      </w:r>
      <w:r w:rsidR="00672FA7" w:rsidRPr="0093728D">
        <w:rPr>
          <w:sz w:val="24"/>
          <w:szCs w:val="24"/>
          <w:lang w:val="en-GB"/>
        </w:rPr>
        <w:t>compile a dataset</w:t>
      </w:r>
      <w:r w:rsidRPr="0093728D">
        <w:rPr>
          <w:sz w:val="24"/>
          <w:szCs w:val="24"/>
          <w:lang w:val="en-GB"/>
        </w:rPr>
        <w:t xml:space="preserve">, </w:t>
      </w:r>
      <w:r w:rsidR="008D63CD" w:rsidRPr="0093728D">
        <w:rPr>
          <w:sz w:val="24"/>
          <w:szCs w:val="24"/>
          <w:lang w:val="en-GB"/>
        </w:rPr>
        <w:t>the authors</w:t>
      </w:r>
      <w:r w:rsidRPr="0093728D">
        <w:rPr>
          <w:sz w:val="24"/>
          <w:szCs w:val="24"/>
          <w:lang w:val="en-GB"/>
        </w:rPr>
        <w:t xml:space="preserve"> identified the documentation containing the relevant information. This consisted of the final account that a liquidator has to file with Companies House </w:t>
      </w:r>
      <w:r w:rsidR="000828EB" w:rsidRPr="0093728D">
        <w:rPr>
          <w:sz w:val="24"/>
          <w:szCs w:val="24"/>
          <w:lang w:val="en-GB"/>
        </w:rPr>
        <w:t xml:space="preserve">(the companies register in the UK) </w:t>
      </w:r>
      <w:r w:rsidRPr="0093728D">
        <w:rPr>
          <w:sz w:val="24"/>
          <w:szCs w:val="24"/>
          <w:lang w:val="en-GB"/>
        </w:rPr>
        <w:t>at the conclusion of a liquidation.</w:t>
      </w:r>
      <w:r w:rsidR="00672FA7" w:rsidRPr="0093728D">
        <w:rPr>
          <w:rStyle w:val="FootnoteReference"/>
          <w:sz w:val="24"/>
          <w:szCs w:val="24"/>
          <w:lang w:val="en-GB"/>
        </w:rPr>
        <w:footnoteReference w:id="6"/>
      </w:r>
      <w:r w:rsidRPr="0093728D">
        <w:rPr>
          <w:sz w:val="24"/>
          <w:szCs w:val="24"/>
          <w:lang w:val="en-GB"/>
        </w:rPr>
        <w:t xml:space="preserve"> </w:t>
      </w:r>
      <w:r w:rsidR="008D63CD" w:rsidRPr="0093728D">
        <w:rPr>
          <w:sz w:val="24"/>
          <w:szCs w:val="24"/>
          <w:lang w:val="en-GB"/>
        </w:rPr>
        <w:t xml:space="preserve">A </w:t>
      </w:r>
      <w:r w:rsidR="00672FA7" w:rsidRPr="0093728D">
        <w:rPr>
          <w:sz w:val="24"/>
          <w:szCs w:val="24"/>
          <w:lang w:val="en-GB"/>
        </w:rPr>
        <w:t>freedom of information request</w:t>
      </w:r>
      <w:r w:rsidR="00672FA7" w:rsidRPr="0093728D">
        <w:rPr>
          <w:rStyle w:val="FootnoteReference"/>
          <w:sz w:val="24"/>
          <w:szCs w:val="24"/>
          <w:lang w:val="en-GB"/>
        </w:rPr>
        <w:footnoteReference w:id="7"/>
      </w:r>
      <w:r w:rsidR="00672FA7" w:rsidRPr="0093728D">
        <w:rPr>
          <w:sz w:val="24"/>
          <w:szCs w:val="24"/>
          <w:lang w:val="en-GB"/>
        </w:rPr>
        <w:t xml:space="preserve"> </w:t>
      </w:r>
      <w:r w:rsidR="008D63CD" w:rsidRPr="0093728D">
        <w:rPr>
          <w:sz w:val="24"/>
          <w:szCs w:val="24"/>
          <w:lang w:val="en-GB"/>
        </w:rPr>
        <w:t xml:space="preserve">was also submitted </w:t>
      </w:r>
      <w:r w:rsidR="00672FA7" w:rsidRPr="0093728D">
        <w:rPr>
          <w:sz w:val="24"/>
          <w:szCs w:val="24"/>
          <w:lang w:val="en-GB"/>
        </w:rPr>
        <w:t xml:space="preserve">to Companies House to ascertain all of the companies for which final accounts had been filed between 1 October 2019 and 30 September 2020. The data received showed that there were 321 companies that had undergone a compulsory liquidation and 184 that had been through a CVL, amounting to 505 companies in total. </w:t>
      </w:r>
      <w:r w:rsidR="008370EC" w:rsidRPr="0093728D">
        <w:rPr>
          <w:sz w:val="24"/>
          <w:szCs w:val="24"/>
          <w:lang w:val="en-GB"/>
        </w:rPr>
        <w:t>T</w:t>
      </w:r>
      <w:r w:rsidR="00672FA7" w:rsidRPr="0093728D">
        <w:rPr>
          <w:sz w:val="24"/>
          <w:szCs w:val="24"/>
          <w:lang w:val="en-GB"/>
        </w:rPr>
        <w:t>h</w:t>
      </w:r>
      <w:r w:rsidR="008370EC" w:rsidRPr="0093728D">
        <w:rPr>
          <w:sz w:val="24"/>
          <w:szCs w:val="24"/>
          <w:lang w:val="en-GB"/>
        </w:rPr>
        <w:t xml:space="preserve">is </w:t>
      </w:r>
      <w:r w:rsidR="00672FA7" w:rsidRPr="0093728D">
        <w:rPr>
          <w:sz w:val="24"/>
          <w:szCs w:val="24"/>
          <w:lang w:val="en-GB"/>
        </w:rPr>
        <w:t xml:space="preserve">information </w:t>
      </w:r>
      <w:r w:rsidR="008370EC" w:rsidRPr="0093728D">
        <w:rPr>
          <w:sz w:val="24"/>
          <w:szCs w:val="24"/>
          <w:lang w:val="en-GB"/>
        </w:rPr>
        <w:t xml:space="preserve">was used </w:t>
      </w:r>
      <w:r w:rsidR="00672FA7" w:rsidRPr="0093728D">
        <w:rPr>
          <w:sz w:val="24"/>
          <w:szCs w:val="24"/>
          <w:lang w:val="en-GB"/>
        </w:rPr>
        <w:t xml:space="preserve">to access the final account documents on Companies House </w:t>
      </w:r>
      <w:r w:rsidR="008370EC" w:rsidRPr="0093728D">
        <w:rPr>
          <w:sz w:val="24"/>
          <w:szCs w:val="24"/>
          <w:lang w:val="en-GB"/>
        </w:rPr>
        <w:t xml:space="preserve">to </w:t>
      </w:r>
      <w:r w:rsidR="00672FA7" w:rsidRPr="0093728D">
        <w:rPr>
          <w:sz w:val="24"/>
          <w:szCs w:val="24"/>
          <w:lang w:val="en-GB"/>
        </w:rPr>
        <w:t>extract data relating to: total size of the estate (based on asset values), recoveries of different categories of creditors, expenses of the process, and this was supplemented by the date of incorporation of the company, the date of entry into liquidation and whether the company experienced another insolvency procedure prior to liquidation.</w:t>
      </w:r>
      <w:r w:rsidR="004F182C" w:rsidRPr="0093728D">
        <w:rPr>
          <w:rStyle w:val="FootnoteReference"/>
          <w:sz w:val="24"/>
          <w:szCs w:val="24"/>
          <w:lang w:val="en-GB"/>
        </w:rPr>
        <w:footnoteReference w:id="8"/>
      </w:r>
    </w:p>
    <w:p w14:paraId="51D92BBE" w14:textId="77777777" w:rsidR="00A060F8" w:rsidRPr="0093728D" w:rsidRDefault="00A060F8" w:rsidP="001F672C">
      <w:pPr>
        <w:jc w:val="both"/>
        <w:rPr>
          <w:sz w:val="24"/>
          <w:szCs w:val="24"/>
          <w:lang w:val="en-GB"/>
        </w:rPr>
      </w:pPr>
    </w:p>
    <w:p w14:paraId="4F385660" w14:textId="33C6ADDD" w:rsidR="001F672C" w:rsidRPr="0093728D" w:rsidRDefault="00E41266" w:rsidP="001F672C">
      <w:pPr>
        <w:jc w:val="both"/>
        <w:rPr>
          <w:i/>
          <w:iCs/>
          <w:sz w:val="24"/>
          <w:szCs w:val="24"/>
          <w:lang w:val="en-GB"/>
        </w:rPr>
      </w:pPr>
      <w:r w:rsidRPr="0093728D">
        <w:rPr>
          <w:i/>
          <w:iCs/>
          <w:sz w:val="24"/>
          <w:szCs w:val="24"/>
          <w:lang w:val="en-GB"/>
        </w:rPr>
        <w:t>Small &amp; Slow Liquidations</w:t>
      </w:r>
    </w:p>
    <w:p w14:paraId="3F566FDA" w14:textId="77777777" w:rsidR="001F672C" w:rsidRPr="0093728D" w:rsidRDefault="001F672C" w:rsidP="001F672C">
      <w:pPr>
        <w:jc w:val="both"/>
        <w:rPr>
          <w:sz w:val="24"/>
          <w:szCs w:val="24"/>
          <w:lang w:val="en-GB"/>
        </w:rPr>
      </w:pPr>
    </w:p>
    <w:p w14:paraId="4A66BFBF" w14:textId="410E8BC4" w:rsidR="001879F6" w:rsidRPr="0093728D" w:rsidRDefault="001879F6" w:rsidP="001F672C">
      <w:pPr>
        <w:jc w:val="both"/>
        <w:rPr>
          <w:sz w:val="24"/>
          <w:szCs w:val="24"/>
          <w:lang w:val="en-GB"/>
        </w:rPr>
      </w:pPr>
      <w:r w:rsidRPr="0093728D">
        <w:rPr>
          <w:sz w:val="24"/>
          <w:szCs w:val="24"/>
          <w:lang w:val="en-GB"/>
        </w:rPr>
        <w:t>The data demonstrated that the</w:t>
      </w:r>
      <w:r w:rsidR="00672FA7" w:rsidRPr="0093728D">
        <w:rPr>
          <w:sz w:val="24"/>
          <w:szCs w:val="24"/>
          <w:lang w:val="en-GB"/>
        </w:rPr>
        <w:t xml:space="preserve"> estates</w:t>
      </w:r>
      <w:r w:rsidRPr="0093728D">
        <w:rPr>
          <w:sz w:val="24"/>
          <w:szCs w:val="24"/>
          <w:lang w:val="en-GB"/>
        </w:rPr>
        <w:t xml:space="preserve"> of liquidated companies</w:t>
      </w:r>
      <w:r w:rsidR="00672FA7" w:rsidRPr="0093728D">
        <w:rPr>
          <w:sz w:val="24"/>
          <w:szCs w:val="24"/>
          <w:lang w:val="en-GB"/>
        </w:rPr>
        <w:t xml:space="preserve"> w</w:t>
      </w:r>
      <w:r w:rsidR="00370303" w:rsidRPr="0093728D">
        <w:rPr>
          <w:sz w:val="24"/>
          <w:szCs w:val="24"/>
          <w:lang w:val="en-GB"/>
        </w:rPr>
        <w:t>ere, on average,</w:t>
      </w:r>
      <w:r w:rsidR="00672FA7" w:rsidRPr="0093728D">
        <w:rPr>
          <w:sz w:val="24"/>
          <w:szCs w:val="24"/>
          <w:lang w:val="en-GB"/>
        </w:rPr>
        <w:t xml:space="preserve"> small. </w:t>
      </w:r>
      <w:r w:rsidR="00370303" w:rsidRPr="0093728D">
        <w:rPr>
          <w:sz w:val="24"/>
          <w:szCs w:val="24"/>
          <w:lang w:val="en-GB"/>
        </w:rPr>
        <w:t xml:space="preserve">A total of 196 of the companies had zero assets at the time of their liquidation and a further 88 had asset bases of under £5,000. Only 93 had aggregate assets valued at £50,000 or more. Given the apparent dominance of small companies in insolvent liquidations, and the absence of assets available to pay expenses and creditors, </w:t>
      </w:r>
      <w:r w:rsidR="008370EC" w:rsidRPr="0093728D">
        <w:rPr>
          <w:sz w:val="24"/>
          <w:szCs w:val="24"/>
          <w:lang w:val="en-GB"/>
        </w:rPr>
        <w:t xml:space="preserve">the authors’ view is that </w:t>
      </w:r>
      <w:r w:rsidR="00370303" w:rsidRPr="0093728D">
        <w:rPr>
          <w:sz w:val="24"/>
          <w:szCs w:val="24"/>
          <w:lang w:val="en-GB"/>
        </w:rPr>
        <w:t xml:space="preserve">insolvency law should focus on providing a system that </w:t>
      </w:r>
      <w:r w:rsidRPr="0093728D">
        <w:rPr>
          <w:sz w:val="24"/>
          <w:szCs w:val="24"/>
          <w:lang w:val="en-GB"/>
        </w:rPr>
        <w:t xml:space="preserve">deals efficiently with such companies and minimises the costs of </w:t>
      </w:r>
      <w:r w:rsidR="000828EB" w:rsidRPr="0093728D">
        <w:rPr>
          <w:sz w:val="24"/>
          <w:szCs w:val="24"/>
          <w:lang w:val="en-GB"/>
        </w:rPr>
        <w:t xml:space="preserve">their </w:t>
      </w:r>
      <w:r w:rsidRPr="0093728D">
        <w:rPr>
          <w:sz w:val="24"/>
          <w:szCs w:val="24"/>
          <w:lang w:val="en-GB"/>
        </w:rPr>
        <w:t>liquidation.</w:t>
      </w:r>
    </w:p>
    <w:p w14:paraId="658C889B" w14:textId="77777777" w:rsidR="001879F6" w:rsidRPr="0093728D" w:rsidRDefault="001879F6" w:rsidP="001F672C">
      <w:pPr>
        <w:jc w:val="both"/>
        <w:rPr>
          <w:sz w:val="24"/>
          <w:szCs w:val="24"/>
          <w:lang w:val="en-GB"/>
        </w:rPr>
      </w:pPr>
    </w:p>
    <w:p w14:paraId="622C837A" w14:textId="10AA89C8" w:rsidR="00672FA7" w:rsidRPr="0093728D" w:rsidRDefault="001879F6" w:rsidP="001F672C">
      <w:pPr>
        <w:jc w:val="both"/>
        <w:rPr>
          <w:sz w:val="24"/>
          <w:szCs w:val="24"/>
          <w:lang w:val="en-GB"/>
        </w:rPr>
      </w:pPr>
      <w:r w:rsidRPr="0093728D">
        <w:rPr>
          <w:sz w:val="24"/>
          <w:szCs w:val="24"/>
          <w:lang w:val="en-GB"/>
        </w:rPr>
        <w:t xml:space="preserve">Perhaps unsurprisingly, the companies with larger asset bases tended to have </w:t>
      </w:r>
      <w:r w:rsidR="002A13AA" w:rsidRPr="0093728D">
        <w:rPr>
          <w:sz w:val="24"/>
          <w:szCs w:val="24"/>
          <w:lang w:val="en-GB"/>
        </w:rPr>
        <w:t>existed longer</w:t>
      </w:r>
      <w:r w:rsidRPr="0093728D">
        <w:rPr>
          <w:sz w:val="24"/>
          <w:szCs w:val="24"/>
          <w:lang w:val="en-GB"/>
        </w:rPr>
        <w:t xml:space="preserve"> </w:t>
      </w:r>
      <w:r w:rsidR="002A13AA" w:rsidRPr="0093728D">
        <w:rPr>
          <w:sz w:val="24"/>
          <w:szCs w:val="24"/>
          <w:lang w:val="en-GB"/>
        </w:rPr>
        <w:t>(</w:t>
      </w:r>
      <w:r w:rsidRPr="0093728D">
        <w:rPr>
          <w:sz w:val="24"/>
          <w:szCs w:val="24"/>
          <w:lang w:val="en-GB"/>
        </w:rPr>
        <w:t>from the date of incorporation to the commencement of liquidation</w:t>
      </w:r>
      <w:r w:rsidR="002A13AA" w:rsidRPr="0093728D">
        <w:rPr>
          <w:sz w:val="24"/>
          <w:szCs w:val="24"/>
          <w:lang w:val="en-GB"/>
        </w:rPr>
        <w:t>)</w:t>
      </w:r>
      <w:r w:rsidRPr="0093728D">
        <w:rPr>
          <w:sz w:val="24"/>
          <w:szCs w:val="24"/>
          <w:lang w:val="en-GB"/>
        </w:rPr>
        <w:t>. For instance, the average timespan of a company with a total asset value of zero that had been through a compulsory liquidation was 2,001 days, while for a company that had been through the same procedure</w:t>
      </w:r>
      <w:r w:rsidR="008370EC" w:rsidRPr="0093728D">
        <w:rPr>
          <w:sz w:val="24"/>
          <w:szCs w:val="24"/>
          <w:lang w:val="en-GB"/>
        </w:rPr>
        <w:t>,</w:t>
      </w:r>
      <w:r w:rsidRPr="0093728D">
        <w:rPr>
          <w:sz w:val="24"/>
          <w:szCs w:val="24"/>
          <w:lang w:val="en-GB"/>
        </w:rPr>
        <w:t xml:space="preserve"> but with a total asset value of £50,000 or over</w:t>
      </w:r>
      <w:r w:rsidR="008370EC" w:rsidRPr="0093728D">
        <w:rPr>
          <w:sz w:val="24"/>
          <w:szCs w:val="24"/>
          <w:lang w:val="en-GB"/>
        </w:rPr>
        <w:t>,</w:t>
      </w:r>
      <w:r w:rsidRPr="0093728D">
        <w:rPr>
          <w:sz w:val="24"/>
          <w:szCs w:val="24"/>
          <w:lang w:val="en-GB"/>
        </w:rPr>
        <w:t xml:space="preserve"> it was 5,136 days (</w:t>
      </w:r>
      <w:r w:rsidR="0093728D" w:rsidRPr="0093728D">
        <w:rPr>
          <w:sz w:val="24"/>
          <w:szCs w:val="24"/>
          <w:lang w:val="en-GB"/>
        </w:rPr>
        <w:t>i.e.,</w:t>
      </w:r>
      <w:r w:rsidRPr="0093728D">
        <w:rPr>
          <w:sz w:val="24"/>
          <w:szCs w:val="24"/>
          <w:lang w:val="en-GB"/>
        </w:rPr>
        <w:t xml:space="preserve"> more than double the timespan). A similar pattern also applie</w:t>
      </w:r>
      <w:r w:rsidR="002A13AA" w:rsidRPr="0093728D">
        <w:rPr>
          <w:sz w:val="24"/>
          <w:szCs w:val="24"/>
          <w:lang w:val="en-GB"/>
        </w:rPr>
        <w:t>s</w:t>
      </w:r>
      <w:r w:rsidRPr="0093728D">
        <w:rPr>
          <w:sz w:val="24"/>
          <w:szCs w:val="24"/>
          <w:lang w:val="en-GB"/>
        </w:rPr>
        <w:t xml:space="preserve"> to the average length of liquidations. If the same example categories </w:t>
      </w:r>
      <w:r w:rsidR="008370EC" w:rsidRPr="0093728D">
        <w:rPr>
          <w:sz w:val="24"/>
          <w:szCs w:val="24"/>
          <w:lang w:val="en-GB"/>
        </w:rPr>
        <w:t xml:space="preserve">are used </w:t>
      </w:r>
      <w:r w:rsidRPr="0093728D">
        <w:rPr>
          <w:sz w:val="24"/>
          <w:szCs w:val="24"/>
          <w:lang w:val="en-GB"/>
        </w:rPr>
        <w:t>again, the relevant time periods are 479 days for a company with zero assets in a compulsory liquidation and 1659 days for a company in the same procedure</w:t>
      </w:r>
      <w:r w:rsidR="008370EC" w:rsidRPr="0093728D">
        <w:rPr>
          <w:sz w:val="24"/>
          <w:szCs w:val="24"/>
          <w:lang w:val="en-GB"/>
        </w:rPr>
        <w:t>,</w:t>
      </w:r>
      <w:r w:rsidRPr="0093728D">
        <w:rPr>
          <w:sz w:val="24"/>
          <w:szCs w:val="24"/>
          <w:lang w:val="en-GB"/>
        </w:rPr>
        <w:t xml:space="preserve"> but with £50,000 or more in total assets.</w:t>
      </w:r>
      <w:r w:rsidR="002A13AA" w:rsidRPr="0093728D">
        <w:rPr>
          <w:sz w:val="24"/>
          <w:szCs w:val="24"/>
          <w:lang w:val="en-GB"/>
        </w:rPr>
        <w:t xml:space="preserve"> Yet although the time periods of liquidation for larger companies are understandably longer, those for smaller companies are not insignificant. </w:t>
      </w:r>
      <w:r w:rsidR="00B31708" w:rsidRPr="0093728D">
        <w:rPr>
          <w:sz w:val="24"/>
          <w:szCs w:val="24"/>
          <w:lang w:val="en-GB"/>
        </w:rPr>
        <w:t>As such, there is certainly scope to reform the law in order to limit the time and resource implications for at least some categories of small companies.</w:t>
      </w:r>
    </w:p>
    <w:p w14:paraId="4690639B" w14:textId="77777777" w:rsidR="00672FA7" w:rsidRPr="0093728D" w:rsidRDefault="00672FA7" w:rsidP="001F672C">
      <w:pPr>
        <w:jc w:val="both"/>
        <w:rPr>
          <w:sz w:val="24"/>
          <w:szCs w:val="24"/>
          <w:lang w:val="en-GB"/>
        </w:rPr>
      </w:pPr>
    </w:p>
    <w:p w14:paraId="4705449D" w14:textId="687C5A0D" w:rsidR="001F672C" w:rsidRPr="0093728D" w:rsidRDefault="00E41266" w:rsidP="001F672C">
      <w:pPr>
        <w:jc w:val="both"/>
        <w:rPr>
          <w:i/>
          <w:iCs/>
          <w:sz w:val="24"/>
          <w:szCs w:val="24"/>
          <w:lang w:val="en-GB"/>
        </w:rPr>
      </w:pPr>
      <w:r w:rsidRPr="0093728D">
        <w:rPr>
          <w:i/>
          <w:iCs/>
          <w:sz w:val="24"/>
          <w:szCs w:val="24"/>
          <w:lang w:val="en-GB"/>
        </w:rPr>
        <w:t>Expenses &amp; Recoveries</w:t>
      </w:r>
    </w:p>
    <w:p w14:paraId="302619F8" w14:textId="323D7636" w:rsidR="001F672C" w:rsidRPr="0093728D" w:rsidRDefault="001F672C" w:rsidP="001F672C">
      <w:pPr>
        <w:jc w:val="both"/>
        <w:rPr>
          <w:sz w:val="24"/>
          <w:szCs w:val="24"/>
          <w:lang w:val="en-GB"/>
        </w:rPr>
      </w:pPr>
    </w:p>
    <w:p w14:paraId="0529C6C7" w14:textId="19442594" w:rsidR="004148A4" w:rsidRPr="0093728D" w:rsidRDefault="004148A4" w:rsidP="001F672C">
      <w:pPr>
        <w:jc w:val="both"/>
        <w:rPr>
          <w:sz w:val="24"/>
          <w:szCs w:val="24"/>
          <w:lang w:val="en-GB"/>
        </w:rPr>
      </w:pPr>
      <w:r w:rsidRPr="0093728D">
        <w:rPr>
          <w:sz w:val="24"/>
          <w:szCs w:val="24"/>
          <w:lang w:val="en-GB"/>
        </w:rPr>
        <w:t>The data also showed that</w:t>
      </w:r>
      <w:r w:rsidR="008370EC" w:rsidRPr="0093728D">
        <w:rPr>
          <w:sz w:val="24"/>
          <w:szCs w:val="24"/>
          <w:lang w:val="en-GB"/>
        </w:rPr>
        <w:t>, the smaller the estate was, the larger</w:t>
      </w:r>
      <w:r w:rsidRPr="0093728D">
        <w:rPr>
          <w:sz w:val="24"/>
          <w:szCs w:val="24"/>
          <w:lang w:val="en-GB"/>
        </w:rPr>
        <w:t xml:space="preserve"> the percentage of the insolvency estate </w:t>
      </w:r>
      <w:r w:rsidR="00C81F24" w:rsidRPr="0093728D">
        <w:rPr>
          <w:sz w:val="24"/>
          <w:szCs w:val="24"/>
          <w:lang w:val="en-GB"/>
        </w:rPr>
        <w:t>used to pay</w:t>
      </w:r>
      <w:r w:rsidRPr="0093728D">
        <w:rPr>
          <w:sz w:val="24"/>
          <w:szCs w:val="24"/>
          <w:lang w:val="en-GB"/>
        </w:rPr>
        <w:t xml:space="preserve"> insolvency expenses was. Companies with under £5,000 net assets spent 100% of the estate on insolvency expenses for compulsory liquidations and 99.95% for CVLs. When we move</w:t>
      </w:r>
      <w:r w:rsidR="00C81F24" w:rsidRPr="0093728D">
        <w:rPr>
          <w:sz w:val="24"/>
          <w:szCs w:val="24"/>
          <w:lang w:val="en-GB"/>
        </w:rPr>
        <w:t>d</w:t>
      </w:r>
      <w:r w:rsidRPr="0093728D">
        <w:rPr>
          <w:sz w:val="24"/>
          <w:szCs w:val="24"/>
          <w:lang w:val="en-GB"/>
        </w:rPr>
        <w:t xml:space="preserve"> between £5,000 and £</w:t>
      </w:r>
      <w:r w:rsidR="000B1978" w:rsidRPr="0093728D">
        <w:rPr>
          <w:sz w:val="24"/>
          <w:szCs w:val="24"/>
          <w:lang w:val="en-GB"/>
        </w:rPr>
        <w:t>49,999.99</w:t>
      </w:r>
      <w:r w:rsidRPr="0093728D">
        <w:rPr>
          <w:sz w:val="24"/>
          <w:szCs w:val="24"/>
          <w:lang w:val="en-GB"/>
        </w:rPr>
        <w:t xml:space="preserve">, this dropped to 92.25% and 86.35% respectively, </w:t>
      </w:r>
      <w:r w:rsidR="008370EC" w:rsidRPr="0093728D">
        <w:rPr>
          <w:sz w:val="24"/>
          <w:szCs w:val="24"/>
          <w:lang w:val="en-GB"/>
        </w:rPr>
        <w:t xml:space="preserve">while when </w:t>
      </w:r>
      <w:r w:rsidRPr="0093728D">
        <w:rPr>
          <w:sz w:val="24"/>
          <w:szCs w:val="24"/>
          <w:lang w:val="en-GB"/>
        </w:rPr>
        <w:t>mov</w:t>
      </w:r>
      <w:r w:rsidR="008370EC" w:rsidRPr="0093728D">
        <w:rPr>
          <w:sz w:val="24"/>
          <w:szCs w:val="24"/>
          <w:lang w:val="en-GB"/>
        </w:rPr>
        <w:t>ing</w:t>
      </w:r>
      <w:r w:rsidRPr="0093728D">
        <w:rPr>
          <w:sz w:val="24"/>
          <w:szCs w:val="24"/>
          <w:lang w:val="en-GB"/>
        </w:rPr>
        <w:t xml:space="preserve"> to £50,000 and over, this dropped further to 53.67% and 52.37% respectively. As such, the smaller the </w:t>
      </w:r>
      <w:r w:rsidR="000828EB" w:rsidRPr="0093728D">
        <w:rPr>
          <w:sz w:val="24"/>
          <w:szCs w:val="24"/>
          <w:lang w:val="en-GB"/>
        </w:rPr>
        <w:t xml:space="preserve">overall </w:t>
      </w:r>
      <w:r w:rsidRPr="0093728D">
        <w:rPr>
          <w:sz w:val="24"/>
          <w:szCs w:val="24"/>
          <w:lang w:val="en-GB"/>
        </w:rPr>
        <w:t xml:space="preserve">assets, the more of them were used to pay for insolvency expenses. As most insolvencies are of smaller companies, this indicates that a more streamlined insolvency process for smaller companies, which incurs </w:t>
      </w:r>
      <w:r w:rsidR="00C81F24" w:rsidRPr="0093728D">
        <w:rPr>
          <w:sz w:val="24"/>
          <w:szCs w:val="24"/>
          <w:lang w:val="en-GB"/>
        </w:rPr>
        <w:t xml:space="preserve">lower </w:t>
      </w:r>
      <w:r w:rsidRPr="0093728D">
        <w:rPr>
          <w:sz w:val="24"/>
          <w:szCs w:val="24"/>
          <w:lang w:val="en-GB"/>
        </w:rPr>
        <w:t>insolvency expenses, may be needed.</w:t>
      </w:r>
    </w:p>
    <w:p w14:paraId="2C50752D" w14:textId="77777777" w:rsidR="004148A4" w:rsidRPr="0093728D" w:rsidRDefault="004148A4" w:rsidP="001F672C">
      <w:pPr>
        <w:jc w:val="both"/>
        <w:rPr>
          <w:sz w:val="24"/>
          <w:szCs w:val="24"/>
          <w:lang w:val="en-GB"/>
        </w:rPr>
      </w:pPr>
    </w:p>
    <w:p w14:paraId="5830CAD4" w14:textId="1C43C9BF" w:rsidR="008370EC" w:rsidRPr="0093728D" w:rsidRDefault="004148A4" w:rsidP="001F672C">
      <w:pPr>
        <w:jc w:val="both"/>
        <w:rPr>
          <w:sz w:val="24"/>
          <w:szCs w:val="24"/>
          <w:lang w:val="en-GB"/>
        </w:rPr>
      </w:pPr>
      <w:r w:rsidRPr="0093728D">
        <w:rPr>
          <w:sz w:val="24"/>
          <w:szCs w:val="24"/>
          <w:lang w:val="en-GB"/>
        </w:rPr>
        <w:t>Similar dynamics play out when recoveries received by creditors</w:t>
      </w:r>
      <w:r w:rsidR="008370EC" w:rsidRPr="0093728D">
        <w:rPr>
          <w:sz w:val="24"/>
          <w:szCs w:val="24"/>
          <w:lang w:val="en-GB"/>
        </w:rPr>
        <w:t xml:space="preserve"> are explored</w:t>
      </w:r>
      <w:r w:rsidRPr="0093728D">
        <w:rPr>
          <w:sz w:val="24"/>
          <w:szCs w:val="24"/>
          <w:lang w:val="en-GB"/>
        </w:rPr>
        <w:t xml:space="preserve">. Only 27.3% of </w:t>
      </w:r>
      <w:r w:rsidR="008370EC" w:rsidRPr="0093728D">
        <w:rPr>
          <w:sz w:val="24"/>
          <w:szCs w:val="24"/>
          <w:lang w:val="en-GB"/>
        </w:rPr>
        <w:t xml:space="preserve">the </w:t>
      </w:r>
      <w:r w:rsidRPr="0093728D">
        <w:rPr>
          <w:sz w:val="24"/>
          <w:szCs w:val="24"/>
          <w:lang w:val="en-GB"/>
        </w:rPr>
        <w:t>sample had outstanding security listed at Companies House</w:t>
      </w:r>
      <w:r w:rsidR="00D72FF2" w:rsidRPr="0093728D">
        <w:rPr>
          <w:sz w:val="24"/>
          <w:szCs w:val="24"/>
          <w:lang w:val="en-GB"/>
        </w:rPr>
        <w:t>. In 23.6% of cases</w:t>
      </w:r>
      <w:r w:rsidR="008370EC" w:rsidRPr="0093728D">
        <w:rPr>
          <w:sz w:val="24"/>
          <w:szCs w:val="24"/>
          <w:lang w:val="en-GB"/>
        </w:rPr>
        <w:t>,</w:t>
      </w:r>
      <w:r w:rsidR="00D72FF2" w:rsidRPr="0093728D">
        <w:rPr>
          <w:sz w:val="24"/>
          <w:szCs w:val="24"/>
          <w:lang w:val="en-GB"/>
        </w:rPr>
        <w:t xml:space="preserve"> where there was a secured claim, the secured creditor received nothing. Only 10.4% of companies with secured creditors paid them in full</w:t>
      </w:r>
      <w:r w:rsidR="000828EB" w:rsidRPr="0093728D">
        <w:rPr>
          <w:sz w:val="24"/>
          <w:szCs w:val="24"/>
          <w:lang w:val="en-GB"/>
        </w:rPr>
        <w:t xml:space="preserve"> during the liquidation</w:t>
      </w:r>
      <w:r w:rsidR="00D72FF2" w:rsidRPr="0093728D">
        <w:rPr>
          <w:sz w:val="24"/>
          <w:szCs w:val="24"/>
          <w:lang w:val="en-GB"/>
        </w:rPr>
        <w:t>.</w:t>
      </w:r>
      <w:r w:rsidR="008370EC" w:rsidRPr="0093728D">
        <w:rPr>
          <w:sz w:val="24"/>
          <w:szCs w:val="24"/>
          <w:lang w:val="en-GB"/>
        </w:rPr>
        <w:t xml:space="preserve"> </w:t>
      </w:r>
      <w:r w:rsidR="000828EB" w:rsidRPr="0093728D">
        <w:rPr>
          <w:sz w:val="24"/>
          <w:szCs w:val="24"/>
          <w:lang w:val="en-GB"/>
        </w:rPr>
        <w:t xml:space="preserve">In </w:t>
      </w:r>
      <w:r w:rsidR="008370EC" w:rsidRPr="0093728D">
        <w:rPr>
          <w:sz w:val="24"/>
          <w:szCs w:val="24"/>
          <w:lang w:val="en-GB"/>
        </w:rPr>
        <w:t xml:space="preserve">the </w:t>
      </w:r>
      <w:r w:rsidR="000828EB" w:rsidRPr="0093728D">
        <w:rPr>
          <w:sz w:val="24"/>
          <w:szCs w:val="24"/>
          <w:lang w:val="en-GB"/>
        </w:rPr>
        <w:t xml:space="preserve">sample, </w:t>
      </w:r>
      <w:r w:rsidR="00D72FF2" w:rsidRPr="0093728D">
        <w:rPr>
          <w:sz w:val="24"/>
          <w:szCs w:val="24"/>
          <w:lang w:val="en-GB"/>
        </w:rPr>
        <w:t>65.9% of companies had no preferential claims.</w:t>
      </w:r>
      <w:r w:rsidRPr="0093728D">
        <w:rPr>
          <w:sz w:val="24"/>
          <w:szCs w:val="24"/>
          <w:lang w:val="en-GB"/>
        </w:rPr>
        <w:t xml:space="preserve"> </w:t>
      </w:r>
      <w:r w:rsidR="00D72FF2" w:rsidRPr="0093728D">
        <w:rPr>
          <w:sz w:val="24"/>
          <w:szCs w:val="24"/>
          <w:lang w:val="en-GB"/>
        </w:rPr>
        <w:t xml:space="preserve">Where preferential claims were paid out, in 71.2% of cases they were paid in full. </w:t>
      </w:r>
      <w:r w:rsidR="000828EB" w:rsidRPr="0093728D">
        <w:rPr>
          <w:sz w:val="24"/>
          <w:szCs w:val="24"/>
          <w:lang w:val="en-GB"/>
        </w:rPr>
        <w:t>The r</w:t>
      </w:r>
      <w:r w:rsidR="00D72FF2" w:rsidRPr="0093728D">
        <w:rPr>
          <w:sz w:val="24"/>
          <w:szCs w:val="24"/>
          <w:lang w:val="en-GB"/>
        </w:rPr>
        <w:t>eturn to preferential creditors increased with higher gross assets: where assets were less than £5,000</w:t>
      </w:r>
      <w:r w:rsidR="00C81F24" w:rsidRPr="0093728D">
        <w:rPr>
          <w:sz w:val="24"/>
          <w:szCs w:val="24"/>
          <w:lang w:val="en-GB"/>
        </w:rPr>
        <w:t xml:space="preserve"> (but higher than zero)</w:t>
      </w:r>
      <w:r w:rsidR="00D72FF2" w:rsidRPr="0093728D">
        <w:rPr>
          <w:sz w:val="24"/>
          <w:szCs w:val="24"/>
          <w:lang w:val="en-GB"/>
        </w:rPr>
        <w:t>, preferential creditors in compulsory liquidations received 0.00%</w:t>
      </w:r>
      <w:r w:rsidR="00C81F24" w:rsidRPr="0093728D">
        <w:rPr>
          <w:sz w:val="24"/>
          <w:szCs w:val="24"/>
          <w:lang w:val="en-GB"/>
        </w:rPr>
        <w:t xml:space="preserve"> (nil)</w:t>
      </w:r>
      <w:r w:rsidR="00D72FF2" w:rsidRPr="0093728D">
        <w:rPr>
          <w:sz w:val="24"/>
          <w:szCs w:val="24"/>
          <w:lang w:val="en-GB"/>
        </w:rPr>
        <w:t xml:space="preserve"> return, and in CVLs received 0.67%. Between £5,000 and £</w:t>
      </w:r>
      <w:r w:rsidR="000B1978" w:rsidRPr="0093728D">
        <w:rPr>
          <w:sz w:val="24"/>
          <w:szCs w:val="24"/>
          <w:lang w:val="en-GB"/>
        </w:rPr>
        <w:t>49,999.99</w:t>
      </w:r>
      <w:r w:rsidR="00D72FF2" w:rsidRPr="0093728D">
        <w:rPr>
          <w:sz w:val="24"/>
          <w:szCs w:val="24"/>
          <w:lang w:val="en-GB"/>
        </w:rPr>
        <w:t xml:space="preserve">, these numbers increased to 9.20% and 48.19% respectively, </w:t>
      </w:r>
      <w:r w:rsidR="008370EC" w:rsidRPr="0093728D">
        <w:rPr>
          <w:sz w:val="24"/>
          <w:szCs w:val="24"/>
          <w:lang w:val="en-GB"/>
        </w:rPr>
        <w:t xml:space="preserve">while </w:t>
      </w:r>
      <w:r w:rsidR="00D72FF2" w:rsidRPr="0093728D">
        <w:rPr>
          <w:sz w:val="24"/>
          <w:szCs w:val="24"/>
          <w:lang w:val="en-GB"/>
        </w:rPr>
        <w:t>gr</w:t>
      </w:r>
      <w:r w:rsidR="008370EC" w:rsidRPr="0093728D">
        <w:rPr>
          <w:sz w:val="24"/>
          <w:szCs w:val="24"/>
          <w:lang w:val="en-GB"/>
        </w:rPr>
        <w:t>o</w:t>
      </w:r>
      <w:r w:rsidR="00D72FF2" w:rsidRPr="0093728D">
        <w:rPr>
          <w:sz w:val="24"/>
          <w:szCs w:val="24"/>
          <w:lang w:val="en-GB"/>
        </w:rPr>
        <w:t>w</w:t>
      </w:r>
      <w:r w:rsidR="008370EC" w:rsidRPr="0093728D">
        <w:rPr>
          <w:sz w:val="24"/>
          <w:szCs w:val="24"/>
          <w:lang w:val="en-GB"/>
        </w:rPr>
        <w:t>ing</w:t>
      </w:r>
      <w:r w:rsidR="00D72FF2" w:rsidRPr="0093728D">
        <w:rPr>
          <w:sz w:val="24"/>
          <w:szCs w:val="24"/>
          <w:lang w:val="en-GB"/>
        </w:rPr>
        <w:t xml:space="preserve"> to 43.</w:t>
      </w:r>
      <w:r w:rsidR="000B1978" w:rsidRPr="0093728D">
        <w:rPr>
          <w:sz w:val="24"/>
          <w:szCs w:val="24"/>
          <w:lang w:val="en-GB"/>
        </w:rPr>
        <w:t>46</w:t>
      </w:r>
      <w:r w:rsidR="00D72FF2" w:rsidRPr="0093728D">
        <w:rPr>
          <w:sz w:val="24"/>
          <w:szCs w:val="24"/>
          <w:lang w:val="en-GB"/>
        </w:rPr>
        <w:t>% and 75.77% respectively for estates</w:t>
      </w:r>
      <w:r w:rsidR="000B1978" w:rsidRPr="0093728D">
        <w:rPr>
          <w:sz w:val="24"/>
          <w:szCs w:val="24"/>
          <w:lang w:val="en-GB"/>
        </w:rPr>
        <w:t xml:space="preserve"> of</w:t>
      </w:r>
      <w:r w:rsidR="00D72FF2" w:rsidRPr="0093728D">
        <w:rPr>
          <w:sz w:val="24"/>
          <w:szCs w:val="24"/>
          <w:lang w:val="en-GB"/>
        </w:rPr>
        <w:t xml:space="preserve"> £50,000</w:t>
      </w:r>
      <w:r w:rsidR="000B1978" w:rsidRPr="0093728D">
        <w:rPr>
          <w:sz w:val="24"/>
          <w:szCs w:val="24"/>
          <w:lang w:val="en-GB"/>
        </w:rPr>
        <w:t xml:space="preserve"> and over</w:t>
      </w:r>
      <w:r w:rsidR="00D72FF2" w:rsidRPr="0093728D">
        <w:rPr>
          <w:sz w:val="24"/>
          <w:szCs w:val="24"/>
          <w:lang w:val="en-GB"/>
        </w:rPr>
        <w:t>.</w:t>
      </w:r>
    </w:p>
    <w:p w14:paraId="15612B0D" w14:textId="77777777" w:rsidR="008370EC" w:rsidRPr="0093728D" w:rsidRDefault="008370EC" w:rsidP="001F672C">
      <w:pPr>
        <w:jc w:val="both"/>
        <w:rPr>
          <w:sz w:val="24"/>
          <w:szCs w:val="24"/>
          <w:lang w:val="en-GB"/>
        </w:rPr>
      </w:pPr>
    </w:p>
    <w:p w14:paraId="7AECCA5C" w14:textId="4AF4B71B" w:rsidR="004148A4" w:rsidRPr="0093728D" w:rsidRDefault="00D72FF2" w:rsidP="001F672C">
      <w:pPr>
        <w:jc w:val="both"/>
        <w:rPr>
          <w:sz w:val="24"/>
          <w:szCs w:val="24"/>
          <w:lang w:val="en-GB"/>
        </w:rPr>
      </w:pPr>
      <w:r w:rsidRPr="0093728D">
        <w:rPr>
          <w:sz w:val="24"/>
          <w:szCs w:val="24"/>
          <w:lang w:val="en-GB"/>
        </w:rPr>
        <w:t xml:space="preserve">As would be expected, the same dynamics follow unsecured returns – with no returns for estates with under £5,000 of assets, rising to 2.00% for compulsory liquidations </w:t>
      </w:r>
      <w:r w:rsidR="000B1978" w:rsidRPr="0093728D">
        <w:rPr>
          <w:sz w:val="24"/>
          <w:szCs w:val="24"/>
          <w:lang w:val="en-GB"/>
        </w:rPr>
        <w:t>and</w:t>
      </w:r>
      <w:r w:rsidRPr="0093728D">
        <w:rPr>
          <w:sz w:val="24"/>
          <w:szCs w:val="24"/>
          <w:lang w:val="en-GB"/>
        </w:rPr>
        <w:t xml:space="preserve"> 5.12% for CVLs</w:t>
      </w:r>
      <w:r w:rsidR="008370EC" w:rsidRPr="0093728D">
        <w:rPr>
          <w:sz w:val="24"/>
          <w:szCs w:val="24"/>
          <w:lang w:val="en-GB"/>
        </w:rPr>
        <w:t>,</w:t>
      </w:r>
      <w:r w:rsidRPr="0093728D">
        <w:rPr>
          <w:sz w:val="24"/>
          <w:szCs w:val="24"/>
          <w:lang w:val="en-GB"/>
        </w:rPr>
        <w:t xml:space="preserve"> when </w:t>
      </w:r>
      <w:r w:rsidR="000B1978" w:rsidRPr="0093728D">
        <w:rPr>
          <w:sz w:val="24"/>
          <w:szCs w:val="24"/>
          <w:lang w:val="en-GB"/>
        </w:rPr>
        <w:t>consider</w:t>
      </w:r>
      <w:r w:rsidR="008370EC" w:rsidRPr="0093728D">
        <w:rPr>
          <w:sz w:val="24"/>
          <w:szCs w:val="24"/>
          <w:lang w:val="en-GB"/>
        </w:rPr>
        <w:t>ing</w:t>
      </w:r>
      <w:r w:rsidR="000B1978" w:rsidRPr="0093728D">
        <w:rPr>
          <w:sz w:val="24"/>
          <w:szCs w:val="24"/>
          <w:lang w:val="en-GB"/>
        </w:rPr>
        <w:t xml:space="preserve"> estates with a value </w:t>
      </w:r>
      <w:r w:rsidRPr="0093728D">
        <w:rPr>
          <w:sz w:val="24"/>
          <w:szCs w:val="24"/>
          <w:lang w:val="en-GB"/>
        </w:rPr>
        <w:t>between £5,000 and £</w:t>
      </w:r>
      <w:r w:rsidR="000B1978" w:rsidRPr="0093728D">
        <w:rPr>
          <w:sz w:val="24"/>
          <w:szCs w:val="24"/>
          <w:lang w:val="en-GB"/>
        </w:rPr>
        <w:t>49,999.99</w:t>
      </w:r>
      <w:r w:rsidRPr="0093728D">
        <w:rPr>
          <w:sz w:val="24"/>
          <w:szCs w:val="24"/>
          <w:lang w:val="en-GB"/>
        </w:rPr>
        <w:t>, and to 17.64% and 23.05% respectively when mov</w:t>
      </w:r>
      <w:r w:rsidR="008370EC" w:rsidRPr="0093728D">
        <w:rPr>
          <w:sz w:val="24"/>
          <w:szCs w:val="24"/>
          <w:lang w:val="en-GB"/>
        </w:rPr>
        <w:t>ing</w:t>
      </w:r>
      <w:r w:rsidRPr="0093728D">
        <w:rPr>
          <w:sz w:val="24"/>
          <w:szCs w:val="24"/>
          <w:lang w:val="en-GB"/>
        </w:rPr>
        <w:t xml:space="preserve"> </w:t>
      </w:r>
      <w:r w:rsidR="000B1978" w:rsidRPr="0093728D">
        <w:rPr>
          <w:sz w:val="24"/>
          <w:szCs w:val="24"/>
          <w:lang w:val="en-GB"/>
        </w:rPr>
        <w:t>to</w:t>
      </w:r>
      <w:r w:rsidRPr="0093728D">
        <w:rPr>
          <w:sz w:val="24"/>
          <w:szCs w:val="24"/>
          <w:lang w:val="en-GB"/>
        </w:rPr>
        <w:t xml:space="preserve"> £50,000 of assets</w:t>
      </w:r>
      <w:r w:rsidR="000B1978" w:rsidRPr="0093728D">
        <w:rPr>
          <w:sz w:val="24"/>
          <w:szCs w:val="24"/>
          <w:lang w:val="en-GB"/>
        </w:rPr>
        <w:t xml:space="preserve"> and over</w:t>
      </w:r>
      <w:r w:rsidRPr="0093728D">
        <w:rPr>
          <w:sz w:val="24"/>
          <w:szCs w:val="24"/>
          <w:lang w:val="en-GB"/>
        </w:rPr>
        <w:t xml:space="preserve">. </w:t>
      </w:r>
      <w:r w:rsidR="000B1978" w:rsidRPr="0093728D">
        <w:rPr>
          <w:sz w:val="24"/>
          <w:szCs w:val="24"/>
          <w:lang w:val="en-GB"/>
        </w:rPr>
        <w:t>The c</w:t>
      </w:r>
      <w:r w:rsidRPr="0093728D">
        <w:rPr>
          <w:sz w:val="24"/>
          <w:szCs w:val="24"/>
          <w:lang w:val="en-GB"/>
        </w:rPr>
        <w:t>urrent</w:t>
      </w:r>
      <w:r w:rsidR="000B1978" w:rsidRPr="0093728D">
        <w:rPr>
          <w:sz w:val="24"/>
          <w:szCs w:val="24"/>
          <w:lang w:val="en-GB"/>
        </w:rPr>
        <w:t>ly applicable</w:t>
      </w:r>
      <w:r w:rsidRPr="0093728D">
        <w:rPr>
          <w:sz w:val="24"/>
          <w:szCs w:val="24"/>
          <w:lang w:val="en-GB"/>
        </w:rPr>
        <w:t xml:space="preserve"> rules result in </w:t>
      </w:r>
      <w:r w:rsidR="00F81F3C" w:rsidRPr="0093728D">
        <w:rPr>
          <w:sz w:val="24"/>
          <w:szCs w:val="24"/>
          <w:lang w:val="en-GB"/>
        </w:rPr>
        <w:t xml:space="preserve">all classes of creditors losing out in most liquidations (for small companies) to insolvency expenses. </w:t>
      </w:r>
      <w:r w:rsidR="000B1978" w:rsidRPr="0093728D">
        <w:rPr>
          <w:sz w:val="24"/>
          <w:szCs w:val="24"/>
          <w:lang w:val="en-GB"/>
        </w:rPr>
        <w:t>In addition, the data shows that creditors often obtain little or no dividend due to the amount of liquidation expenses incurred and the size of the estate.</w:t>
      </w:r>
    </w:p>
    <w:p w14:paraId="3D7E4EE4" w14:textId="15291E1D" w:rsidR="00F81F3C" w:rsidRPr="0093728D" w:rsidRDefault="00F81F3C" w:rsidP="001F672C">
      <w:pPr>
        <w:jc w:val="both"/>
        <w:rPr>
          <w:sz w:val="24"/>
          <w:szCs w:val="24"/>
          <w:lang w:val="en-GB"/>
        </w:rPr>
      </w:pPr>
    </w:p>
    <w:p w14:paraId="6574FE4C" w14:textId="019C6570" w:rsidR="00F81F3C" w:rsidRPr="0093728D" w:rsidRDefault="00F81F3C" w:rsidP="001F672C">
      <w:pPr>
        <w:jc w:val="both"/>
        <w:rPr>
          <w:sz w:val="24"/>
          <w:szCs w:val="24"/>
          <w:lang w:val="en-GB"/>
        </w:rPr>
      </w:pPr>
      <w:r w:rsidRPr="0093728D">
        <w:rPr>
          <w:sz w:val="24"/>
          <w:szCs w:val="24"/>
          <w:lang w:val="en-GB"/>
        </w:rPr>
        <w:t xml:space="preserve">Scotland lacks an official receiver and so these insolvency expenses are </w:t>
      </w:r>
      <w:r w:rsidR="000B1978" w:rsidRPr="0093728D">
        <w:rPr>
          <w:sz w:val="24"/>
          <w:szCs w:val="24"/>
          <w:lang w:val="en-GB"/>
        </w:rPr>
        <w:t xml:space="preserve">being paid </w:t>
      </w:r>
      <w:r w:rsidRPr="0093728D">
        <w:rPr>
          <w:sz w:val="24"/>
          <w:szCs w:val="24"/>
          <w:lang w:val="en-GB"/>
        </w:rPr>
        <w:t>to private insolvency practitioners</w:t>
      </w:r>
      <w:r w:rsidR="000B1978" w:rsidRPr="0093728D">
        <w:rPr>
          <w:sz w:val="24"/>
          <w:szCs w:val="24"/>
          <w:lang w:val="en-GB"/>
        </w:rPr>
        <w:t xml:space="preserve"> (subject to the payment of outlays)</w:t>
      </w:r>
      <w:r w:rsidRPr="0093728D">
        <w:rPr>
          <w:sz w:val="24"/>
          <w:szCs w:val="24"/>
          <w:lang w:val="en-GB"/>
        </w:rPr>
        <w:t xml:space="preserve">. One of the biggest surprises in our data, though, is how </w:t>
      </w:r>
      <w:r w:rsidR="000B1978" w:rsidRPr="0093728D">
        <w:rPr>
          <w:sz w:val="24"/>
          <w:szCs w:val="24"/>
          <w:lang w:val="en-GB"/>
        </w:rPr>
        <w:t xml:space="preserve">frequently </w:t>
      </w:r>
      <w:r w:rsidRPr="0093728D">
        <w:rPr>
          <w:sz w:val="24"/>
          <w:szCs w:val="24"/>
          <w:lang w:val="en-GB"/>
        </w:rPr>
        <w:t>H</w:t>
      </w:r>
      <w:r w:rsidR="0093125E" w:rsidRPr="0093728D">
        <w:rPr>
          <w:sz w:val="24"/>
          <w:szCs w:val="24"/>
          <w:lang w:val="en-GB"/>
        </w:rPr>
        <w:t xml:space="preserve">is </w:t>
      </w:r>
      <w:r w:rsidRPr="0093728D">
        <w:rPr>
          <w:sz w:val="24"/>
          <w:szCs w:val="24"/>
          <w:lang w:val="en-GB"/>
        </w:rPr>
        <w:t>M</w:t>
      </w:r>
      <w:r w:rsidR="0093125E" w:rsidRPr="0093728D">
        <w:rPr>
          <w:sz w:val="24"/>
          <w:szCs w:val="24"/>
          <w:lang w:val="en-GB"/>
        </w:rPr>
        <w:t xml:space="preserve">ajesty’s </w:t>
      </w:r>
      <w:r w:rsidRPr="0093728D">
        <w:rPr>
          <w:sz w:val="24"/>
          <w:szCs w:val="24"/>
          <w:lang w:val="en-GB"/>
        </w:rPr>
        <w:t>R</w:t>
      </w:r>
      <w:r w:rsidR="0093125E" w:rsidRPr="0093728D">
        <w:rPr>
          <w:sz w:val="24"/>
          <w:szCs w:val="24"/>
          <w:lang w:val="en-GB"/>
        </w:rPr>
        <w:t xml:space="preserve">evenue and </w:t>
      </w:r>
      <w:r w:rsidRPr="0093728D">
        <w:rPr>
          <w:sz w:val="24"/>
          <w:szCs w:val="24"/>
          <w:lang w:val="en-GB"/>
        </w:rPr>
        <w:t>C</w:t>
      </w:r>
      <w:r w:rsidR="0093125E" w:rsidRPr="0093728D">
        <w:rPr>
          <w:sz w:val="24"/>
          <w:szCs w:val="24"/>
          <w:lang w:val="en-GB"/>
        </w:rPr>
        <w:t>ustoms (the UK’s principal tax authority)</w:t>
      </w:r>
      <w:r w:rsidRPr="0093728D">
        <w:rPr>
          <w:sz w:val="24"/>
          <w:szCs w:val="24"/>
          <w:lang w:val="en-GB"/>
        </w:rPr>
        <w:t xml:space="preserve"> petitions for compulsory liquidations. 55% of our sample of compulsory liquidations, representing 16% of total assets, were petitioned for by HMRC. It seems that HMRC contributed to the insolvency expenses of 56.8% of these companies. This demonstrates that the state still pays for a large number of insolvencies, albeit through imperfect means.</w:t>
      </w:r>
    </w:p>
    <w:p w14:paraId="761CA164" w14:textId="77777777" w:rsidR="00F81F3C" w:rsidRPr="0093728D" w:rsidRDefault="00F81F3C" w:rsidP="001F672C">
      <w:pPr>
        <w:jc w:val="both"/>
        <w:rPr>
          <w:sz w:val="24"/>
          <w:szCs w:val="24"/>
          <w:lang w:val="en-GB"/>
        </w:rPr>
      </w:pPr>
    </w:p>
    <w:p w14:paraId="411DD661" w14:textId="67EC1C9A" w:rsidR="001F672C" w:rsidRPr="0093728D" w:rsidRDefault="00E41266" w:rsidP="001F672C">
      <w:pPr>
        <w:jc w:val="both"/>
        <w:rPr>
          <w:i/>
          <w:sz w:val="24"/>
          <w:szCs w:val="24"/>
          <w:lang w:val="en-GB"/>
        </w:rPr>
      </w:pPr>
      <w:r w:rsidRPr="0093728D">
        <w:rPr>
          <w:i/>
          <w:sz w:val="24"/>
          <w:szCs w:val="24"/>
          <w:lang w:val="en-GB"/>
        </w:rPr>
        <w:t>Limitations &amp; Caveats</w:t>
      </w:r>
    </w:p>
    <w:p w14:paraId="4BB4BAE5" w14:textId="69DF8074" w:rsidR="00E41266" w:rsidRPr="0093728D" w:rsidRDefault="00E41266" w:rsidP="001F672C">
      <w:pPr>
        <w:jc w:val="both"/>
        <w:rPr>
          <w:sz w:val="24"/>
          <w:szCs w:val="24"/>
          <w:lang w:val="en-GB"/>
        </w:rPr>
      </w:pPr>
    </w:p>
    <w:p w14:paraId="3E4FC798" w14:textId="4987A509" w:rsidR="00F81F3C" w:rsidRPr="0093728D" w:rsidRDefault="008370EC" w:rsidP="001F672C">
      <w:pPr>
        <w:jc w:val="both"/>
        <w:rPr>
          <w:sz w:val="24"/>
          <w:szCs w:val="24"/>
          <w:lang w:val="en-GB"/>
        </w:rPr>
      </w:pPr>
      <w:r w:rsidRPr="0093728D">
        <w:rPr>
          <w:sz w:val="24"/>
          <w:szCs w:val="24"/>
          <w:lang w:val="en-GB"/>
        </w:rPr>
        <w:t xml:space="preserve">The sample </w:t>
      </w:r>
      <w:r w:rsidR="00F81F3C" w:rsidRPr="0093728D">
        <w:rPr>
          <w:sz w:val="24"/>
          <w:szCs w:val="24"/>
          <w:lang w:val="en-GB"/>
        </w:rPr>
        <w:t xml:space="preserve">data has the usual limitations of data of this type. Companies House records may not be perfect in respect of </w:t>
      </w:r>
      <w:r w:rsidR="0093125E" w:rsidRPr="0093728D">
        <w:rPr>
          <w:sz w:val="24"/>
          <w:szCs w:val="24"/>
          <w:lang w:val="en-GB"/>
        </w:rPr>
        <w:t>the continued existence and enforceability</w:t>
      </w:r>
      <w:r w:rsidR="00F81F3C" w:rsidRPr="0093728D">
        <w:rPr>
          <w:sz w:val="24"/>
          <w:szCs w:val="24"/>
          <w:lang w:val="en-GB"/>
        </w:rPr>
        <w:t xml:space="preserve"> of security. </w:t>
      </w:r>
      <w:r w:rsidR="00C81F24" w:rsidRPr="0093728D">
        <w:rPr>
          <w:sz w:val="24"/>
          <w:szCs w:val="24"/>
          <w:lang w:val="en-GB"/>
        </w:rPr>
        <w:t>S</w:t>
      </w:r>
      <w:r w:rsidR="00F81F3C" w:rsidRPr="0093728D">
        <w:rPr>
          <w:sz w:val="24"/>
          <w:szCs w:val="24"/>
          <w:lang w:val="en-GB"/>
        </w:rPr>
        <w:t xml:space="preserve">ecurity could be </w:t>
      </w:r>
      <w:r w:rsidR="0093125E" w:rsidRPr="0093728D">
        <w:rPr>
          <w:sz w:val="24"/>
          <w:szCs w:val="24"/>
          <w:lang w:val="en-GB"/>
        </w:rPr>
        <w:t xml:space="preserve">used for </w:t>
      </w:r>
      <w:r w:rsidR="00F81F3C" w:rsidRPr="0093728D">
        <w:rPr>
          <w:sz w:val="24"/>
          <w:szCs w:val="24"/>
          <w:lang w:val="en-GB"/>
        </w:rPr>
        <w:t>enforce</w:t>
      </w:r>
      <w:r w:rsidR="0093125E" w:rsidRPr="0093728D">
        <w:rPr>
          <w:sz w:val="24"/>
          <w:szCs w:val="24"/>
          <w:lang w:val="en-GB"/>
        </w:rPr>
        <w:t>ment</w:t>
      </w:r>
      <w:r w:rsidR="00F81F3C" w:rsidRPr="0093728D">
        <w:rPr>
          <w:sz w:val="24"/>
          <w:szCs w:val="24"/>
          <w:lang w:val="en-GB"/>
        </w:rPr>
        <w:t xml:space="preserve"> prior to </w:t>
      </w:r>
      <w:r w:rsidR="0093125E" w:rsidRPr="0093728D">
        <w:rPr>
          <w:sz w:val="24"/>
          <w:szCs w:val="24"/>
          <w:lang w:val="en-GB"/>
        </w:rPr>
        <w:t>liquidation</w:t>
      </w:r>
      <w:r w:rsidR="00F81F3C" w:rsidRPr="0093728D">
        <w:rPr>
          <w:sz w:val="24"/>
          <w:szCs w:val="24"/>
          <w:lang w:val="en-GB"/>
        </w:rPr>
        <w:t>. A</w:t>
      </w:r>
      <w:r w:rsidR="0093125E" w:rsidRPr="0093728D">
        <w:rPr>
          <w:sz w:val="24"/>
          <w:szCs w:val="24"/>
          <w:lang w:val="en-GB"/>
        </w:rPr>
        <w:t>n earlier a</w:t>
      </w:r>
      <w:r w:rsidR="00F81F3C" w:rsidRPr="0093728D">
        <w:rPr>
          <w:sz w:val="24"/>
          <w:szCs w:val="24"/>
          <w:lang w:val="en-GB"/>
        </w:rPr>
        <w:t xml:space="preserve">dministration </w:t>
      </w:r>
      <w:r w:rsidR="0093125E" w:rsidRPr="0093728D">
        <w:rPr>
          <w:sz w:val="24"/>
          <w:szCs w:val="24"/>
          <w:lang w:val="en-GB"/>
        </w:rPr>
        <w:t xml:space="preserve">or other procedure </w:t>
      </w:r>
      <w:r w:rsidR="00F81F3C" w:rsidRPr="0093728D">
        <w:rPr>
          <w:sz w:val="24"/>
          <w:szCs w:val="24"/>
          <w:lang w:val="en-GB"/>
        </w:rPr>
        <w:t xml:space="preserve">may </w:t>
      </w:r>
      <w:r w:rsidR="0093125E" w:rsidRPr="0093728D">
        <w:rPr>
          <w:sz w:val="24"/>
          <w:szCs w:val="24"/>
          <w:lang w:val="en-GB"/>
        </w:rPr>
        <w:t xml:space="preserve">have resulted in the </w:t>
      </w:r>
      <w:r w:rsidR="00F81F3C" w:rsidRPr="0093728D">
        <w:rPr>
          <w:sz w:val="24"/>
          <w:szCs w:val="24"/>
          <w:lang w:val="en-GB"/>
        </w:rPr>
        <w:t>repay</w:t>
      </w:r>
      <w:r w:rsidR="0093125E" w:rsidRPr="0093728D">
        <w:rPr>
          <w:sz w:val="24"/>
          <w:szCs w:val="24"/>
          <w:lang w:val="en-GB"/>
        </w:rPr>
        <w:t>ment</w:t>
      </w:r>
      <w:r w:rsidR="00F81F3C" w:rsidRPr="0093728D">
        <w:rPr>
          <w:sz w:val="24"/>
          <w:szCs w:val="24"/>
          <w:lang w:val="en-GB"/>
        </w:rPr>
        <w:t xml:space="preserve"> </w:t>
      </w:r>
      <w:r w:rsidR="0093125E" w:rsidRPr="0093728D">
        <w:rPr>
          <w:sz w:val="24"/>
          <w:szCs w:val="24"/>
          <w:lang w:val="en-GB"/>
        </w:rPr>
        <w:t xml:space="preserve">of secured creditors, and/or other creditors, </w:t>
      </w:r>
      <w:r w:rsidR="00F81F3C" w:rsidRPr="0093728D">
        <w:rPr>
          <w:sz w:val="24"/>
          <w:szCs w:val="24"/>
          <w:lang w:val="en-GB"/>
        </w:rPr>
        <w:t xml:space="preserve">prior to </w:t>
      </w:r>
      <w:r w:rsidR="0093125E" w:rsidRPr="0093728D">
        <w:rPr>
          <w:sz w:val="24"/>
          <w:szCs w:val="24"/>
          <w:lang w:val="en-GB"/>
        </w:rPr>
        <w:t xml:space="preserve">the </w:t>
      </w:r>
      <w:r w:rsidR="00F81F3C" w:rsidRPr="0093728D">
        <w:rPr>
          <w:sz w:val="24"/>
          <w:szCs w:val="24"/>
          <w:lang w:val="en-GB"/>
        </w:rPr>
        <w:t>liqu</w:t>
      </w:r>
      <w:r w:rsidR="0093125E" w:rsidRPr="0093728D">
        <w:rPr>
          <w:sz w:val="24"/>
          <w:szCs w:val="24"/>
          <w:lang w:val="en-GB"/>
        </w:rPr>
        <w:t>i</w:t>
      </w:r>
      <w:r w:rsidR="00F81F3C" w:rsidRPr="0093728D">
        <w:rPr>
          <w:sz w:val="24"/>
          <w:szCs w:val="24"/>
          <w:lang w:val="en-GB"/>
        </w:rPr>
        <w:t xml:space="preserve">dation. It </w:t>
      </w:r>
      <w:r w:rsidR="003E5B0E" w:rsidRPr="0093728D">
        <w:rPr>
          <w:sz w:val="24"/>
          <w:szCs w:val="24"/>
          <w:lang w:val="en-GB"/>
        </w:rPr>
        <w:t xml:space="preserve">can also </w:t>
      </w:r>
      <w:r w:rsidR="00F81F3C" w:rsidRPr="0093728D">
        <w:rPr>
          <w:sz w:val="24"/>
          <w:szCs w:val="24"/>
          <w:lang w:val="en-GB"/>
        </w:rPr>
        <w:t xml:space="preserve">be </w:t>
      </w:r>
      <w:r w:rsidR="0093125E" w:rsidRPr="0093728D">
        <w:rPr>
          <w:sz w:val="24"/>
          <w:szCs w:val="24"/>
          <w:lang w:val="en-GB"/>
        </w:rPr>
        <w:t xml:space="preserve">difficult </w:t>
      </w:r>
      <w:r w:rsidR="00F81F3C" w:rsidRPr="0093728D">
        <w:rPr>
          <w:sz w:val="24"/>
          <w:szCs w:val="24"/>
          <w:lang w:val="en-GB"/>
        </w:rPr>
        <w:t xml:space="preserve">to compare the data as between two companies. </w:t>
      </w:r>
      <w:r w:rsidR="0093125E" w:rsidRPr="0093728D">
        <w:rPr>
          <w:sz w:val="24"/>
          <w:szCs w:val="24"/>
          <w:lang w:val="en-GB"/>
        </w:rPr>
        <w:t xml:space="preserve">There may be errors in the </w:t>
      </w:r>
      <w:r w:rsidR="0093125E" w:rsidRPr="0093728D">
        <w:rPr>
          <w:sz w:val="24"/>
          <w:szCs w:val="24"/>
          <w:lang w:val="en-GB"/>
        </w:rPr>
        <w:lastRenderedPageBreak/>
        <w:t>data</w:t>
      </w:r>
      <w:r w:rsidR="00F81F3C" w:rsidRPr="0093728D">
        <w:rPr>
          <w:sz w:val="24"/>
          <w:szCs w:val="24"/>
          <w:lang w:val="en-GB"/>
        </w:rPr>
        <w:t>. Th</w:t>
      </w:r>
      <w:r w:rsidR="0093125E" w:rsidRPr="0093728D">
        <w:rPr>
          <w:sz w:val="24"/>
          <w:szCs w:val="24"/>
          <w:lang w:val="en-GB"/>
        </w:rPr>
        <w:t>e</w:t>
      </w:r>
      <w:r w:rsidR="00F81F3C" w:rsidRPr="0093728D">
        <w:rPr>
          <w:sz w:val="24"/>
          <w:szCs w:val="24"/>
          <w:lang w:val="en-GB"/>
        </w:rPr>
        <w:t xml:space="preserve"> dataset was compiled during the days of COVID lockdowns, which could skew results. </w:t>
      </w:r>
      <w:r w:rsidRPr="0093728D">
        <w:rPr>
          <w:sz w:val="24"/>
          <w:szCs w:val="24"/>
          <w:lang w:val="en-GB"/>
        </w:rPr>
        <w:t xml:space="preserve">The authors </w:t>
      </w:r>
      <w:r w:rsidR="00F81F3C" w:rsidRPr="0093728D">
        <w:rPr>
          <w:sz w:val="24"/>
          <w:szCs w:val="24"/>
          <w:lang w:val="en-GB"/>
        </w:rPr>
        <w:t>do</w:t>
      </w:r>
      <w:r w:rsidR="0093125E" w:rsidRPr="0093728D">
        <w:rPr>
          <w:sz w:val="24"/>
          <w:szCs w:val="24"/>
          <w:lang w:val="en-GB"/>
        </w:rPr>
        <w:t xml:space="preserve"> </w:t>
      </w:r>
      <w:r w:rsidR="00F81F3C" w:rsidRPr="0093728D">
        <w:rPr>
          <w:sz w:val="24"/>
          <w:szCs w:val="24"/>
          <w:lang w:val="en-GB"/>
        </w:rPr>
        <w:t>n</w:t>
      </w:r>
      <w:r w:rsidR="0093125E" w:rsidRPr="0093728D">
        <w:rPr>
          <w:sz w:val="24"/>
          <w:szCs w:val="24"/>
          <w:lang w:val="en-GB"/>
        </w:rPr>
        <w:t>o</w:t>
      </w:r>
      <w:r w:rsidR="00F81F3C" w:rsidRPr="0093728D">
        <w:rPr>
          <w:sz w:val="24"/>
          <w:szCs w:val="24"/>
          <w:lang w:val="en-GB"/>
        </w:rPr>
        <w:t>t think that any of this matters to the overall picture, but have to acknowledge that the</w:t>
      </w:r>
      <w:r w:rsidR="0093125E" w:rsidRPr="0093728D">
        <w:rPr>
          <w:sz w:val="24"/>
          <w:szCs w:val="24"/>
          <w:lang w:val="en-GB"/>
        </w:rPr>
        <w:t>se caveats and limitations</w:t>
      </w:r>
      <w:r w:rsidR="00F81F3C" w:rsidRPr="0093728D">
        <w:rPr>
          <w:sz w:val="24"/>
          <w:szCs w:val="24"/>
          <w:lang w:val="en-GB"/>
        </w:rPr>
        <w:t xml:space="preserve"> exist.</w:t>
      </w:r>
    </w:p>
    <w:p w14:paraId="5609946E" w14:textId="386A306B" w:rsidR="00F81F3C" w:rsidRPr="0093728D" w:rsidRDefault="00F81F3C" w:rsidP="001F672C">
      <w:pPr>
        <w:jc w:val="both"/>
        <w:rPr>
          <w:sz w:val="24"/>
          <w:szCs w:val="24"/>
          <w:lang w:val="en-GB"/>
        </w:rPr>
      </w:pPr>
    </w:p>
    <w:p w14:paraId="5CD050B0" w14:textId="194FD22C" w:rsidR="00F81F3C" w:rsidRPr="0093728D" w:rsidRDefault="008370EC" w:rsidP="001F672C">
      <w:pPr>
        <w:jc w:val="both"/>
        <w:rPr>
          <w:sz w:val="24"/>
          <w:szCs w:val="24"/>
          <w:lang w:val="en-GB"/>
        </w:rPr>
      </w:pPr>
      <w:r w:rsidRPr="0093728D">
        <w:rPr>
          <w:sz w:val="24"/>
          <w:szCs w:val="24"/>
          <w:lang w:val="en-GB"/>
        </w:rPr>
        <w:t xml:space="preserve">The authors are of the view that this </w:t>
      </w:r>
      <w:r w:rsidR="00F81F3C" w:rsidRPr="0093728D">
        <w:rPr>
          <w:sz w:val="24"/>
          <w:szCs w:val="24"/>
          <w:lang w:val="en-GB"/>
        </w:rPr>
        <w:t>work opens the ground for future research</w:t>
      </w:r>
      <w:r w:rsidRPr="0093728D">
        <w:rPr>
          <w:sz w:val="24"/>
          <w:szCs w:val="24"/>
          <w:lang w:val="en-GB"/>
        </w:rPr>
        <w:t xml:space="preserve"> and </w:t>
      </w:r>
      <w:r w:rsidR="00F81F3C" w:rsidRPr="0093728D">
        <w:rPr>
          <w:sz w:val="24"/>
          <w:szCs w:val="24"/>
          <w:lang w:val="en-GB"/>
        </w:rPr>
        <w:t xml:space="preserve">hope that more granular data is found. </w:t>
      </w:r>
      <w:r w:rsidRPr="0093728D">
        <w:rPr>
          <w:sz w:val="24"/>
          <w:szCs w:val="24"/>
          <w:lang w:val="en-GB"/>
        </w:rPr>
        <w:t xml:space="preserve">Moreover, the authors </w:t>
      </w:r>
      <w:r w:rsidR="00F81F3C" w:rsidRPr="0093728D">
        <w:rPr>
          <w:sz w:val="24"/>
          <w:szCs w:val="24"/>
          <w:lang w:val="en-GB"/>
        </w:rPr>
        <w:t xml:space="preserve">hope that the dataset could be expanded: by time (to cover a longer period), by jurisdiction (to compare between jurisdictions), by insolvency process (to compare processes). </w:t>
      </w:r>
      <w:r w:rsidR="0093125E" w:rsidRPr="0093728D">
        <w:rPr>
          <w:sz w:val="24"/>
          <w:szCs w:val="24"/>
          <w:lang w:val="en-GB"/>
        </w:rPr>
        <w:t>All of this points to a potentially exciting empirical research agenda in corporate insolvency law.</w:t>
      </w:r>
    </w:p>
    <w:p w14:paraId="043D2FB6" w14:textId="77777777" w:rsidR="00F81F3C" w:rsidRPr="0093728D" w:rsidRDefault="00F81F3C" w:rsidP="001F672C">
      <w:pPr>
        <w:jc w:val="both"/>
        <w:rPr>
          <w:sz w:val="24"/>
          <w:szCs w:val="24"/>
          <w:lang w:val="en-GB"/>
        </w:rPr>
      </w:pPr>
    </w:p>
    <w:p w14:paraId="30B61F21" w14:textId="77777777" w:rsidR="001F672C" w:rsidRPr="0093728D" w:rsidRDefault="001F672C" w:rsidP="001F672C">
      <w:pPr>
        <w:jc w:val="both"/>
        <w:rPr>
          <w:sz w:val="24"/>
          <w:szCs w:val="24"/>
          <w:lang w:val="en-GB"/>
        </w:rPr>
      </w:pPr>
      <w:r w:rsidRPr="0093728D">
        <w:rPr>
          <w:i/>
          <w:iCs/>
          <w:sz w:val="24"/>
          <w:szCs w:val="24"/>
          <w:lang w:val="en-GB"/>
        </w:rPr>
        <w:t>Summary</w:t>
      </w:r>
    </w:p>
    <w:p w14:paraId="55D5114D" w14:textId="41EF9B4F" w:rsidR="001F672C" w:rsidRPr="0093728D" w:rsidRDefault="001F672C" w:rsidP="001F672C">
      <w:pPr>
        <w:jc w:val="both"/>
        <w:rPr>
          <w:sz w:val="24"/>
          <w:szCs w:val="24"/>
          <w:lang w:val="en-GB"/>
        </w:rPr>
      </w:pPr>
    </w:p>
    <w:p w14:paraId="20260217" w14:textId="364F94E8" w:rsidR="00F81F3C" w:rsidRPr="0093728D" w:rsidRDefault="0093125E" w:rsidP="001F672C">
      <w:pPr>
        <w:jc w:val="both"/>
        <w:rPr>
          <w:sz w:val="24"/>
          <w:szCs w:val="24"/>
          <w:lang w:val="en-GB"/>
        </w:rPr>
      </w:pPr>
      <w:r w:rsidRPr="0093728D">
        <w:rPr>
          <w:sz w:val="24"/>
          <w:szCs w:val="24"/>
          <w:lang w:val="en-GB"/>
        </w:rPr>
        <w:t xml:space="preserve">As outlined above, </w:t>
      </w:r>
      <w:r w:rsidR="008370EC" w:rsidRPr="0093728D">
        <w:rPr>
          <w:sz w:val="24"/>
          <w:szCs w:val="24"/>
          <w:lang w:val="en-GB"/>
        </w:rPr>
        <w:t xml:space="preserve">the </w:t>
      </w:r>
      <w:r w:rsidR="00F81F3C" w:rsidRPr="0093728D">
        <w:rPr>
          <w:sz w:val="24"/>
          <w:szCs w:val="24"/>
          <w:lang w:val="en-GB"/>
        </w:rPr>
        <w:t xml:space="preserve">data reveals a </w:t>
      </w:r>
      <w:r w:rsidRPr="0093728D">
        <w:rPr>
          <w:sz w:val="24"/>
          <w:szCs w:val="24"/>
          <w:lang w:val="en-GB"/>
        </w:rPr>
        <w:t xml:space="preserve">number of </w:t>
      </w:r>
      <w:r w:rsidR="00F81F3C" w:rsidRPr="0093728D">
        <w:rPr>
          <w:sz w:val="24"/>
          <w:szCs w:val="24"/>
          <w:lang w:val="en-GB"/>
        </w:rPr>
        <w:t xml:space="preserve">key insights. Most liquidations in Scotland relate to companies with smaller asset bases. </w:t>
      </w:r>
      <w:r w:rsidRPr="0093728D">
        <w:rPr>
          <w:sz w:val="24"/>
          <w:szCs w:val="24"/>
          <w:lang w:val="en-GB"/>
        </w:rPr>
        <w:t xml:space="preserve">Although the average duration of liquidation procedures for these companies is shorter than for larger companies, the time and expense involved is not insignificant. </w:t>
      </w:r>
      <w:r w:rsidR="00986FB5" w:rsidRPr="0093728D">
        <w:rPr>
          <w:sz w:val="24"/>
          <w:szCs w:val="24"/>
          <w:lang w:val="en-GB"/>
        </w:rPr>
        <w:t xml:space="preserve">A greater proportion of </w:t>
      </w:r>
      <w:r w:rsidR="00F81F3C" w:rsidRPr="0093728D">
        <w:rPr>
          <w:sz w:val="24"/>
          <w:szCs w:val="24"/>
          <w:lang w:val="en-GB"/>
        </w:rPr>
        <w:t xml:space="preserve">assets </w:t>
      </w:r>
      <w:r w:rsidR="00986FB5" w:rsidRPr="0093728D">
        <w:rPr>
          <w:sz w:val="24"/>
          <w:szCs w:val="24"/>
          <w:lang w:val="en-GB"/>
        </w:rPr>
        <w:t>is</w:t>
      </w:r>
      <w:r w:rsidR="00F81F3C" w:rsidRPr="0093728D">
        <w:rPr>
          <w:sz w:val="24"/>
          <w:szCs w:val="24"/>
          <w:lang w:val="en-GB"/>
        </w:rPr>
        <w:t xml:space="preserve"> diverted to insolvency expenses the smaller that the estate is. </w:t>
      </w:r>
      <w:r w:rsidR="008370EC" w:rsidRPr="0093728D">
        <w:rPr>
          <w:sz w:val="24"/>
          <w:szCs w:val="24"/>
          <w:lang w:val="en-GB"/>
        </w:rPr>
        <w:t xml:space="preserve">The authors </w:t>
      </w:r>
      <w:r w:rsidR="00F81F3C" w:rsidRPr="0093728D">
        <w:rPr>
          <w:sz w:val="24"/>
          <w:szCs w:val="24"/>
          <w:lang w:val="en-GB"/>
        </w:rPr>
        <w:t>think that this presents the case for a more streamlined and cheaper insolvency process</w:t>
      </w:r>
      <w:r w:rsidR="00986FB5" w:rsidRPr="0093728D">
        <w:rPr>
          <w:sz w:val="24"/>
          <w:szCs w:val="24"/>
          <w:lang w:val="en-GB"/>
        </w:rPr>
        <w:t xml:space="preserve"> for smaller companies</w:t>
      </w:r>
      <w:r w:rsidR="00F81F3C" w:rsidRPr="0093728D">
        <w:rPr>
          <w:sz w:val="24"/>
          <w:szCs w:val="24"/>
          <w:lang w:val="en-GB"/>
        </w:rPr>
        <w:t xml:space="preserve">. </w:t>
      </w:r>
      <w:r w:rsidR="008370EC" w:rsidRPr="0093728D">
        <w:rPr>
          <w:sz w:val="24"/>
          <w:szCs w:val="24"/>
          <w:lang w:val="en-GB"/>
        </w:rPr>
        <w:t xml:space="preserve">The authors </w:t>
      </w:r>
      <w:r w:rsidRPr="0093728D">
        <w:rPr>
          <w:sz w:val="24"/>
          <w:szCs w:val="24"/>
          <w:lang w:val="en-GB"/>
        </w:rPr>
        <w:t xml:space="preserve">are </w:t>
      </w:r>
      <w:r w:rsidR="00F81F3C" w:rsidRPr="0093728D">
        <w:rPr>
          <w:sz w:val="24"/>
          <w:szCs w:val="24"/>
          <w:lang w:val="en-GB"/>
        </w:rPr>
        <w:t xml:space="preserve">also </w:t>
      </w:r>
      <w:r w:rsidRPr="0093728D">
        <w:rPr>
          <w:sz w:val="24"/>
          <w:szCs w:val="24"/>
          <w:lang w:val="en-GB"/>
        </w:rPr>
        <w:t xml:space="preserve">of the view </w:t>
      </w:r>
      <w:r w:rsidR="00F81F3C" w:rsidRPr="0093728D">
        <w:rPr>
          <w:sz w:val="24"/>
          <w:szCs w:val="24"/>
          <w:lang w:val="en-GB"/>
        </w:rPr>
        <w:t xml:space="preserve">that this </w:t>
      </w:r>
      <w:r w:rsidRPr="0093728D">
        <w:rPr>
          <w:sz w:val="24"/>
          <w:szCs w:val="24"/>
          <w:lang w:val="en-GB"/>
        </w:rPr>
        <w:t>supports</w:t>
      </w:r>
      <w:r w:rsidR="00F81F3C" w:rsidRPr="0093728D">
        <w:rPr>
          <w:sz w:val="24"/>
          <w:szCs w:val="24"/>
          <w:lang w:val="en-GB"/>
        </w:rPr>
        <w:t xml:space="preserve"> the case for an official receiver in Scotland and helps justify it in England</w:t>
      </w:r>
      <w:r w:rsidRPr="0093728D">
        <w:rPr>
          <w:sz w:val="24"/>
          <w:szCs w:val="24"/>
          <w:lang w:val="en-GB"/>
        </w:rPr>
        <w:t xml:space="preserve"> and Wales</w:t>
      </w:r>
      <w:r w:rsidR="00F81F3C" w:rsidRPr="0093728D">
        <w:rPr>
          <w:sz w:val="24"/>
          <w:szCs w:val="24"/>
          <w:lang w:val="en-GB"/>
        </w:rPr>
        <w:t>. Without one in Scotland the state pays anyway, just through an imperfect and informal back door.</w:t>
      </w:r>
    </w:p>
    <w:p w14:paraId="7034F819" w14:textId="0065E8BD" w:rsidR="00B62413" w:rsidRPr="0093728D" w:rsidRDefault="00B62413" w:rsidP="001F672C">
      <w:pPr>
        <w:jc w:val="both"/>
        <w:rPr>
          <w:sz w:val="22"/>
          <w:szCs w:val="22"/>
          <w:lang w:val="en-GB"/>
        </w:rPr>
      </w:pPr>
    </w:p>
    <w:sectPr w:rsidR="00B62413" w:rsidRPr="0093728D" w:rsidSect="00166AE0">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7F54" w14:textId="77777777" w:rsidR="00FE0487" w:rsidRDefault="00FE0487" w:rsidP="003C51BC">
      <w:r>
        <w:separator/>
      </w:r>
    </w:p>
  </w:endnote>
  <w:endnote w:type="continuationSeparator" w:id="0">
    <w:p w14:paraId="27BAA7C7" w14:textId="77777777" w:rsidR="00FE0487" w:rsidRDefault="00FE0487" w:rsidP="003C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390B" w14:textId="2F1EF00B" w:rsidR="00C36B1E" w:rsidRDefault="00981621">
    <w:pPr>
      <w:pStyle w:val="Footer"/>
      <w:jc w:val="right"/>
    </w:pPr>
    <w:r>
      <w:fldChar w:fldCharType="begin"/>
    </w:r>
    <w:r w:rsidR="00C46E1B">
      <w:instrText xml:space="preserve"> PAGE   \* MERGEFORMAT </w:instrText>
    </w:r>
    <w:r>
      <w:fldChar w:fldCharType="separate"/>
    </w:r>
    <w:r w:rsidR="00E97169">
      <w:rPr>
        <w:noProof/>
      </w:rPr>
      <w:t>4</w:t>
    </w:r>
    <w:r>
      <w:rPr>
        <w:noProof/>
      </w:rPr>
      <w:fldChar w:fldCharType="end"/>
    </w:r>
  </w:p>
  <w:p w14:paraId="39A816A4" w14:textId="77777777" w:rsidR="00C36B1E" w:rsidRDefault="00C36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2368" w14:textId="77777777" w:rsidR="00FE0487" w:rsidRDefault="00FE0487" w:rsidP="003C51BC">
      <w:r>
        <w:separator/>
      </w:r>
    </w:p>
  </w:footnote>
  <w:footnote w:type="continuationSeparator" w:id="0">
    <w:p w14:paraId="630443D7" w14:textId="77777777" w:rsidR="00FE0487" w:rsidRDefault="00FE0487" w:rsidP="003C51BC">
      <w:r>
        <w:continuationSeparator/>
      </w:r>
    </w:p>
  </w:footnote>
  <w:footnote w:id="1">
    <w:p w14:paraId="300EC08D" w14:textId="1E0A4FE9" w:rsidR="00DF7F30" w:rsidRPr="00DF7F30" w:rsidRDefault="00DF7F30" w:rsidP="00E97169">
      <w:pPr>
        <w:pStyle w:val="FootnoteText"/>
        <w:jc w:val="both"/>
        <w:rPr>
          <w:lang w:val="en-GB"/>
        </w:rPr>
      </w:pPr>
      <w:r>
        <w:rPr>
          <w:rStyle w:val="FootnoteReference"/>
        </w:rPr>
        <w:footnoteRef/>
      </w:r>
      <w:r>
        <w:t xml:space="preserve"> See </w:t>
      </w:r>
      <w:r w:rsidRPr="00DF7F30">
        <w:t>Scotland Act 1998, Sch 5, Section C2</w:t>
      </w:r>
      <w:r w:rsidR="00403F37">
        <w:t>.</w:t>
      </w:r>
    </w:p>
  </w:footnote>
  <w:footnote w:id="2">
    <w:p w14:paraId="5C890CAE" w14:textId="77777777" w:rsidR="003E1F5A" w:rsidRDefault="00DF7F30" w:rsidP="00E97169">
      <w:pPr>
        <w:pStyle w:val="FootnoteText"/>
        <w:jc w:val="both"/>
        <w:rPr>
          <w:lang w:val="en-GB"/>
        </w:rPr>
      </w:pPr>
      <w:r>
        <w:rPr>
          <w:rStyle w:val="FootnoteReference"/>
        </w:rPr>
        <w:footnoteRef/>
      </w:r>
      <w:r>
        <w:t xml:space="preserve"> </w:t>
      </w:r>
      <w:r>
        <w:rPr>
          <w:lang w:val="en-GB"/>
        </w:rPr>
        <w:t xml:space="preserve">For the relevant data, see the </w:t>
      </w:r>
      <w:r w:rsidRPr="00DF7F30">
        <w:rPr>
          <w:lang w:val="en-GB"/>
        </w:rPr>
        <w:t>Insolvency Service’s Company Insolvency Statistics</w:t>
      </w:r>
      <w:r w:rsidR="003E1F5A">
        <w:rPr>
          <w:lang w:val="en-GB"/>
        </w:rPr>
        <w:t>, available at:</w:t>
      </w:r>
    </w:p>
    <w:p w14:paraId="291A4274" w14:textId="5E01567B" w:rsidR="00DF7F30" w:rsidRPr="003E1F5A" w:rsidRDefault="003E1F5A" w:rsidP="00E97169">
      <w:pPr>
        <w:pStyle w:val="FootnoteText"/>
        <w:jc w:val="both"/>
        <w:rPr>
          <w:lang w:val="en-GB"/>
        </w:rPr>
      </w:pPr>
      <w:r w:rsidRPr="003E1F5A">
        <w:rPr>
          <w:lang w:val="en-GB"/>
        </w:rPr>
        <w:t>&lt;</w:t>
      </w:r>
      <w:hyperlink r:id="rId1" w:history="1">
        <w:r w:rsidRPr="003E1F5A">
          <w:rPr>
            <w:rStyle w:val="Hyperlink"/>
            <w:color w:val="auto"/>
            <w:u w:val="none"/>
            <w:lang w:val="en-GB"/>
          </w:rPr>
          <w:t>https://www.gov.uk/government/statistics/company-insolvency-statistics-april-to-june-2023/commentary-company-insolvency-statistics-april-to-june-2023</w:t>
        </w:r>
      </w:hyperlink>
      <w:r w:rsidRPr="003E1F5A">
        <w:rPr>
          <w:rStyle w:val="Hyperlink"/>
          <w:color w:val="auto"/>
          <w:u w:val="none"/>
          <w:lang w:val="en-GB"/>
        </w:rPr>
        <w:t>&gt;</w:t>
      </w:r>
      <w:r w:rsidR="00DF7F30" w:rsidRPr="003E1F5A">
        <w:rPr>
          <w:lang w:val="en-GB"/>
        </w:rPr>
        <w:t>. Since the COVID-19 pandemic, however, the number of CVLs in Scotland has exceeded the number of compulsory liquidations.</w:t>
      </w:r>
    </w:p>
  </w:footnote>
  <w:footnote w:id="3">
    <w:p w14:paraId="40E21B0C" w14:textId="175118C1" w:rsidR="00A17A4B" w:rsidRPr="00A17A4B" w:rsidRDefault="00A17A4B" w:rsidP="00E97169">
      <w:pPr>
        <w:pStyle w:val="FootnoteText"/>
        <w:jc w:val="both"/>
        <w:rPr>
          <w:lang w:val="en-GB"/>
        </w:rPr>
      </w:pPr>
      <w:r>
        <w:rPr>
          <w:rStyle w:val="FootnoteReference"/>
        </w:rPr>
        <w:footnoteRef/>
      </w:r>
      <w:r>
        <w:t xml:space="preserve"> </w:t>
      </w:r>
      <w:r>
        <w:rPr>
          <w:lang w:val="en-GB"/>
        </w:rPr>
        <w:t>Of course, this issue is not just limited to Scotland.</w:t>
      </w:r>
    </w:p>
  </w:footnote>
  <w:footnote w:id="4">
    <w:p w14:paraId="0B229480" w14:textId="59439641" w:rsidR="00403F37" w:rsidRPr="00E97169" w:rsidRDefault="00403F37" w:rsidP="00E97169">
      <w:pPr>
        <w:pStyle w:val="FootnoteText"/>
        <w:jc w:val="both"/>
        <w:rPr>
          <w:lang w:val="en-GB"/>
        </w:rPr>
      </w:pPr>
      <w:r>
        <w:rPr>
          <w:rStyle w:val="FootnoteReference"/>
        </w:rPr>
        <w:footnoteRef/>
      </w:r>
      <w:r>
        <w:t xml:space="preserve"> </w:t>
      </w:r>
      <w:r>
        <w:rPr>
          <w:lang w:val="en-GB"/>
        </w:rPr>
        <w:t xml:space="preserve">These liquidations often commenced </w:t>
      </w:r>
      <w:r w:rsidR="00F0584A">
        <w:rPr>
          <w:lang w:val="en-GB"/>
        </w:rPr>
        <w:t xml:space="preserve">many years </w:t>
      </w:r>
      <w:r>
        <w:rPr>
          <w:lang w:val="en-GB"/>
        </w:rPr>
        <w:t>before t</w:t>
      </w:r>
      <w:r w:rsidR="00F0584A">
        <w:rPr>
          <w:lang w:val="en-GB"/>
        </w:rPr>
        <w:t xml:space="preserve">he period examined </w:t>
      </w:r>
      <w:r w:rsidR="003E1F5A">
        <w:rPr>
          <w:lang w:val="en-GB"/>
        </w:rPr>
        <w:t xml:space="preserve">by the authors </w:t>
      </w:r>
      <w:r w:rsidR="00F0584A">
        <w:rPr>
          <w:lang w:val="en-GB"/>
        </w:rPr>
        <w:t xml:space="preserve">in </w:t>
      </w:r>
      <w:r w:rsidR="003E1F5A">
        <w:rPr>
          <w:lang w:val="en-GB"/>
        </w:rPr>
        <w:t>the</w:t>
      </w:r>
      <w:r w:rsidR="008370EC">
        <w:rPr>
          <w:lang w:val="en-GB"/>
        </w:rPr>
        <w:t>ir</w:t>
      </w:r>
      <w:r w:rsidR="003E1F5A">
        <w:rPr>
          <w:lang w:val="en-GB"/>
        </w:rPr>
        <w:t xml:space="preserve"> </w:t>
      </w:r>
      <w:r w:rsidR="00F0584A">
        <w:rPr>
          <w:lang w:val="en-GB"/>
        </w:rPr>
        <w:t>study.</w:t>
      </w:r>
    </w:p>
  </w:footnote>
  <w:footnote w:id="5">
    <w:p w14:paraId="489D9981" w14:textId="30BDD0FC" w:rsidR="008D63CD" w:rsidRPr="008D63CD" w:rsidRDefault="008D63CD">
      <w:pPr>
        <w:pStyle w:val="FootnoteText"/>
      </w:pPr>
      <w:r>
        <w:rPr>
          <w:rStyle w:val="FootnoteReference"/>
        </w:rPr>
        <w:footnoteRef/>
      </w:r>
      <w:r>
        <w:t xml:space="preserve"> To be published in late 2023/early 2024.</w:t>
      </w:r>
    </w:p>
  </w:footnote>
  <w:footnote w:id="6">
    <w:p w14:paraId="1D174F2C" w14:textId="5F1854B9" w:rsidR="00672FA7" w:rsidRPr="008370EC" w:rsidRDefault="00672FA7" w:rsidP="00E97169">
      <w:pPr>
        <w:pStyle w:val="FootnoteText"/>
        <w:jc w:val="both"/>
        <w:rPr>
          <w:lang w:val="en-GB"/>
        </w:rPr>
      </w:pPr>
      <w:r>
        <w:rPr>
          <w:rStyle w:val="FootnoteReference"/>
        </w:rPr>
        <w:footnoteRef/>
      </w:r>
      <w:r>
        <w:t xml:space="preserve"> </w:t>
      </w:r>
      <w:r>
        <w:rPr>
          <w:lang w:val="en-GB"/>
        </w:rPr>
        <w:t xml:space="preserve">The accounts are submitted along with a form known as a </w:t>
      </w:r>
      <w:r w:rsidRPr="00672FA7">
        <w:rPr>
          <w:lang w:val="en-GB"/>
        </w:rPr>
        <w:t>LIQ14(Scot)</w:t>
      </w:r>
      <w:r>
        <w:rPr>
          <w:lang w:val="en-GB"/>
        </w:rPr>
        <w:t xml:space="preserve">, </w:t>
      </w:r>
      <w:r w:rsidRPr="00672FA7">
        <w:rPr>
          <w:lang w:val="en-GB"/>
        </w:rPr>
        <w:t>for CVLs</w:t>
      </w:r>
      <w:r>
        <w:rPr>
          <w:lang w:val="en-GB"/>
        </w:rPr>
        <w:t>, or</w:t>
      </w:r>
      <w:r w:rsidRPr="00672FA7">
        <w:rPr>
          <w:lang w:val="en-GB"/>
        </w:rPr>
        <w:t xml:space="preserve"> a WU15(Scot)</w:t>
      </w:r>
      <w:r>
        <w:rPr>
          <w:lang w:val="en-GB"/>
        </w:rPr>
        <w:t>,</w:t>
      </w:r>
      <w:r w:rsidRPr="00672FA7">
        <w:rPr>
          <w:lang w:val="en-GB"/>
        </w:rPr>
        <w:t xml:space="preserve"> for compulsory </w:t>
      </w:r>
      <w:r w:rsidRPr="008370EC">
        <w:rPr>
          <w:lang w:val="en-GB"/>
        </w:rPr>
        <w:t>liquidations. For more details, see</w:t>
      </w:r>
      <w:r w:rsidR="008370EC" w:rsidRPr="008370EC">
        <w:rPr>
          <w:lang w:val="en-GB"/>
        </w:rPr>
        <w:t>:</w:t>
      </w:r>
      <w:r w:rsidRPr="008370EC">
        <w:rPr>
          <w:lang w:val="en-GB"/>
        </w:rPr>
        <w:t xml:space="preserve"> </w:t>
      </w:r>
      <w:r w:rsidR="008370EC" w:rsidRPr="008370EC">
        <w:rPr>
          <w:lang w:val="en-GB"/>
        </w:rPr>
        <w:t>&lt;</w:t>
      </w:r>
      <w:hyperlink r:id="rId2" w:history="1">
        <w:r w:rsidR="008370EC" w:rsidRPr="008370EC">
          <w:rPr>
            <w:rStyle w:val="Hyperlink"/>
            <w:color w:val="auto"/>
            <w:u w:val="none"/>
            <w:lang w:val="en-GB"/>
          </w:rPr>
          <w:t>https://www.gov.uk/government/collections/companies-house-forms-for-insolvency-scotland</w:t>
        </w:r>
      </w:hyperlink>
      <w:r w:rsidR="008370EC" w:rsidRPr="008370EC">
        <w:rPr>
          <w:lang w:val="en-GB"/>
        </w:rPr>
        <w:t>&gt;</w:t>
      </w:r>
      <w:r w:rsidRPr="008370EC">
        <w:rPr>
          <w:lang w:val="en-GB"/>
        </w:rPr>
        <w:t>.</w:t>
      </w:r>
    </w:p>
  </w:footnote>
  <w:footnote w:id="7">
    <w:p w14:paraId="2CBAA25A" w14:textId="700E759C" w:rsidR="00672FA7" w:rsidRPr="008370EC" w:rsidRDefault="00672FA7" w:rsidP="00E97169">
      <w:pPr>
        <w:pStyle w:val="FootnoteText"/>
        <w:jc w:val="both"/>
        <w:rPr>
          <w:lang w:val="en-GB"/>
        </w:rPr>
      </w:pPr>
      <w:r w:rsidRPr="008370EC">
        <w:rPr>
          <w:rStyle w:val="FootnoteReference"/>
        </w:rPr>
        <w:footnoteRef/>
      </w:r>
      <w:r w:rsidRPr="008370EC">
        <w:t xml:space="preserve"> </w:t>
      </w:r>
      <w:r w:rsidR="00370303" w:rsidRPr="008370EC">
        <w:t xml:space="preserve">Freedom of Information Request dated 14 October 2020 from A MacPherson to </w:t>
      </w:r>
      <w:r w:rsidR="008370EC" w:rsidRPr="008370EC">
        <w:t>&lt;</w:t>
      </w:r>
      <w:hyperlink r:id="rId3" w:history="1">
        <w:r w:rsidR="008370EC" w:rsidRPr="008370EC">
          <w:rPr>
            <w:rStyle w:val="Hyperlink"/>
            <w:color w:val="auto"/>
            <w:u w:val="none"/>
          </w:rPr>
          <w:t>informationrights@companieshouse.gov.uk</w:t>
        </w:r>
      </w:hyperlink>
      <w:r w:rsidR="008370EC" w:rsidRPr="008370EC">
        <w:t>&gt;</w:t>
      </w:r>
      <w:r w:rsidR="00370303" w:rsidRPr="008370EC">
        <w:t xml:space="preserve">, responded to on 22 October 2022 with reference number “FOI 303-10-20”. See </w:t>
      </w:r>
      <w:r w:rsidR="002A13AA" w:rsidRPr="008370EC">
        <w:t xml:space="preserve">also the </w:t>
      </w:r>
      <w:r w:rsidR="00370303" w:rsidRPr="008370EC">
        <w:t>Freedom of Information Act 2000.</w:t>
      </w:r>
    </w:p>
  </w:footnote>
  <w:footnote w:id="8">
    <w:p w14:paraId="7550EF71" w14:textId="737EAEB5" w:rsidR="004F182C" w:rsidRPr="008370EC" w:rsidRDefault="004F182C" w:rsidP="00E97169">
      <w:pPr>
        <w:pStyle w:val="FootnoteText"/>
        <w:jc w:val="both"/>
        <w:rPr>
          <w:lang w:val="en-GB"/>
        </w:rPr>
      </w:pPr>
      <w:r w:rsidRPr="008370EC">
        <w:rPr>
          <w:rStyle w:val="FootnoteReference"/>
        </w:rPr>
        <w:footnoteRef/>
      </w:r>
      <w:r w:rsidRPr="008370EC">
        <w:t xml:space="preserve"> </w:t>
      </w:r>
      <w:r w:rsidRPr="008370EC">
        <w:rPr>
          <w:lang w:val="en-GB"/>
        </w:rPr>
        <w:t>For the compiled dataset, see “Scottish Companies Who Have Filed Certain Insolvency Forms between 1 October 2019 and 30 September 2020”, available at</w:t>
      </w:r>
      <w:r w:rsidR="008370EC" w:rsidRPr="008370EC">
        <w:rPr>
          <w:lang w:val="en-GB"/>
        </w:rPr>
        <w:t>:</w:t>
      </w:r>
      <w:r w:rsidRPr="008370EC">
        <w:rPr>
          <w:lang w:val="en-GB"/>
        </w:rPr>
        <w:t xml:space="preserve"> </w:t>
      </w:r>
      <w:r w:rsidR="008370EC" w:rsidRPr="008370EC">
        <w:rPr>
          <w:lang w:val="en-GB"/>
        </w:rPr>
        <w:t>&lt;</w:t>
      </w:r>
      <w:hyperlink r:id="rId4" w:history="1">
        <w:r w:rsidR="008370EC" w:rsidRPr="008370EC">
          <w:rPr>
            <w:rStyle w:val="Hyperlink"/>
            <w:color w:val="auto"/>
            <w:u w:val="none"/>
            <w:lang w:val="en-GB"/>
          </w:rPr>
          <w:t>https://datashare.ed.ac.uk/handle/10283/3909</w:t>
        </w:r>
      </w:hyperlink>
      <w:r w:rsidR="008370EC" w:rsidRPr="008370EC">
        <w:rPr>
          <w:lang w:val="en-GB"/>
        </w:rPr>
        <w:t>&gt;</w:t>
      </w:r>
      <w:r w:rsidRPr="008370EC">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954F6" w14:textId="6E7DD61A" w:rsidR="00C621FA" w:rsidRDefault="00C621FA" w:rsidP="00C621FA">
    <w:pPr>
      <w:pStyle w:val="Header"/>
      <w:rPr>
        <w:rFonts w:ascii="Arial" w:hAnsi="Arial" w:cs="Arial"/>
      </w:rPr>
    </w:pPr>
    <w:r>
      <w:rPr>
        <w:rFonts w:ascii="Arial" w:hAnsi="Arial" w:cs="Arial"/>
      </w:rPr>
      <w:t>Inside Story</w:t>
    </w:r>
    <w:r w:rsidR="001F672C">
      <w:rPr>
        <w:rFonts w:ascii="Arial" w:hAnsi="Arial" w:cs="Arial"/>
      </w:rPr>
      <w:t xml:space="preserve"> </w:t>
    </w:r>
    <w:r>
      <w:rPr>
        <w:rFonts w:ascii="Arial" w:hAnsi="Arial" w:cs="Arial"/>
      </w:rPr>
      <w:t>(</w:t>
    </w:r>
    <w:r w:rsidR="003E1F5A">
      <w:rPr>
        <w:rFonts w:ascii="Arial" w:hAnsi="Arial" w:cs="Arial"/>
      </w:rPr>
      <w:t>December 2023</w:t>
    </w:r>
    <w:r>
      <w:rPr>
        <w:rFonts w:ascii="Arial" w:hAnsi="Arial" w:cs="Arial"/>
      </w:rPr>
      <w:t>)</w:t>
    </w:r>
  </w:p>
  <w:p w14:paraId="06768D2C" w14:textId="012070C6" w:rsidR="00C621FA" w:rsidRDefault="00E41266">
    <w:pPr>
      <w:pStyle w:val="Header"/>
    </w:pPr>
    <w:r>
      <w:rPr>
        <w:rFonts w:ascii="Arial" w:hAnsi="Arial" w:cs="Arial"/>
      </w:rPr>
      <w:t>Jonny Hardman and Alisdair MacPherson</w:t>
    </w:r>
    <w:r w:rsidR="001F672C">
      <w:rPr>
        <w:rFonts w:ascii="Arial" w:hAnsi="Arial" w:cs="Arial"/>
      </w:rPr>
      <w:t xml:space="preserve"> - </w:t>
    </w:r>
    <w:r>
      <w:rPr>
        <w:rFonts w:ascii="Arial" w:hAnsi="Arial" w:cs="Arial"/>
      </w:rPr>
      <w:t>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C2170"/>
    <w:multiLevelType w:val="hybridMultilevel"/>
    <w:tmpl w:val="D02A7BC8"/>
    <w:lvl w:ilvl="0" w:tplc="4F26F14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1745C8"/>
    <w:multiLevelType w:val="hybridMultilevel"/>
    <w:tmpl w:val="51EA1526"/>
    <w:lvl w:ilvl="0" w:tplc="15607D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26930244">
    <w:abstractNumId w:val="1"/>
  </w:num>
  <w:num w:numId="2" w16cid:durableId="132651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1BC"/>
    <w:rsid w:val="0000193A"/>
    <w:rsid w:val="00001C39"/>
    <w:rsid w:val="0000620E"/>
    <w:rsid w:val="00010921"/>
    <w:rsid w:val="000361B2"/>
    <w:rsid w:val="0006086D"/>
    <w:rsid w:val="00062730"/>
    <w:rsid w:val="000828EB"/>
    <w:rsid w:val="00084845"/>
    <w:rsid w:val="000B1978"/>
    <w:rsid w:val="000B3E24"/>
    <w:rsid w:val="000C15B2"/>
    <w:rsid w:val="00111B30"/>
    <w:rsid w:val="00160887"/>
    <w:rsid w:val="00166992"/>
    <w:rsid w:val="00166F94"/>
    <w:rsid w:val="00173839"/>
    <w:rsid w:val="001879F6"/>
    <w:rsid w:val="0019652B"/>
    <w:rsid w:val="001F25E9"/>
    <w:rsid w:val="001F672C"/>
    <w:rsid w:val="001F6BF8"/>
    <w:rsid w:val="00205428"/>
    <w:rsid w:val="00225C90"/>
    <w:rsid w:val="002573A9"/>
    <w:rsid w:val="00263DA0"/>
    <w:rsid w:val="002A13AA"/>
    <w:rsid w:val="002A6587"/>
    <w:rsid w:val="002B2745"/>
    <w:rsid w:val="002B3056"/>
    <w:rsid w:val="002D7D71"/>
    <w:rsid w:val="00306D70"/>
    <w:rsid w:val="00322A81"/>
    <w:rsid w:val="00370303"/>
    <w:rsid w:val="00370E0E"/>
    <w:rsid w:val="003923FC"/>
    <w:rsid w:val="00396E79"/>
    <w:rsid w:val="003A14B9"/>
    <w:rsid w:val="003C51BC"/>
    <w:rsid w:val="003E1F5A"/>
    <w:rsid w:val="003E5B0E"/>
    <w:rsid w:val="003F6775"/>
    <w:rsid w:val="00403F37"/>
    <w:rsid w:val="0040562E"/>
    <w:rsid w:val="004148A4"/>
    <w:rsid w:val="00415C04"/>
    <w:rsid w:val="004476EE"/>
    <w:rsid w:val="004517F7"/>
    <w:rsid w:val="00485B06"/>
    <w:rsid w:val="004A6173"/>
    <w:rsid w:val="004B0B78"/>
    <w:rsid w:val="004D20F3"/>
    <w:rsid w:val="004D6388"/>
    <w:rsid w:val="004F182C"/>
    <w:rsid w:val="00504632"/>
    <w:rsid w:val="00510CD9"/>
    <w:rsid w:val="00523A5B"/>
    <w:rsid w:val="0052731D"/>
    <w:rsid w:val="00532910"/>
    <w:rsid w:val="00535ED9"/>
    <w:rsid w:val="00552484"/>
    <w:rsid w:val="00562E10"/>
    <w:rsid w:val="00583E9D"/>
    <w:rsid w:val="00592B15"/>
    <w:rsid w:val="00592C8D"/>
    <w:rsid w:val="005D4C86"/>
    <w:rsid w:val="005D64C0"/>
    <w:rsid w:val="005D7A9E"/>
    <w:rsid w:val="005E5FE6"/>
    <w:rsid w:val="00606A41"/>
    <w:rsid w:val="00615AF9"/>
    <w:rsid w:val="00643EC2"/>
    <w:rsid w:val="006631BE"/>
    <w:rsid w:val="0066619E"/>
    <w:rsid w:val="00672FA7"/>
    <w:rsid w:val="006755ED"/>
    <w:rsid w:val="006913D1"/>
    <w:rsid w:val="00692693"/>
    <w:rsid w:val="006A46B9"/>
    <w:rsid w:val="006F57D2"/>
    <w:rsid w:val="007359B9"/>
    <w:rsid w:val="00785D3D"/>
    <w:rsid w:val="00786E12"/>
    <w:rsid w:val="00797C06"/>
    <w:rsid w:val="007A1C80"/>
    <w:rsid w:val="007A43C7"/>
    <w:rsid w:val="007A7B50"/>
    <w:rsid w:val="007B7AA2"/>
    <w:rsid w:val="007F0A11"/>
    <w:rsid w:val="007F2A76"/>
    <w:rsid w:val="00806855"/>
    <w:rsid w:val="0083439E"/>
    <w:rsid w:val="008370EC"/>
    <w:rsid w:val="00847076"/>
    <w:rsid w:val="00867E0A"/>
    <w:rsid w:val="008C322A"/>
    <w:rsid w:val="008D63CD"/>
    <w:rsid w:val="0093125E"/>
    <w:rsid w:val="009339E6"/>
    <w:rsid w:val="0093728D"/>
    <w:rsid w:val="00981621"/>
    <w:rsid w:val="00981897"/>
    <w:rsid w:val="00986FB5"/>
    <w:rsid w:val="009A79C2"/>
    <w:rsid w:val="009D74B5"/>
    <w:rsid w:val="00A060F8"/>
    <w:rsid w:val="00A07C00"/>
    <w:rsid w:val="00A17A4B"/>
    <w:rsid w:val="00A26E29"/>
    <w:rsid w:val="00A57BEC"/>
    <w:rsid w:val="00A64DFF"/>
    <w:rsid w:val="00A96D32"/>
    <w:rsid w:val="00AA61C1"/>
    <w:rsid w:val="00AD74F9"/>
    <w:rsid w:val="00AE63C6"/>
    <w:rsid w:val="00AF2ADC"/>
    <w:rsid w:val="00AF62D1"/>
    <w:rsid w:val="00B15DD9"/>
    <w:rsid w:val="00B31708"/>
    <w:rsid w:val="00B559EB"/>
    <w:rsid w:val="00B62413"/>
    <w:rsid w:val="00B70F42"/>
    <w:rsid w:val="00B7374A"/>
    <w:rsid w:val="00B76C9A"/>
    <w:rsid w:val="00B90C8A"/>
    <w:rsid w:val="00BA2362"/>
    <w:rsid w:val="00BB30EF"/>
    <w:rsid w:val="00BF1B56"/>
    <w:rsid w:val="00C01713"/>
    <w:rsid w:val="00C36B1E"/>
    <w:rsid w:val="00C46E1B"/>
    <w:rsid w:val="00C57014"/>
    <w:rsid w:val="00C61719"/>
    <w:rsid w:val="00C621FA"/>
    <w:rsid w:val="00C764C6"/>
    <w:rsid w:val="00C81F24"/>
    <w:rsid w:val="00CB39A3"/>
    <w:rsid w:val="00CC742C"/>
    <w:rsid w:val="00CD3CD5"/>
    <w:rsid w:val="00CD5B91"/>
    <w:rsid w:val="00CE2C1F"/>
    <w:rsid w:val="00CE5792"/>
    <w:rsid w:val="00D110FA"/>
    <w:rsid w:val="00D111BA"/>
    <w:rsid w:val="00D15771"/>
    <w:rsid w:val="00D31E4C"/>
    <w:rsid w:val="00D72FF2"/>
    <w:rsid w:val="00D83F6C"/>
    <w:rsid w:val="00DD2806"/>
    <w:rsid w:val="00DD597F"/>
    <w:rsid w:val="00DF7F30"/>
    <w:rsid w:val="00E06020"/>
    <w:rsid w:val="00E31765"/>
    <w:rsid w:val="00E41266"/>
    <w:rsid w:val="00E97169"/>
    <w:rsid w:val="00EC0E74"/>
    <w:rsid w:val="00EE2C5B"/>
    <w:rsid w:val="00F0584A"/>
    <w:rsid w:val="00F64F55"/>
    <w:rsid w:val="00F72532"/>
    <w:rsid w:val="00F81F3C"/>
    <w:rsid w:val="00F82A7B"/>
    <w:rsid w:val="00F87FEF"/>
    <w:rsid w:val="00F907B9"/>
    <w:rsid w:val="00FC3BB4"/>
    <w:rsid w:val="00FD3E7D"/>
    <w:rsid w:val="00FE04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E0F8C"/>
  <w15:docId w15:val="{366D757B-AAC7-4695-A684-E1C9E18B9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1BC"/>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51BC"/>
    <w:pPr>
      <w:tabs>
        <w:tab w:val="center" w:pos="4680"/>
        <w:tab w:val="right" w:pos="9360"/>
      </w:tabs>
    </w:pPr>
  </w:style>
  <w:style w:type="character" w:customStyle="1" w:styleId="FooterChar">
    <w:name w:val="Footer Char"/>
    <w:basedOn w:val="DefaultParagraphFont"/>
    <w:link w:val="Footer"/>
    <w:uiPriority w:val="99"/>
    <w:rsid w:val="003C51BC"/>
    <w:rPr>
      <w:rFonts w:ascii="Times New Roman" w:eastAsia="Calibri" w:hAnsi="Times New Roman" w:cs="Times New Roman"/>
      <w:sz w:val="20"/>
      <w:szCs w:val="20"/>
    </w:rPr>
  </w:style>
  <w:style w:type="paragraph" w:styleId="FootnoteText">
    <w:name w:val="footnote text"/>
    <w:basedOn w:val="Normal"/>
    <w:link w:val="FootnoteTextChar"/>
    <w:unhideWhenUsed/>
    <w:rsid w:val="003C51BC"/>
  </w:style>
  <w:style w:type="character" w:customStyle="1" w:styleId="FootnoteTextChar">
    <w:name w:val="Footnote Text Char"/>
    <w:basedOn w:val="DefaultParagraphFont"/>
    <w:link w:val="FootnoteText"/>
    <w:rsid w:val="003C51BC"/>
    <w:rPr>
      <w:rFonts w:ascii="Times New Roman" w:eastAsia="Calibri" w:hAnsi="Times New Roman" w:cs="Times New Roman"/>
      <w:sz w:val="20"/>
      <w:szCs w:val="20"/>
    </w:rPr>
  </w:style>
  <w:style w:type="character" w:styleId="FootnoteReference">
    <w:name w:val="footnote reference"/>
    <w:semiHidden/>
    <w:unhideWhenUsed/>
    <w:rsid w:val="003C51BC"/>
    <w:rPr>
      <w:vertAlign w:val="superscript"/>
    </w:rPr>
  </w:style>
  <w:style w:type="paragraph" w:styleId="NoSpacing">
    <w:name w:val="No Spacing"/>
    <w:uiPriority w:val="1"/>
    <w:qFormat/>
    <w:rsid w:val="003C51BC"/>
    <w:pPr>
      <w:spacing w:after="0" w:line="240" w:lineRule="auto"/>
    </w:pPr>
    <w:rPr>
      <w:rFonts w:ascii="Calibri" w:eastAsia="Calibri" w:hAnsi="Calibri" w:cs="Times New Roman"/>
      <w:lang w:val="de-DE"/>
    </w:rPr>
  </w:style>
  <w:style w:type="character" w:customStyle="1" w:styleId="st">
    <w:name w:val="st"/>
    <w:basedOn w:val="DefaultParagraphFont"/>
    <w:rsid w:val="003C51BC"/>
  </w:style>
  <w:style w:type="character" w:styleId="Emphasis">
    <w:name w:val="Emphasis"/>
    <w:basedOn w:val="DefaultParagraphFont"/>
    <w:uiPriority w:val="20"/>
    <w:qFormat/>
    <w:rsid w:val="003C51BC"/>
    <w:rPr>
      <w:i/>
      <w:iCs/>
    </w:rPr>
  </w:style>
  <w:style w:type="character" w:customStyle="1" w:styleId="cpy">
    <w:name w:val="cpy"/>
    <w:basedOn w:val="DefaultParagraphFont"/>
    <w:rsid w:val="003C51BC"/>
  </w:style>
  <w:style w:type="paragraph" w:styleId="Header">
    <w:name w:val="header"/>
    <w:basedOn w:val="Normal"/>
    <w:link w:val="HeaderChar"/>
    <w:uiPriority w:val="99"/>
    <w:unhideWhenUsed/>
    <w:rsid w:val="00C621FA"/>
    <w:pPr>
      <w:tabs>
        <w:tab w:val="center" w:pos="4513"/>
        <w:tab w:val="right" w:pos="9026"/>
      </w:tabs>
    </w:pPr>
  </w:style>
  <w:style w:type="character" w:customStyle="1" w:styleId="HeaderChar">
    <w:name w:val="Header Char"/>
    <w:basedOn w:val="DefaultParagraphFont"/>
    <w:link w:val="Header"/>
    <w:uiPriority w:val="99"/>
    <w:rsid w:val="00C621FA"/>
    <w:rPr>
      <w:rFonts w:ascii="Times New Roman" w:eastAsia="Calibri" w:hAnsi="Times New Roman" w:cs="Times New Roman"/>
      <w:sz w:val="20"/>
      <w:szCs w:val="20"/>
    </w:rPr>
  </w:style>
  <w:style w:type="character" w:styleId="Hyperlink">
    <w:name w:val="Hyperlink"/>
    <w:basedOn w:val="DefaultParagraphFont"/>
    <w:uiPriority w:val="99"/>
    <w:unhideWhenUsed/>
    <w:rsid w:val="00AF62D1"/>
    <w:rPr>
      <w:color w:val="0000FF" w:themeColor="hyperlink"/>
      <w:u w:val="single"/>
    </w:rPr>
  </w:style>
  <w:style w:type="character" w:customStyle="1" w:styleId="markedcontent">
    <w:name w:val="markedcontent"/>
    <w:basedOn w:val="DefaultParagraphFont"/>
    <w:rsid w:val="00AF62D1"/>
  </w:style>
  <w:style w:type="character" w:customStyle="1" w:styleId="rynqvb">
    <w:name w:val="rynqvb"/>
    <w:basedOn w:val="DefaultParagraphFont"/>
    <w:rsid w:val="007359B9"/>
  </w:style>
  <w:style w:type="character" w:customStyle="1" w:styleId="hwtze">
    <w:name w:val="hwtze"/>
    <w:basedOn w:val="DefaultParagraphFont"/>
    <w:rsid w:val="00396E79"/>
  </w:style>
  <w:style w:type="paragraph" w:customStyle="1" w:styleId="Body">
    <w:name w:val="Body"/>
    <w:rsid w:val="00EC0E74"/>
    <w:pPr>
      <w:spacing w:after="0" w:line="240" w:lineRule="auto"/>
    </w:pPr>
    <w:rPr>
      <w:rFonts w:ascii="Times New Roman" w:eastAsia="Arial Unicode MS" w:hAnsi="Times New Roman" w:cs="Arial Unicode MS"/>
      <w:color w:val="000000"/>
      <w:sz w:val="20"/>
      <w:szCs w:val="20"/>
      <w:u w:color="000000"/>
      <w:lang w:eastAsia="en-GB"/>
    </w:rPr>
  </w:style>
  <w:style w:type="paragraph" w:styleId="ListParagraph">
    <w:name w:val="List Paragraph"/>
    <w:basedOn w:val="Normal"/>
    <w:uiPriority w:val="34"/>
    <w:qFormat/>
    <w:rsid w:val="00EC0E74"/>
    <w:pPr>
      <w:spacing w:after="160" w:line="259" w:lineRule="auto"/>
      <w:ind w:left="720"/>
      <w:contextualSpacing/>
    </w:pPr>
    <w:rPr>
      <w:rFonts w:asciiTheme="minorHAnsi" w:eastAsiaTheme="minorHAnsi" w:hAnsiTheme="minorHAnsi" w:cstheme="minorBidi"/>
      <w:sz w:val="22"/>
      <w:szCs w:val="22"/>
      <w:lang w:val="fr-FR"/>
    </w:rPr>
  </w:style>
  <w:style w:type="character" w:customStyle="1" w:styleId="UnresolvedMention1">
    <w:name w:val="Unresolved Mention1"/>
    <w:basedOn w:val="DefaultParagraphFont"/>
    <w:uiPriority w:val="99"/>
    <w:semiHidden/>
    <w:unhideWhenUsed/>
    <w:rsid w:val="00DF7F30"/>
    <w:rPr>
      <w:color w:val="605E5C"/>
      <w:shd w:val="clear" w:color="auto" w:fill="E1DFDD"/>
    </w:rPr>
  </w:style>
  <w:style w:type="character" w:styleId="FollowedHyperlink">
    <w:name w:val="FollowedHyperlink"/>
    <w:basedOn w:val="DefaultParagraphFont"/>
    <w:uiPriority w:val="99"/>
    <w:semiHidden/>
    <w:unhideWhenUsed/>
    <w:rsid w:val="00DF7F30"/>
    <w:rPr>
      <w:color w:val="800080" w:themeColor="followedHyperlink"/>
      <w:u w:val="single"/>
    </w:rPr>
  </w:style>
  <w:style w:type="paragraph" w:styleId="Revision">
    <w:name w:val="Revision"/>
    <w:hidden/>
    <w:uiPriority w:val="99"/>
    <w:semiHidden/>
    <w:rsid w:val="000828EB"/>
    <w:pPr>
      <w:spacing w:after="0" w:line="240" w:lineRule="auto"/>
    </w:pPr>
    <w:rPr>
      <w:rFonts w:ascii="Times New Roman" w:eastAsia="Calibri" w:hAnsi="Times New Roman" w:cs="Times New Roman"/>
      <w:sz w:val="20"/>
      <w:szCs w:val="20"/>
    </w:rPr>
  </w:style>
  <w:style w:type="character" w:styleId="CommentReference">
    <w:name w:val="annotation reference"/>
    <w:basedOn w:val="DefaultParagraphFont"/>
    <w:uiPriority w:val="99"/>
    <w:semiHidden/>
    <w:unhideWhenUsed/>
    <w:rsid w:val="000B1978"/>
    <w:rPr>
      <w:sz w:val="16"/>
      <w:szCs w:val="16"/>
    </w:rPr>
  </w:style>
  <w:style w:type="paragraph" w:styleId="CommentText">
    <w:name w:val="annotation text"/>
    <w:basedOn w:val="Normal"/>
    <w:link w:val="CommentTextChar"/>
    <w:uiPriority w:val="99"/>
    <w:unhideWhenUsed/>
    <w:rsid w:val="000B1978"/>
  </w:style>
  <w:style w:type="character" w:customStyle="1" w:styleId="CommentTextChar">
    <w:name w:val="Comment Text Char"/>
    <w:basedOn w:val="DefaultParagraphFont"/>
    <w:link w:val="CommentText"/>
    <w:uiPriority w:val="99"/>
    <w:rsid w:val="000B197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978"/>
    <w:rPr>
      <w:b/>
      <w:bCs/>
    </w:rPr>
  </w:style>
  <w:style w:type="character" w:customStyle="1" w:styleId="CommentSubjectChar">
    <w:name w:val="Comment Subject Char"/>
    <w:basedOn w:val="CommentTextChar"/>
    <w:link w:val="CommentSubject"/>
    <w:uiPriority w:val="99"/>
    <w:semiHidden/>
    <w:rsid w:val="000B197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23A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A5B"/>
    <w:rPr>
      <w:rFonts w:ascii="Segoe UI" w:eastAsia="Calibri" w:hAnsi="Segoe UI" w:cs="Segoe UI"/>
      <w:sz w:val="18"/>
      <w:szCs w:val="18"/>
    </w:rPr>
  </w:style>
  <w:style w:type="character" w:styleId="UnresolvedMention">
    <w:name w:val="Unresolved Mention"/>
    <w:basedOn w:val="DefaultParagraphFont"/>
    <w:uiPriority w:val="99"/>
    <w:semiHidden/>
    <w:unhideWhenUsed/>
    <w:rsid w:val="003E1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80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informationrights@companieshouse.gov.uk" TargetMode="External"/><Relationship Id="rId2" Type="http://schemas.openxmlformats.org/officeDocument/2006/relationships/hyperlink" Target="https://www.gov.uk/government/collections/companies-house-forms-for-insolvency-scotland" TargetMode="External"/><Relationship Id="rId1" Type="http://schemas.openxmlformats.org/officeDocument/2006/relationships/hyperlink" Target="https://www.gov.uk/government/statistics/compa7ny-insolvency-statistics-april-to-june-2023/commentary-company-insolvency-statistics-april-to-june-2023" TargetMode="External"/><Relationship Id="rId4" Type="http://schemas.openxmlformats.org/officeDocument/2006/relationships/hyperlink" Target="https://datashare.ed.ac.uk/handle/10283/39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38A72-620C-4BF8-8773-D4F899BE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 Omar</cp:lastModifiedBy>
  <cp:revision>2</cp:revision>
  <dcterms:created xsi:type="dcterms:W3CDTF">2023-09-01T12:28:00Z</dcterms:created>
  <dcterms:modified xsi:type="dcterms:W3CDTF">2023-09-01T12:28:00Z</dcterms:modified>
</cp:coreProperties>
</file>