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F06B69" w:rsidRDefault="005D783E" w:rsidP="003C338F">
      <w:pPr>
        <w:tabs>
          <w:tab w:val="left" w:pos="474"/>
        </w:tabs>
        <w:spacing w:after="0"/>
        <w:contextualSpacing/>
        <w:rPr>
          <w:rFonts w:ascii="Times New Roman" w:hAnsi="Times New Roman"/>
          <w:sz w:val="24"/>
          <w:szCs w:val="24"/>
        </w:rPr>
      </w:pPr>
    </w:p>
    <w:p w14:paraId="39E9118B" w14:textId="561C5F5A" w:rsidR="00617533" w:rsidRPr="00F06B69" w:rsidRDefault="00492065" w:rsidP="008609CB">
      <w:pPr>
        <w:spacing w:after="0"/>
        <w:contextualSpacing/>
        <w:jc w:val="center"/>
        <w:rPr>
          <w:rFonts w:ascii="Times New Roman" w:hAnsi="Times New Roman"/>
          <w:b/>
          <w:sz w:val="24"/>
          <w:szCs w:val="24"/>
        </w:rPr>
      </w:pPr>
      <w:r w:rsidRPr="00F06B69">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F06B69" w:rsidRDefault="00617533" w:rsidP="008609CB">
      <w:pPr>
        <w:spacing w:after="0"/>
        <w:contextualSpacing/>
        <w:jc w:val="center"/>
        <w:rPr>
          <w:rFonts w:ascii="Times New Roman" w:hAnsi="Times New Roman"/>
          <w:b/>
          <w:sz w:val="24"/>
          <w:szCs w:val="24"/>
        </w:rPr>
      </w:pPr>
    </w:p>
    <w:p w14:paraId="2C7EFD65" w14:textId="7B54A996" w:rsidR="00617533" w:rsidRPr="00F06B69" w:rsidRDefault="00617533" w:rsidP="008609CB">
      <w:pPr>
        <w:spacing w:after="0"/>
        <w:contextualSpacing/>
        <w:jc w:val="center"/>
        <w:rPr>
          <w:rFonts w:ascii="Times New Roman" w:hAnsi="Times New Roman"/>
          <w:b/>
          <w:sz w:val="36"/>
          <w:szCs w:val="36"/>
        </w:rPr>
      </w:pPr>
      <w:r w:rsidRPr="00F06B69">
        <w:rPr>
          <w:rFonts w:ascii="Times New Roman" w:hAnsi="Times New Roman"/>
          <w:b/>
          <w:sz w:val="36"/>
          <w:szCs w:val="36"/>
        </w:rPr>
        <w:t xml:space="preserve">Inside Story – </w:t>
      </w:r>
      <w:r w:rsidR="00F06B69" w:rsidRPr="00F06B69">
        <w:rPr>
          <w:rFonts w:ascii="Times New Roman" w:hAnsi="Times New Roman"/>
          <w:b/>
          <w:sz w:val="36"/>
          <w:szCs w:val="36"/>
        </w:rPr>
        <w:t>Febr</w:t>
      </w:r>
      <w:r w:rsidR="0016531A" w:rsidRPr="00F06B69">
        <w:rPr>
          <w:rFonts w:ascii="Times New Roman" w:hAnsi="Times New Roman"/>
          <w:b/>
          <w:sz w:val="36"/>
          <w:szCs w:val="36"/>
        </w:rPr>
        <w:t>uary</w:t>
      </w:r>
      <w:r w:rsidR="00786CA6" w:rsidRPr="00F06B69">
        <w:rPr>
          <w:rFonts w:ascii="Times New Roman" w:hAnsi="Times New Roman"/>
          <w:b/>
          <w:sz w:val="36"/>
          <w:szCs w:val="36"/>
        </w:rPr>
        <w:t xml:space="preserve"> </w:t>
      </w:r>
      <w:r w:rsidRPr="00F06B69">
        <w:rPr>
          <w:rFonts w:ascii="Times New Roman" w:hAnsi="Times New Roman"/>
          <w:b/>
          <w:sz w:val="36"/>
          <w:szCs w:val="36"/>
        </w:rPr>
        <w:t>20</w:t>
      </w:r>
      <w:r w:rsidR="00782731" w:rsidRPr="00F06B69">
        <w:rPr>
          <w:rFonts w:ascii="Times New Roman" w:hAnsi="Times New Roman"/>
          <w:b/>
          <w:sz w:val="36"/>
          <w:szCs w:val="36"/>
        </w:rPr>
        <w:t>2</w:t>
      </w:r>
      <w:r w:rsidR="00F06B69" w:rsidRPr="00F06B69">
        <w:rPr>
          <w:rFonts w:ascii="Times New Roman" w:hAnsi="Times New Roman"/>
          <w:b/>
          <w:sz w:val="36"/>
          <w:szCs w:val="36"/>
        </w:rPr>
        <w:t>4</w:t>
      </w:r>
    </w:p>
    <w:p w14:paraId="1ECBC4F0" w14:textId="77777777" w:rsidR="00617533" w:rsidRPr="00F06B69" w:rsidRDefault="00617533" w:rsidP="008609CB">
      <w:pPr>
        <w:spacing w:after="0"/>
        <w:contextualSpacing/>
        <w:jc w:val="center"/>
        <w:rPr>
          <w:rFonts w:ascii="Times New Roman" w:hAnsi="Times New Roman"/>
          <w:b/>
          <w:sz w:val="24"/>
          <w:szCs w:val="24"/>
        </w:rPr>
      </w:pPr>
    </w:p>
    <w:p w14:paraId="419043F1" w14:textId="14793EB7" w:rsidR="00640EFC" w:rsidRPr="00F06B69" w:rsidRDefault="00F06B69" w:rsidP="00640EFC">
      <w:pPr>
        <w:spacing w:after="0"/>
        <w:jc w:val="center"/>
        <w:rPr>
          <w:rFonts w:ascii="Times New Roman" w:hAnsi="Times New Roman"/>
          <w:b/>
          <w:bCs/>
          <w:sz w:val="32"/>
          <w:szCs w:val="32"/>
        </w:rPr>
      </w:pPr>
      <w:r w:rsidRPr="00F06B69">
        <w:rPr>
          <w:rFonts w:ascii="Times New Roman" w:hAnsi="Times New Roman"/>
          <w:b/>
          <w:bCs/>
          <w:sz w:val="32"/>
          <w:szCs w:val="32"/>
        </w:rPr>
        <w:t>A Second Chance…. for t</w:t>
      </w:r>
      <w:r w:rsidR="0016531A" w:rsidRPr="00F06B69">
        <w:rPr>
          <w:rFonts w:ascii="Times New Roman" w:hAnsi="Times New Roman"/>
          <w:b/>
          <w:bCs/>
          <w:sz w:val="32"/>
          <w:szCs w:val="32"/>
        </w:rPr>
        <w:t xml:space="preserve">he </w:t>
      </w:r>
      <w:r w:rsidRPr="00F06B69">
        <w:rPr>
          <w:rFonts w:ascii="Times New Roman" w:hAnsi="Times New Roman"/>
          <w:b/>
          <w:bCs/>
          <w:sz w:val="32"/>
          <w:szCs w:val="32"/>
        </w:rPr>
        <w:t xml:space="preserve">Second Chance </w:t>
      </w:r>
      <w:r w:rsidR="0016531A" w:rsidRPr="00F06B69">
        <w:rPr>
          <w:rFonts w:ascii="Times New Roman" w:hAnsi="Times New Roman"/>
          <w:b/>
          <w:bCs/>
          <w:sz w:val="32"/>
          <w:szCs w:val="32"/>
        </w:rPr>
        <w:t xml:space="preserve">Directive </w:t>
      </w:r>
      <w:r w:rsidRPr="00F06B69">
        <w:rPr>
          <w:rFonts w:ascii="Times New Roman" w:hAnsi="Times New Roman"/>
          <w:b/>
          <w:bCs/>
          <w:sz w:val="32"/>
          <w:szCs w:val="32"/>
        </w:rPr>
        <w:t xml:space="preserve">in </w:t>
      </w:r>
      <w:r w:rsidR="0011226B" w:rsidRPr="00F06B69">
        <w:rPr>
          <w:rFonts w:ascii="Times New Roman" w:hAnsi="Times New Roman"/>
          <w:b/>
          <w:bCs/>
          <w:sz w:val="32"/>
          <w:szCs w:val="32"/>
        </w:rPr>
        <w:t>Pol</w:t>
      </w:r>
      <w:r w:rsidRPr="00F06B69">
        <w:rPr>
          <w:rFonts w:ascii="Times New Roman" w:hAnsi="Times New Roman"/>
          <w:b/>
          <w:bCs/>
          <w:sz w:val="32"/>
          <w:szCs w:val="32"/>
        </w:rPr>
        <w:t>and</w:t>
      </w:r>
    </w:p>
    <w:p w14:paraId="75DFE654" w14:textId="77777777" w:rsidR="00E71E7B" w:rsidRPr="00F06B69" w:rsidRDefault="00E71E7B" w:rsidP="008609CB">
      <w:pPr>
        <w:spacing w:after="0"/>
        <w:contextualSpacing/>
        <w:jc w:val="center"/>
        <w:rPr>
          <w:rFonts w:ascii="Times New Roman" w:hAnsi="Times New Roman"/>
          <w:sz w:val="24"/>
          <w:szCs w:val="24"/>
        </w:rPr>
      </w:pPr>
    </w:p>
    <w:p w14:paraId="1CE4C0A3" w14:textId="15C2662F" w:rsidR="00F06B69" w:rsidRPr="00F06B69" w:rsidRDefault="00F06B69" w:rsidP="00F06B69">
      <w:pPr>
        <w:spacing w:after="0"/>
        <w:jc w:val="center"/>
        <w:rPr>
          <w:rFonts w:ascii="Times New Roman" w:hAnsi="Times New Roman"/>
          <w:i/>
          <w:iCs/>
          <w:sz w:val="24"/>
          <w:szCs w:val="24"/>
        </w:rPr>
      </w:pPr>
      <w:r w:rsidRPr="00F06B69">
        <w:rPr>
          <w:rFonts w:ascii="Times New Roman" w:hAnsi="Times New Roman"/>
          <w:i/>
          <w:iCs/>
          <w:sz w:val="24"/>
          <w:szCs w:val="24"/>
        </w:rPr>
        <w:t>Paweł Kuglarz, of Counsel</w:t>
      </w:r>
      <w:r w:rsidRPr="00F06B69">
        <w:rPr>
          <w:rFonts w:ascii="Times New Roman" w:hAnsi="Times New Roman"/>
          <w:bCs/>
          <w:i/>
          <w:iCs/>
          <w:sz w:val="24"/>
          <w:szCs w:val="24"/>
        </w:rPr>
        <w:t>, Tatara and Partners, Poland. Email: &lt;</w:t>
      </w:r>
      <w:hyperlink r:id="rId9" w:history="1">
        <w:r w:rsidR="00725F77" w:rsidRPr="00725F77">
          <w:rPr>
            <w:rStyle w:val="Hyperlink"/>
            <w:rFonts w:ascii="Times New Roman" w:hAnsi="Times New Roman"/>
            <w:i/>
            <w:iCs/>
            <w:sz w:val="24"/>
            <w:szCs w:val="24"/>
          </w:rPr>
          <w:t>p.kuglarz@tata</w:t>
        </w:r>
        <w:r w:rsidR="00725F77" w:rsidRPr="00725F77">
          <w:rPr>
            <w:rStyle w:val="Hyperlink"/>
            <w:rFonts w:ascii="Times New Roman" w:hAnsi="Times New Roman"/>
            <w:i/>
            <w:iCs/>
            <w:sz w:val="24"/>
            <w:szCs w:val="24"/>
          </w:rPr>
          <w:t>r</w:t>
        </w:r>
        <w:r w:rsidR="00725F77" w:rsidRPr="00725F77">
          <w:rPr>
            <w:rStyle w:val="Hyperlink"/>
            <w:rFonts w:ascii="Times New Roman" w:hAnsi="Times New Roman"/>
            <w:i/>
            <w:iCs/>
            <w:sz w:val="24"/>
            <w:szCs w:val="24"/>
          </w:rPr>
          <w:t>a.com.pl</w:t>
        </w:r>
      </w:hyperlink>
      <w:r w:rsidRPr="00F06B69">
        <w:rPr>
          <w:rFonts w:ascii="Times New Roman" w:hAnsi="Times New Roman"/>
          <w:bCs/>
          <w:i/>
          <w:iCs/>
          <w:sz w:val="24"/>
          <w:szCs w:val="24"/>
        </w:rPr>
        <w:t>&gt;;</w:t>
      </w:r>
    </w:p>
    <w:p w14:paraId="0DAE9D3B" w14:textId="00461D75" w:rsidR="0011226B" w:rsidRPr="00F06B69" w:rsidRDefault="0011226B" w:rsidP="0011226B">
      <w:pPr>
        <w:pStyle w:val="NoSpacing"/>
        <w:jc w:val="center"/>
        <w:rPr>
          <w:rFonts w:ascii="Times New Roman" w:hAnsi="Times New Roman" w:cs="Times New Roman"/>
          <w:i/>
          <w:iCs/>
          <w:sz w:val="24"/>
          <w:szCs w:val="24"/>
          <w:shd w:val="clear" w:color="auto" w:fill="FFFFFF"/>
          <w:lang w:val="en-GB"/>
        </w:rPr>
      </w:pPr>
      <w:r w:rsidRPr="00F06B69">
        <w:rPr>
          <w:rFonts w:ascii="Times New Roman" w:hAnsi="Times New Roman" w:cs="Times New Roman"/>
          <w:i/>
          <w:iCs/>
          <w:sz w:val="24"/>
          <w:szCs w:val="24"/>
          <w:lang w:val="en-GB"/>
        </w:rPr>
        <w:t>Mateusz Kaliński</w:t>
      </w:r>
      <w:r w:rsidR="00640EFC" w:rsidRPr="00F06B69">
        <w:rPr>
          <w:rFonts w:ascii="Times New Roman" w:hAnsi="Times New Roman" w:cs="Times New Roman"/>
          <w:i/>
          <w:iCs/>
          <w:sz w:val="24"/>
          <w:szCs w:val="24"/>
          <w:lang w:val="en-GB"/>
        </w:rPr>
        <w:t xml:space="preserve">, </w:t>
      </w:r>
      <w:r w:rsidRPr="00F06B69">
        <w:rPr>
          <w:rFonts w:ascii="Times New Roman" w:hAnsi="Times New Roman" w:cs="Times New Roman"/>
          <w:i/>
          <w:iCs/>
          <w:sz w:val="24"/>
          <w:szCs w:val="24"/>
          <w:lang w:val="en-GB"/>
        </w:rPr>
        <w:t>Tatara and Partners</w:t>
      </w:r>
      <w:r w:rsidR="00640EFC" w:rsidRPr="00F06B69">
        <w:rPr>
          <w:rFonts w:ascii="Times New Roman" w:hAnsi="Times New Roman" w:cs="Times New Roman"/>
          <w:i/>
          <w:iCs/>
          <w:sz w:val="24"/>
          <w:szCs w:val="24"/>
          <w:lang w:val="en-GB"/>
        </w:rPr>
        <w:t xml:space="preserve">, </w:t>
      </w:r>
      <w:r w:rsidRPr="00F06B69">
        <w:rPr>
          <w:rFonts w:ascii="Times New Roman" w:hAnsi="Times New Roman" w:cs="Times New Roman"/>
          <w:i/>
          <w:iCs/>
          <w:sz w:val="24"/>
          <w:szCs w:val="24"/>
          <w:lang w:val="en-GB"/>
        </w:rPr>
        <w:t>Poland</w:t>
      </w:r>
      <w:r w:rsidR="00640EFC" w:rsidRPr="00F06B69">
        <w:rPr>
          <w:rFonts w:ascii="Times New Roman" w:hAnsi="Times New Roman" w:cs="Times New Roman"/>
          <w:i/>
          <w:iCs/>
          <w:sz w:val="24"/>
          <w:szCs w:val="24"/>
          <w:lang w:val="en-GB"/>
        </w:rPr>
        <w:t xml:space="preserve">. </w:t>
      </w:r>
      <w:r w:rsidR="00640EFC" w:rsidRPr="00F06B69">
        <w:rPr>
          <w:rFonts w:ascii="Times New Roman" w:hAnsi="Times New Roman" w:cs="Times New Roman"/>
          <w:i/>
          <w:iCs/>
          <w:sz w:val="24"/>
          <w:szCs w:val="24"/>
          <w:shd w:val="clear" w:color="auto" w:fill="FFFFFF"/>
          <w:lang w:val="en-GB"/>
        </w:rPr>
        <w:t>Email: &lt;</w:t>
      </w:r>
      <w:r w:rsidRPr="00F06B69">
        <w:rPr>
          <w:rFonts w:ascii="Times New Roman" w:hAnsi="Times New Roman" w:cs="Times New Roman"/>
          <w:i/>
          <w:iCs/>
          <w:sz w:val="24"/>
          <w:szCs w:val="24"/>
          <w:lang w:val="en-GB"/>
        </w:rPr>
        <w:t>m.kalinski@tatara.com.pl</w:t>
      </w:r>
      <w:r w:rsidR="00640EFC" w:rsidRPr="00F06B69">
        <w:rPr>
          <w:rFonts w:ascii="Times New Roman" w:hAnsi="Times New Roman" w:cs="Times New Roman"/>
          <w:i/>
          <w:iCs/>
          <w:sz w:val="24"/>
          <w:szCs w:val="24"/>
          <w:shd w:val="clear" w:color="auto" w:fill="FFFFFF"/>
          <w:lang w:val="en-GB"/>
        </w:rPr>
        <w:t>&gt;</w:t>
      </w:r>
      <w:r w:rsidRPr="00F06B69">
        <w:rPr>
          <w:rFonts w:ascii="Times New Roman" w:hAnsi="Times New Roman" w:cs="Times New Roman"/>
          <w:i/>
          <w:iCs/>
          <w:sz w:val="24"/>
          <w:szCs w:val="24"/>
          <w:shd w:val="clear" w:color="auto" w:fill="FFFFFF"/>
          <w:lang w:val="en-GB"/>
        </w:rPr>
        <w:t>.</w:t>
      </w:r>
    </w:p>
    <w:p w14:paraId="716971A7" w14:textId="5C26573A" w:rsidR="00104015" w:rsidRPr="00F06B69"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F06B69" w:rsidRDefault="00E71E7B" w:rsidP="00F06B69">
      <w:pPr>
        <w:spacing w:after="0"/>
        <w:contextualSpacing/>
        <w:rPr>
          <w:rFonts w:ascii="Times New Roman" w:hAnsi="Times New Roman"/>
          <w:i/>
          <w:sz w:val="24"/>
          <w:szCs w:val="24"/>
        </w:rPr>
      </w:pPr>
    </w:p>
    <w:p w14:paraId="3FDD4E1F" w14:textId="3DA5C6B1" w:rsidR="00E71E7B" w:rsidRPr="00F06B69" w:rsidRDefault="00E71E7B" w:rsidP="00F06B69">
      <w:pPr>
        <w:spacing w:after="0"/>
        <w:contextualSpacing/>
        <w:rPr>
          <w:rFonts w:ascii="Times New Roman" w:hAnsi="Times New Roman"/>
          <w:sz w:val="24"/>
          <w:szCs w:val="24"/>
        </w:rPr>
      </w:pPr>
      <w:r w:rsidRPr="00F06B69">
        <w:rPr>
          <w:rFonts w:ascii="Times New Roman" w:hAnsi="Times New Roman"/>
          <w:i/>
          <w:iCs/>
          <w:sz w:val="24"/>
          <w:szCs w:val="24"/>
        </w:rPr>
        <w:t>Introduction</w:t>
      </w:r>
    </w:p>
    <w:p w14:paraId="2FDAC61F" w14:textId="77777777" w:rsidR="0016531A" w:rsidRPr="00F06B69" w:rsidRDefault="0016531A" w:rsidP="00F06B69">
      <w:pPr>
        <w:spacing w:after="0"/>
        <w:rPr>
          <w:rStyle w:val="SubtleEmphasis"/>
          <w:rFonts w:ascii="Times New Roman" w:hAnsi="Times New Roman"/>
          <w:b w:val="0"/>
          <w:bCs/>
          <w:i w:val="0"/>
          <w:iCs w:val="0"/>
          <w:sz w:val="24"/>
          <w:szCs w:val="24"/>
        </w:rPr>
      </w:pPr>
    </w:p>
    <w:p w14:paraId="1146E71F" w14:textId="6A98A101"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Almost all of the European Union Member States have already implemented the Restructuring Directive, also referred to as the Second Chance Directive. Unfortunately, at time of writing, Poland is the only country which has failed to do so, although several drafts have so far been discussed.</w:t>
      </w:r>
    </w:p>
    <w:p w14:paraId="7C658C2F" w14:textId="77777777" w:rsidR="00F06B69" w:rsidRPr="00F06B69" w:rsidRDefault="00F06B69" w:rsidP="00F06B69">
      <w:pPr>
        <w:spacing w:after="0"/>
        <w:rPr>
          <w:rStyle w:val="SubtleEmphasis"/>
          <w:rFonts w:ascii="Times New Roman" w:hAnsi="Times New Roman"/>
          <w:b w:val="0"/>
          <w:bCs/>
          <w:i w:val="0"/>
          <w:iCs w:val="0"/>
          <w:sz w:val="24"/>
          <w:szCs w:val="24"/>
        </w:rPr>
      </w:pPr>
    </w:p>
    <w:p w14:paraId="681D40BD" w14:textId="2F4487BC" w:rsidR="00F06B69" w:rsidRPr="00F06B69" w:rsidRDefault="00F06B69" w:rsidP="00F06B69">
      <w:pPr>
        <w:spacing w:after="0"/>
        <w:rPr>
          <w:rStyle w:val="SubtleEmphasis"/>
          <w:rFonts w:ascii="Times New Roman" w:hAnsi="Times New Roman"/>
          <w:b w:val="0"/>
          <w:bCs/>
          <w:sz w:val="24"/>
          <w:szCs w:val="24"/>
        </w:rPr>
      </w:pPr>
      <w:r w:rsidRPr="00F06B69">
        <w:rPr>
          <w:rStyle w:val="SubtleEmphasis"/>
          <w:rFonts w:ascii="Times New Roman" w:hAnsi="Times New Roman"/>
          <w:b w:val="0"/>
          <w:bCs/>
          <w:sz w:val="24"/>
          <w:szCs w:val="24"/>
        </w:rPr>
        <w:t>Proposals of the Implementing Bill in Poland</w:t>
      </w:r>
    </w:p>
    <w:p w14:paraId="78F24FF3" w14:textId="77777777" w:rsidR="00F06B69" w:rsidRPr="00F06B69" w:rsidRDefault="00F06B69" w:rsidP="00F06B69">
      <w:pPr>
        <w:spacing w:after="0"/>
        <w:rPr>
          <w:rStyle w:val="SubtleEmphasis"/>
          <w:rFonts w:ascii="Times New Roman" w:hAnsi="Times New Roman"/>
          <w:b w:val="0"/>
          <w:bCs/>
          <w:i w:val="0"/>
          <w:iCs w:val="0"/>
          <w:sz w:val="24"/>
          <w:szCs w:val="24"/>
        </w:rPr>
      </w:pPr>
    </w:p>
    <w:p w14:paraId="6885AE2E" w14:textId="757CB8FD"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In Poland, a team of experts within the Ministry of Justice prepared the first bill which was subject to public consultations a long while ago. A lot of business organizations (also including the National Chamber of Insolvency Practitioners and the INSO Section of the Allerhand Institute), public entities as well as the courts submitted their positions on the draft. Later on, yet another draft was published, slightly changing its subject matter, by expanding the scope of the regulation, and thus requiring another round of consultations.</w:t>
      </w:r>
    </w:p>
    <w:p w14:paraId="4CD1BC6B" w14:textId="77777777" w:rsidR="00F06B69" w:rsidRPr="00F06B69" w:rsidRDefault="00F06B69" w:rsidP="00F06B69">
      <w:pPr>
        <w:spacing w:after="0"/>
        <w:rPr>
          <w:rStyle w:val="SubtleEmphasis"/>
          <w:rFonts w:ascii="Times New Roman" w:hAnsi="Times New Roman"/>
          <w:b w:val="0"/>
          <w:bCs/>
          <w:i w:val="0"/>
          <w:iCs w:val="0"/>
          <w:sz w:val="24"/>
          <w:szCs w:val="24"/>
        </w:rPr>
      </w:pPr>
    </w:p>
    <w:p w14:paraId="75AE02B7" w14:textId="2A93CED3"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 xml:space="preserve">Over the period of parliamentary elections in Poland in October 2023, Mateusz </w:t>
      </w:r>
      <w:proofErr w:type="spellStart"/>
      <w:r w:rsidRPr="00F06B69">
        <w:rPr>
          <w:rStyle w:val="SubtleEmphasis"/>
          <w:rFonts w:ascii="Times New Roman" w:hAnsi="Times New Roman"/>
          <w:b w:val="0"/>
          <w:bCs/>
          <w:i w:val="0"/>
          <w:iCs w:val="0"/>
          <w:sz w:val="24"/>
          <w:szCs w:val="24"/>
        </w:rPr>
        <w:t>Morawiecki’s</w:t>
      </w:r>
      <w:proofErr w:type="spellEnd"/>
      <w:r w:rsidRPr="00F06B69">
        <w:rPr>
          <w:rStyle w:val="SubtleEmphasis"/>
          <w:rFonts w:ascii="Times New Roman" w:hAnsi="Times New Roman"/>
          <w:b w:val="0"/>
          <w:bCs/>
          <w:i w:val="0"/>
          <w:iCs w:val="0"/>
          <w:sz w:val="24"/>
          <w:szCs w:val="24"/>
        </w:rPr>
        <w:t xml:space="preserve"> government sent this draft to the Parliament for consideration. However, the newly elected government of Donald Tusk decided in January 2024 to withdraw the draft bill and present it for further amendments. In summary, a lot of work has already been done, including the drafting of a very detailed report on the areas needed to be covered to ensure compliance with EU law requirements.</w:t>
      </w:r>
    </w:p>
    <w:p w14:paraId="037248A7" w14:textId="77777777" w:rsidR="00F06B69" w:rsidRPr="00F06B69" w:rsidRDefault="00F06B69" w:rsidP="00F06B69">
      <w:pPr>
        <w:spacing w:after="0"/>
        <w:rPr>
          <w:rStyle w:val="SubtleEmphasis"/>
          <w:rFonts w:ascii="Times New Roman" w:hAnsi="Times New Roman"/>
          <w:b w:val="0"/>
          <w:bCs/>
          <w:i w:val="0"/>
          <w:iCs w:val="0"/>
          <w:sz w:val="24"/>
          <w:szCs w:val="24"/>
        </w:rPr>
      </w:pPr>
    </w:p>
    <w:p w14:paraId="2FAB2FAD" w14:textId="77777777" w:rsidR="00F06B69" w:rsidRPr="00F06B69" w:rsidRDefault="00F06B69" w:rsidP="00F06B69">
      <w:pPr>
        <w:spacing w:after="0"/>
        <w:rPr>
          <w:rStyle w:val="SubtleEmphasis"/>
          <w:rFonts w:ascii="Times New Roman" w:hAnsi="Times New Roman"/>
          <w:b w:val="0"/>
          <w:bCs/>
          <w:sz w:val="24"/>
          <w:szCs w:val="24"/>
        </w:rPr>
      </w:pPr>
      <w:r w:rsidRPr="00F06B69">
        <w:rPr>
          <w:rStyle w:val="SubtleEmphasis"/>
          <w:rFonts w:ascii="Times New Roman" w:hAnsi="Times New Roman"/>
          <w:b w:val="0"/>
          <w:bCs/>
          <w:sz w:val="24"/>
          <w:szCs w:val="24"/>
        </w:rPr>
        <w:t>Which areas should be covered</w:t>
      </w:r>
    </w:p>
    <w:p w14:paraId="5B14F055" w14:textId="77777777" w:rsidR="00F06B69" w:rsidRPr="00F06B69" w:rsidRDefault="00F06B69" w:rsidP="00F06B69">
      <w:pPr>
        <w:spacing w:after="0"/>
        <w:rPr>
          <w:rStyle w:val="SubtleEmphasis"/>
          <w:rFonts w:ascii="Times New Roman" w:hAnsi="Times New Roman"/>
          <w:b w:val="0"/>
          <w:bCs/>
          <w:i w:val="0"/>
          <w:iCs w:val="0"/>
          <w:sz w:val="24"/>
          <w:szCs w:val="24"/>
        </w:rPr>
      </w:pPr>
    </w:p>
    <w:p w14:paraId="5550C9CD" w14:textId="5259D388"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The governmental document envisages some really interesting restructuring tools in line with the Restructuring Directive, like the possibility to access more easily cross-class cram-downs, amendments to liquidation arrangement proceedings and the possibility for the court to change (up to some extent) the arrangement made  – and under certain conditions.</w:t>
      </w:r>
    </w:p>
    <w:p w14:paraId="47F976C8" w14:textId="6C3202D2" w:rsidR="00F06B69" w:rsidRPr="00F06B69" w:rsidRDefault="00F06B69" w:rsidP="00F06B69">
      <w:pPr>
        <w:spacing w:after="0"/>
        <w:rPr>
          <w:rStyle w:val="SubtleEmphasis"/>
          <w:rFonts w:ascii="Times New Roman" w:hAnsi="Times New Roman"/>
          <w:b w:val="0"/>
          <w:bCs/>
          <w:i w:val="0"/>
          <w:iCs w:val="0"/>
          <w:sz w:val="24"/>
          <w:szCs w:val="24"/>
        </w:rPr>
      </w:pPr>
    </w:p>
    <w:p w14:paraId="55A33064" w14:textId="7B8BCBEC" w:rsidR="00F06B69" w:rsidRPr="00F06B69" w:rsidRDefault="00F06B69" w:rsidP="00F06B69">
      <w:pPr>
        <w:pStyle w:val="ListParagraph"/>
        <w:numPr>
          <w:ilvl w:val="0"/>
          <w:numId w:val="50"/>
        </w:numPr>
        <w:spacing w:after="0"/>
        <w:rPr>
          <w:rStyle w:val="SubtleEmphasis"/>
          <w:rFonts w:ascii="Times New Roman" w:hAnsi="Times New Roman"/>
          <w:b w:val="0"/>
          <w:bCs/>
          <w:i w:val="0"/>
          <w:iCs w:val="0"/>
          <w:sz w:val="24"/>
          <w:szCs w:val="24"/>
          <w:u w:val="single"/>
          <w:lang w:val="en-GB"/>
        </w:rPr>
      </w:pPr>
      <w:r w:rsidRPr="00F06B69">
        <w:rPr>
          <w:rStyle w:val="SubtleEmphasis"/>
          <w:rFonts w:ascii="Times New Roman" w:hAnsi="Times New Roman"/>
          <w:b w:val="0"/>
          <w:bCs/>
          <w:i w:val="0"/>
          <w:iCs w:val="0"/>
          <w:sz w:val="24"/>
          <w:szCs w:val="24"/>
          <w:u w:val="single"/>
          <w:lang w:val="en-GB"/>
        </w:rPr>
        <w:t>Liquidation arrangements and curing defects</w:t>
      </w:r>
    </w:p>
    <w:p w14:paraId="01658EB5" w14:textId="77777777" w:rsidR="00F06B69" w:rsidRPr="00F06B69" w:rsidRDefault="00F06B69" w:rsidP="00F06B69">
      <w:pPr>
        <w:spacing w:after="0"/>
        <w:rPr>
          <w:rStyle w:val="SubtleEmphasis"/>
          <w:rFonts w:ascii="Times New Roman" w:hAnsi="Times New Roman"/>
          <w:b w:val="0"/>
          <w:bCs/>
          <w:i w:val="0"/>
          <w:iCs w:val="0"/>
          <w:sz w:val="24"/>
          <w:szCs w:val="24"/>
        </w:rPr>
      </w:pPr>
    </w:p>
    <w:p w14:paraId="0B06B73F" w14:textId="66498FEA"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Liquidation arrangement is a method of restructuring which uses the sale of an enterprise as an arrangement proposals. So far, using this instrument is not connected with the effect of execution sales, as it provides for no liability towards old debts. The proposed bill changes the situation for the better and stipulates the execution sale effect also for liquidation arrangement. Also, if some minor mistakes are made within the arrangement proceedings, the court will now have the opportunity to change it at its own discretion. Under the initial proposal, it was only able to refuse approval of an arrangement that failed to meet its expectations.</w:t>
      </w:r>
    </w:p>
    <w:p w14:paraId="16B300CA" w14:textId="2F22FC3B" w:rsidR="00F06B69" w:rsidRPr="00F06B69" w:rsidRDefault="00F06B69" w:rsidP="00F06B69">
      <w:pPr>
        <w:spacing w:after="0"/>
        <w:rPr>
          <w:rStyle w:val="SubtleEmphasis"/>
          <w:rFonts w:ascii="Times New Roman" w:hAnsi="Times New Roman"/>
          <w:b w:val="0"/>
          <w:bCs/>
          <w:i w:val="0"/>
          <w:iCs w:val="0"/>
          <w:sz w:val="24"/>
          <w:szCs w:val="24"/>
        </w:rPr>
      </w:pPr>
    </w:p>
    <w:p w14:paraId="6C333B19" w14:textId="5BCBFF88" w:rsidR="00F06B69" w:rsidRPr="00F06B69" w:rsidRDefault="00F06B69" w:rsidP="00F06B69">
      <w:pPr>
        <w:pStyle w:val="ListParagraph"/>
        <w:numPr>
          <w:ilvl w:val="0"/>
          <w:numId w:val="50"/>
        </w:numPr>
        <w:spacing w:after="0"/>
        <w:rPr>
          <w:rStyle w:val="SubtleEmphasis"/>
          <w:rFonts w:ascii="Times New Roman" w:hAnsi="Times New Roman"/>
          <w:b w:val="0"/>
          <w:bCs/>
          <w:i w:val="0"/>
          <w:iCs w:val="0"/>
          <w:sz w:val="24"/>
          <w:szCs w:val="24"/>
          <w:u w:val="single"/>
          <w:lang w:val="en-GB"/>
        </w:rPr>
      </w:pPr>
      <w:r w:rsidRPr="00F06B69">
        <w:rPr>
          <w:rStyle w:val="SubtleEmphasis"/>
          <w:rFonts w:ascii="Times New Roman" w:hAnsi="Times New Roman"/>
          <w:b w:val="0"/>
          <w:bCs/>
          <w:i w:val="0"/>
          <w:iCs w:val="0"/>
          <w:sz w:val="24"/>
          <w:szCs w:val="24"/>
          <w:u w:val="single"/>
          <w:lang w:val="en-GB"/>
        </w:rPr>
        <w:t>Appointment of Trustees and Court Supervisors</w:t>
      </w:r>
    </w:p>
    <w:p w14:paraId="358C5815" w14:textId="77777777" w:rsidR="00F06B69" w:rsidRPr="00F06B69" w:rsidRDefault="00F06B69" w:rsidP="00F06B69">
      <w:pPr>
        <w:spacing w:after="0"/>
        <w:rPr>
          <w:rStyle w:val="SubtleEmphasis"/>
          <w:rFonts w:ascii="Times New Roman" w:hAnsi="Times New Roman"/>
          <w:b w:val="0"/>
          <w:bCs/>
          <w:i w:val="0"/>
          <w:iCs w:val="0"/>
          <w:sz w:val="24"/>
          <w:szCs w:val="24"/>
        </w:rPr>
      </w:pPr>
    </w:p>
    <w:p w14:paraId="6A0354C6" w14:textId="3FEC6AEE" w:rsid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Unfortunately, the currently publicly available bill implementing the Directive proposes far reaching changes to the appointment of the trustees as well as court supervisors.</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 xml:space="preserve">A trustee is appointed under the bankruptcy regime </w:t>
      </w:r>
      <w:r w:rsidR="00976BCE">
        <w:rPr>
          <w:rStyle w:val="SubtleEmphasis"/>
          <w:rFonts w:ascii="Times New Roman" w:hAnsi="Times New Roman"/>
          <w:b w:val="0"/>
          <w:bCs/>
          <w:i w:val="0"/>
          <w:iCs w:val="0"/>
          <w:sz w:val="24"/>
          <w:szCs w:val="24"/>
        </w:rPr>
        <w:t xml:space="preserve">with the </w:t>
      </w:r>
      <w:r w:rsidRPr="00F06B69">
        <w:rPr>
          <w:rStyle w:val="SubtleEmphasis"/>
          <w:rFonts w:ascii="Times New Roman" w:hAnsi="Times New Roman"/>
          <w:b w:val="0"/>
          <w:bCs/>
          <w:i w:val="0"/>
          <w:iCs w:val="0"/>
          <w:sz w:val="24"/>
          <w:szCs w:val="24"/>
        </w:rPr>
        <w:t>appoint</w:t>
      </w:r>
      <w:r w:rsidR="00976BCE">
        <w:rPr>
          <w:rStyle w:val="SubtleEmphasis"/>
          <w:rFonts w:ascii="Times New Roman" w:hAnsi="Times New Roman"/>
          <w:b w:val="0"/>
          <w:bCs/>
          <w:i w:val="0"/>
          <w:iCs w:val="0"/>
          <w:sz w:val="24"/>
          <w:szCs w:val="24"/>
        </w:rPr>
        <w:t>ment being made</w:t>
      </w:r>
      <w:r w:rsidRPr="00F06B69">
        <w:rPr>
          <w:rStyle w:val="SubtleEmphasis"/>
          <w:rFonts w:ascii="Times New Roman" w:hAnsi="Times New Roman"/>
          <w:b w:val="0"/>
          <w:bCs/>
          <w:i w:val="0"/>
          <w:iCs w:val="0"/>
          <w:sz w:val="24"/>
          <w:szCs w:val="24"/>
        </w:rPr>
        <w:t xml:space="preserve"> by the court</w:t>
      </w:r>
      <w:r w:rsidR="00976BCE">
        <w:rPr>
          <w:rStyle w:val="SubtleEmphasis"/>
          <w:rFonts w:ascii="Times New Roman" w:hAnsi="Times New Roman"/>
          <w:b w:val="0"/>
          <w:bCs/>
          <w:i w:val="0"/>
          <w:iCs w:val="0"/>
          <w:sz w:val="24"/>
          <w:szCs w:val="24"/>
        </w:rPr>
        <w:t>,</w:t>
      </w:r>
      <w:r w:rsidRPr="00F06B69">
        <w:rPr>
          <w:rStyle w:val="SubtleEmphasis"/>
          <w:rFonts w:ascii="Times New Roman" w:hAnsi="Times New Roman"/>
          <w:b w:val="0"/>
          <w:bCs/>
          <w:i w:val="0"/>
          <w:iCs w:val="0"/>
          <w:sz w:val="24"/>
          <w:szCs w:val="24"/>
        </w:rPr>
        <w:t xml:space="preserve"> whereas a court supervisor is appointed under the restructuring regime and may </w:t>
      </w:r>
      <w:r w:rsidR="00976BCE">
        <w:rPr>
          <w:rStyle w:val="SubtleEmphasis"/>
          <w:rFonts w:ascii="Times New Roman" w:hAnsi="Times New Roman"/>
          <w:b w:val="0"/>
          <w:bCs/>
          <w:i w:val="0"/>
          <w:iCs w:val="0"/>
          <w:sz w:val="24"/>
          <w:szCs w:val="24"/>
        </w:rPr>
        <w:t xml:space="preserve">either </w:t>
      </w:r>
      <w:r w:rsidRPr="00F06B69">
        <w:rPr>
          <w:rStyle w:val="SubtleEmphasis"/>
          <w:rFonts w:ascii="Times New Roman" w:hAnsi="Times New Roman"/>
          <w:b w:val="0"/>
          <w:bCs/>
          <w:i w:val="0"/>
          <w:iCs w:val="0"/>
          <w:sz w:val="24"/>
          <w:szCs w:val="24"/>
        </w:rPr>
        <w:t xml:space="preserve">be appointed by the debtor or </w:t>
      </w:r>
      <w:r w:rsidR="00976BCE">
        <w:rPr>
          <w:rStyle w:val="SubtleEmphasis"/>
          <w:rFonts w:ascii="Times New Roman" w:hAnsi="Times New Roman"/>
          <w:b w:val="0"/>
          <w:bCs/>
          <w:i w:val="0"/>
          <w:iCs w:val="0"/>
          <w:sz w:val="24"/>
          <w:szCs w:val="24"/>
        </w:rPr>
        <w:t xml:space="preserve">proposed </w:t>
      </w:r>
      <w:r w:rsidRPr="00F06B69">
        <w:rPr>
          <w:rStyle w:val="SubtleEmphasis"/>
          <w:rFonts w:ascii="Times New Roman" w:hAnsi="Times New Roman"/>
          <w:b w:val="0"/>
          <w:bCs/>
          <w:i w:val="0"/>
          <w:iCs w:val="0"/>
          <w:sz w:val="24"/>
          <w:szCs w:val="24"/>
        </w:rPr>
        <w:t>for appointment by the creditor (or creditors).</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The Directive sets out no strict requirements with respect to this issue, thus in our opinion it is not necessary to implement any changes thereto.</w:t>
      </w:r>
    </w:p>
    <w:p w14:paraId="6BCEF464" w14:textId="77777777" w:rsidR="00976BCE" w:rsidRPr="00F06B69" w:rsidRDefault="00976BCE" w:rsidP="00F06B69">
      <w:pPr>
        <w:spacing w:after="0"/>
        <w:rPr>
          <w:rStyle w:val="SubtleEmphasis"/>
          <w:rFonts w:ascii="Times New Roman" w:hAnsi="Times New Roman"/>
          <w:b w:val="0"/>
          <w:bCs/>
          <w:i w:val="0"/>
          <w:iCs w:val="0"/>
          <w:sz w:val="24"/>
          <w:szCs w:val="24"/>
        </w:rPr>
      </w:pPr>
    </w:p>
    <w:p w14:paraId="1CD829B1" w14:textId="3B7733C4" w:rsid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 xml:space="preserve">However, the Polish draft envisages that the appointment of the trustee would be made out of </w:t>
      </w:r>
      <w:r w:rsidR="00976BCE">
        <w:rPr>
          <w:rStyle w:val="SubtleEmphasis"/>
          <w:rFonts w:ascii="Times New Roman" w:hAnsi="Times New Roman"/>
          <w:b w:val="0"/>
          <w:bCs/>
          <w:i w:val="0"/>
          <w:iCs w:val="0"/>
          <w:sz w:val="24"/>
          <w:szCs w:val="24"/>
        </w:rPr>
        <w:t>a</w:t>
      </w:r>
      <w:r w:rsidRPr="00F06B69">
        <w:rPr>
          <w:rStyle w:val="SubtleEmphasis"/>
          <w:rFonts w:ascii="Times New Roman" w:hAnsi="Times New Roman"/>
          <w:b w:val="0"/>
          <w:bCs/>
          <w:i w:val="0"/>
          <w:iCs w:val="0"/>
          <w:sz w:val="24"/>
          <w:szCs w:val="24"/>
        </w:rPr>
        <w:t xml:space="preserve"> list of insolvency practitioners, </w:t>
      </w:r>
      <w:r w:rsidR="00976BCE">
        <w:rPr>
          <w:rStyle w:val="SubtleEmphasis"/>
          <w:rFonts w:ascii="Times New Roman" w:hAnsi="Times New Roman"/>
          <w:b w:val="0"/>
          <w:bCs/>
          <w:i w:val="0"/>
          <w:iCs w:val="0"/>
          <w:sz w:val="24"/>
          <w:szCs w:val="24"/>
        </w:rPr>
        <w:t xml:space="preserve">with </w:t>
      </w:r>
      <w:r w:rsidRPr="00F06B69">
        <w:rPr>
          <w:rStyle w:val="SubtleEmphasis"/>
          <w:rFonts w:ascii="Times New Roman" w:hAnsi="Times New Roman"/>
          <w:b w:val="0"/>
          <w:bCs/>
          <w:i w:val="0"/>
          <w:iCs w:val="0"/>
          <w:sz w:val="24"/>
          <w:szCs w:val="24"/>
        </w:rPr>
        <w:t>an</w:t>
      </w:r>
      <w:r w:rsidR="00976BCE">
        <w:rPr>
          <w:rStyle w:val="SubtleEmphasis"/>
          <w:rFonts w:ascii="Times New Roman" w:hAnsi="Times New Roman"/>
          <w:b w:val="0"/>
          <w:bCs/>
          <w:i w:val="0"/>
          <w:iCs w:val="0"/>
          <w:sz w:val="24"/>
          <w:szCs w:val="24"/>
        </w:rPr>
        <w:t>y</w:t>
      </w:r>
      <w:r w:rsidRPr="00F06B69">
        <w:rPr>
          <w:rStyle w:val="SubtleEmphasis"/>
          <w:rFonts w:ascii="Times New Roman" w:hAnsi="Times New Roman"/>
          <w:b w:val="0"/>
          <w:bCs/>
          <w:i w:val="0"/>
          <w:iCs w:val="0"/>
          <w:sz w:val="24"/>
          <w:szCs w:val="24"/>
        </w:rPr>
        <w:t xml:space="preserve"> insolvency practitioner </w:t>
      </w:r>
      <w:r w:rsidR="00976BCE">
        <w:rPr>
          <w:rStyle w:val="SubtleEmphasis"/>
          <w:rFonts w:ascii="Times New Roman" w:hAnsi="Times New Roman"/>
          <w:b w:val="0"/>
          <w:bCs/>
          <w:i w:val="0"/>
          <w:iCs w:val="0"/>
          <w:sz w:val="24"/>
          <w:szCs w:val="24"/>
        </w:rPr>
        <w:t xml:space="preserve">being able to </w:t>
      </w:r>
      <w:r w:rsidRPr="00F06B69">
        <w:rPr>
          <w:rStyle w:val="SubtleEmphasis"/>
          <w:rFonts w:ascii="Times New Roman" w:hAnsi="Times New Roman"/>
          <w:b w:val="0"/>
          <w:bCs/>
          <w:i w:val="0"/>
          <w:iCs w:val="0"/>
          <w:sz w:val="24"/>
          <w:szCs w:val="24"/>
        </w:rPr>
        <w:t xml:space="preserve">choose 3 courts </w:t>
      </w:r>
      <w:r w:rsidR="00976BCE">
        <w:rPr>
          <w:rStyle w:val="SubtleEmphasis"/>
          <w:rFonts w:ascii="Times New Roman" w:hAnsi="Times New Roman"/>
          <w:b w:val="0"/>
          <w:bCs/>
          <w:i w:val="0"/>
          <w:iCs w:val="0"/>
          <w:sz w:val="24"/>
          <w:szCs w:val="24"/>
        </w:rPr>
        <w:t xml:space="preserve">by which </w:t>
      </w:r>
      <w:r w:rsidRPr="00F06B69">
        <w:rPr>
          <w:rStyle w:val="SubtleEmphasis"/>
          <w:rFonts w:ascii="Times New Roman" w:hAnsi="Times New Roman"/>
          <w:b w:val="0"/>
          <w:bCs/>
          <w:i w:val="0"/>
          <w:iCs w:val="0"/>
          <w:sz w:val="24"/>
          <w:szCs w:val="24"/>
        </w:rPr>
        <w:t xml:space="preserve">they can be appointed. This system is somehow close to </w:t>
      </w:r>
      <w:r w:rsidR="00976BCE">
        <w:rPr>
          <w:rStyle w:val="SubtleEmphasis"/>
          <w:rFonts w:ascii="Times New Roman" w:hAnsi="Times New Roman"/>
          <w:b w:val="0"/>
          <w:bCs/>
          <w:i w:val="0"/>
          <w:iCs w:val="0"/>
          <w:sz w:val="24"/>
          <w:szCs w:val="24"/>
        </w:rPr>
        <w:t xml:space="preserve">selection by the </w:t>
      </w:r>
      <w:r w:rsidRPr="00F06B69">
        <w:rPr>
          <w:rStyle w:val="SubtleEmphasis"/>
          <w:rFonts w:ascii="Times New Roman" w:hAnsi="Times New Roman"/>
          <w:b w:val="0"/>
          <w:bCs/>
          <w:i w:val="0"/>
          <w:iCs w:val="0"/>
          <w:sz w:val="24"/>
          <w:szCs w:val="24"/>
        </w:rPr>
        <w:t>drawing</w:t>
      </w:r>
      <w:r w:rsidR="00976BCE">
        <w:rPr>
          <w:rStyle w:val="SubtleEmphasis"/>
          <w:rFonts w:ascii="Times New Roman" w:hAnsi="Times New Roman"/>
          <w:b w:val="0"/>
          <w:bCs/>
          <w:i w:val="0"/>
          <w:iCs w:val="0"/>
          <w:sz w:val="24"/>
          <w:szCs w:val="24"/>
        </w:rPr>
        <w:t xml:space="preserve"> of lots</w:t>
      </w:r>
      <w:r w:rsidRPr="00F06B69">
        <w:rPr>
          <w:rStyle w:val="SubtleEmphasis"/>
          <w:rFonts w:ascii="Times New Roman" w:hAnsi="Times New Roman"/>
          <w:b w:val="0"/>
          <w:bCs/>
          <w:i w:val="0"/>
          <w:iCs w:val="0"/>
          <w:sz w:val="24"/>
          <w:szCs w:val="24"/>
        </w:rPr>
        <w:t xml:space="preserve">, because a trustee never knows what bankruptcy proceedings they will get. Although there are some exceptions envisaged, the general idea provides for automatic choice of a trustee, according to the number assigned to them from the list, </w:t>
      </w:r>
      <w:r w:rsidR="00976BCE">
        <w:rPr>
          <w:rStyle w:val="SubtleEmphasis"/>
          <w:rFonts w:ascii="Times New Roman" w:hAnsi="Times New Roman"/>
          <w:b w:val="0"/>
          <w:bCs/>
          <w:i w:val="0"/>
          <w:iCs w:val="0"/>
          <w:sz w:val="24"/>
          <w:szCs w:val="24"/>
        </w:rPr>
        <w:t xml:space="preserve">even if a </w:t>
      </w:r>
      <w:r w:rsidRPr="00F06B69">
        <w:rPr>
          <w:rStyle w:val="SubtleEmphasis"/>
          <w:rFonts w:ascii="Times New Roman" w:hAnsi="Times New Roman"/>
          <w:b w:val="0"/>
          <w:bCs/>
          <w:i w:val="0"/>
          <w:iCs w:val="0"/>
          <w:sz w:val="24"/>
          <w:szCs w:val="24"/>
        </w:rPr>
        <w:t>qualified insolvency practitioner title</w:t>
      </w:r>
      <w:r w:rsidR="00976BCE">
        <w:rPr>
          <w:rStyle w:val="SubtleEmphasis"/>
          <w:rFonts w:ascii="Times New Roman" w:hAnsi="Times New Roman"/>
          <w:b w:val="0"/>
          <w:bCs/>
          <w:i w:val="0"/>
          <w:iCs w:val="0"/>
          <w:sz w:val="24"/>
          <w:szCs w:val="24"/>
        </w:rPr>
        <w:t xml:space="preserve"> will be </w:t>
      </w:r>
      <w:r w:rsidRPr="00F06B69">
        <w:rPr>
          <w:rStyle w:val="SubtleEmphasis"/>
          <w:rFonts w:ascii="Times New Roman" w:hAnsi="Times New Roman"/>
          <w:b w:val="0"/>
          <w:bCs/>
          <w:i w:val="0"/>
          <w:iCs w:val="0"/>
          <w:sz w:val="24"/>
          <w:szCs w:val="24"/>
        </w:rPr>
        <w:t>required for the biggest and most important proceedings.</w:t>
      </w:r>
    </w:p>
    <w:p w14:paraId="6709C61C" w14:textId="77777777" w:rsidR="00976BCE" w:rsidRPr="00F06B69" w:rsidRDefault="00976BCE" w:rsidP="00F06B69">
      <w:pPr>
        <w:spacing w:after="0"/>
        <w:rPr>
          <w:rStyle w:val="SubtleEmphasis"/>
          <w:rFonts w:ascii="Times New Roman" w:hAnsi="Times New Roman"/>
          <w:b w:val="0"/>
          <w:bCs/>
          <w:i w:val="0"/>
          <w:iCs w:val="0"/>
          <w:sz w:val="24"/>
          <w:szCs w:val="24"/>
        </w:rPr>
      </w:pPr>
    </w:p>
    <w:p w14:paraId="7463CAD3" w14:textId="2A681772"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Moreover, the Polish bill challenges the freedom of establishment of insolvency practitioners, who are entrepreneurs, imposing an obligation on them to choose specific courts.</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 xml:space="preserve">The first draft provided for application of these new rules even in arrangement approval proceedings, where the legal basis for supervision over proceedings is the agreement </w:t>
      </w:r>
      <w:r w:rsidR="00976BCE">
        <w:rPr>
          <w:rStyle w:val="SubtleEmphasis"/>
          <w:rFonts w:ascii="Times New Roman" w:hAnsi="Times New Roman"/>
          <w:b w:val="0"/>
          <w:bCs/>
          <w:i w:val="0"/>
          <w:iCs w:val="0"/>
          <w:sz w:val="24"/>
          <w:szCs w:val="24"/>
        </w:rPr>
        <w:t xml:space="preserve">between </w:t>
      </w:r>
      <w:r w:rsidRPr="00F06B69">
        <w:rPr>
          <w:rStyle w:val="SubtleEmphasis"/>
          <w:rFonts w:ascii="Times New Roman" w:hAnsi="Times New Roman"/>
          <w:b w:val="0"/>
          <w:bCs/>
          <w:i w:val="0"/>
          <w:iCs w:val="0"/>
          <w:sz w:val="24"/>
          <w:szCs w:val="24"/>
        </w:rPr>
        <w:t>the debtor and insolvency practitioner.</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Thankfully, after hefty criticism, the former government resigned from this particular idea.</w:t>
      </w:r>
    </w:p>
    <w:p w14:paraId="30BE7879" w14:textId="77777777" w:rsidR="00976BCE" w:rsidRDefault="00976BCE" w:rsidP="00F06B69">
      <w:pPr>
        <w:spacing w:after="0"/>
        <w:rPr>
          <w:rStyle w:val="SubtleEmphasis"/>
          <w:rFonts w:ascii="Times New Roman" w:hAnsi="Times New Roman"/>
          <w:b w:val="0"/>
          <w:bCs/>
          <w:i w:val="0"/>
          <w:iCs w:val="0"/>
          <w:sz w:val="24"/>
          <w:szCs w:val="24"/>
        </w:rPr>
      </w:pPr>
    </w:p>
    <w:p w14:paraId="3368EEB9" w14:textId="782C694D"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Nevertheless, we are still forced to continue to criticise the latest currently discussed version of the bill, because of i</w:t>
      </w:r>
      <w:r w:rsidR="00976BCE">
        <w:rPr>
          <w:rStyle w:val="SubtleEmphasis"/>
          <w:rFonts w:ascii="Times New Roman" w:hAnsi="Times New Roman"/>
          <w:b w:val="0"/>
          <w:bCs/>
          <w:i w:val="0"/>
          <w:iCs w:val="0"/>
          <w:sz w:val="24"/>
          <w:szCs w:val="24"/>
        </w:rPr>
        <w:t>ts</w:t>
      </w:r>
      <w:r w:rsidRPr="00F06B69">
        <w:rPr>
          <w:rStyle w:val="SubtleEmphasis"/>
          <w:rFonts w:ascii="Times New Roman" w:hAnsi="Times New Roman"/>
          <w:b w:val="0"/>
          <w:bCs/>
          <w:i w:val="0"/>
          <w:iCs w:val="0"/>
          <w:sz w:val="24"/>
          <w:szCs w:val="24"/>
        </w:rPr>
        <w:t xml:space="preserve"> interference in the freedom of conducting business activity by insolvency practitioners and fails to address the obviously problematic issue.</w:t>
      </w:r>
    </w:p>
    <w:p w14:paraId="0F118ECF" w14:textId="77777777" w:rsidR="00976BCE" w:rsidRDefault="00976BCE" w:rsidP="00F06B69">
      <w:pPr>
        <w:spacing w:after="0"/>
        <w:rPr>
          <w:rStyle w:val="SubtleEmphasis"/>
          <w:rFonts w:ascii="Times New Roman" w:hAnsi="Times New Roman"/>
          <w:b w:val="0"/>
          <w:bCs/>
          <w:i w:val="0"/>
          <w:iCs w:val="0"/>
          <w:sz w:val="24"/>
          <w:szCs w:val="24"/>
        </w:rPr>
      </w:pPr>
    </w:p>
    <w:p w14:paraId="5B9B029A" w14:textId="19242CFC"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 xml:space="preserve">The proposed regulation does not put the right stress on the competences of the trustee. We also believe it pushes transparency to the limits at too high a level it seems, threatening </w:t>
      </w:r>
      <w:r w:rsidR="00976BCE">
        <w:rPr>
          <w:rStyle w:val="SubtleEmphasis"/>
          <w:rFonts w:ascii="Times New Roman" w:hAnsi="Times New Roman"/>
          <w:b w:val="0"/>
          <w:bCs/>
          <w:i w:val="0"/>
          <w:iCs w:val="0"/>
          <w:sz w:val="24"/>
          <w:szCs w:val="24"/>
        </w:rPr>
        <w:t xml:space="preserve">the </w:t>
      </w:r>
      <w:r w:rsidRPr="00F06B69">
        <w:rPr>
          <w:rStyle w:val="SubtleEmphasis"/>
          <w:rFonts w:ascii="Times New Roman" w:hAnsi="Times New Roman"/>
          <w:b w:val="0"/>
          <w:bCs/>
          <w:i w:val="0"/>
          <w:iCs w:val="0"/>
          <w:sz w:val="24"/>
          <w:szCs w:val="24"/>
        </w:rPr>
        <w:t>professionalism of trustees and their proper experience in handling cases.</w:t>
      </w:r>
    </w:p>
    <w:p w14:paraId="424B23B1" w14:textId="77777777" w:rsidR="00976BCE" w:rsidRDefault="00976BCE" w:rsidP="00F06B69">
      <w:pPr>
        <w:spacing w:after="0"/>
        <w:rPr>
          <w:rStyle w:val="SubtleEmphasis"/>
          <w:rFonts w:ascii="Times New Roman" w:hAnsi="Times New Roman"/>
          <w:b w:val="0"/>
          <w:bCs/>
          <w:i w:val="0"/>
          <w:iCs w:val="0"/>
          <w:sz w:val="24"/>
          <w:szCs w:val="24"/>
        </w:rPr>
      </w:pPr>
    </w:p>
    <w:p w14:paraId="64BFAE27" w14:textId="41838111"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 xml:space="preserve">These plans raised a lot of discussion in Poland, and in our view, proposed changes should be criticised. As </w:t>
      </w:r>
      <w:r w:rsidR="00976BCE">
        <w:rPr>
          <w:rStyle w:val="SubtleEmphasis"/>
          <w:rFonts w:ascii="Times New Roman" w:hAnsi="Times New Roman"/>
          <w:b w:val="0"/>
          <w:bCs/>
          <w:i w:val="0"/>
          <w:iCs w:val="0"/>
          <w:sz w:val="24"/>
          <w:szCs w:val="24"/>
        </w:rPr>
        <w:t>at time of writing</w:t>
      </w:r>
      <w:r w:rsidRPr="00F06B69">
        <w:rPr>
          <w:rStyle w:val="SubtleEmphasis"/>
          <w:rFonts w:ascii="Times New Roman" w:hAnsi="Times New Roman"/>
          <w:b w:val="0"/>
          <w:bCs/>
          <w:i w:val="0"/>
          <w:iCs w:val="0"/>
          <w:sz w:val="24"/>
          <w:szCs w:val="24"/>
        </w:rPr>
        <w:t xml:space="preserve">, the bill has been withdrawn from the Parliament for further work </w:t>
      </w:r>
      <w:r w:rsidR="00976BCE">
        <w:rPr>
          <w:rStyle w:val="SubtleEmphasis"/>
          <w:rFonts w:ascii="Times New Roman" w:hAnsi="Times New Roman"/>
          <w:b w:val="0"/>
          <w:bCs/>
          <w:i w:val="0"/>
          <w:iCs w:val="0"/>
          <w:sz w:val="24"/>
          <w:szCs w:val="24"/>
        </w:rPr>
        <w:t xml:space="preserve">by </w:t>
      </w:r>
      <w:r w:rsidRPr="00F06B69">
        <w:rPr>
          <w:rStyle w:val="SubtleEmphasis"/>
          <w:rFonts w:ascii="Times New Roman" w:hAnsi="Times New Roman"/>
          <w:b w:val="0"/>
          <w:bCs/>
          <w:i w:val="0"/>
          <w:iCs w:val="0"/>
          <w:sz w:val="24"/>
          <w:szCs w:val="24"/>
        </w:rPr>
        <w:t>the government.</w:t>
      </w:r>
    </w:p>
    <w:p w14:paraId="7FE4AF80" w14:textId="77777777" w:rsidR="00976BCE" w:rsidRDefault="00976BCE" w:rsidP="00F06B69">
      <w:pPr>
        <w:spacing w:after="0"/>
        <w:rPr>
          <w:rStyle w:val="SubtleEmphasis"/>
          <w:rFonts w:ascii="Times New Roman" w:hAnsi="Times New Roman"/>
          <w:b w:val="0"/>
          <w:bCs/>
          <w:i w:val="0"/>
          <w:iCs w:val="0"/>
          <w:sz w:val="24"/>
          <w:szCs w:val="24"/>
        </w:rPr>
      </w:pPr>
    </w:p>
    <w:p w14:paraId="2888F0B3" w14:textId="585604D6" w:rsidR="00F06B69" w:rsidRPr="00976BCE" w:rsidRDefault="00F06B69" w:rsidP="00F06B69">
      <w:pPr>
        <w:spacing w:after="0"/>
        <w:rPr>
          <w:rStyle w:val="SubtleEmphasis"/>
          <w:rFonts w:ascii="Times New Roman" w:hAnsi="Times New Roman"/>
          <w:b w:val="0"/>
          <w:bCs/>
          <w:sz w:val="24"/>
          <w:szCs w:val="24"/>
        </w:rPr>
      </w:pPr>
      <w:r w:rsidRPr="00976BCE">
        <w:rPr>
          <w:rStyle w:val="SubtleEmphasis"/>
          <w:rFonts w:ascii="Times New Roman" w:hAnsi="Times New Roman"/>
          <w:b w:val="0"/>
          <w:bCs/>
          <w:sz w:val="24"/>
          <w:szCs w:val="24"/>
        </w:rPr>
        <w:t>Sei</w:t>
      </w:r>
      <w:r w:rsidR="00976BCE">
        <w:rPr>
          <w:rStyle w:val="SubtleEmphasis"/>
          <w:rFonts w:ascii="Times New Roman" w:hAnsi="Times New Roman"/>
          <w:b w:val="0"/>
          <w:bCs/>
          <w:sz w:val="24"/>
          <w:szCs w:val="24"/>
        </w:rPr>
        <w:t>zi</w:t>
      </w:r>
      <w:r w:rsidRPr="00976BCE">
        <w:rPr>
          <w:rStyle w:val="SubtleEmphasis"/>
          <w:rFonts w:ascii="Times New Roman" w:hAnsi="Times New Roman"/>
          <w:b w:val="0"/>
          <w:bCs/>
          <w:sz w:val="24"/>
          <w:szCs w:val="24"/>
        </w:rPr>
        <w:t xml:space="preserve">ng the opportunity – what </w:t>
      </w:r>
      <w:r w:rsidR="00976BCE">
        <w:rPr>
          <w:rStyle w:val="SubtleEmphasis"/>
          <w:rFonts w:ascii="Times New Roman" w:hAnsi="Times New Roman"/>
          <w:b w:val="0"/>
          <w:bCs/>
          <w:sz w:val="24"/>
          <w:szCs w:val="24"/>
        </w:rPr>
        <w:t>could</w:t>
      </w:r>
      <w:r w:rsidRPr="00976BCE">
        <w:rPr>
          <w:rStyle w:val="SubtleEmphasis"/>
          <w:rFonts w:ascii="Times New Roman" w:hAnsi="Times New Roman"/>
          <w:b w:val="0"/>
          <w:bCs/>
          <w:sz w:val="24"/>
          <w:szCs w:val="24"/>
        </w:rPr>
        <w:t xml:space="preserve"> be changed?</w:t>
      </w:r>
    </w:p>
    <w:p w14:paraId="58022BC3" w14:textId="49A97C71"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lastRenderedPageBreak/>
        <w:t>We believe that there will be space for further improvements – touching also the appointment of trustees and court lists of insolvency practitioners who can serve as arrangement supervisors within restructuring proceedings.</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Happily, currently most of ideas covered by the Second Chance Directive are already within the Polish legal framework, thus the lawmakers can focus merely on additional changes that may be introduced.</w:t>
      </w:r>
    </w:p>
    <w:p w14:paraId="1512C972" w14:textId="77777777" w:rsidR="00976BCE" w:rsidRDefault="00976BCE" w:rsidP="00F06B69">
      <w:pPr>
        <w:spacing w:after="0"/>
        <w:rPr>
          <w:rStyle w:val="SubtleEmphasis"/>
          <w:rFonts w:ascii="Times New Roman" w:hAnsi="Times New Roman"/>
          <w:b w:val="0"/>
          <w:bCs/>
          <w:i w:val="0"/>
          <w:iCs w:val="0"/>
          <w:sz w:val="24"/>
          <w:szCs w:val="24"/>
        </w:rPr>
      </w:pPr>
    </w:p>
    <w:p w14:paraId="7F941D21" w14:textId="5B3241CB" w:rsid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 xml:space="preserve">Firstly, there comes </w:t>
      </w:r>
      <w:r w:rsidR="00976BCE">
        <w:rPr>
          <w:rStyle w:val="SubtleEmphasis"/>
          <w:rFonts w:ascii="Times New Roman" w:hAnsi="Times New Roman"/>
          <w:b w:val="0"/>
          <w:bCs/>
          <w:i w:val="0"/>
          <w:iCs w:val="0"/>
          <w:sz w:val="24"/>
          <w:szCs w:val="24"/>
        </w:rPr>
        <w:t>the</w:t>
      </w:r>
      <w:r w:rsidRPr="00F06B69">
        <w:rPr>
          <w:rStyle w:val="SubtleEmphasis"/>
          <w:rFonts w:ascii="Times New Roman" w:hAnsi="Times New Roman"/>
          <w:b w:val="0"/>
          <w:bCs/>
          <w:i w:val="0"/>
          <w:iCs w:val="0"/>
          <w:sz w:val="24"/>
          <w:szCs w:val="24"/>
        </w:rPr>
        <w:t xml:space="preserve"> issue of </w:t>
      </w:r>
      <w:r w:rsidR="00976BCE">
        <w:rPr>
          <w:rStyle w:val="SubtleEmphasis"/>
          <w:rFonts w:ascii="Times New Roman" w:hAnsi="Times New Roman"/>
          <w:b w:val="0"/>
          <w:bCs/>
          <w:i w:val="0"/>
          <w:iCs w:val="0"/>
          <w:sz w:val="24"/>
          <w:szCs w:val="24"/>
        </w:rPr>
        <w:t xml:space="preserve">an appropriate </w:t>
      </w:r>
      <w:r w:rsidRPr="00F06B69">
        <w:rPr>
          <w:rStyle w:val="SubtleEmphasis"/>
          <w:rFonts w:ascii="Times New Roman" w:hAnsi="Times New Roman"/>
          <w:b w:val="0"/>
          <w:bCs/>
          <w:i w:val="0"/>
          <w:iCs w:val="0"/>
          <w:sz w:val="24"/>
          <w:szCs w:val="24"/>
        </w:rPr>
        <w:t xml:space="preserve">organizational structure </w:t>
      </w:r>
      <w:r w:rsidR="00976BCE">
        <w:rPr>
          <w:rStyle w:val="SubtleEmphasis"/>
          <w:rFonts w:ascii="Times New Roman" w:hAnsi="Times New Roman"/>
          <w:b w:val="0"/>
          <w:bCs/>
          <w:i w:val="0"/>
          <w:iCs w:val="0"/>
          <w:sz w:val="24"/>
          <w:szCs w:val="24"/>
        </w:rPr>
        <w:t xml:space="preserve">for the </w:t>
      </w:r>
      <w:r w:rsidRPr="00F06B69">
        <w:rPr>
          <w:rStyle w:val="SubtleEmphasis"/>
          <w:rFonts w:ascii="Times New Roman" w:hAnsi="Times New Roman"/>
          <w:b w:val="0"/>
          <w:bCs/>
          <w:i w:val="0"/>
          <w:iCs w:val="0"/>
          <w:sz w:val="24"/>
          <w:szCs w:val="24"/>
        </w:rPr>
        <w:t>insolvency</w:t>
      </w:r>
      <w:r w:rsidR="00976BCE">
        <w:rPr>
          <w:rStyle w:val="SubtleEmphasis"/>
          <w:rFonts w:ascii="Times New Roman" w:hAnsi="Times New Roman"/>
          <w:b w:val="0"/>
          <w:bCs/>
          <w:i w:val="0"/>
          <w:iCs w:val="0"/>
          <w:sz w:val="24"/>
          <w:szCs w:val="24"/>
        </w:rPr>
        <w:t>-</w:t>
      </w:r>
      <w:r w:rsidRPr="00F06B69">
        <w:rPr>
          <w:rStyle w:val="SubtleEmphasis"/>
          <w:rFonts w:ascii="Times New Roman" w:hAnsi="Times New Roman"/>
          <w:b w:val="0"/>
          <w:bCs/>
          <w:i w:val="0"/>
          <w:iCs w:val="0"/>
          <w:sz w:val="24"/>
          <w:szCs w:val="24"/>
        </w:rPr>
        <w:t>related judicia</w:t>
      </w:r>
      <w:r w:rsidR="00976BCE">
        <w:rPr>
          <w:rStyle w:val="SubtleEmphasis"/>
          <w:rFonts w:ascii="Times New Roman" w:hAnsi="Times New Roman"/>
          <w:b w:val="0"/>
          <w:bCs/>
          <w:i w:val="0"/>
          <w:iCs w:val="0"/>
          <w:sz w:val="24"/>
          <w:szCs w:val="24"/>
        </w:rPr>
        <w:t>l</w:t>
      </w:r>
      <w:r w:rsidRPr="00F06B69">
        <w:rPr>
          <w:rStyle w:val="SubtleEmphasis"/>
          <w:rFonts w:ascii="Times New Roman" w:hAnsi="Times New Roman"/>
          <w:b w:val="0"/>
          <w:bCs/>
          <w:i w:val="0"/>
          <w:iCs w:val="0"/>
          <w:sz w:val="24"/>
          <w:szCs w:val="24"/>
        </w:rPr>
        <w:t xml:space="preserve"> system</w:t>
      </w:r>
      <w:r w:rsidR="00976BCE">
        <w:rPr>
          <w:rStyle w:val="SubtleEmphasis"/>
          <w:rFonts w:ascii="Times New Roman" w:hAnsi="Times New Roman"/>
          <w:b w:val="0"/>
          <w:bCs/>
          <w:i w:val="0"/>
          <w:iCs w:val="0"/>
          <w:sz w:val="24"/>
          <w:szCs w:val="24"/>
        </w:rPr>
        <w:t>,</w:t>
      </w:r>
      <w:r w:rsidRPr="00F06B69">
        <w:rPr>
          <w:rStyle w:val="SubtleEmphasis"/>
          <w:rFonts w:ascii="Times New Roman" w:hAnsi="Times New Roman"/>
          <w:b w:val="0"/>
          <w:bCs/>
          <w:i w:val="0"/>
          <w:iCs w:val="0"/>
          <w:sz w:val="24"/>
          <w:szCs w:val="24"/>
        </w:rPr>
        <w:t xml:space="preserve"> which is nowadays inefficient, </w:t>
      </w:r>
      <w:r w:rsidR="00976BCE">
        <w:rPr>
          <w:rStyle w:val="SubtleEmphasis"/>
          <w:rFonts w:ascii="Times New Roman" w:hAnsi="Times New Roman"/>
          <w:b w:val="0"/>
          <w:bCs/>
          <w:i w:val="0"/>
          <w:iCs w:val="0"/>
          <w:sz w:val="24"/>
          <w:szCs w:val="24"/>
        </w:rPr>
        <w:t xml:space="preserve">despite </w:t>
      </w:r>
      <w:r w:rsidRPr="00F06B69">
        <w:rPr>
          <w:rStyle w:val="SubtleEmphasis"/>
          <w:rFonts w:ascii="Times New Roman" w:hAnsi="Times New Roman"/>
          <w:b w:val="0"/>
          <w:bCs/>
          <w:i w:val="0"/>
          <w:iCs w:val="0"/>
          <w:sz w:val="24"/>
          <w:szCs w:val="24"/>
        </w:rPr>
        <w:t xml:space="preserve">the idea of reform </w:t>
      </w:r>
      <w:r w:rsidR="00976BCE">
        <w:rPr>
          <w:rStyle w:val="SubtleEmphasis"/>
          <w:rFonts w:ascii="Times New Roman" w:hAnsi="Times New Roman"/>
          <w:b w:val="0"/>
          <w:bCs/>
          <w:i w:val="0"/>
          <w:iCs w:val="0"/>
          <w:sz w:val="24"/>
          <w:szCs w:val="24"/>
        </w:rPr>
        <w:t xml:space="preserve">having </w:t>
      </w:r>
      <w:r w:rsidRPr="00F06B69">
        <w:rPr>
          <w:rStyle w:val="SubtleEmphasis"/>
          <w:rFonts w:ascii="Times New Roman" w:hAnsi="Times New Roman"/>
          <w:b w:val="0"/>
          <w:bCs/>
          <w:i w:val="0"/>
          <w:iCs w:val="0"/>
          <w:sz w:val="24"/>
          <w:szCs w:val="24"/>
        </w:rPr>
        <w:t>been discussed for at least 20 years so far.</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 xml:space="preserve">Secondly, important changes may be introduced to insolvency practitioners formal self-government structures, endowing them with the possibility to </w:t>
      </w:r>
      <w:r w:rsidR="00976BCE">
        <w:rPr>
          <w:rStyle w:val="SubtleEmphasis"/>
          <w:rFonts w:ascii="Times New Roman" w:hAnsi="Times New Roman"/>
          <w:b w:val="0"/>
          <w:bCs/>
          <w:i w:val="0"/>
          <w:iCs w:val="0"/>
          <w:sz w:val="24"/>
          <w:szCs w:val="24"/>
        </w:rPr>
        <w:t xml:space="preserve">enforce </w:t>
      </w:r>
      <w:r w:rsidRPr="00F06B69">
        <w:rPr>
          <w:rStyle w:val="SubtleEmphasis"/>
          <w:rFonts w:ascii="Times New Roman" w:hAnsi="Times New Roman"/>
          <w:b w:val="0"/>
          <w:bCs/>
          <w:i w:val="0"/>
          <w:iCs w:val="0"/>
          <w:sz w:val="24"/>
          <w:szCs w:val="24"/>
        </w:rPr>
        <w:t>disciplinary responsibility.</w:t>
      </w:r>
    </w:p>
    <w:p w14:paraId="689C0781" w14:textId="77777777" w:rsidR="00976BCE" w:rsidRPr="00F06B69" w:rsidRDefault="00976BCE" w:rsidP="00F06B69">
      <w:pPr>
        <w:spacing w:after="0"/>
        <w:rPr>
          <w:rStyle w:val="SubtleEmphasis"/>
          <w:rFonts w:ascii="Times New Roman" w:hAnsi="Times New Roman"/>
          <w:b w:val="0"/>
          <w:bCs/>
          <w:i w:val="0"/>
          <w:iCs w:val="0"/>
          <w:sz w:val="24"/>
          <w:szCs w:val="24"/>
        </w:rPr>
      </w:pPr>
    </w:p>
    <w:p w14:paraId="702E8800" w14:textId="72C35533" w:rsid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With regard to the organization of the judiciary system, nowadays, first instance bankruptcy and restructuring cases are processed in district courts (</w:t>
      </w:r>
      <w:proofErr w:type="spellStart"/>
      <w:r w:rsidRPr="00976BCE">
        <w:rPr>
          <w:rStyle w:val="SubtleEmphasis"/>
          <w:rFonts w:ascii="Times New Roman" w:hAnsi="Times New Roman"/>
          <w:b w:val="0"/>
          <w:bCs/>
          <w:sz w:val="24"/>
          <w:szCs w:val="24"/>
        </w:rPr>
        <w:t>sądy</w:t>
      </w:r>
      <w:proofErr w:type="spellEnd"/>
      <w:r w:rsidRPr="00976BCE">
        <w:rPr>
          <w:rStyle w:val="SubtleEmphasis"/>
          <w:rFonts w:ascii="Times New Roman" w:hAnsi="Times New Roman"/>
          <w:b w:val="0"/>
          <w:bCs/>
          <w:sz w:val="24"/>
          <w:szCs w:val="24"/>
        </w:rPr>
        <w:t xml:space="preserve"> </w:t>
      </w:r>
      <w:proofErr w:type="spellStart"/>
      <w:r w:rsidRPr="00976BCE">
        <w:rPr>
          <w:rStyle w:val="SubtleEmphasis"/>
          <w:rFonts w:ascii="Times New Roman" w:hAnsi="Times New Roman"/>
          <w:b w:val="0"/>
          <w:bCs/>
          <w:sz w:val="24"/>
          <w:szCs w:val="24"/>
        </w:rPr>
        <w:t>rejonowe</w:t>
      </w:r>
      <w:proofErr w:type="spellEnd"/>
      <w:r w:rsidRPr="00F06B69">
        <w:rPr>
          <w:rStyle w:val="SubtleEmphasis"/>
          <w:rFonts w:ascii="Times New Roman" w:hAnsi="Times New Roman"/>
          <w:b w:val="0"/>
          <w:bCs/>
          <w:i w:val="0"/>
          <w:iCs w:val="0"/>
          <w:sz w:val="24"/>
          <w:szCs w:val="24"/>
        </w:rPr>
        <w:t xml:space="preserve">), which are the lowest level of Polish courts, irrespective of the value of the case and its complexity. Therefore, a first-instance judge has to deal with complex restructuring cases valued at billions of Polish zloty </w:t>
      </w:r>
      <w:r w:rsidR="00976BCE">
        <w:rPr>
          <w:rStyle w:val="SubtleEmphasis"/>
          <w:rFonts w:ascii="Times New Roman" w:hAnsi="Times New Roman"/>
          <w:b w:val="0"/>
          <w:bCs/>
          <w:i w:val="0"/>
          <w:iCs w:val="0"/>
          <w:sz w:val="24"/>
          <w:szCs w:val="24"/>
        </w:rPr>
        <w:t xml:space="preserve">as well as </w:t>
      </w:r>
      <w:r w:rsidRPr="00F06B69">
        <w:rPr>
          <w:rStyle w:val="SubtleEmphasis"/>
          <w:rFonts w:ascii="Times New Roman" w:hAnsi="Times New Roman"/>
          <w:b w:val="0"/>
          <w:bCs/>
          <w:i w:val="0"/>
          <w:iCs w:val="0"/>
          <w:sz w:val="24"/>
          <w:szCs w:val="24"/>
        </w:rPr>
        <w:t>simple consumer bankruptcy cases of relatively small value. The workload is overwhelming. First-instance judges are dealing with approximately 200 consumer bankruptcy cases and ten corporate restructuring cases at the same time – an untenable work load.</w:t>
      </w:r>
    </w:p>
    <w:p w14:paraId="4AA86DC1" w14:textId="77777777" w:rsidR="00976BCE" w:rsidRPr="00F06B69" w:rsidRDefault="00976BCE" w:rsidP="00F06B69">
      <w:pPr>
        <w:spacing w:after="0"/>
        <w:rPr>
          <w:rStyle w:val="SubtleEmphasis"/>
          <w:rFonts w:ascii="Times New Roman" w:hAnsi="Times New Roman"/>
          <w:b w:val="0"/>
          <w:bCs/>
          <w:i w:val="0"/>
          <w:iCs w:val="0"/>
          <w:sz w:val="24"/>
          <w:szCs w:val="24"/>
        </w:rPr>
      </w:pPr>
    </w:p>
    <w:p w14:paraId="42E3EE77" w14:textId="3DD382E1"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 xml:space="preserve">A better system would leave consumer bankruptcy cases at the district court level, so that individuals would have easy access to justice, whereas complex restructuring cases </w:t>
      </w:r>
      <w:r w:rsidR="00976BCE">
        <w:rPr>
          <w:rStyle w:val="SubtleEmphasis"/>
          <w:rFonts w:ascii="Times New Roman" w:hAnsi="Times New Roman"/>
          <w:b w:val="0"/>
          <w:bCs/>
          <w:i w:val="0"/>
          <w:iCs w:val="0"/>
          <w:sz w:val="24"/>
          <w:szCs w:val="24"/>
        </w:rPr>
        <w:t>c</w:t>
      </w:r>
      <w:r w:rsidRPr="00F06B69">
        <w:rPr>
          <w:rStyle w:val="SubtleEmphasis"/>
          <w:rFonts w:ascii="Times New Roman" w:hAnsi="Times New Roman"/>
          <w:b w:val="0"/>
          <w:bCs/>
          <w:i w:val="0"/>
          <w:iCs w:val="0"/>
          <w:sz w:val="24"/>
          <w:szCs w:val="24"/>
        </w:rPr>
        <w:t>ould be moved to regional courts.</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Such a reform has been discussed for over 20 years now, and lat</w:t>
      </w:r>
      <w:r w:rsidR="00976BCE">
        <w:rPr>
          <w:rStyle w:val="SubtleEmphasis"/>
          <w:rFonts w:ascii="Times New Roman" w:hAnsi="Times New Roman"/>
          <w:b w:val="0"/>
          <w:bCs/>
          <w:i w:val="0"/>
          <w:iCs w:val="0"/>
          <w:sz w:val="24"/>
          <w:szCs w:val="24"/>
        </w:rPr>
        <w:t>e</w:t>
      </w:r>
      <w:r w:rsidRPr="00F06B69">
        <w:rPr>
          <w:rStyle w:val="SubtleEmphasis"/>
          <w:rFonts w:ascii="Times New Roman" w:hAnsi="Times New Roman"/>
          <w:b w:val="0"/>
          <w:bCs/>
          <w:i w:val="0"/>
          <w:iCs w:val="0"/>
          <w:sz w:val="24"/>
          <w:szCs w:val="24"/>
        </w:rPr>
        <w:t>ly has been emphasized by the INSO Section of the Allerhand Institute.</w:t>
      </w:r>
    </w:p>
    <w:p w14:paraId="1370EC05" w14:textId="77777777" w:rsidR="00976BCE" w:rsidRDefault="00976BCE" w:rsidP="00F06B69">
      <w:pPr>
        <w:spacing w:after="0"/>
        <w:rPr>
          <w:rStyle w:val="SubtleEmphasis"/>
          <w:rFonts w:ascii="Times New Roman" w:hAnsi="Times New Roman"/>
          <w:b w:val="0"/>
          <w:bCs/>
          <w:i w:val="0"/>
          <w:iCs w:val="0"/>
          <w:sz w:val="24"/>
          <w:szCs w:val="24"/>
        </w:rPr>
      </w:pPr>
    </w:p>
    <w:p w14:paraId="62C67F18" w14:textId="09A1A022" w:rsid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We believe the regional courts should also become specialised second-instance courts for cases from district courts.</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Moreover, cases heard in regional courts (</w:t>
      </w:r>
      <w:proofErr w:type="spellStart"/>
      <w:r w:rsidRPr="00976BCE">
        <w:rPr>
          <w:rStyle w:val="SubtleEmphasis"/>
          <w:rFonts w:ascii="Times New Roman" w:hAnsi="Times New Roman"/>
          <w:b w:val="0"/>
          <w:bCs/>
          <w:sz w:val="24"/>
          <w:szCs w:val="24"/>
        </w:rPr>
        <w:t>sąd</w:t>
      </w:r>
      <w:proofErr w:type="spellEnd"/>
      <w:r w:rsidRPr="00976BCE">
        <w:rPr>
          <w:rStyle w:val="SubtleEmphasis"/>
          <w:rFonts w:ascii="Times New Roman" w:hAnsi="Times New Roman"/>
          <w:b w:val="0"/>
          <w:bCs/>
          <w:sz w:val="24"/>
          <w:szCs w:val="24"/>
        </w:rPr>
        <w:t xml:space="preserve"> </w:t>
      </w:r>
      <w:proofErr w:type="spellStart"/>
      <w:r w:rsidRPr="00976BCE">
        <w:rPr>
          <w:rStyle w:val="SubtleEmphasis"/>
          <w:rFonts w:ascii="Times New Roman" w:hAnsi="Times New Roman"/>
          <w:b w:val="0"/>
          <w:bCs/>
          <w:sz w:val="24"/>
          <w:szCs w:val="24"/>
        </w:rPr>
        <w:t>okręgowy</w:t>
      </w:r>
      <w:proofErr w:type="spellEnd"/>
      <w:r w:rsidRPr="00F06B69">
        <w:rPr>
          <w:rStyle w:val="SubtleEmphasis"/>
          <w:rFonts w:ascii="Times New Roman" w:hAnsi="Times New Roman"/>
          <w:b w:val="0"/>
          <w:bCs/>
          <w:i w:val="0"/>
          <w:iCs w:val="0"/>
          <w:sz w:val="24"/>
          <w:szCs w:val="24"/>
        </w:rPr>
        <w:t xml:space="preserve">) could be appealed </w:t>
      </w:r>
      <w:r w:rsidR="00976BCE">
        <w:rPr>
          <w:rStyle w:val="SubtleEmphasis"/>
          <w:rFonts w:ascii="Times New Roman" w:hAnsi="Times New Roman"/>
          <w:b w:val="0"/>
          <w:bCs/>
          <w:i w:val="0"/>
          <w:iCs w:val="0"/>
          <w:sz w:val="24"/>
          <w:szCs w:val="24"/>
        </w:rPr>
        <w:t xml:space="preserve">to the </w:t>
      </w:r>
      <w:r w:rsidRPr="00F06B69">
        <w:rPr>
          <w:rStyle w:val="SubtleEmphasis"/>
          <w:rFonts w:ascii="Times New Roman" w:hAnsi="Times New Roman"/>
          <w:b w:val="0"/>
          <w:bCs/>
          <w:i w:val="0"/>
          <w:iCs w:val="0"/>
          <w:sz w:val="24"/>
          <w:szCs w:val="24"/>
        </w:rPr>
        <w:t>appellate courts (</w:t>
      </w:r>
      <w:proofErr w:type="spellStart"/>
      <w:r w:rsidRPr="00976BCE">
        <w:rPr>
          <w:rStyle w:val="SubtleEmphasis"/>
          <w:rFonts w:ascii="Times New Roman" w:hAnsi="Times New Roman"/>
          <w:b w:val="0"/>
          <w:bCs/>
          <w:sz w:val="24"/>
          <w:szCs w:val="24"/>
        </w:rPr>
        <w:t>sądy</w:t>
      </w:r>
      <w:proofErr w:type="spellEnd"/>
      <w:r w:rsidRPr="00976BCE">
        <w:rPr>
          <w:rStyle w:val="SubtleEmphasis"/>
          <w:rFonts w:ascii="Times New Roman" w:hAnsi="Times New Roman"/>
          <w:b w:val="0"/>
          <w:bCs/>
          <w:sz w:val="24"/>
          <w:szCs w:val="24"/>
        </w:rPr>
        <w:t xml:space="preserve"> </w:t>
      </w:r>
      <w:proofErr w:type="spellStart"/>
      <w:r w:rsidRPr="00976BCE">
        <w:rPr>
          <w:rStyle w:val="SubtleEmphasis"/>
          <w:rFonts w:ascii="Times New Roman" w:hAnsi="Times New Roman"/>
          <w:b w:val="0"/>
          <w:bCs/>
          <w:sz w:val="24"/>
          <w:szCs w:val="24"/>
        </w:rPr>
        <w:t>apelacyjne</w:t>
      </w:r>
      <w:proofErr w:type="spellEnd"/>
      <w:r w:rsidRPr="00F06B69">
        <w:rPr>
          <w:rStyle w:val="SubtleEmphasis"/>
          <w:rFonts w:ascii="Times New Roman" w:hAnsi="Times New Roman"/>
          <w:b w:val="0"/>
          <w:bCs/>
          <w:i w:val="0"/>
          <w:iCs w:val="0"/>
          <w:sz w:val="24"/>
          <w:szCs w:val="24"/>
        </w:rPr>
        <w:t>), which will help to make judgements more uniform in restructuring cases. Currently</w:t>
      </w:r>
      <w:r w:rsidR="00976BCE">
        <w:rPr>
          <w:rStyle w:val="SubtleEmphasis"/>
          <w:rFonts w:ascii="Times New Roman" w:hAnsi="Times New Roman"/>
          <w:b w:val="0"/>
          <w:bCs/>
          <w:i w:val="0"/>
          <w:iCs w:val="0"/>
          <w:sz w:val="24"/>
          <w:szCs w:val="24"/>
        </w:rPr>
        <w:t>,</w:t>
      </w:r>
      <w:r w:rsidRPr="00F06B69">
        <w:rPr>
          <w:rStyle w:val="SubtleEmphasis"/>
          <w:rFonts w:ascii="Times New Roman" w:hAnsi="Times New Roman"/>
          <w:b w:val="0"/>
          <w:bCs/>
          <w:i w:val="0"/>
          <w:iCs w:val="0"/>
          <w:sz w:val="24"/>
          <w:szCs w:val="24"/>
        </w:rPr>
        <w:t xml:space="preserve"> Poland struggles with differing judgements in similar cases, which is a pitfall that needs to be addressed.</w:t>
      </w:r>
    </w:p>
    <w:p w14:paraId="1888E323" w14:textId="77777777" w:rsidR="00976BCE" w:rsidRPr="00F06B69" w:rsidRDefault="00976BCE" w:rsidP="00F06B69">
      <w:pPr>
        <w:spacing w:after="0"/>
        <w:rPr>
          <w:rStyle w:val="SubtleEmphasis"/>
          <w:rFonts w:ascii="Times New Roman" w:hAnsi="Times New Roman"/>
          <w:b w:val="0"/>
          <w:bCs/>
          <w:i w:val="0"/>
          <w:iCs w:val="0"/>
          <w:sz w:val="24"/>
          <w:szCs w:val="24"/>
        </w:rPr>
      </w:pPr>
    </w:p>
    <w:p w14:paraId="3F3397A0" w14:textId="31A9A0B3"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There is also a need to create a special chamber or unit with</w:t>
      </w:r>
      <w:r w:rsidR="00976BCE">
        <w:rPr>
          <w:rStyle w:val="SubtleEmphasis"/>
          <w:rFonts w:ascii="Times New Roman" w:hAnsi="Times New Roman"/>
          <w:b w:val="0"/>
          <w:bCs/>
          <w:i w:val="0"/>
          <w:iCs w:val="0"/>
          <w:sz w:val="24"/>
          <w:szCs w:val="24"/>
        </w:rPr>
        <w:t>in</w:t>
      </w:r>
      <w:r w:rsidRPr="00F06B69">
        <w:rPr>
          <w:rStyle w:val="SubtleEmphasis"/>
          <w:rFonts w:ascii="Times New Roman" w:hAnsi="Times New Roman"/>
          <w:b w:val="0"/>
          <w:bCs/>
          <w:i w:val="0"/>
          <w:iCs w:val="0"/>
          <w:sz w:val="24"/>
          <w:szCs w:val="24"/>
        </w:rPr>
        <w:t xml:space="preserve"> the Supreme Court (</w:t>
      </w:r>
      <w:proofErr w:type="spellStart"/>
      <w:r w:rsidRPr="00976BCE">
        <w:rPr>
          <w:rStyle w:val="SubtleEmphasis"/>
          <w:rFonts w:ascii="Times New Roman" w:hAnsi="Times New Roman"/>
          <w:b w:val="0"/>
          <w:bCs/>
          <w:sz w:val="24"/>
          <w:szCs w:val="24"/>
        </w:rPr>
        <w:t>Sąd</w:t>
      </w:r>
      <w:proofErr w:type="spellEnd"/>
      <w:r w:rsidRPr="00976BCE">
        <w:rPr>
          <w:rStyle w:val="SubtleEmphasis"/>
          <w:rFonts w:ascii="Times New Roman" w:hAnsi="Times New Roman"/>
          <w:b w:val="0"/>
          <w:bCs/>
          <w:sz w:val="24"/>
          <w:szCs w:val="24"/>
        </w:rPr>
        <w:t xml:space="preserve"> </w:t>
      </w:r>
      <w:proofErr w:type="spellStart"/>
      <w:r w:rsidRPr="00976BCE">
        <w:rPr>
          <w:rStyle w:val="SubtleEmphasis"/>
          <w:rFonts w:ascii="Times New Roman" w:hAnsi="Times New Roman"/>
          <w:b w:val="0"/>
          <w:bCs/>
          <w:sz w:val="24"/>
          <w:szCs w:val="24"/>
        </w:rPr>
        <w:t>Najwyższy</w:t>
      </w:r>
      <w:proofErr w:type="spellEnd"/>
      <w:r w:rsidRPr="00F06B69">
        <w:rPr>
          <w:rStyle w:val="SubtleEmphasis"/>
          <w:rFonts w:ascii="Times New Roman" w:hAnsi="Times New Roman"/>
          <w:b w:val="0"/>
          <w:bCs/>
          <w:i w:val="0"/>
          <w:iCs w:val="0"/>
          <w:sz w:val="24"/>
          <w:szCs w:val="24"/>
        </w:rPr>
        <w:t>), which would be responsible for restructuring and insolvency cases.</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 xml:space="preserve">In our opinion, this reform complies with the requirements set forth in the Restructuring Directive, which </w:t>
      </w:r>
      <w:r w:rsidR="00976BCE">
        <w:rPr>
          <w:rStyle w:val="SubtleEmphasis"/>
          <w:rFonts w:ascii="Times New Roman" w:hAnsi="Times New Roman"/>
          <w:b w:val="0"/>
          <w:bCs/>
          <w:i w:val="0"/>
          <w:iCs w:val="0"/>
          <w:sz w:val="24"/>
          <w:szCs w:val="24"/>
        </w:rPr>
        <w:t xml:space="preserve">places the </w:t>
      </w:r>
      <w:r w:rsidRPr="00F06B69">
        <w:rPr>
          <w:rStyle w:val="SubtleEmphasis"/>
          <w:rFonts w:ascii="Times New Roman" w:hAnsi="Times New Roman"/>
          <w:b w:val="0"/>
          <w:bCs/>
          <w:i w:val="0"/>
          <w:iCs w:val="0"/>
          <w:sz w:val="24"/>
          <w:szCs w:val="24"/>
        </w:rPr>
        <w:t>stress on efficient judicia</w:t>
      </w:r>
      <w:r w:rsidR="00976BCE">
        <w:rPr>
          <w:rStyle w:val="SubtleEmphasis"/>
          <w:rFonts w:ascii="Times New Roman" w:hAnsi="Times New Roman"/>
          <w:b w:val="0"/>
          <w:bCs/>
          <w:i w:val="0"/>
          <w:iCs w:val="0"/>
          <w:sz w:val="24"/>
          <w:szCs w:val="24"/>
        </w:rPr>
        <w:t>l</w:t>
      </w:r>
      <w:r w:rsidRPr="00F06B69">
        <w:rPr>
          <w:rStyle w:val="SubtleEmphasis"/>
          <w:rFonts w:ascii="Times New Roman" w:hAnsi="Times New Roman"/>
          <w:b w:val="0"/>
          <w:bCs/>
          <w:i w:val="0"/>
          <w:iCs w:val="0"/>
          <w:sz w:val="24"/>
          <w:szCs w:val="24"/>
        </w:rPr>
        <w:t xml:space="preserve"> system</w:t>
      </w:r>
      <w:r w:rsidR="00976BCE">
        <w:rPr>
          <w:rStyle w:val="SubtleEmphasis"/>
          <w:rFonts w:ascii="Times New Roman" w:hAnsi="Times New Roman"/>
          <w:b w:val="0"/>
          <w:bCs/>
          <w:i w:val="0"/>
          <w:iCs w:val="0"/>
          <w:sz w:val="24"/>
          <w:szCs w:val="24"/>
        </w:rPr>
        <w:t>s</w:t>
      </w:r>
      <w:r w:rsidRPr="00F06B69">
        <w:rPr>
          <w:rStyle w:val="SubtleEmphasis"/>
          <w:rFonts w:ascii="Times New Roman" w:hAnsi="Times New Roman"/>
          <w:b w:val="0"/>
          <w:bCs/>
          <w:i w:val="0"/>
          <w:iCs w:val="0"/>
          <w:sz w:val="24"/>
          <w:szCs w:val="24"/>
        </w:rPr>
        <w:t xml:space="preserve"> and also </w:t>
      </w:r>
      <w:r w:rsidR="00976BCE">
        <w:rPr>
          <w:rStyle w:val="SubtleEmphasis"/>
          <w:rFonts w:ascii="Times New Roman" w:hAnsi="Times New Roman"/>
          <w:b w:val="0"/>
          <w:bCs/>
          <w:i w:val="0"/>
          <w:iCs w:val="0"/>
          <w:sz w:val="24"/>
          <w:szCs w:val="24"/>
        </w:rPr>
        <w:t xml:space="preserve">the </w:t>
      </w:r>
      <w:r w:rsidRPr="00F06B69">
        <w:rPr>
          <w:rStyle w:val="SubtleEmphasis"/>
          <w:rFonts w:ascii="Times New Roman" w:hAnsi="Times New Roman"/>
          <w:b w:val="0"/>
          <w:bCs/>
          <w:i w:val="0"/>
          <w:iCs w:val="0"/>
          <w:sz w:val="24"/>
          <w:szCs w:val="24"/>
        </w:rPr>
        <w:t>proper training of insolvency practitioners.</w:t>
      </w:r>
    </w:p>
    <w:p w14:paraId="728893AF" w14:textId="77777777" w:rsidR="00976BCE" w:rsidRDefault="00976BCE" w:rsidP="00F06B69">
      <w:pPr>
        <w:spacing w:after="0"/>
        <w:rPr>
          <w:rStyle w:val="SubtleEmphasis"/>
          <w:rFonts w:ascii="Times New Roman" w:hAnsi="Times New Roman"/>
          <w:b w:val="0"/>
          <w:bCs/>
          <w:i w:val="0"/>
          <w:iCs w:val="0"/>
          <w:sz w:val="24"/>
          <w:szCs w:val="24"/>
        </w:rPr>
      </w:pPr>
    </w:p>
    <w:p w14:paraId="394CAC91" w14:textId="7C969562" w:rsidR="00F06B69" w:rsidRPr="00507D9F" w:rsidRDefault="00F06B69" w:rsidP="00F06B69">
      <w:pPr>
        <w:spacing w:after="0"/>
        <w:rPr>
          <w:rStyle w:val="SubtleEmphasis"/>
          <w:rFonts w:ascii="Times New Roman" w:hAnsi="Times New Roman"/>
          <w:b w:val="0"/>
          <w:bCs/>
          <w:sz w:val="24"/>
          <w:szCs w:val="24"/>
        </w:rPr>
      </w:pPr>
      <w:r w:rsidRPr="00507D9F">
        <w:rPr>
          <w:rStyle w:val="SubtleEmphasis"/>
          <w:rFonts w:ascii="Times New Roman" w:hAnsi="Times New Roman"/>
          <w:b w:val="0"/>
          <w:bCs/>
          <w:sz w:val="24"/>
          <w:szCs w:val="24"/>
        </w:rPr>
        <w:t>Conclusions</w:t>
      </w:r>
    </w:p>
    <w:p w14:paraId="3A78B4AF" w14:textId="77777777" w:rsidR="00976BCE" w:rsidRDefault="00976BCE" w:rsidP="00F06B69">
      <w:pPr>
        <w:spacing w:after="0"/>
        <w:rPr>
          <w:rStyle w:val="SubtleEmphasis"/>
          <w:rFonts w:ascii="Times New Roman" w:hAnsi="Times New Roman"/>
          <w:b w:val="0"/>
          <w:bCs/>
          <w:i w:val="0"/>
          <w:iCs w:val="0"/>
          <w:sz w:val="24"/>
          <w:szCs w:val="24"/>
        </w:rPr>
      </w:pPr>
    </w:p>
    <w:p w14:paraId="04B20B4F" w14:textId="244FB53F" w:rsidR="00F06B69" w:rsidRPr="00F06B69" w:rsidRDefault="00F06B69" w:rsidP="00F06B69">
      <w:pPr>
        <w:spacing w:after="0"/>
        <w:rPr>
          <w:rStyle w:val="SubtleEmphasis"/>
          <w:rFonts w:ascii="Times New Roman" w:hAnsi="Times New Roman"/>
          <w:b w:val="0"/>
          <w:bCs/>
          <w:i w:val="0"/>
          <w:iCs w:val="0"/>
          <w:sz w:val="24"/>
          <w:szCs w:val="24"/>
        </w:rPr>
      </w:pPr>
      <w:r w:rsidRPr="00F06B69">
        <w:rPr>
          <w:rStyle w:val="SubtleEmphasis"/>
          <w:rFonts w:ascii="Times New Roman" w:hAnsi="Times New Roman"/>
          <w:b w:val="0"/>
          <w:bCs/>
          <w:i w:val="0"/>
          <w:iCs w:val="0"/>
          <w:sz w:val="24"/>
          <w:szCs w:val="24"/>
        </w:rPr>
        <w:t xml:space="preserve">To sum up, we would like to point out that the matter of implementation of the Second Chance Directive </w:t>
      </w:r>
      <w:r w:rsidR="00976BCE">
        <w:rPr>
          <w:rStyle w:val="SubtleEmphasis"/>
          <w:rFonts w:ascii="Times New Roman" w:hAnsi="Times New Roman"/>
          <w:b w:val="0"/>
          <w:bCs/>
          <w:i w:val="0"/>
          <w:iCs w:val="0"/>
          <w:sz w:val="24"/>
          <w:szCs w:val="24"/>
        </w:rPr>
        <w:t xml:space="preserve">has </w:t>
      </w:r>
      <w:r w:rsidRPr="00F06B69">
        <w:rPr>
          <w:rStyle w:val="SubtleEmphasis"/>
          <w:rFonts w:ascii="Times New Roman" w:hAnsi="Times New Roman"/>
          <w:b w:val="0"/>
          <w:bCs/>
          <w:i w:val="0"/>
          <w:iCs w:val="0"/>
          <w:sz w:val="24"/>
          <w:szCs w:val="24"/>
        </w:rPr>
        <w:t>bec</w:t>
      </w:r>
      <w:r w:rsidR="00976BCE">
        <w:rPr>
          <w:rStyle w:val="SubtleEmphasis"/>
          <w:rFonts w:ascii="Times New Roman" w:hAnsi="Times New Roman"/>
          <w:b w:val="0"/>
          <w:bCs/>
          <w:i w:val="0"/>
          <w:iCs w:val="0"/>
          <w:sz w:val="24"/>
          <w:szCs w:val="24"/>
        </w:rPr>
        <w:t>o</w:t>
      </w:r>
      <w:r w:rsidRPr="00F06B69">
        <w:rPr>
          <w:rStyle w:val="SubtleEmphasis"/>
          <w:rFonts w:ascii="Times New Roman" w:hAnsi="Times New Roman"/>
          <w:b w:val="0"/>
          <w:bCs/>
          <w:i w:val="0"/>
          <w:iCs w:val="0"/>
          <w:sz w:val="24"/>
          <w:szCs w:val="24"/>
        </w:rPr>
        <w:t>me an urgent issue in Poland, as we are currently the only EU Member State with no implementation so far.</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 xml:space="preserve">Unless the Directive is implemented within a very short time, Poland may be subject to financial penalties as the European Commission may </w:t>
      </w:r>
      <w:r w:rsidR="00976BCE">
        <w:rPr>
          <w:rStyle w:val="SubtleEmphasis"/>
          <w:rFonts w:ascii="Times New Roman" w:hAnsi="Times New Roman"/>
          <w:b w:val="0"/>
          <w:bCs/>
          <w:i w:val="0"/>
          <w:iCs w:val="0"/>
          <w:sz w:val="24"/>
          <w:szCs w:val="24"/>
        </w:rPr>
        <w:t xml:space="preserve">take proceedings against </w:t>
      </w:r>
      <w:r w:rsidRPr="00F06B69">
        <w:rPr>
          <w:rStyle w:val="SubtleEmphasis"/>
          <w:rFonts w:ascii="Times New Roman" w:hAnsi="Times New Roman"/>
          <w:b w:val="0"/>
          <w:bCs/>
          <w:i w:val="0"/>
          <w:iCs w:val="0"/>
          <w:sz w:val="24"/>
          <w:szCs w:val="24"/>
        </w:rPr>
        <w:t xml:space="preserve">Poland before the European </w:t>
      </w:r>
      <w:r w:rsidR="00976BCE">
        <w:rPr>
          <w:rStyle w:val="SubtleEmphasis"/>
          <w:rFonts w:ascii="Times New Roman" w:hAnsi="Times New Roman"/>
          <w:b w:val="0"/>
          <w:bCs/>
          <w:i w:val="0"/>
          <w:iCs w:val="0"/>
          <w:sz w:val="24"/>
          <w:szCs w:val="24"/>
        </w:rPr>
        <w:t xml:space="preserve">Court </w:t>
      </w:r>
      <w:r w:rsidRPr="00F06B69">
        <w:rPr>
          <w:rStyle w:val="SubtleEmphasis"/>
          <w:rFonts w:ascii="Times New Roman" w:hAnsi="Times New Roman"/>
          <w:b w:val="0"/>
          <w:bCs/>
          <w:i w:val="0"/>
          <w:iCs w:val="0"/>
          <w:sz w:val="24"/>
          <w:szCs w:val="24"/>
        </w:rPr>
        <w:t>for failure to implement the Directive.</w:t>
      </w:r>
    </w:p>
    <w:p w14:paraId="23A81BF5" w14:textId="77777777" w:rsidR="00976BCE" w:rsidRDefault="00976BCE" w:rsidP="00F06B69">
      <w:pPr>
        <w:spacing w:after="0"/>
        <w:rPr>
          <w:rStyle w:val="SubtleEmphasis"/>
          <w:rFonts w:ascii="Times New Roman" w:hAnsi="Times New Roman"/>
          <w:b w:val="0"/>
          <w:bCs/>
          <w:i w:val="0"/>
          <w:iCs w:val="0"/>
          <w:sz w:val="24"/>
          <w:szCs w:val="24"/>
        </w:rPr>
      </w:pPr>
    </w:p>
    <w:p w14:paraId="5761A948" w14:textId="4272E242" w:rsidR="0047439B" w:rsidRPr="00F06B69" w:rsidRDefault="00F06B69" w:rsidP="00F06B69">
      <w:pPr>
        <w:spacing w:after="0"/>
        <w:rPr>
          <w:rFonts w:ascii="Times New Roman" w:hAnsi="Times New Roman"/>
          <w:bCs/>
          <w:sz w:val="24"/>
          <w:szCs w:val="24"/>
        </w:rPr>
      </w:pPr>
      <w:r w:rsidRPr="00F06B69">
        <w:rPr>
          <w:rStyle w:val="SubtleEmphasis"/>
          <w:rFonts w:ascii="Times New Roman" w:hAnsi="Times New Roman"/>
          <w:b w:val="0"/>
          <w:bCs/>
          <w:i w:val="0"/>
          <w:iCs w:val="0"/>
          <w:sz w:val="24"/>
          <w:szCs w:val="24"/>
        </w:rPr>
        <w:t>The current government has an opportunity to implement the new changes in the judicial system and improve other areas that badly need improvement.</w:t>
      </w:r>
      <w:r w:rsidR="00976BCE">
        <w:rPr>
          <w:rStyle w:val="SubtleEmphasis"/>
          <w:rFonts w:ascii="Times New Roman" w:hAnsi="Times New Roman"/>
          <w:b w:val="0"/>
          <w:bCs/>
          <w:i w:val="0"/>
          <w:iCs w:val="0"/>
          <w:sz w:val="24"/>
          <w:szCs w:val="24"/>
        </w:rPr>
        <w:t xml:space="preserve"> </w:t>
      </w:r>
      <w:r w:rsidRPr="00F06B69">
        <w:rPr>
          <w:rStyle w:val="SubtleEmphasis"/>
          <w:rFonts w:ascii="Times New Roman" w:hAnsi="Times New Roman"/>
          <w:b w:val="0"/>
          <w:bCs/>
          <w:i w:val="0"/>
          <w:iCs w:val="0"/>
          <w:sz w:val="24"/>
          <w:szCs w:val="24"/>
        </w:rPr>
        <w:t xml:space="preserve">Therefore, </w:t>
      </w:r>
      <w:r w:rsidR="00976BCE">
        <w:rPr>
          <w:rStyle w:val="SubtleEmphasis"/>
          <w:rFonts w:ascii="Times New Roman" w:hAnsi="Times New Roman"/>
          <w:b w:val="0"/>
          <w:bCs/>
          <w:i w:val="0"/>
          <w:iCs w:val="0"/>
          <w:sz w:val="24"/>
          <w:szCs w:val="24"/>
        </w:rPr>
        <w:t xml:space="preserve">it is hoped that the </w:t>
      </w:r>
      <w:r w:rsidRPr="00F06B69">
        <w:rPr>
          <w:rStyle w:val="SubtleEmphasis"/>
          <w:rFonts w:ascii="Times New Roman" w:hAnsi="Times New Roman"/>
          <w:b w:val="0"/>
          <w:bCs/>
          <w:i w:val="0"/>
          <w:iCs w:val="0"/>
          <w:sz w:val="24"/>
          <w:szCs w:val="24"/>
        </w:rPr>
        <w:lastRenderedPageBreak/>
        <w:t xml:space="preserve">Polish government can really give a second chance to … the Second Chance Directive, properly and effectively </w:t>
      </w:r>
      <w:r w:rsidR="00507D9F">
        <w:rPr>
          <w:rStyle w:val="SubtleEmphasis"/>
          <w:rFonts w:ascii="Times New Roman" w:hAnsi="Times New Roman"/>
          <w:b w:val="0"/>
          <w:bCs/>
          <w:i w:val="0"/>
          <w:iCs w:val="0"/>
          <w:sz w:val="24"/>
          <w:szCs w:val="24"/>
        </w:rPr>
        <w:t>implemented</w:t>
      </w:r>
      <w:r w:rsidRPr="00F06B69">
        <w:rPr>
          <w:rStyle w:val="SubtleEmphasis"/>
          <w:rFonts w:ascii="Times New Roman" w:hAnsi="Times New Roman"/>
          <w:b w:val="0"/>
          <w:bCs/>
          <w:i w:val="0"/>
          <w:iCs w:val="0"/>
          <w:sz w:val="24"/>
          <w:szCs w:val="24"/>
        </w:rPr>
        <w:t>.</w:t>
      </w:r>
    </w:p>
    <w:sectPr w:rsidR="0047439B" w:rsidRPr="00F06B69"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E263" w14:textId="77777777" w:rsidR="00A10442" w:rsidRDefault="00A10442">
      <w:r>
        <w:separator/>
      </w:r>
    </w:p>
  </w:endnote>
  <w:endnote w:type="continuationSeparator" w:id="0">
    <w:p w14:paraId="18D27540" w14:textId="77777777" w:rsidR="00A10442" w:rsidRDefault="00A1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566FF" w14:textId="77777777" w:rsidR="00A10442" w:rsidRDefault="00A10442">
      <w:r>
        <w:separator/>
      </w:r>
    </w:p>
  </w:footnote>
  <w:footnote w:type="continuationSeparator" w:id="0">
    <w:p w14:paraId="162E9832" w14:textId="77777777" w:rsidR="00A10442" w:rsidRDefault="00A1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5D96271B" w:rsidR="00D90E9D" w:rsidRPr="00F06B69" w:rsidRDefault="00BF3D3E" w:rsidP="00D90E9D">
    <w:pPr>
      <w:pStyle w:val="Header"/>
      <w:spacing w:after="0"/>
      <w:rPr>
        <w:rFonts w:ascii="Times New Roman" w:hAnsi="Times New Roman"/>
        <w:b/>
        <w:sz w:val="20"/>
      </w:rPr>
    </w:pPr>
    <w:r w:rsidRPr="00F06B69">
      <w:rPr>
        <w:rFonts w:ascii="Times New Roman" w:hAnsi="Times New Roman"/>
        <w:b/>
        <w:sz w:val="20"/>
      </w:rPr>
      <w:t>Inside Story (</w:t>
    </w:r>
    <w:r w:rsidR="00F06B69" w:rsidRPr="00F06B69">
      <w:rPr>
        <w:rFonts w:ascii="Times New Roman" w:hAnsi="Times New Roman"/>
        <w:b/>
        <w:sz w:val="20"/>
      </w:rPr>
      <w:t>Febr</w:t>
    </w:r>
    <w:r w:rsidR="0016531A" w:rsidRPr="00F06B69">
      <w:rPr>
        <w:rFonts w:ascii="Times New Roman" w:hAnsi="Times New Roman"/>
        <w:b/>
        <w:sz w:val="20"/>
      </w:rPr>
      <w:t>uary</w:t>
    </w:r>
    <w:r w:rsidR="002A5779" w:rsidRPr="00F06B69">
      <w:rPr>
        <w:rFonts w:ascii="Times New Roman" w:hAnsi="Times New Roman"/>
        <w:b/>
        <w:sz w:val="20"/>
      </w:rPr>
      <w:t xml:space="preserve"> 20</w:t>
    </w:r>
    <w:r w:rsidR="00087612" w:rsidRPr="00F06B69">
      <w:rPr>
        <w:rFonts w:ascii="Times New Roman" w:hAnsi="Times New Roman"/>
        <w:b/>
        <w:sz w:val="20"/>
      </w:rPr>
      <w:t>2</w:t>
    </w:r>
    <w:r w:rsidR="00F06B69" w:rsidRPr="00F06B69">
      <w:rPr>
        <w:rFonts w:ascii="Times New Roman" w:hAnsi="Times New Roman"/>
        <w:b/>
        <w:sz w:val="20"/>
      </w:rPr>
      <w:t>4</w:t>
    </w:r>
    <w:r w:rsidR="00D90E9D" w:rsidRPr="00F06B69">
      <w:rPr>
        <w:rFonts w:ascii="Times New Roman" w:hAnsi="Times New Roman"/>
        <w:b/>
        <w:sz w:val="20"/>
      </w:rPr>
      <w:t>)</w:t>
    </w:r>
  </w:p>
  <w:p w14:paraId="0F2C5C5A" w14:textId="76364E89" w:rsidR="00BF3D3E" w:rsidRPr="00F06B69" w:rsidRDefault="00F06B69" w:rsidP="00D90E9D">
    <w:pPr>
      <w:pStyle w:val="Header"/>
      <w:spacing w:after="0"/>
      <w:rPr>
        <w:rFonts w:ascii="Times New Roman" w:hAnsi="Times New Roman"/>
        <w:b/>
        <w:sz w:val="20"/>
        <w:lang w:val="fr-FR"/>
      </w:rPr>
    </w:pPr>
    <w:r w:rsidRPr="00F06B69">
      <w:rPr>
        <w:rFonts w:ascii="Times New Roman" w:hAnsi="Times New Roman"/>
        <w:b/>
        <w:sz w:val="20"/>
      </w:rPr>
      <w:t xml:space="preserve">Paweł Kuglarz and </w:t>
    </w:r>
    <w:r w:rsidR="0011226B" w:rsidRPr="00F06B69">
      <w:rPr>
        <w:rFonts w:ascii="Times New Roman" w:hAnsi="Times New Roman"/>
        <w:b/>
        <w:sz w:val="20"/>
      </w:rPr>
      <w:t>Mateusz Kaliński</w:t>
    </w:r>
    <w:r w:rsidR="0011226B" w:rsidRPr="00F06B69">
      <w:rPr>
        <w:rFonts w:ascii="Times New Roman" w:hAnsi="Times New Roman"/>
        <w:b/>
        <w:sz w:val="20"/>
        <w:lang w:val="fr-FR"/>
      </w:rPr>
      <w:t xml:space="preserve"> </w:t>
    </w:r>
    <w:r w:rsidR="00640EFC" w:rsidRPr="00F06B69">
      <w:rPr>
        <w:rFonts w:ascii="Times New Roman" w:hAnsi="Times New Roman"/>
        <w:b/>
        <w:sz w:val="20"/>
        <w:lang w:val="fr-FR"/>
      </w:rPr>
      <w:t>(</w:t>
    </w:r>
    <w:r w:rsidR="0011226B" w:rsidRPr="00F06B69">
      <w:rPr>
        <w:rFonts w:ascii="Times New Roman" w:hAnsi="Times New Roman"/>
        <w:b/>
        <w:sz w:val="20"/>
        <w:lang w:val="fr-FR"/>
      </w:rPr>
      <w:t>PL</w:t>
    </w:r>
    <w:r w:rsidR="00BF3D3E" w:rsidRPr="00F06B69">
      <w:rPr>
        <w:rFonts w:ascii="Times New Roman" w:hAnsi="Times New Roman"/>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40B7F"/>
    <w:multiLevelType w:val="hybridMultilevel"/>
    <w:tmpl w:val="E620E25E"/>
    <w:lvl w:ilvl="0" w:tplc="AF8053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0316CA"/>
    <w:multiLevelType w:val="hybridMultilevel"/>
    <w:tmpl w:val="4C90B5A4"/>
    <w:lvl w:ilvl="0" w:tplc="C3E230A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6"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8" w15:restartNumberingAfterBreak="0">
    <w:nsid w:val="1DF87C86"/>
    <w:multiLevelType w:val="hybridMultilevel"/>
    <w:tmpl w:val="1EF86990"/>
    <w:lvl w:ilvl="0" w:tplc="C5644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170A4A"/>
    <w:multiLevelType w:val="hybridMultilevel"/>
    <w:tmpl w:val="51DE230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3" w15:restartNumberingAfterBreak="0">
    <w:nsid w:val="32CE37F3"/>
    <w:multiLevelType w:val="hybridMultilevel"/>
    <w:tmpl w:val="297E2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6447E7"/>
    <w:multiLevelType w:val="hybridMultilevel"/>
    <w:tmpl w:val="4556686C"/>
    <w:lvl w:ilvl="0" w:tplc="B226FDA8">
      <w:start w:val="1"/>
      <w:numFmt w:val="bullet"/>
      <w:lvlText w:val="-"/>
      <w:lvlJc w:val="left"/>
      <w:pPr>
        <w:ind w:left="720" w:hanging="360"/>
      </w:pPr>
      <w:rPr>
        <w:rFonts w:ascii="Tahoma" w:eastAsiaTheme="minorHAnsi"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2"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6"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733233933">
    <w:abstractNumId w:val="15"/>
  </w:num>
  <w:num w:numId="2" w16cid:durableId="1412463002">
    <w:abstractNumId w:val="10"/>
  </w:num>
  <w:num w:numId="3" w16cid:durableId="1914699961">
    <w:abstractNumId w:val="38"/>
  </w:num>
  <w:num w:numId="4" w16cid:durableId="57823174">
    <w:abstractNumId w:val="17"/>
  </w:num>
  <w:num w:numId="5" w16cid:durableId="1903327547">
    <w:abstractNumId w:val="22"/>
  </w:num>
  <w:num w:numId="6" w16cid:durableId="2044399713">
    <w:abstractNumId w:val="39"/>
  </w:num>
  <w:num w:numId="7" w16cid:durableId="287249326">
    <w:abstractNumId w:val="0"/>
  </w:num>
  <w:num w:numId="8" w16cid:durableId="1488982758">
    <w:abstractNumId w:val="14"/>
  </w:num>
  <w:num w:numId="9" w16cid:durableId="286621617">
    <w:abstractNumId w:val="2"/>
  </w:num>
  <w:num w:numId="10" w16cid:durableId="1228222346">
    <w:abstractNumId w:val="1"/>
  </w:num>
  <w:num w:numId="11" w16cid:durableId="2139184216">
    <w:abstractNumId w:val="33"/>
  </w:num>
  <w:num w:numId="12" w16cid:durableId="411783282">
    <w:abstractNumId w:val="13"/>
  </w:num>
  <w:num w:numId="13" w16cid:durableId="774596042">
    <w:abstractNumId w:val="31"/>
  </w:num>
  <w:num w:numId="14" w16cid:durableId="2068720370">
    <w:abstractNumId w:val="22"/>
  </w:num>
  <w:num w:numId="15" w16cid:durableId="1114128293">
    <w:abstractNumId w:val="22"/>
  </w:num>
  <w:num w:numId="16" w16cid:durableId="525098192">
    <w:abstractNumId w:val="22"/>
  </w:num>
  <w:num w:numId="17" w16cid:durableId="935751668">
    <w:abstractNumId w:val="22"/>
  </w:num>
  <w:num w:numId="18" w16cid:durableId="1121193783">
    <w:abstractNumId w:val="22"/>
  </w:num>
  <w:num w:numId="19" w16cid:durableId="347685826">
    <w:abstractNumId w:val="22"/>
  </w:num>
  <w:num w:numId="20" w16cid:durableId="1022899654">
    <w:abstractNumId w:val="10"/>
  </w:num>
  <w:num w:numId="21" w16cid:durableId="1368726225">
    <w:abstractNumId w:val="38"/>
  </w:num>
  <w:num w:numId="22" w16cid:durableId="1988969588">
    <w:abstractNumId w:val="22"/>
  </w:num>
  <w:num w:numId="23" w16cid:durableId="639579769">
    <w:abstractNumId w:val="17"/>
  </w:num>
  <w:num w:numId="24" w16cid:durableId="1216897062">
    <w:abstractNumId w:val="34"/>
  </w:num>
  <w:num w:numId="25" w16cid:durableId="661473746">
    <w:abstractNumId w:val="26"/>
  </w:num>
  <w:num w:numId="26" w16cid:durableId="1826125139">
    <w:abstractNumId w:val="29"/>
  </w:num>
  <w:num w:numId="27" w16cid:durableId="1480267087">
    <w:abstractNumId w:val="24"/>
  </w:num>
  <w:num w:numId="28" w16cid:durableId="1264680869">
    <w:abstractNumId w:val="27"/>
  </w:num>
  <w:num w:numId="29" w16cid:durableId="1334651130">
    <w:abstractNumId w:val="8"/>
  </w:num>
  <w:num w:numId="30" w16cid:durableId="1309745853">
    <w:abstractNumId w:val="16"/>
  </w:num>
  <w:num w:numId="31" w16cid:durableId="1744180693">
    <w:abstractNumId w:val="4"/>
  </w:num>
  <w:num w:numId="32" w16cid:durableId="2036271927">
    <w:abstractNumId w:val="3"/>
  </w:num>
  <w:num w:numId="33" w16cid:durableId="1250432828">
    <w:abstractNumId w:val="37"/>
  </w:num>
  <w:num w:numId="34" w16cid:durableId="1619291204">
    <w:abstractNumId w:val="28"/>
  </w:num>
  <w:num w:numId="35" w16cid:durableId="1155951931">
    <w:abstractNumId w:val="32"/>
  </w:num>
  <w:num w:numId="36" w16cid:durableId="1881238006">
    <w:abstractNumId w:val="12"/>
  </w:num>
  <w:num w:numId="37" w16cid:durableId="1222406646">
    <w:abstractNumId w:val="5"/>
  </w:num>
  <w:num w:numId="38" w16cid:durableId="221260260">
    <w:abstractNumId w:val="20"/>
  </w:num>
  <w:num w:numId="39" w16cid:durableId="2112772298">
    <w:abstractNumId w:val="6"/>
  </w:num>
  <w:num w:numId="40" w16cid:durableId="972979457">
    <w:abstractNumId w:val="35"/>
  </w:num>
  <w:num w:numId="41" w16cid:durableId="167402206">
    <w:abstractNumId w:val="36"/>
  </w:num>
  <w:num w:numId="42" w16cid:durableId="487942754">
    <w:abstractNumId w:val="19"/>
  </w:num>
  <w:num w:numId="43" w16cid:durableId="2024934529">
    <w:abstractNumId w:val="9"/>
  </w:num>
  <w:num w:numId="44" w16cid:durableId="464584883">
    <w:abstractNumId w:val="25"/>
  </w:num>
  <w:num w:numId="45" w16cid:durableId="685597757">
    <w:abstractNumId w:val="21"/>
  </w:num>
  <w:num w:numId="46" w16cid:durableId="45840870">
    <w:abstractNumId w:val="30"/>
  </w:num>
  <w:num w:numId="47" w16cid:durableId="871576141">
    <w:abstractNumId w:val="11"/>
  </w:num>
  <w:num w:numId="48" w16cid:durableId="931359410">
    <w:abstractNumId w:val="23"/>
  </w:num>
  <w:num w:numId="49" w16cid:durableId="717902910">
    <w:abstractNumId w:val="7"/>
  </w:num>
  <w:num w:numId="50" w16cid:durableId="78152993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1226B"/>
    <w:rsid w:val="001258A8"/>
    <w:rsid w:val="00127C4A"/>
    <w:rsid w:val="00141375"/>
    <w:rsid w:val="00145356"/>
    <w:rsid w:val="0016531A"/>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07D9F"/>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25F77"/>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BCE"/>
    <w:rsid w:val="00976F27"/>
    <w:rsid w:val="00977889"/>
    <w:rsid w:val="0098305D"/>
    <w:rsid w:val="00994086"/>
    <w:rsid w:val="009B447C"/>
    <w:rsid w:val="009B5E68"/>
    <w:rsid w:val="009D62BA"/>
    <w:rsid w:val="009E51C4"/>
    <w:rsid w:val="009F52F0"/>
    <w:rsid w:val="00A07FE0"/>
    <w:rsid w:val="00A10442"/>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E09C4"/>
    <w:rsid w:val="00CF6EC0"/>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64EE0"/>
    <w:rsid w:val="00E71E7B"/>
    <w:rsid w:val="00EA5386"/>
    <w:rsid w:val="00EA585B"/>
    <w:rsid w:val="00EB6116"/>
    <w:rsid w:val="00EF5D02"/>
    <w:rsid w:val="00EF6269"/>
    <w:rsid w:val="00F06B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kuglarz@tatar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1306</Words>
  <Characters>7449</Characters>
  <Application>Microsoft Office Word</Application>
  <DocSecurity>0</DocSecurity>
  <PresentationFormat/>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15</cp:revision>
  <cp:lastPrinted>2017-11-20T20:14:00Z</cp:lastPrinted>
  <dcterms:created xsi:type="dcterms:W3CDTF">2021-05-25T19:44:00Z</dcterms:created>
  <dcterms:modified xsi:type="dcterms:W3CDTF">2024-01-30T14:34:00Z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