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B903CC" w:rsidRDefault="005D783E" w:rsidP="003C338F">
      <w:pPr>
        <w:tabs>
          <w:tab w:val="left" w:pos="474"/>
        </w:tabs>
        <w:spacing w:after="0"/>
        <w:contextualSpacing/>
        <w:rPr>
          <w:rFonts w:ascii="Times New Roman" w:hAnsi="Times New Roman"/>
          <w:sz w:val="24"/>
          <w:szCs w:val="24"/>
        </w:rPr>
      </w:pPr>
    </w:p>
    <w:p w14:paraId="39E9118B" w14:textId="561C5F5A" w:rsidR="00617533" w:rsidRPr="00B903CC" w:rsidRDefault="00492065" w:rsidP="008609CB">
      <w:pPr>
        <w:spacing w:after="0"/>
        <w:contextualSpacing/>
        <w:jc w:val="center"/>
        <w:rPr>
          <w:rFonts w:ascii="Times New Roman" w:hAnsi="Times New Roman"/>
          <w:b/>
          <w:sz w:val="24"/>
          <w:szCs w:val="24"/>
        </w:rPr>
      </w:pPr>
      <w:r w:rsidRPr="00B903CC">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903CC" w:rsidRDefault="00617533" w:rsidP="008609CB">
      <w:pPr>
        <w:spacing w:after="0"/>
        <w:contextualSpacing/>
        <w:jc w:val="center"/>
        <w:rPr>
          <w:rFonts w:ascii="Times New Roman" w:hAnsi="Times New Roman"/>
          <w:b/>
          <w:sz w:val="24"/>
          <w:szCs w:val="24"/>
        </w:rPr>
      </w:pPr>
    </w:p>
    <w:p w14:paraId="2C7EFD65" w14:textId="01BCF1F5" w:rsidR="00617533" w:rsidRPr="00B903CC" w:rsidRDefault="00617533" w:rsidP="008609CB">
      <w:pPr>
        <w:spacing w:after="0"/>
        <w:contextualSpacing/>
        <w:jc w:val="center"/>
        <w:rPr>
          <w:rFonts w:ascii="Times New Roman" w:hAnsi="Times New Roman"/>
          <w:b/>
          <w:sz w:val="36"/>
          <w:szCs w:val="36"/>
        </w:rPr>
      </w:pPr>
      <w:r w:rsidRPr="00B903CC">
        <w:rPr>
          <w:rFonts w:ascii="Times New Roman" w:hAnsi="Times New Roman"/>
          <w:b/>
          <w:sz w:val="36"/>
          <w:szCs w:val="36"/>
        </w:rPr>
        <w:t xml:space="preserve">Inside Story – </w:t>
      </w:r>
      <w:r w:rsidR="00183674">
        <w:rPr>
          <w:rFonts w:ascii="Times New Roman" w:hAnsi="Times New Roman"/>
          <w:b/>
          <w:sz w:val="36"/>
          <w:szCs w:val="36"/>
        </w:rPr>
        <w:t>March</w:t>
      </w:r>
      <w:r w:rsidR="00786CA6" w:rsidRPr="00B903CC">
        <w:rPr>
          <w:rFonts w:ascii="Times New Roman" w:hAnsi="Times New Roman"/>
          <w:b/>
          <w:sz w:val="36"/>
          <w:szCs w:val="36"/>
        </w:rPr>
        <w:t xml:space="preserve"> </w:t>
      </w:r>
      <w:r w:rsidRPr="00B903CC">
        <w:rPr>
          <w:rFonts w:ascii="Times New Roman" w:hAnsi="Times New Roman"/>
          <w:b/>
          <w:sz w:val="36"/>
          <w:szCs w:val="36"/>
        </w:rPr>
        <w:t>20</w:t>
      </w:r>
      <w:r w:rsidR="00782731" w:rsidRPr="00B903CC">
        <w:rPr>
          <w:rFonts w:ascii="Times New Roman" w:hAnsi="Times New Roman"/>
          <w:b/>
          <w:sz w:val="36"/>
          <w:szCs w:val="36"/>
        </w:rPr>
        <w:t>2</w:t>
      </w:r>
      <w:r w:rsidR="00183674">
        <w:rPr>
          <w:rFonts w:ascii="Times New Roman" w:hAnsi="Times New Roman"/>
          <w:b/>
          <w:sz w:val="36"/>
          <w:szCs w:val="36"/>
        </w:rPr>
        <w:t>4</w:t>
      </w:r>
    </w:p>
    <w:p w14:paraId="1ECBC4F0" w14:textId="77777777" w:rsidR="00617533" w:rsidRPr="00B903CC" w:rsidRDefault="00617533" w:rsidP="008609CB">
      <w:pPr>
        <w:spacing w:after="0"/>
        <w:contextualSpacing/>
        <w:jc w:val="center"/>
        <w:rPr>
          <w:rFonts w:ascii="Times New Roman" w:hAnsi="Times New Roman"/>
          <w:b/>
          <w:sz w:val="24"/>
          <w:szCs w:val="24"/>
        </w:rPr>
      </w:pPr>
    </w:p>
    <w:p w14:paraId="419043F1" w14:textId="6CC87C7A" w:rsidR="00640EFC" w:rsidRPr="00B903CC" w:rsidRDefault="00E26614" w:rsidP="00640EFC">
      <w:pPr>
        <w:spacing w:after="0"/>
        <w:jc w:val="center"/>
        <w:rPr>
          <w:rFonts w:ascii="Times New Roman" w:hAnsi="Times New Roman"/>
          <w:b/>
          <w:bCs/>
          <w:sz w:val="32"/>
          <w:szCs w:val="32"/>
        </w:rPr>
      </w:pPr>
      <w:r>
        <w:rPr>
          <w:rFonts w:ascii="Times New Roman" w:hAnsi="Times New Roman"/>
          <w:b/>
          <w:bCs/>
          <w:sz w:val="32"/>
          <w:szCs w:val="32"/>
        </w:rPr>
        <w:t>Transposition of the</w:t>
      </w:r>
      <w:r w:rsidR="0016531A">
        <w:rPr>
          <w:rFonts w:ascii="Times New Roman" w:hAnsi="Times New Roman"/>
          <w:b/>
          <w:bCs/>
          <w:sz w:val="32"/>
          <w:szCs w:val="32"/>
        </w:rPr>
        <w:t xml:space="preserve"> </w:t>
      </w:r>
      <w:r>
        <w:rPr>
          <w:rFonts w:ascii="Times New Roman" w:hAnsi="Times New Roman"/>
          <w:b/>
          <w:bCs/>
          <w:sz w:val="32"/>
          <w:szCs w:val="32"/>
        </w:rPr>
        <w:t xml:space="preserve">Preventive Restructuring </w:t>
      </w:r>
      <w:r w:rsidR="0016531A">
        <w:rPr>
          <w:rFonts w:ascii="Times New Roman" w:hAnsi="Times New Roman"/>
          <w:b/>
          <w:bCs/>
          <w:sz w:val="32"/>
          <w:szCs w:val="32"/>
        </w:rPr>
        <w:t xml:space="preserve">Directive </w:t>
      </w:r>
      <w:r>
        <w:rPr>
          <w:rFonts w:ascii="Times New Roman" w:hAnsi="Times New Roman"/>
          <w:b/>
          <w:bCs/>
          <w:sz w:val="32"/>
          <w:szCs w:val="32"/>
        </w:rPr>
        <w:t>into Ukrainian Law</w:t>
      </w:r>
    </w:p>
    <w:p w14:paraId="75DFE654" w14:textId="77777777" w:rsidR="00E71E7B" w:rsidRPr="00B903CC" w:rsidRDefault="00E71E7B" w:rsidP="008609CB">
      <w:pPr>
        <w:spacing w:after="0"/>
        <w:contextualSpacing/>
        <w:jc w:val="center"/>
        <w:rPr>
          <w:rFonts w:ascii="Times New Roman" w:hAnsi="Times New Roman"/>
          <w:sz w:val="24"/>
          <w:szCs w:val="24"/>
        </w:rPr>
      </w:pPr>
    </w:p>
    <w:p w14:paraId="0DAE9D3B" w14:textId="3D5E315B" w:rsidR="0011226B" w:rsidRPr="00B903CC" w:rsidRDefault="00183674" w:rsidP="0011226B">
      <w:pPr>
        <w:pStyle w:val="NoSpacing"/>
        <w:jc w:val="center"/>
        <w:rPr>
          <w:rFonts w:ascii="Times New Roman" w:hAnsi="Times New Roman" w:cs="Times New Roman"/>
          <w:i/>
          <w:iCs/>
          <w:sz w:val="24"/>
          <w:szCs w:val="24"/>
          <w:shd w:val="clear" w:color="auto" w:fill="FFFFFF"/>
          <w:lang w:val="en-GB"/>
        </w:rPr>
      </w:pPr>
      <w:r>
        <w:rPr>
          <w:rFonts w:ascii="Times New Roman" w:hAnsi="Times New Roman" w:cs="Times New Roman"/>
          <w:i/>
          <w:sz w:val="24"/>
          <w:szCs w:val="24"/>
          <w:lang w:val="en-GB"/>
        </w:rPr>
        <w:t xml:space="preserve">Oleksiy Kononov, </w:t>
      </w:r>
      <w:r w:rsidRPr="00F73518">
        <w:rPr>
          <w:rFonts w:ascii="Times New Roman" w:hAnsi="Times New Roman" w:cs="Times New Roman"/>
          <w:i/>
          <w:iCs/>
          <w:sz w:val="24"/>
          <w:szCs w:val="24"/>
          <w:lang w:val="en-GB"/>
        </w:rPr>
        <w:t>MSCA4Ukraine Post-</w:t>
      </w:r>
      <w:r>
        <w:rPr>
          <w:rFonts w:ascii="Times New Roman" w:hAnsi="Times New Roman" w:cs="Times New Roman"/>
          <w:i/>
          <w:iCs/>
          <w:sz w:val="24"/>
          <w:szCs w:val="24"/>
          <w:lang w:val="en-GB"/>
        </w:rPr>
        <w:t>D</w:t>
      </w:r>
      <w:r w:rsidRPr="00F73518">
        <w:rPr>
          <w:rFonts w:ascii="Times New Roman" w:hAnsi="Times New Roman" w:cs="Times New Roman"/>
          <w:i/>
          <w:iCs/>
          <w:sz w:val="24"/>
          <w:szCs w:val="24"/>
          <w:lang w:val="en-GB"/>
        </w:rPr>
        <w:t xml:space="preserve">octoral </w:t>
      </w:r>
      <w:r>
        <w:rPr>
          <w:rFonts w:ascii="Times New Roman" w:hAnsi="Times New Roman" w:cs="Times New Roman"/>
          <w:i/>
          <w:iCs/>
          <w:sz w:val="24"/>
          <w:szCs w:val="24"/>
          <w:lang w:val="en-GB"/>
        </w:rPr>
        <w:t>F</w:t>
      </w:r>
      <w:r w:rsidRPr="00F73518">
        <w:rPr>
          <w:rFonts w:ascii="Times New Roman" w:hAnsi="Times New Roman" w:cs="Times New Roman"/>
          <w:i/>
          <w:iCs/>
          <w:sz w:val="24"/>
          <w:szCs w:val="24"/>
          <w:lang w:val="en-GB"/>
        </w:rPr>
        <w:t>ellow</w:t>
      </w:r>
      <w:r>
        <w:rPr>
          <w:rFonts w:ascii="Times New Roman" w:hAnsi="Times New Roman" w:cs="Times New Roman"/>
          <w:i/>
          <w:iCs/>
          <w:sz w:val="24"/>
          <w:szCs w:val="24"/>
          <w:lang w:val="en-GB"/>
        </w:rPr>
        <w:t>,</w:t>
      </w:r>
      <w:r w:rsidRPr="00F73518">
        <w:rPr>
          <w:rFonts w:ascii="Times New Roman" w:hAnsi="Times New Roman" w:cs="Times New Roman"/>
          <w:i/>
          <w:iCs/>
          <w:sz w:val="24"/>
          <w:szCs w:val="24"/>
          <w:lang w:val="en-GB"/>
        </w:rPr>
        <w:t xml:space="preserve"> Faculty of Law, Economics and Finance (FDEF), University of Luxembourg</w:t>
      </w:r>
      <w:r w:rsidR="00640EFC" w:rsidRPr="00B903CC">
        <w:rPr>
          <w:rFonts w:ascii="Times New Roman" w:hAnsi="Times New Roman" w:cs="Times New Roman"/>
          <w:i/>
          <w:sz w:val="24"/>
          <w:szCs w:val="24"/>
          <w:lang w:val="en-GB"/>
        </w:rPr>
        <w:t xml:space="preserve">. </w:t>
      </w:r>
      <w:r w:rsidR="00640EFC" w:rsidRPr="00B903CC">
        <w:rPr>
          <w:rFonts w:ascii="Times New Roman" w:hAnsi="Times New Roman" w:cs="Times New Roman"/>
          <w:i/>
          <w:iCs/>
          <w:sz w:val="24"/>
          <w:szCs w:val="24"/>
          <w:shd w:val="clear" w:color="auto" w:fill="FFFFFF"/>
          <w:lang w:val="en-GB"/>
        </w:rPr>
        <w:t>Email: &lt;</w:t>
      </w:r>
      <w:r w:rsidR="004D7C11" w:rsidRPr="004D7C11">
        <w:rPr>
          <w:rFonts w:ascii="Times New Roman" w:hAnsi="Times New Roman" w:cs="Times New Roman"/>
          <w:i/>
          <w:iCs/>
          <w:color w:val="000000" w:themeColor="text1"/>
          <w:sz w:val="24"/>
          <w:szCs w:val="24"/>
          <w:lang w:val="en-GB"/>
        </w:rPr>
        <w:t>oleksiy.kononov@uni.lu</w:t>
      </w:r>
      <w:r w:rsidR="00640EFC" w:rsidRPr="00B903CC">
        <w:rPr>
          <w:rFonts w:ascii="Times New Roman" w:hAnsi="Times New Roman" w:cs="Times New Roman"/>
          <w:i/>
          <w:iCs/>
          <w:sz w:val="24"/>
          <w:szCs w:val="24"/>
          <w:shd w:val="clear" w:color="auto" w:fill="FFFFFF"/>
          <w:lang w:val="en-GB"/>
        </w:rPr>
        <w:t>&gt;</w:t>
      </w:r>
      <w:r w:rsidR="0011226B" w:rsidRPr="00B903CC">
        <w:rPr>
          <w:rFonts w:ascii="Times New Roman" w:hAnsi="Times New Roman" w:cs="Times New Roman"/>
          <w:i/>
          <w:iCs/>
          <w:sz w:val="24"/>
          <w:szCs w:val="24"/>
          <w:shd w:val="clear" w:color="auto" w:fill="FFFFFF"/>
          <w:lang w:val="en-GB"/>
        </w:rPr>
        <w:t>.</w:t>
      </w:r>
    </w:p>
    <w:p w14:paraId="716971A7" w14:textId="5C26573A" w:rsidR="00104015" w:rsidRPr="00B903CC" w:rsidRDefault="00104015" w:rsidP="00D90E9D">
      <w:pPr>
        <w:pStyle w:val="NoSpacing"/>
        <w:jc w:val="center"/>
        <w:rPr>
          <w:rFonts w:ascii="Times New Roman" w:hAnsi="Times New Roman" w:cs="Times New Roman"/>
          <w:i/>
          <w:iCs/>
          <w:shd w:val="clear" w:color="auto" w:fill="FFFFFF"/>
          <w:lang w:val="en-GB"/>
        </w:rPr>
      </w:pPr>
    </w:p>
    <w:p w14:paraId="127C267D" w14:textId="77777777" w:rsidR="00E71E7B" w:rsidRPr="000B09D3" w:rsidRDefault="00E71E7B" w:rsidP="001E7A6F">
      <w:pPr>
        <w:spacing w:after="0"/>
        <w:contextualSpacing/>
        <w:rPr>
          <w:rFonts w:ascii="Times New Roman" w:hAnsi="Times New Roman"/>
          <w:i/>
          <w:sz w:val="24"/>
          <w:szCs w:val="24"/>
        </w:rPr>
      </w:pPr>
    </w:p>
    <w:p w14:paraId="72C659A2" w14:textId="1AEB35D4" w:rsidR="00183674" w:rsidRPr="000B09D3" w:rsidRDefault="00E71E7B" w:rsidP="00E26614">
      <w:pPr>
        <w:spacing w:after="0"/>
        <w:contextualSpacing/>
        <w:rPr>
          <w:rFonts w:ascii="Times New Roman" w:hAnsi="Times New Roman"/>
          <w:sz w:val="24"/>
          <w:szCs w:val="24"/>
        </w:rPr>
      </w:pPr>
      <w:r w:rsidRPr="000B09D3">
        <w:rPr>
          <w:rFonts w:ascii="Times New Roman" w:hAnsi="Times New Roman"/>
          <w:i/>
          <w:iCs/>
          <w:sz w:val="24"/>
          <w:szCs w:val="24"/>
        </w:rPr>
        <w:t>Introduction</w:t>
      </w:r>
      <w:r w:rsidR="00183674" w:rsidRPr="000B09D3">
        <w:rPr>
          <w:rStyle w:val="FootnoteReference"/>
          <w:rFonts w:ascii="Times New Roman" w:hAnsi="Times New Roman"/>
          <w:i/>
          <w:iCs/>
          <w:sz w:val="24"/>
          <w:szCs w:val="24"/>
        </w:rPr>
        <w:footnoteReference w:id="2"/>
      </w:r>
    </w:p>
    <w:p w14:paraId="67CDE97A" w14:textId="77777777" w:rsidR="00E26614" w:rsidRPr="000B09D3" w:rsidRDefault="00E26614" w:rsidP="00E26614">
      <w:pPr>
        <w:spacing w:after="0"/>
        <w:rPr>
          <w:rFonts w:ascii="Times New Roman" w:hAnsi="Times New Roman"/>
          <w:sz w:val="24"/>
          <w:szCs w:val="24"/>
        </w:rPr>
      </w:pPr>
    </w:p>
    <w:p w14:paraId="3E6985E0" w14:textId="553F1FE8" w:rsidR="00E26614" w:rsidRPr="000B09D3" w:rsidRDefault="00183674" w:rsidP="00E26614">
      <w:pPr>
        <w:spacing w:after="0"/>
        <w:rPr>
          <w:rFonts w:ascii="Times New Roman" w:hAnsi="Times New Roman"/>
          <w:sz w:val="24"/>
          <w:szCs w:val="24"/>
        </w:rPr>
      </w:pPr>
      <w:r w:rsidRPr="000B09D3">
        <w:rPr>
          <w:rFonts w:ascii="Times New Roman" w:hAnsi="Times New Roman"/>
          <w:sz w:val="24"/>
          <w:szCs w:val="24"/>
        </w:rPr>
        <w:t xml:space="preserve">On 9 November 2023, the </w:t>
      </w:r>
      <w:r w:rsidR="00E26614" w:rsidRPr="000B09D3">
        <w:rPr>
          <w:rFonts w:ascii="Times New Roman" w:hAnsi="Times New Roman"/>
          <w:sz w:val="24"/>
          <w:szCs w:val="24"/>
        </w:rPr>
        <w:t>P</w:t>
      </w:r>
      <w:r w:rsidRPr="000B09D3">
        <w:rPr>
          <w:rFonts w:ascii="Times New Roman" w:hAnsi="Times New Roman"/>
          <w:sz w:val="24"/>
          <w:szCs w:val="24"/>
        </w:rPr>
        <w:t xml:space="preserve">arliamentary </w:t>
      </w:r>
      <w:r w:rsidR="00E26614" w:rsidRPr="000B09D3">
        <w:rPr>
          <w:rFonts w:ascii="Times New Roman" w:hAnsi="Times New Roman"/>
          <w:sz w:val="24"/>
          <w:szCs w:val="24"/>
        </w:rPr>
        <w:t>C</w:t>
      </w:r>
      <w:r w:rsidRPr="000B09D3">
        <w:rPr>
          <w:rFonts w:ascii="Times New Roman" w:hAnsi="Times New Roman"/>
          <w:sz w:val="24"/>
          <w:szCs w:val="24"/>
        </w:rPr>
        <w:t xml:space="preserve">ommittee for </w:t>
      </w:r>
      <w:r w:rsidR="00E26614" w:rsidRPr="000B09D3">
        <w:rPr>
          <w:rFonts w:ascii="Times New Roman" w:hAnsi="Times New Roman"/>
          <w:sz w:val="24"/>
          <w:szCs w:val="24"/>
        </w:rPr>
        <w:t>E</w:t>
      </w:r>
      <w:r w:rsidRPr="000B09D3">
        <w:rPr>
          <w:rFonts w:ascii="Times New Roman" w:hAnsi="Times New Roman"/>
          <w:sz w:val="24"/>
          <w:szCs w:val="24"/>
        </w:rPr>
        <w:t xml:space="preserve">conomic </w:t>
      </w:r>
      <w:r w:rsidR="00E26614" w:rsidRPr="000B09D3">
        <w:rPr>
          <w:rFonts w:ascii="Times New Roman" w:hAnsi="Times New Roman"/>
          <w:sz w:val="24"/>
          <w:szCs w:val="24"/>
        </w:rPr>
        <w:t>D</w:t>
      </w:r>
      <w:r w:rsidRPr="000B09D3">
        <w:rPr>
          <w:rFonts w:ascii="Times New Roman" w:hAnsi="Times New Roman"/>
          <w:sz w:val="24"/>
          <w:szCs w:val="24"/>
        </w:rPr>
        <w:t>evelopment recommended the adoption of the Bill implementing the EU Preventive Restructuring Directive 2019/1023 (</w:t>
      </w:r>
      <w:r w:rsidR="000B09D3">
        <w:rPr>
          <w:rFonts w:ascii="Times New Roman" w:hAnsi="Times New Roman"/>
          <w:sz w:val="24"/>
          <w:szCs w:val="24"/>
        </w:rPr>
        <w:t>“</w:t>
      </w:r>
      <w:r w:rsidRPr="000B09D3">
        <w:rPr>
          <w:rFonts w:ascii="Times New Roman" w:hAnsi="Times New Roman"/>
          <w:sz w:val="24"/>
          <w:szCs w:val="24"/>
        </w:rPr>
        <w:t>Bill #10143</w:t>
      </w:r>
      <w:r w:rsidR="000B09D3">
        <w:rPr>
          <w:rFonts w:ascii="Times New Roman" w:hAnsi="Times New Roman"/>
          <w:sz w:val="24"/>
          <w:szCs w:val="24"/>
        </w:rPr>
        <w:t>”</w:t>
      </w:r>
      <w:r w:rsidRPr="000B09D3">
        <w:rPr>
          <w:rFonts w:ascii="Times New Roman" w:hAnsi="Times New Roman"/>
          <w:sz w:val="24"/>
          <w:szCs w:val="24"/>
        </w:rPr>
        <w:t>)</w:t>
      </w:r>
      <w:r w:rsidR="00E26614" w:rsidRPr="000B09D3">
        <w:rPr>
          <w:rStyle w:val="FootnoteReference"/>
          <w:rFonts w:ascii="Times New Roman" w:hAnsi="Times New Roman"/>
          <w:sz w:val="24"/>
          <w:szCs w:val="24"/>
        </w:rPr>
        <w:footnoteReference w:id="3"/>
      </w:r>
      <w:r w:rsidR="00E26614" w:rsidRPr="000B09D3">
        <w:rPr>
          <w:rFonts w:ascii="Times New Roman" w:hAnsi="Times New Roman"/>
          <w:sz w:val="24"/>
          <w:szCs w:val="24"/>
        </w:rPr>
        <w:t xml:space="preserve"> at the first reading. The next day, the Cabinet of Ministers of Ukraine presented its own (alternative) bill on the same subject (</w:t>
      </w:r>
      <w:r w:rsidR="000B09D3">
        <w:rPr>
          <w:rFonts w:ascii="Times New Roman" w:hAnsi="Times New Roman"/>
          <w:sz w:val="24"/>
          <w:szCs w:val="24"/>
        </w:rPr>
        <w:t>“</w:t>
      </w:r>
      <w:r w:rsidR="00E26614" w:rsidRPr="000B09D3">
        <w:rPr>
          <w:rFonts w:ascii="Times New Roman" w:hAnsi="Times New Roman"/>
          <w:sz w:val="24"/>
          <w:szCs w:val="24"/>
        </w:rPr>
        <w:t>Bill #10228</w:t>
      </w:r>
      <w:r w:rsidR="000B09D3">
        <w:rPr>
          <w:rFonts w:ascii="Times New Roman" w:hAnsi="Times New Roman"/>
          <w:sz w:val="24"/>
          <w:szCs w:val="24"/>
        </w:rPr>
        <w:t>”</w:t>
      </w:r>
      <w:r w:rsidR="00E26614" w:rsidRPr="000B09D3">
        <w:rPr>
          <w:rFonts w:ascii="Times New Roman" w:hAnsi="Times New Roman"/>
          <w:sz w:val="24"/>
          <w:szCs w:val="24"/>
        </w:rPr>
        <w:t>).</w:t>
      </w:r>
      <w:r w:rsidR="00E26614" w:rsidRPr="000B09D3">
        <w:rPr>
          <w:rStyle w:val="FootnoteReference"/>
          <w:rFonts w:ascii="Times New Roman" w:hAnsi="Times New Roman"/>
          <w:sz w:val="24"/>
          <w:szCs w:val="24"/>
        </w:rPr>
        <w:footnoteReference w:id="4"/>
      </w:r>
    </w:p>
    <w:p w14:paraId="0B90C12B" w14:textId="77777777" w:rsidR="00E26614" w:rsidRPr="000B09D3" w:rsidRDefault="00E26614" w:rsidP="00E26614">
      <w:pPr>
        <w:spacing w:after="0"/>
        <w:rPr>
          <w:rFonts w:ascii="Times New Roman" w:hAnsi="Times New Roman"/>
          <w:sz w:val="24"/>
          <w:szCs w:val="24"/>
        </w:rPr>
      </w:pPr>
    </w:p>
    <w:p w14:paraId="7141BD1C" w14:textId="63553B87" w:rsidR="00E26614" w:rsidRPr="000B09D3" w:rsidRDefault="00E26614" w:rsidP="00E26614">
      <w:pPr>
        <w:spacing w:after="0"/>
        <w:rPr>
          <w:rFonts w:ascii="Times New Roman" w:hAnsi="Times New Roman"/>
          <w:sz w:val="24"/>
          <w:szCs w:val="24"/>
        </w:rPr>
      </w:pPr>
      <w:r w:rsidRPr="000B09D3">
        <w:rPr>
          <w:rFonts w:ascii="Times New Roman" w:hAnsi="Times New Roman"/>
          <w:sz w:val="24"/>
          <w:szCs w:val="24"/>
        </w:rPr>
        <w:t>The imminent transposition of Directive 2019/1023 (</w:t>
      </w:r>
      <w:r w:rsidR="000B09D3">
        <w:rPr>
          <w:rFonts w:ascii="Times New Roman" w:hAnsi="Times New Roman"/>
          <w:sz w:val="24"/>
          <w:szCs w:val="24"/>
        </w:rPr>
        <w:t>“</w:t>
      </w:r>
      <w:r w:rsidRPr="000B09D3">
        <w:rPr>
          <w:rFonts w:ascii="Times New Roman" w:hAnsi="Times New Roman"/>
          <w:sz w:val="24"/>
          <w:szCs w:val="24"/>
        </w:rPr>
        <w:t>PRD</w:t>
      </w:r>
      <w:r w:rsidR="000B09D3">
        <w:rPr>
          <w:rFonts w:ascii="Times New Roman" w:hAnsi="Times New Roman"/>
          <w:sz w:val="24"/>
          <w:szCs w:val="24"/>
        </w:rPr>
        <w:t>”</w:t>
      </w:r>
      <w:r w:rsidRPr="000B09D3">
        <w:rPr>
          <w:rFonts w:ascii="Times New Roman" w:hAnsi="Times New Roman"/>
          <w:sz w:val="24"/>
          <w:szCs w:val="24"/>
        </w:rPr>
        <w:t>) into Ukrainian law is driven by several factors:</w:t>
      </w:r>
    </w:p>
    <w:p w14:paraId="3BE0DCA8" w14:textId="77777777" w:rsidR="00E26614" w:rsidRPr="000B09D3" w:rsidRDefault="00E26614" w:rsidP="00E26614">
      <w:pPr>
        <w:spacing w:after="0"/>
        <w:rPr>
          <w:rFonts w:ascii="Times New Roman" w:hAnsi="Times New Roman"/>
          <w:sz w:val="24"/>
          <w:szCs w:val="24"/>
        </w:rPr>
      </w:pPr>
    </w:p>
    <w:p w14:paraId="0200DA1B" w14:textId="49DCB476" w:rsidR="00E26614" w:rsidRPr="000B09D3" w:rsidRDefault="00E26614" w:rsidP="00BA791F">
      <w:pPr>
        <w:pStyle w:val="ListParagraph"/>
        <w:numPr>
          <w:ilvl w:val="0"/>
          <w:numId w:val="7"/>
        </w:numPr>
        <w:spacing w:after="0" w:line="240" w:lineRule="auto"/>
        <w:jc w:val="both"/>
        <w:rPr>
          <w:rFonts w:ascii="Times New Roman" w:hAnsi="Times New Roman" w:cs="Times New Roman"/>
          <w:sz w:val="24"/>
          <w:szCs w:val="24"/>
          <w:lang w:val="en-GB"/>
        </w:rPr>
      </w:pPr>
      <w:r w:rsidRPr="000B09D3">
        <w:rPr>
          <w:rFonts w:ascii="Times New Roman" w:hAnsi="Times New Roman" w:cs="Times New Roman"/>
          <w:sz w:val="24"/>
          <w:szCs w:val="24"/>
          <w:lang w:val="en-GB"/>
        </w:rPr>
        <w:t>Ukraine</w:t>
      </w:r>
      <w:r w:rsidR="000B09D3">
        <w:rPr>
          <w:rFonts w:ascii="Times New Roman" w:hAnsi="Times New Roman" w:cs="Times New Roman"/>
          <w:sz w:val="24"/>
          <w:szCs w:val="24"/>
          <w:lang w:val="en-GB"/>
        </w:rPr>
        <w:t>’</w:t>
      </w:r>
      <w:r w:rsidRPr="000B09D3">
        <w:rPr>
          <w:rFonts w:ascii="Times New Roman" w:hAnsi="Times New Roman" w:cs="Times New Roman"/>
          <w:sz w:val="24"/>
          <w:szCs w:val="24"/>
          <w:lang w:val="en-GB"/>
        </w:rPr>
        <w:t xml:space="preserve">s attainment of candidate status for EU membership in June 2023 mandates compliance with the PRD as part of the EU </w:t>
      </w:r>
      <w:r w:rsidRPr="000B09D3">
        <w:rPr>
          <w:rFonts w:ascii="Times New Roman" w:hAnsi="Times New Roman" w:cs="Times New Roman"/>
          <w:i/>
          <w:iCs/>
          <w:sz w:val="24"/>
          <w:szCs w:val="24"/>
          <w:lang w:val="en-GB"/>
        </w:rPr>
        <w:t>acquis</w:t>
      </w:r>
      <w:r w:rsidRPr="000B09D3">
        <w:rPr>
          <w:rFonts w:ascii="Times New Roman" w:hAnsi="Times New Roman" w:cs="Times New Roman"/>
          <w:sz w:val="24"/>
          <w:szCs w:val="24"/>
          <w:lang w:val="en-GB"/>
        </w:rPr>
        <w:t>;</w:t>
      </w:r>
      <w:r w:rsidRPr="000B09D3">
        <w:rPr>
          <w:rStyle w:val="FootnoteReference"/>
          <w:rFonts w:ascii="Times New Roman" w:hAnsi="Times New Roman" w:cs="Times New Roman"/>
          <w:sz w:val="24"/>
          <w:szCs w:val="24"/>
          <w:lang w:val="en-GB"/>
        </w:rPr>
        <w:footnoteReference w:id="5"/>
      </w:r>
    </w:p>
    <w:p w14:paraId="75BBE5E4" w14:textId="77777777" w:rsidR="00E26614" w:rsidRPr="000B09D3" w:rsidRDefault="00E26614" w:rsidP="00BA791F">
      <w:pPr>
        <w:pStyle w:val="ListParagraph"/>
        <w:numPr>
          <w:ilvl w:val="0"/>
          <w:numId w:val="7"/>
        </w:numPr>
        <w:spacing w:after="0" w:line="240" w:lineRule="auto"/>
        <w:jc w:val="both"/>
        <w:rPr>
          <w:rFonts w:ascii="Times New Roman" w:hAnsi="Times New Roman" w:cs="Times New Roman"/>
          <w:sz w:val="24"/>
          <w:szCs w:val="24"/>
          <w:lang w:val="en-GB"/>
        </w:rPr>
      </w:pPr>
      <w:r w:rsidRPr="000B09D3">
        <w:rPr>
          <w:rFonts w:ascii="Times New Roman" w:hAnsi="Times New Roman" w:cs="Times New Roman"/>
          <w:sz w:val="24"/>
          <w:szCs w:val="24"/>
          <w:lang w:val="en-GB"/>
        </w:rPr>
        <w:lastRenderedPageBreak/>
        <w:t>Fulfilling conditions for micro-financial assistance in 2023, crucial during wartime, necessitates legislation aligning with PRD principles to enhance corporate bankruptcy and insolvency regimes, allowing for full debt discharge;</w:t>
      </w:r>
      <w:r w:rsidRPr="000B09D3">
        <w:rPr>
          <w:rStyle w:val="FootnoteReference"/>
          <w:rFonts w:ascii="Times New Roman" w:hAnsi="Times New Roman" w:cs="Times New Roman"/>
          <w:sz w:val="24"/>
          <w:szCs w:val="24"/>
          <w:lang w:val="en-GB"/>
        </w:rPr>
        <w:footnoteReference w:id="6"/>
      </w:r>
    </w:p>
    <w:p w14:paraId="446F62DA" w14:textId="3BCDA47E" w:rsidR="00E26614" w:rsidRPr="000B09D3" w:rsidRDefault="00E26614" w:rsidP="00BA791F">
      <w:pPr>
        <w:pStyle w:val="ListParagraph"/>
        <w:numPr>
          <w:ilvl w:val="0"/>
          <w:numId w:val="7"/>
        </w:numPr>
        <w:spacing w:after="0" w:line="240" w:lineRule="auto"/>
        <w:jc w:val="both"/>
        <w:rPr>
          <w:rFonts w:ascii="Times New Roman" w:hAnsi="Times New Roman" w:cs="Times New Roman"/>
          <w:sz w:val="24"/>
          <w:szCs w:val="24"/>
          <w:lang w:val="en-GB"/>
        </w:rPr>
      </w:pPr>
      <w:r w:rsidRPr="000B09D3">
        <w:rPr>
          <w:rFonts w:ascii="Times New Roman" w:hAnsi="Times New Roman" w:cs="Times New Roman"/>
          <w:sz w:val="24"/>
          <w:szCs w:val="24"/>
          <w:lang w:val="en-GB"/>
        </w:rPr>
        <w:t>Transposition is integral to the Roadmap for Capacity-Building Activities designed to facilitate the implementation of the Code of Ukraine on Bankruptcy Procedures adopted by the Ministry of Justice in September 2023;</w:t>
      </w:r>
      <w:r w:rsidRPr="000B09D3">
        <w:rPr>
          <w:rStyle w:val="FootnoteReference"/>
          <w:rFonts w:ascii="Times New Roman" w:hAnsi="Times New Roman" w:cs="Times New Roman"/>
          <w:sz w:val="24"/>
          <w:szCs w:val="24"/>
          <w:lang w:val="en-GB"/>
        </w:rPr>
        <w:footnoteReference w:id="7"/>
      </w:r>
      <w:r w:rsidR="000B09D3">
        <w:rPr>
          <w:rFonts w:ascii="Times New Roman" w:hAnsi="Times New Roman" w:cs="Times New Roman"/>
          <w:sz w:val="24"/>
          <w:szCs w:val="24"/>
          <w:lang w:val="en-GB"/>
        </w:rPr>
        <w:t xml:space="preserve"> and</w:t>
      </w:r>
    </w:p>
    <w:p w14:paraId="00301BE4" w14:textId="55EE397D" w:rsidR="00E26614" w:rsidRPr="000B09D3" w:rsidRDefault="00E26614" w:rsidP="00BA791F">
      <w:pPr>
        <w:pStyle w:val="ListParagraph"/>
        <w:numPr>
          <w:ilvl w:val="0"/>
          <w:numId w:val="7"/>
        </w:numPr>
        <w:spacing w:after="0" w:line="240" w:lineRule="auto"/>
        <w:jc w:val="both"/>
        <w:rPr>
          <w:rFonts w:ascii="Times New Roman" w:hAnsi="Times New Roman" w:cs="Times New Roman"/>
          <w:sz w:val="24"/>
          <w:szCs w:val="24"/>
          <w:lang w:val="en-GB"/>
        </w:rPr>
      </w:pPr>
      <w:r w:rsidRPr="000B09D3">
        <w:rPr>
          <w:rFonts w:ascii="Times New Roman" w:hAnsi="Times New Roman" w:cs="Times New Roman"/>
          <w:sz w:val="24"/>
          <w:szCs w:val="24"/>
          <w:lang w:val="en-GB"/>
        </w:rPr>
        <w:t>The European Commission</w:t>
      </w:r>
      <w:r w:rsidR="000B09D3">
        <w:rPr>
          <w:rFonts w:ascii="Times New Roman" w:hAnsi="Times New Roman" w:cs="Times New Roman"/>
          <w:sz w:val="24"/>
          <w:szCs w:val="24"/>
          <w:lang w:val="en-GB"/>
        </w:rPr>
        <w:t>’</w:t>
      </w:r>
      <w:r w:rsidRPr="000B09D3">
        <w:rPr>
          <w:rFonts w:ascii="Times New Roman" w:hAnsi="Times New Roman" w:cs="Times New Roman"/>
          <w:sz w:val="24"/>
          <w:szCs w:val="24"/>
          <w:lang w:val="en-GB"/>
        </w:rPr>
        <w:t>s November 2023 emphasis on the imperative of enhancing Ukraine</w:t>
      </w:r>
      <w:r w:rsidR="000B09D3">
        <w:rPr>
          <w:rFonts w:ascii="Times New Roman" w:hAnsi="Times New Roman" w:cs="Times New Roman"/>
          <w:sz w:val="24"/>
          <w:szCs w:val="24"/>
          <w:lang w:val="en-GB"/>
        </w:rPr>
        <w:t>’</w:t>
      </w:r>
      <w:r w:rsidRPr="000B09D3">
        <w:rPr>
          <w:rFonts w:ascii="Times New Roman" w:hAnsi="Times New Roman" w:cs="Times New Roman"/>
          <w:sz w:val="24"/>
          <w:szCs w:val="24"/>
          <w:lang w:val="en-GB"/>
        </w:rPr>
        <w:t xml:space="preserve">s bankruptcy legislation further underscores the urgency of </w:t>
      </w:r>
      <w:r w:rsidR="000B09D3">
        <w:rPr>
          <w:rFonts w:ascii="Times New Roman" w:hAnsi="Times New Roman" w:cs="Times New Roman"/>
          <w:sz w:val="24"/>
          <w:szCs w:val="24"/>
          <w:lang w:val="en-GB"/>
        </w:rPr>
        <w:t xml:space="preserve">the </w:t>
      </w:r>
      <w:r w:rsidRPr="000B09D3">
        <w:rPr>
          <w:rFonts w:ascii="Times New Roman" w:hAnsi="Times New Roman" w:cs="Times New Roman"/>
          <w:sz w:val="24"/>
          <w:szCs w:val="24"/>
          <w:lang w:val="en-GB"/>
        </w:rPr>
        <w:t>transposition</w:t>
      </w:r>
      <w:r w:rsidR="000B09D3">
        <w:rPr>
          <w:rFonts w:ascii="Times New Roman" w:hAnsi="Times New Roman" w:cs="Times New Roman"/>
          <w:sz w:val="24"/>
          <w:szCs w:val="24"/>
          <w:lang w:val="en-GB"/>
        </w:rPr>
        <w:t xml:space="preserve"> of the PRD</w:t>
      </w:r>
      <w:r w:rsidRPr="000B09D3">
        <w:rPr>
          <w:rFonts w:ascii="Times New Roman" w:hAnsi="Times New Roman" w:cs="Times New Roman"/>
          <w:sz w:val="24"/>
          <w:szCs w:val="24"/>
          <w:lang w:val="en-GB"/>
        </w:rPr>
        <w:t>.</w:t>
      </w:r>
      <w:r w:rsidRPr="000B09D3">
        <w:rPr>
          <w:rStyle w:val="FootnoteReference"/>
          <w:rFonts w:ascii="Times New Roman" w:hAnsi="Times New Roman" w:cs="Times New Roman"/>
          <w:sz w:val="24"/>
          <w:szCs w:val="24"/>
          <w:lang w:val="en-GB"/>
        </w:rPr>
        <w:footnoteReference w:id="8"/>
      </w:r>
    </w:p>
    <w:p w14:paraId="04BC2A50" w14:textId="77777777" w:rsidR="008034E6" w:rsidRPr="000B09D3" w:rsidRDefault="008034E6" w:rsidP="00E26614">
      <w:pPr>
        <w:spacing w:after="0"/>
        <w:rPr>
          <w:rFonts w:ascii="Times New Roman" w:hAnsi="Times New Roman"/>
          <w:sz w:val="24"/>
          <w:szCs w:val="24"/>
        </w:rPr>
      </w:pPr>
    </w:p>
    <w:p w14:paraId="50AAB35F" w14:textId="2F205F9B" w:rsidR="00E26614" w:rsidRPr="000B09D3" w:rsidRDefault="00E26614" w:rsidP="00E26614">
      <w:pPr>
        <w:spacing w:after="0"/>
        <w:rPr>
          <w:rFonts w:ascii="Times New Roman" w:hAnsi="Times New Roman"/>
          <w:sz w:val="24"/>
          <w:szCs w:val="24"/>
        </w:rPr>
      </w:pPr>
      <w:r w:rsidRPr="000B09D3">
        <w:rPr>
          <w:rFonts w:ascii="Times New Roman" w:hAnsi="Times New Roman"/>
          <w:sz w:val="24"/>
          <w:szCs w:val="24"/>
        </w:rPr>
        <w:t>It is important to keep in mind that the conditions for providing micro-financial assistance for 2023 required Ukraine to implement the PRD by the end of 2023, and it appears that the country failed to meet that deadline. Given the complexity of preventive restructuring and Ukraine</w:t>
      </w:r>
      <w:r w:rsidR="000B09D3">
        <w:rPr>
          <w:rFonts w:ascii="Times New Roman" w:hAnsi="Times New Roman"/>
          <w:sz w:val="24"/>
          <w:szCs w:val="24"/>
        </w:rPr>
        <w:t>’</w:t>
      </w:r>
      <w:r w:rsidRPr="000B09D3">
        <w:rPr>
          <w:rFonts w:ascii="Times New Roman" w:hAnsi="Times New Roman"/>
          <w:sz w:val="24"/>
          <w:szCs w:val="24"/>
        </w:rPr>
        <w:t>s unique situation of having to transpose the PRD during wartime, the failure to meet the deadline is not surprising. What remains clear is that the transposition of the PRD will occur sooner or later, and the bills tabled in Parliament provide a certain idea of how the Ukrainian restructuring procedure may ultimately look.</w:t>
      </w:r>
    </w:p>
    <w:p w14:paraId="3FB03089" w14:textId="77777777" w:rsidR="00E26614" w:rsidRPr="000B09D3" w:rsidRDefault="00E26614" w:rsidP="00E26614">
      <w:pPr>
        <w:spacing w:after="0"/>
        <w:rPr>
          <w:rFonts w:ascii="Segoe UI" w:hAnsi="Segoe UI" w:cs="Segoe UI"/>
          <w:color w:val="374151"/>
        </w:rPr>
      </w:pPr>
    </w:p>
    <w:p w14:paraId="6542C4A5" w14:textId="2280A454" w:rsidR="00E26614" w:rsidRPr="000B09D3" w:rsidRDefault="00E26614" w:rsidP="00E26614">
      <w:pPr>
        <w:spacing w:after="0"/>
        <w:rPr>
          <w:rFonts w:ascii="Times New Roman" w:hAnsi="Times New Roman"/>
          <w:i/>
          <w:iCs/>
          <w:sz w:val="24"/>
          <w:szCs w:val="24"/>
        </w:rPr>
      </w:pPr>
      <w:r w:rsidRPr="000B09D3">
        <w:rPr>
          <w:rFonts w:ascii="Times New Roman" w:hAnsi="Times New Roman"/>
          <w:i/>
          <w:iCs/>
          <w:sz w:val="24"/>
          <w:szCs w:val="24"/>
        </w:rPr>
        <w:t xml:space="preserve">Existing restructuring framework </w:t>
      </w:r>
      <w:r w:rsidR="008034E6" w:rsidRPr="000B09D3">
        <w:rPr>
          <w:rFonts w:ascii="Times New Roman" w:hAnsi="Times New Roman"/>
          <w:i/>
          <w:iCs/>
          <w:sz w:val="24"/>
          <w:szCs w:val="24"/>
        </w:rPr>
        <w:t>and</w:t>
      </w:r>
      <w:r w:rsidRPr="000B09D3">
        <w:rPr>
          <w:rFonts w:ascii="Times New Roman" w:hAnsi="Times New Roman"/>
          <w:i/>
          <w:iCs/>
          <w:sz w:val="24"/>
          <w:szCs w:val="24"/>
        </w:rPr>
        <w:t xml:space="preserve"> problems</w:t>
      </w:r>
    </w:p>
    <w:p w14:paraId="1520D382" w14:textId="77777777" w:rsidR="008034E6" w:rsidRPr="000B09D3" w:rsidRDefault="008034E6" w:rsidP="00E26614">
      <w:pPr>
        <w:spacing w:after="0"/>
        <w:rPr>
          <w:rFonts w:ascii="Times New Roman" w:hAnsi="Times New Roman"/>
          <w:sz w:val="24"/>
          <w:szCs w:val="24"/>
        </w:rPr>
      </w:pPr>
    </w:p>
    <w:p w14:paraId="4D7ED5B7" w14:textId="1723FBF7" w:rsidR="00E26614" w:rsidRPr="000B09D3" w:rsidRDefault="00E26614" w:rsidP="00E26614">
      <w:pPr>
        <w:spacing w:after="0"/>
        <w:rPr>
          <w:rFonts w:ascii="Times New Roman" w:hAnsi="Times New Roman"/>
          <w:sz w:val="24"/>
          <w:szCs w:val="24"/>
        </w:rPr>
      </w:pPr>
      <w:r w:rsidRPr="000B09D3">
        <w:rPr>
          <w:rFonts w:ascii="Times New Roman" w:hAnsi="Times New Roman"/>
          <w:sz w:val="24"/>
          <w:szCs w:val="24"/>
        </w:rPr>
        <w:t>Preventive restructuring is not a new concept for Ukraine. Article 5 of the Bankruptcy Code (</w:t>
      </w:r>
      <w:r w:rsidR="000B09D3">
        <w:rPr>
          <w:rFonts w:ascii="Times New Roman" w:hAnsi="Times New Roman"/>
          <w:sz w:val="24"/>
          <w:szCs w:val="24"/>
        </w:rPr>
        <w:t>“</w:t>
      </w:r>
      <w:r w:rsidRPr="000B09D3">
        <w:rPr>
          <w:rFonts w:ascii="Times New Roman" w:hAnsi="Times New Roman"/>
          <w:sz w:val="24"/>
          <w:szCs w:val="24"/>
        </w:rPr>
        <w:t>BCU</w:t>
      </w:r>
      <w:r w:rsidR="000B09D3">
        <w:rPr>
          <w:rFonts w:ascii="Times New Roman" w:hAnsi="Times New Roman"/>
          <w:sz w:val="24"/>
          <w:szCs w:val="24"/>
        </w:rPr>
        <w:t>”</w:t>
      </w:r>
      <w:r w:rsidRPr="000B09D3">
        <w:rPr>
          <w:rFonts w:ascii="Times New Roman" w:hAnsi="Times New Roman"/>
          <w:sz w:val="24"/>
          <w:szCs w:val="24"/>
        </w:rPr>
        <w:t>)</w:t>
      </w:r>
      <w:r w:rsidRPr="000B09D3">
        <w:rPr>
          <w:rStyle w:val="FootnoteReference"/>
          <w:rFonts w:ascii="Times New Roman" w:hAnsi="Times New Roman"/>
          <w:sz w:val="24"/>
          <w:szCs w:val="24"/>
        </w:rPr>
        <w:footnoteReference w:id="9"/>
      </w:r>
      <w:r w:rsidRPr="000B09D3">
        <w:rPr>
          <w:rFonts w:ascii="Times New Roman" w:hAnsi="Times New Roman"/>
          <w:sz w:val="24"/>
          <w:szCs w:val="24"/>
        </w:rPr>
        <w:t xml:space="preserve"> outlines procedures for the so-called </w:t>
      </w:r>
      <w:r w:rsidR="000B09D3">
        <w:rPr>
          <w:rFonts w:ascii="Times New Roman" w:hAnsi="Times New Roman"/>
          <w:sz w:val="24"/>
          <w:szCs w:val="24"/>
        </w:rPr>
        <w:t>“</w:t>
      </w:r>
      <w:r w:rsidRPr="000B09D3">
        <w:rPr>
          <w:rFonts w:ascii="Times New Roman" w:hAnsi="Times New Roman"/>
          <w:sz w:val="24"/>
          <w:szCs w:val="24"/>
        </w:rPr>
        <w:t>pre-trial rehabilitation</w:t>
      </w:r>
      <w:r w:rsidR="000B09D3">
        <w:rPr>
          <w:rFonts w:ascii="Times New Roman" w:hAnsi="Times New Roman"/>
          <w:sz w:val="24"/>
          <w:szCs w:val="24"/>
        </w:rPr>
        <w:t>”.</w:t>
      </w:r>
      <w:r w:rsidRPr="000B09D3">
        <w:rPr>
          <w:rFonts w:ascii="Times New Roman" w:hAnsi="Times New Roman"/>
          <w:sz w:val="24"/>
          <w:szCs w:val="24"/>
        </w:rPr>
        <w:t xml:space="preserve"> Pre-trial rehabilitation in many respects resembles the English scheme of arrangement,</w:t>
      </w:r>
      <w:r w:rsidRPr="000B09D3">
        <w:rPr>
          <w:rStyle w:val="FootnoteReference"/>
          <w:rFonts w:ascii="Times New Roman" w:hAnsi="Times New Roman"/>
          <w:sz w:val="24"/>
          <w:szCs w:val="24"/>
        </w:rPr>
        <w:footnoteReference w:id="10"/>
      </w:r>
      <w:r w:rsidRPr="000B09D3">
        <w:rPr>
          <w:rFonts w:ascii="Times New Roman" w:hAnsi="Times New Roman"/>
          <w:sz w:val="24"/>
          <w:szCs w:val="24"/>
        </w:rPr>
        <w:t xml:space="preserve"> and involves the development of a rehabilitation plan, its prior approval by creditors, and further sanctioning of the plan by the respective commercial court. In essence, the existing procedure is essentially compelling creditors to adhere to a rehabilitation plan developed by the debtor under the strict supervision of the court.</w:t>
      </w:r>
    </w:p>
    <w:p w14:paraId="20AFBEB0" w14:textId="77777777" w:rsidR="008034E6" w:rsidRPr="000B09D3" w:rsidRDefault="008034E6" w:rsidP="00E26614">
      <w:pPr>
        <w:spacing w:after="0"/>
        <w:rPr>
          <w:rFonts w:ascii="Times New Roman" w:hAnsi="Times New Roman"/>
          <w:sz w:val="24"/>
          <w:szCs w:val="24"/>
        </w:rPr>
      </w:pPr>
    </w:p>
    <w:p w14:paraId="15D9BD47" w14:textId="60A0711C" w:rsidR="00E26614" w:rsidRPr="000B09D3" w:rsidRDefault="00E26614" w:rsidP="00E26614">
      <w:pPr>
        <w:spacing w:after="0"/>
        <w:rPr>
          <w:rFonts w:ascii="Times New Roman" w:hAnsi="Times New Roman"/>
          <w:sz w:val="24"/>
          <w:szCs w:val="24"/>
        </w:rPr>
      </w:pPr>
      <w:r w:rsidRPr="000B09D3">
        <w:rPr>
          <w:rFonts w:ascii="Times New Roman" w:hAnsi="Times New Roman"/>
          <w:sz w:val="24"/>
          <w:szCs w:val="24"/>
        </w:rPr>
        <w:t>According to the drafters of Bill #10143, the existing regulations do not provide clarity for their practical application, contain numerous contradictions with other provisions of the Code, and lack clear guarantees for debtors and creditors, which could have ensured the debtor</w:t>
      </w:r>
      <w:r w:rsidR="000B09D3">
        <w:rPr>
          <w:rFonts w:ascii="Times New Roman" w:hAnsi="Times New Roman"/>
          <w:sz w:val="24"/>
          <w:szCs w:val="24"/>
        </w:rPr>
        <w:t>’</w:t>
      </w:r>
      <w:r w:rsidRPr="000B09D3">
        <w:rPr>
          <w:rFonts w:ascii="Times New Roman" w:hAnsi="Times New Roman"/>
          <w:sz w:val="24"/>
          <w:szCs w:val="24"/>
        </w:rPr>
        <w:t>s rehabilitation before initiating bankruptcy procedures.</w:t>
      </w:r>
      <w:r w:rsidRPr="000B09D3">
        <w:rPr>
          <w:rStyle w:val="FootnoteReference"/>
          <w:rFonts w:ascii="Times New Roman" w:hAnsi="Times New Roman"/>
          <w:sz w:val="24"/>
          <w:szCs w:val="24"/>
        </w:rPr>
        <w:footnoteReference w:id="11"/>
      </w:r>
      <w:r w:rsidRPr="000B09D3">
        <w:rPr>
          <w:rFonts w:ascii="Times New Roman" w:hAnsi="Times New Roman"/>
          <w:sz w:val="24"/>
          <w:szCs w:val="24"/>
        </w:rPr>
        <w:t xml:space="preserve"> Consequently, the existing pre-trial rehabilitation remains unpopular, with only 14 pre-trial rehabilitation plans approved by the courts between 2019 and late 2023.</w:t>
      </w:r>
      <w:r w:rsidRPr="000B09D3">
        <w:rPr>
          <w:rStyle w:val="FootnoteReference"/>
          <w:rFonts w:ascii="Times New Roman" w:hAnsi="Times New Roman"/>
          <w:sz w:val="24"/>
          <w:szCs w:val="24"/>
        </w:rPr>
        <w:footnoteReference w:id="12"/>
      </w:r>
    </w:p>
    <w:p w14:paraId="5D3F0091" w14:textId="77777777" w:rsidR="00E26614" w:rsidRPr="000B09D3" w:rsidRDefault="00E26614" w:rsidP="00E26614">
      <w:pPr>
        <w:spacing w:after="0"/>
        <w:rPr>
          <w:rFonts w:ascii="Segoe UI" w:hAnsi="Segoe UI" w:cs="Segoe UI"/>
          <w:color w:val="374151"/>
        </w:rPr>
      </w:pPr>
    </w:p>
    <w:p w14:paraId="5505A838" w14:textId="75AF8C23" w:rsidR="00E26614" w:rsidRPr="000B09D3" w:rsidRDefault="00E26614" w:rsidP="00E26614">
      <w:pPr>
        <w:spacing w:after="0"/>
        <w:rPr>
          <w:rFonts w:ascii="Times New Roman" w:hAnsi="Times New Roman"/>
          <w:i/>
          <w:iCs/>
          <w:sz w:val="24"/>
          <w:szCs w:val="24"/>
        </w:rPr>
      </w:pPr>
      <w:r w:rsidRPr="000B09D3">
        <w:rPr>
          <w:rFonts w:ascii="Times New Roman" w:hAnsi="Times New Roman"/>
          <w:i/>
          <w:iCs/>
          <w:sz w:val="24"/>
          <w:szCs w:val="24"/>
        </w:rPr>
        <w:t>Different approaches to smaller businesses</w:t>
      </w:r>
    </w:p>
    <w:p w14:paraId="17196A74" w14:textId="77777777" w:rsidR="008034E6" w:rsidRPr="000B09D3" w:rsidRDefault="008034E6" w:rsidP="00E26614">
      <w:pPr>
        <w:spacing w:after="0"/>
        <w:rPr>
          <w:rFonts w:ascii="Times New Roman" w:hAnsi="Times New Roman"/>
          <w:sz w:val="24"/>
          <w:szCs w:val="24"/>
        </w:rPr>
      </w:pPr>
    </w:p>
    <w:p w14:paraId="55135B9C" w14:textId="6A9FFF7E" w:rsidR="00E26614" w:rsidRPr="000B09D3" w:rsidRDefault="00E26614" w:rsidP="00E26614">
      <w:pPr>
        <w:spacing w:after="0"/>
        <w:rPr>
          <w:rFonts w:ascii="Times New Roman" w:hAnsi="Times New Roman"/>
          <w:sz w:val="24"/>
          <w:szCs w:val="24"/>
        </w:rPr>
      </w:pPr>
      <w:r w:rsidRPr="000B09D3">
        <w:rPr>
          <w:rFonts w:ascii="Times New Roman" w:hAnsi="Times New Roman"/>
          <w:sz w:val="24"/>
          <w:szCs w:val="24"/>
        </w:rPr>
        <w:t>Bill #10143 is more radical compared to Bill #10228. It suggests a drastic revision of the BCU by introducing an entirely new section on preventive restructuring, with specific options available for micro and small enterprises, which are the most vulnerable to insolvency. Bill #10228 essentially transposes the minimum requirements of the PRD and offers no special solutions to micro and small enterprises.</w:t>
      </w:r>
    </w:p>
    <w:p w14:paraId="62AE65C2" w14:textId="77777777" w:rsidR="00E26614" w:rsidRPr="000B09D3" w:rsidRDefault="00E26614" w:rsidP="00E26614">
      <w:pPr>
        <w:spacing w:after="0"/>
        <w:rPr>
          <w:rFonts w:ascii="Times New Roman" w:hAnsi="Times New Roman"/>
          <w:sz w:val="24"/>
          <w:szCs w:val="24"/>
        </w:rPr>
      </w:pPr>
    </w:p>
    <w:p w14:paraId="5782A781" w14:textId="660330DC" w:rsidR="00E26614" w:rsidRPr="000B09D3" w:rsidRDefault="00E26614" w:rsidP="00E26614">
      <w:pPr>
        <w:spacing w:after="0"/>
        <w:rPr>
          <w:rFonts w:ascii="Times New Roman" w:hAnsi="Times New Roman"/>
          <w:i/>
          <w:iCs/>
          <w:sz w:val="24"/>
          <w:szCs w:val="24"/>
        </w:rPr>
      </w:pPr>
      <w:r w:rsidRPr="000B09D3">
        <w:rPr>
          <w:rFonts w:ascii="Times New Roman" w:hAnsi="Times New Roman"/>
          <w:i/>
          <w:iCs/>
          <w:sz w:val="24"/>
          <w:szCs w:val="24"/>
        </w:rPr>
        <w:t>Early warning tools</w:t>
      </w:r>
      <w:r w:rsidR="008034E6" w:rsidRPr="000B09D3">
        <w:rPr>
          <w:rFonts w:ascii="Times New Roman" w:hAnsi="Times New Roman"/>
          <w:i/>
          <w:iCs/>
          <w:sz w:val="24"/>
          <w:szCs w:val="24"/>
        </w:rPr>
        <w:t>;</w:t>
      </w:r>
      <w:r w:rsidRPr="000B09D3">
        <w:rPr>
          <w:rFonts w:ascii="Times New Roman" w:hAnsi="Times New Roman"/>
          <w:i/>
          <w:iCs/>
          <w:sz w:val="24"/>
          <w:szCs w:val="24"/>
        </w:rPr>
        <w:t xml:space="preserve"> Internet portal</w:t>
      </w:r>
    </w:p>
    <w:p w14:paraId="211C21A3" w14:textId="77777777" w:rsidR="008034E6" w:rsidRPr="000B09D3" w:rsidRDefault="008034E6" w:rsidP="00E26614">
      <w:pPr>
        <w:spacing w:after="0"/>
        <w:rPr>
          <w:rFonts w:ascii="Times New Roman" w:hAnsi="Times New Roman"/>
          <w:sz w:val="24"/>
          <w:szCs w:val="24"/>
        </w:rPr>
      </w:pPr>
    </w:p>
    <w:p w14:paraId="4A60EC82" w14:textId="518695E9" w:rsidR="00E26614" w:rsidRPr="000B09D3" w:rsidRDefault="00E26614" w:rsidP="00E26614">
      <w:pPr>
        <w:spacing w:after="0"/>
        <w:rPr>
          <w:rFonts w:ascii="Times New Roman" w:hAnsi="Times New Roman"/>
          <w:sz w:val="24"/>
          <w:szCs w:val="24"/>
        </w:rPr>
      </w:pPr>
      <w:r w:rsidRPr="000B09D3">
        <w:rPr>
          <w:rFonts w:ascii="Times New Roman" w:hAnsi="Times New Roman"/>
          <w:sz w:val="24"/>
          <w:szCs w:val="24"/>
        </w:rPr>
        <w:t>Both bills propose detailed obligations for company management to inform equity holders about impending bankruptcy risks, with preventive restructuring as a recommended measure. Bill #10143 requires auditors, accountants, and lawyers to alert debtor management of insolvency indicators. However, neither bill specifies consequences for failing to notify equity holders or the debtor. It</w:t>
      </w:r>
      <w:r w:rsidR="000B09D3">
        <w:rPr>
          <w:rFonts w:ascii="Times New Roman" w:hAnsi="Times New Roman"/>
          <w:sz w:val="24"/>
          <w:szCs w:val="24"/>
        </w:rPr>
        <w:t xml:space="preserve"> is</w:t>
      </w:r>
      <w:r w:rsidRPr="000B09D3">
        <w:rPr>
          <w:rFonts w:ascii="Times New Roman" w:hAnsi="Times New Roman"/>
          <w:sz w:val="24"/>
          <w:szCs w:val="24"/>
        </w:rPr>
        <w:t xml:space="preserve"> unclear if executive agencies and municipal authorities will solely monitor state and municipal enterprises or have broader notification powers. Without clarity, these rules may remain moot in practice.</w:t>
      </w:r>
    </w:p>
    <w:p w14:paraId="4352D26B" w14:textId="77777777" w:rsidR="008034E6" w:rsidRPr="000B09D3" w:rsidRDefault="008034E6" w:rsidP="00E26614">
      <w:pPr>
        <w:spacing w:after="0"/>
        <w:rPr>
          <w:rFonts w:ascii="Times New Roman" w:hAnsi="Times New Roman"/>
          <w:sz w:val="24"/>
          <w:szCs w:val="24"/>
        </w:rPr>
      </w:pPr>
    </w:p>
    <w:p w14:paraId="035E1F9B" w14:textId="6B8867B4" w:rsidR="00E26614" w:rsidRPr="000B09D3" w:rsidRDefault="00E26614" w:rsidP="00E26614">
      <w:pPr>
        <w:spacing w:after="0"/>
        <w:rPr>
          <w:rFonts w:ascii="Times New Roman" w:hAnsi="Times New Roman"/>
          <w:sz w:val="24"/>
          <w:szCs w:val="24"/>
        </w:rPr>
      </w:pPr>
      <w:r w:rsidRPr="000B09D3">
        <w:rPr>
          <w:rFonts w:ascii="Times New Roman" w:hAnsi="Times New Roman"/>
          <w:sz w:val="24"/>
          <w:szCs w:val="24"/>
        </w:rPr>
        <w:t>Another important and undoubtedly very useful novelty suggested by both bills is the extended authority of the Ministry of Justice on matters related to preventive restructuring. In particular, the ministry will be responsible for the development and maintenance of a dedicated web portal focused on preventing insolvency. This portal will offer information on early warning tools provided by public authorities, details about preventive restructuring measures and procedures, and comprehensive guidance.</w:t>
      </w:r>
    </w:p>
    <w:p w14:paraId="6AFF529C" w14:textId="77777777" w:rsidR="008034E6" w:rsidRPr="000B09D3" w:rsidRDefault="008034E6" w:rsidP="00E26614">
      <w:pPr>
        <w:spacing w:after="0"/>
        <w:rPr>
          <w:rFonts w:ascii="Times New Roman" w:hAnsi="Times New Roman"/>
          <w:sz w:val="24"/>
          <w:szCs w:val="24"/>
        </w:rPr>
      </w:pPr>
    </w:p>
    <w:p w14:paraId="4CEF31C2" w14:textId="7EC010BD" w:rsidR="00E26614" w:rsidRPr="000B09D3" w:rsidRDefault="00E26614" w:rsidP="00E26614">
      <w:pPr>
        <w:spacing w:after="0"/>
        <w:rPr>
          <w:rFonts w:ascii="Times New Roman" w:hAnsi="Times New Roman"/>
          <w:sz w:val="24"/>
          <w:szCs w:val="24"/>
        </w:rPr>
      </w:pPr>
      <w:r w:rsidRPr="000B09D3">
        <w:rPr>
          <w:rFonts w:ascii="Times New Roman" w:hAnsi="Times New Roman"/>
          <w:sz w:val="24"/>
          <w:szCs w:val="24"/>
        </w:rPr>
        <w:t>The introduction of the web portal is promising</w:t>
      </w:r>
      <w:r w:rsidR="000B09D3">
        <w:rPr>
          <w:rFonts w:ascii="Times New Roman" w:hAnsi="Times New Roman"/>
          <w:sz w:val="24"/>
          <w:szCs w:val="24"/>
        </w:rPr>
        <w:t>:</w:t>
      </w:r>
      <w:r w:rsidRPr="000B09D3">
        <w:rPr>
          <w:rFonts w:ascii="Times New Roman" w:hAnsi="Times New Roman"/>
          <w:sz w:val="24"/>
          <w:szCs w:val="24"/>
        </w:rPr>
        <w:t xml:space="preserve"> it will provide much-needed assistance to debtors with limited resources and may become a new milestone for Ukrainian authorities in developing new digital tools for those in financial distress. However, the launch of such a portal entails expenditure</w:t>
      </w:r>
      <w:r w:rsidRPr="000B09D3">
        <w:rPr>
          <w:rStyle w:val="FootnoteReference"/>
          <w:rFonts w:ascii="Times New Roman" w:hAnsi="Times New Roman"/>
          <w:sz w:val="24"/>
          <w:szCs w:val="24"/>
        </w:rPr>
        <w:footnoteReference w:id="13"/>
      </w:r>
      <w:r w:rsidRPr="000B09D3">
        <w:rPr>
          <w:rFonts w:ascii="Times New Roman" w:hAnsi="Times New Roman"/>
          <w:sz w:val="24"/>
          <w:szCs w:val="24"/>
        </w:rPr>
        <w:t xml:space="preserve"> that </w:t>
      </w:r>
      <w:r w:rsidR="008034E6" w:rsidRPr="000B09D3">
        <w:rPr>
          <w:rFonts w:ascii="Times New Roman" w:hAnsi="Times New Roman"/>
          <w:sz w:val="24"/>
          <w:szCs w:val="24"/>
        </w:rPr>
        <w:t>is</w:t>
      </w:r>
      <w:r w:rsidRPr="000B09D3">
        <w:rPr>
          <w:rFonts w:ascii="Times New Roman" w:hAnsi="Times New Roman"/>
          <w:sz w:val="24"/>
          <w:szCs w:val="24"/>
        </w:rPr>
        <w:t xml:space="preserve"> hard to come by, given the state budget </w:t>
      </w:r>
      <w:r w:rsidR="008034E6" w:rsidRPr="000B09D3">
        <w:rPr>
          <w:rFonts w:ascii="Times New Roman" w:hAnsi="Times New Roman"/>
          <w:sz w:val="24"/>
          <w:szCs w:val="24"/>
        </w:rPr>
        <w:t xml:space="preserve">has been </w:t>
      </w:r>
      <w:r w:rsidRPr="000B09D3">
        <w:rPr>
          <w:rFonts w:ascii="Times New Roman" w:hAnsi="Times New Roman"/>
          <w:sz w:val="24"/>
          <w:szCs w:val="24"/>
        </w:rPr>
        <w:t>heavily exhausted by the ongoing war. This problem may not only delay the launch of the portal but also the adoption of either of the two bills into law.</w:t>
      </w:r>
    </w:p>
    <w:p w14:paraId="0F54BF03" w14:textId="77777777" w:rsidR="00E26614" w:rsidRPr="000B09D3" w:rsidRDefault="00E26614" w:rsidP="00E26614">
      <w:pPr>
        <w:spacing w:after="0"/>
        <w:rPr>
          <w:rFonts w:ascii="Times New Roman" w:hAnsi="Times New Roman"/>
          <w:sz w:val="24"/>
          <w:szCs w:val="24"/>
        </w:rPr>
      </w:pPr>
    </w:p>
    <w:p w14:paraId="4130A045" w14:textId="60110C01" w:rsidR="00E26614" w:rsidRPr="000B09D3" w:rsidRDefault="00E26614" w:rsidP="00E26614">
      <w:pPr>
        <w:spacing w:after="0"/>
        <w:rPr>
          <w:rFonts w:ascii="Times New Roman" w:hAnsi="Times New Roman"/>
          <w:i/>
          <w:iCs/>
          <w:sz w:val="24"/>
          <w:szCs w:val="24"/>
        </w:rPr>
      </w:pPr>
      <w:r w:rsidRPr="000B09D3">
        <w:rPr>
          <w:rFonts w:ascii="Times New Roman" w:hAnsi="Times New Roman"/>
          <w:i/>
          <w:iCs/>
          <w:sz w:val="24"/>
          <w:szCs w:val="24"/>
        </w:rPr>
        <w:t>Restructuring plans</w:t>
      </w:r>
    </w:p>
    <w:p w14:paraId="53C70BAA" w14:textId="77777777" w:rsidR="008034E6" w:rsidRPr="000B09D3" w:rsidRDefault="008034E6" w:rsidP="00E26614">
      <w:pPr>
        <w:spacing w:after="0"/>
        <w:rPr>
          <w:rFonts w:ascii="Times New Roman" w:hAnsi="Times New Roman"/>
          <w:sz w:val="24"/>
          <w:szCs w:val="24"/>
        </w:rPr>
      </w:pPr>
    </w:p>
    <w:p w14:paraId="01814A2B" w14:textId="294F2B42" w:rsidR="00E26614" w:rsidRPr="000B09D3" w:rsidRDefault="00E26614" w:rsidP="00E26614">
      <w:pPr>
        <w:spacing w:after="0"/>
        <w:rPr>
          <w:rFonts w:ascii="Times New Roman" w:hAnsi="Times New Roman"/>
          <w:sz w:val="24"/>
          <w:szCs w:val="24"/>
        </w:rPr>
      </w:pPr>
      <w:r w:rsidRPr="000B09D3">
        <w:rPr>
          <w:rFonts w:ascii="Times New Roman" w:hAnsi="Times New Roman"/>
          <w:sz w:val="24"/>
          <w:szCs w:val="24"/>
        </w:rPr>
        <w:t>Both bills retain the option to employ procedures resembling the existing pre-trial rehabilitation in cases where the debtor already possesses a restructuring plan approved by creditors before applying to court. However, instead of mandating the submission of a plan pre-approved by creditors to the commercial court to initiate pre-trial rehabilitation, both bills propose that debtors can present a draft restructuring plan which can be meticulously negotiated with creditors and amended after the initiation of preventive restructuring. Both bills provide detailed requirements for creditors</w:t>
      </w:r>
      <w:r w:rsidR="000B09D3">
        <w:rPr>
          <w:rFonts w:ascii="Times New Roman" w:hAnsi="Times New Roman"/>
          <w:sz w:val="24"/>
          <w:szCs w:val="24"/>
        </w:rPr>
        <w:t>’</w:t>
      </w:r>
      <w:r w:rsidRPr="000B09D3">
        <w:rPr>
          <w:rFonts w:ascii="Times New Roman" w:hAnsi="Times New Roman"/>
          <w:sz w:val="24"/>
          <w:szCs w:val="24"/>
        </w:rPr>
        <w:t xml:space="preserve"> voting on the proposed plan and debtor</w:t>
      </w:r>
      <w:r w:rsidR="000B09D3">
        <w:rPr>
          <w:rFonts w:ascii="Times New Roman" w:hAnsi="Times New Roman"/>
          <w:sz w:val="24"/>
          <w:szCs w:val="24"/>
        </w:rPr>
        <w:t>’</w:t>
      </w:r>
      <w:r w:rsidRPr="000B09D3">
        <w:rPr>
          <w:rFonts w:ascii="Times New Roman" w:hAnsi="Times New Roman"/>
          <w:sz w:val="24"/>
          <w:szCs w:val="24"/>
        </w:rPr>
        <w:t>s reporting obligations, which would certainly eliminate problems of the lack of transparency inherent in the existing pre-trial rehabilitation.</w:t>
      </w:r>
    </w:p>
    <w:p w14:paraId="5806F197" w14:textId="77777777" w:rsidR="00E26614" w:rsidRPr="000B09D3" w:rsidRDefault="00E26614" w:rsidP="00E26614">
      <w:pPr>
        <w:spacing w:after="0"/>
        <w:rPr>
          <w:rFonts w:ascii="Times New Roman" w:hAnsi="Times New Roman"/>
          <w:sz w:val="24"/>
          <w:szCs w:val="24"/>
        </w:rPr>
      </w:pPr>
    </w:p>
    <w:p w14:paraId="1D6F20E0" w14:textId="18EC336E" w:rsidR="00E26614" w:rsidRPr="000B09D3" w:rsidRDefault="00E26614" w:rsidP="00E26614">
      <w:pPr>
        <w:spacing w:after="0"/>
        <w:rPr>
          <w:rFonts w:ascii="Times New Roman" w:hAnsi="Times New Roman"/>
          <w:sz w:val="24"/>
          <w:szCs w:val="24"/>
        </w:rPr>
      </w:pPr>
      <w:r w:rsidRPr="000B09D3">
        <w:rPr>
          <w:rFonts w:ascii="Times New Roman" w:hAnsi="Times New Roman"/>
          <w:sz w:val="24"/>
          <w:szCs w:val="24"/>
        </w:rPr>
        <w:t xml:space="preserve">Unlike existing pre-trial rehabilitation procedures, debtors will be able to initiate preventive restructuring without presenting a plan to the court. Instead, a preventive restructuring trustee, chosen from arbitration managers, will be mandatory to assist in plan development. Bill </w:t>
      </w:r>
      <w:r w:rsidRPr="000B09D3">
        <w:rPr>
          <w:rFonts w:ascii="Times New Roman" w:hAnsi="Times New Roman"/>
          <w:sz w:val="24"/>
          <w:szCs w:val="24"/>
        </w:rPr>
        <w:lastRenderedPageBreak/>
        <w:t xml:space="preserve">#10143 allows micro and small enterprises to submit a concise </w:t>
      </w:r>
      <w:r w:rsidR="000B09D3">
        <w:rPr>
          <w:rFonts w:ascii="Times New Roman" w:hAnsi="Times New Roman"/>
          <w:sz w:val="24"/>
          <w:szCs w:val="24"/>
        </w:rPr>
        <w:t>‘</w:t>
      </w:r>
      <w:r w:rsidRPr="000B09D3">
        <w:rPr>
          <w:rFonts w:ascii="Times New Roman" w:hAnsi="Times New Roman"/>
          <w:sz w:val="24"/>
          <w:szCs w:val="24"/>
        </w:rPr>
        <w:t>concept of preventive restructuring</w:t>
      </w:r>
      <w:r w:rsidR="000B09D3">
        <w:rPr>
          <w:rFonts w:ascii="Times New Roman" w:hAnsi="Times New Roman"/>
          <w:sz w:val="24"/>
          <w:szCs w:val="24"/>
        </w:rPr>
        <w:t>’</w:t>
      </w:r>
      <w:r w:rsidRPr="000B09D3">
        <w:rPr>
          <w:rFonts w:ascii="Times New Roman" w:hAnsi="Times New Roman"/>
          <w:sz w:val="24"/>
          <w:szCs w:val="24"/>
        </w:rPr>
        <w:t xml:space="preserve"> as an option. These changes offer advantages by granting debtors with limited resources more flexibility but also increase costs due to mandatory trustee involvement, posing potential financial challenges for micro and small businesses.</w:t>
      </w:r>
    </w:p>
    <w:p w14:paraId="60A0C91B" w14:textId="77777777" w:rsidR="00E26614" w:rsidRPr="000B09D3" w:rsidRDefault="00E26614" w:rsidP="00E26614">
      <w:pPr>
        <w:spacing w:after="0"/>
        <w:rPr>
          <w:rFonts w:ascii="Times New Roman" w:hAnsi="Times New Roman"/>
          <w:sz w:val="24"/>
          <w:szCs w:val="24"/>
        </w:rPr>
      </w:pPr>
    </w:p>
    <w:p w14:paraId="134FFF7B" w14:textId="67856C94" w:rsidR="00E26614" w:rsidRPr="000B09D3" w:rsidRDefault="00E26614" w:rsidP="00E26614">
      <w:pPr>
        <w:spacing w:after="0"/>
        <w:rPr>
          <w:rFonts w:ascii="Times New Roman" w:hAnsi="Times New Roman"/>
          <w:i/>
          <w:iCs/>
          <w:sz w:val="24"/>
          <w:szCs w:val="24"/>
        </w:rPr>
      </w:pPr>
      <w:r w:rsidRPr="000B09D3">
        <w:rPr>
          <w:rFonts w:ascii="Times New Roman" w:hAnsi="Times New Roman"/>
          <w:i/>
          <w:iCs/>
          <w:sz w:val="24"/>
          <w:szCs w:val="24"/>
        </w:rPr>
        <w:t>Stay and protective measures</w:t>
      </w:r>
    </w:p>
    <w:p w14:paraId="0BFA02B5" w14:textId="77777777" w:rsidR="008034E6" w:rsidRPr="000B09D3" w:rsidRDefault="008034E6" w:rsidP="00E26614">
      <w:pPr>
        <w:spacing w:after="0"/>
        <w:rPr>
          <w:rFonts w:ascii="Times New Roman" w:hAnsi="Times New Roman"/>
          <w:sz w:val="24"/>
          <w:szCs w:val="24"/>
        </w:rPr>
      </w:pPr>
    </w:p>
    <w:p w14:paraId="7F08D005" w14:textId="5D3B3B8C" w:rsidR="00183674" w:rsidRPr="000B09D3" w:rsidRDefault="00E26614" w:rsidP="00E26614">
      <w:pPr>
        <w:spacing w:after="0"/>
        <w:rPr>
          <w:rFonts w:ascii="Times New Roman" w:hAnsi="Times New Roman"/>
          <w:sz w:val="24"/>
          <w:szCs w:val="24"/>
        </w:rPr>
      </w:pPr>
      <w:r w:rsidRPr="000B09D3">
        <w:rPr>
          <w:rFonts w:ascii="Times New Roman" w:hAnsi="Times New Roman"/>
          <w:sz w:val="24"/>
          <w:szCs w:val="24"/>
        </w:rPr>
        <w:t>Prohibiting affected creditors from initiating insolvency procedures against the debtor is perhaps the most important novelty proposed by both bills in accordance with the PRD. The existing pre-trial rehabilitation chronically suffers from compelling debtors to hide their plans until the final stages to prevent creditors from instigating bankruptcy proceedings, thereby undermining preventive measures against insolvency.</w:t>
      </w:r>
      <w:r w:rsidRPr="000B09D3">
        <w:rPr>
          <w:rStyle w:val="FootnoteReference"/>
          <w:rFonts w:ascii="Times New Roman" w:hAnsi="Times New Roman"/>
          <w:sz w:val="24"/>
          <w:szCs w:val="24"/>
        </w:rPr>
        <w:footnoteReference w:id="14"/>
      </w:r>
      <w:r w:rsidRPr="000B09D3">
        <w:rPr>
          <w:rFonts w:ascii="Times New Roman" w:hAnsi="Times New Roman"/>
          <w:sz w:val="24"/>
          <w:szCs w:val="24"/>
        </w:rPr>
        <w:t xml:space="preserve"> </w:t>
      </w:r>
      <w:r w:rsidR="00183674" w:rsidRPr="000B09D3">
        <w:rPr>
          <w:rFonts w:ascii="Times New Roman" w:hAnsi="Times New Roman"/>
          <w:sz w:val="24"/>
          <w:szCs w:val="24"/>
        </w:rPr>
        <w:t>The stay will also entail the suspension of financial sanctions against the debtor, suspension of the statute of limitations for affected creditors</w:t>
      </w:r>
      <w:r w:rsidR="000B09D3">
        <w:rPr>
          <w:rFonts w:ascii="Times New Roman" w:hAnsi="Times New Roman"/>
          <w:sz w:val="24"/>
          <w:szCs w:val="24"/>
        </w:rPr>
        <w:t>’</w:t>
      </w:r>
      <w:r w:rsidR="00183674" w:rsidRPr="000B09D3">
        <w:rPr>
          <w:rFonts w:ascii="Times New Roman" w:hAnsi="Times New Roman"/>
          <w:sz w:val="24"/>
          <w:szCs w:val="24"/>
        </w:rPr>
        <w:t xml:space="preserve"> claims, and restrictions on foreclosure on the debtor</w:t>
      </w:r>
      <w:r w:rsidR="000B09D3">
        <w:rPr>
          <w:rFonts w:ascii="Times New Roman" w:hAnsi="Times New Roman"/>
          <w:sz w:val="24"/>
          <w:szCs w:val="24"/>
        </w:rPr>
        <w:t>’</w:t>
      </w:r>
      <w:r w:rsidR="00183674" w:rsidRPr="000B09D3">
        <w:rPr>
          <w:rFonts w:ascii="Times New Roman" w:hAnsi="Times New Roman"/>
          <w:sz w:val="24"/>
          <w:szCs w:val="24"/>
        </w:rPr>
        <w:t>s assets.</w:t>
      </w:r>
    </w:p>
    <w:p w14:paraId="40F3FBA2" w14:textId="77777777" w:rsidR="008034E6" w:rsidRPr="000B09D3" w:rsidRDefault="008034E6" w:rsidP="00E26614">
      <w:pPr>
        <w:spacing w:after="0"/>
        <w:rPr>
          <w:rFonts w:ascii="Times New Roman" w:hAnsi="Times New Roman"/>
          <w:sz w:val="24"/>
          <w:szCs w:val="24"/>
        </w:rPr>
      </w:pPr>
    </w:p>
    <w:p w14:paraId="102154D1" w14:textId="4CD7B550" w:rsidR="00183674" w:rsidRPr="000B09D3" w:rsidRDefault="00183674" w:rsidP="00E26614">
      <w:pPr>
        <w:spacing w:after="0"/>
        <w:rPr>
          <w:rFonts w:ascii="Times New Roman" w:hAnsi="Times New Roman"/>
          <w:sz w:val="24"/>
          <w:szCs w:val="24"/>
        </w:rPr>
      </w:pPr>
      <w:r w:rsidRPr="000B09D3">
        <w:rPr>
          <w:rFonts w:ascii="Times New Roman" w:hAnsi="Times New Roman"/>
          <w:sz w:val="24"/>
          <w:szCs w:val="24"/>
        </w:rPr>
        <w:t>In addition to that, both bills provide for the possibility for a court to apply protective measures, such as prohibiting enforced collection from the debtor based on enforcement documents, except during the stage of distributing proceeds, introduction of a moratorium on satisfying creditors</w:t>
      </w:r>
      <w:r w:rsidR="000B09D3">
        <w:rPr>
          <w:rFonts w:ascii="Times New Roman" w:hAnsi="Times New Roman"/>
          <w:sz w:val="24"/>
          <w:szCs w:val="24"/>
        </w:rPr>
        <w:t>’</w:t>
      </w:r>
      <w:r w:rsidRPr="000B09D3">
        <w:rPr>
          <w:rFonts w:ascii="Times New Roman" w:hAnsi="Times New Roman"/>
          <w:sz w:val="24"/>
          <w:szCs w:val="24"/>
        </w:rPr>
        <w:t xml:space="preserve"> claims, and restrictions on certain transactions by the debtor. It is worth noting that, according to Bill #10143, protective measures can be requested only by the debtor, while under Bill #10228, both the debtor and creditors can petition the court to apply such measures. Under both bills, the application of protective measures cannot exceed the period of six months.</w:t>
      </w:r>
    </w:p>
    <w:p w14:paraId="5D829F25" w14:textId="77777777" w:rsidR="008034E6" w:rsidRPr="000B09D3" w:rsidRDefault="008034E6" w:rsidP="00E26614">
      <w:pPr>
        <w:spacing w:after="0"/>
        <w:rPr>
          <w:rFonts w:ascii="Times New Roman" w:hAnsi="Times New Roman"/>
          <w:sz w:val="24"/>
          <w:szCs w:val="24"/>
        </w:rPr>
      </w:pPr>
    </w:p>
    <w:p w14:paraId="69BF9949" w14:textId="0A53932F" w:rsidR="00183674" w:rsidRPr="000B09D3" w:rsidRDefault="00183674" w:rsidP="00E26614">
      <w:pPr>
        <w:spacing w:after="0"/>
        <w:rPr>
          <w:rFonts w:ascii="Times New Roman" w:hAnsi="Times New Roman"/>
          <w:sz w:val="24"/>
          <w:szCs w:val="24"/>
        </w:rPr>
      </w:pPr>
      <w:r w:rsidRPr="000B09D3">
        <w:rPr>
          <w:rFonts w:ascii="Times New Roman" w:hAnsi="Times New Roman"/>
          <w:sz w:val="24"/>
          <w:szCs w:val="24"/>
        </w:rPr>
        <w:t>Bill #10143 includes safeguards against potential abuses by debtors seeking to prolong insolvency. Protective measures are only instituted</w:t>
      </w:r>
      <w:r w:rsidR="000B09D3">
        <w:rPr>
          <w:rFonts w:ascii="Times New Roman" w:hAnsi="Times New Roman"/>
          <w:sz w:val="24"/>
          <w:szCs w:val="24"/>
        </w:rPr>
        <w:t>,</w:t>
      </w:r>
      <w:r w:rsidRPr="000B09D3">
        <w:rPr>
          <w:rFonts w:ascii="Times New Roman" w:hAnsi="Times New Roman"/>
          <w:sz w:val="24"/>
          <w:szCs w:val="24"/>
        </w:rPr>
        <w:t xml:space="preserve"> if the debtor provides a substantiated plan for preventive restructuring, presents comprehensive financial information, and non-implementation of protective measures would hinder restructuring or lead to insolvency.</w:t>
      </w:r>
    </w:p>
    <w:p w14:paraId="76686AAB" w14:textId="77777777" w:rsidR="00183674" w:rsidRPr="000B09D3" w:rsidRDefault="00183674" w:rsidP="00E26614">
      <w:pPr>
        <w:spacing w:after="0"/>
        <w:rPr>
          <w:rFonts w:ascii="Times New Roman" w:hAnsi="Times New Roman"/>
          <w:sz w:val="24"/>
          <w:szCs w:val="24"/>
        </w:rPr>
      </w:pPr>
    </w:p>
    <w:p w14:paraId="1ED12A91" w14:textId="7720450D" w:rsidR="00183674" w:rsidRPr="000B09D3" w:rsidRDefault="00183674" w:rsidP="00E26614">
      <w:pPr>
        <w:spacing w:after="0"/>
        <w:rPr>
          <w:rFonts w:ascii="Times New Roman" w:hAnsi="Times New Roman"/>
          <w:i/>
          <w:iCs/>
          <w:sz w:val="24"/>
          <w:szCs w:val="24"/>
        </w:rPr>
      </w:pPr>
      <w:r w:rsidRPr="000B09D3">
        <w:rPr>
          <w:rFonts w:ascii="Times New Roman" w:hAnsi="Times New Roman"/>
          <w:i/>
          <w:iCs/>
          <w:sz w:val="24"/>
          <w:szCs w:val="24"/>
        </w:rPr>
        <w:t>Classes of affected creditors</w:t>
      </w:r>
    </w:p>
    <w:p w14:paraId="7B282B91" w14:textId="77777777" w:rsidR="008034E6" w:rsidRPr="000B09D3" w:rsidRDefault="008034E6" w:rsidP="00E26614">
      <w:pPr>
        <w:spacing w:after="0"/>
        <w:rPr>
          <w:rFonts w:ascii="Times New Roman" w:hAnsi="Times New Roman"/>
          <w:sz w:val="24"/>
          <w:szCs w:val="24"/>
        </w:rPr>
      </w:pPr>
    </w:p>
    <w:p w14:paraId="595ACDAC" w14:textId="0C9A0B1C" w:rsidR="00183674" w:rsidRPr="000B09D3" w:rsidRDefault="00183674" w:rsidP="00E26614">
      <w:pPr>
        <w:spacing w:after="0"/>
        <w:rPr>
          <w:rFonts w:ascii="Times New Roman" w:hAnsi="Times New Roman"/>
          <w:sz w:val="24"/>
          <w:szCs w:val="24"/>
        </w:rPr>
      </w:pPr>
      <w:r w:rsidRPr="000B09D3">
        <w:rPr>
          <w:rFonts w:ascii="Times New Roman" w:hAnsi="Times New Roman"/>
          <w:sz w:val="24"/>
          <w:szCs w:val="24"/>
        </w:rPr>
        <w:t>Currently, under the BCU, categorizing creditors into classes for pre-trial rehabilitation plans is optional. Both bills seek to make this mandatory in line with the PRD, with Bill #10143 being more detailed. It requires division into secured creditors, unsecured creditors, unsecured creditors interested in the debtor</w:t>
      </w:r>
      <w:r w:rsidRPr="000B09D3">
        <w:rPr>
          <w:rFonts w:ascii="Times New Roman" w:hAnsi="Times New Roman"/>
          <w:sz w:val="24"/>
          <w:szCs w:val="24"/>
          <w:lang w:val="uk-UA"/>
        </w:rPr>
        <w:t xml:space="preserve"> (</w:t>
      </w:r>
      <w:r w:rsidRPr="000B09D3">
        <w:rPr>
          <w:rFonts w:ascii="Times New Roman" w:hAnsi="Times New Roman"/>
          <w:sz w:val="24"/>
          <w:szCs w:val="24"/>
        </w:rPr>
        <w:t>such as a parent company, affiliated companies, debtor`s managers and executive officers, relatives etc.), and equity holders. Additional classes may be created based on factors like obligation deadlines, claim amounts, and creditor types, with criteria outlined in the preventive restructuring plan.</w:t>
      </w:r>
    </w:p>
    <w:p w14:paraId="0CA8DBE2" w14:textId="77777777" w:rsidR="008034E6" w:rsidRPr="000B09D3" w:rsidRDefault="008034E6" w:rsidP="00E26614">
      <w:pPr>
        <w:spacing w:after="0"/>
        <w:rPr>
          <w:rFonts w:ascii="Times New Roman" w:hAnsi="Times New Roman"/>
          <w:sz w:val="24"/>
          <w:szCs w:val="24"/>
        </w:rPr>
      </w:pPr>
    </w:p>
    <w:p w14:paraId="0B9126E4" w14:textId="6EDADC29" w:rsidR="00183674" w:rsidRPr="000B09D3" w:rsidRDefault="00183674" w:rsidP="00E26614">
      <w:pPr>
        <w:spacing w:after="0"/>
        <w:rPr>
          <w:rFonts w:ascii="Times New Roman" w:hAnsi="Times New Roman"/>
          <w:sz w:val="24"/>
          <w:szCs w:val="24"/>
        </w:rPr>
      </w:pPr>
      <w:r w:rsidRPr="000B09D3">
        <w:rPr>
          <w:rFonts w:ascii="Times New Roman" w:hAnsi="Times New Roman"/>
          <w:sz w:val="24"/>
          <w:szCs w:val="24"/>
          <w:lang w:bidi="bn-BD"/>
        </w:rPr>
        <w:t xml:space="preserve">A </w:t>
      </w:r>
      <w:r w:rsidR="000B09D3">
        <w:rPr>
          <w:rFonts w:ascii="Times New Roman" w:hAnsi="Times New Roman"/>
          <w:sz w:val="24"/>
          <w:szCs w:val="24"/>
          <w:lang w:bidi="bn-BD"/>
        </w:rPr>
        <w:t xml:space="preserve">class of </w:t>
      </w:r>
      <w:r w:rsidRPr="000B09D3">
        <w:rPr>
          <w:rFonts w:ascii="Times New Roman" w:hAnsi="Times New Roman"/>
          <w:sz w:val="24"/>
          <w:szCs w:val="24"/>
          <w:lang w:bidi="bn-BD"/>
        </w:rPr>
        <w:t>employee</w:t>
      </w:r>
      <w:r w:rsidR="000B09D3">
        <w:rPr>
          <w:rFonts w:ascii="Times New Roman" w:hAnsi="Times New Roman"/>
          <w:sz w:val="24"/>
          <w:szCs w:val="24"/>
          <w:lang w:bidi="bn-BD"/>
        </w:rPr>
        <w:t>s</w:t>
      </w:r>
      <w:r w:rsidRPr="000B09D3">
        <w:rPr>
          <w:rFonts w:ascii="Times New Roman" w:hAnsi="Times New Roman"/>
          <w:sz w:val="24"/>
          <w:szCs w:val="24"/>
          <w:lang w:bidi="bn-BD"/>
        </w:rPr>
        <w:t xml:space="preserve"> must be established</w:t>
      </w:r>
      <w:r w:rsidR="000B09D3">
        <w:rPr>
          <w:rFonts w:ascii="Times New Roman" w:hAnsi="Times New Roman"/>
          <w:sz w:val="24"/>
          <w:szCs w:val="24"/>
          <w:lang w:bidi="bn-BD"/>
        </w:rPr>
        <w:t>,</w:t>
      </w:r>
      <w:r w:rsidRPr="000B09D3">
        <w:rPr>
          <w:rFonts w:ascii="Times New Roman" w:hAnsi="Times New Roman"/>
          <w:sz w:val="24"/>
          <w:szCs w:val="24"/>
          <w:lang w:bidi="bn-BD"/>
        </w:rPr>
        <w:t xml:space="preserve"> if the proposed restructuring involves employee claims. The preventive restructuring plan cannot allocate different proportions for satisfying claims within a single class. Any creditors within that class facing a worsened position must unanimously consent in writing to the change.</w:t>
      </w:r>
      <w:r w:rsidRPr="000B09D3">
        <w:rPr>
          <w:rFonts w:ascii="Times New Roman" w:hAnsi="Times New Roman"/>
          <w:sz w:val="24"/>
          <w:szCs w:val="24"/>
        </w:rPr>
        <w:t xml:space="preserve"> Under both bills, affected creditors may contest the formation of classes in court.</w:t>
      </w:r>
    </w:p>
    <w:p w14:paraId="5A73560C" w14:textId="77777777" w:rsidR="008034E6" w:rsidRPr="000B09D3" w:rsidRDefault="008034E6" w:rsidP="00E26614">
      <w:pPr>
        <w:spacing w:after="0"/>
        <w:rPr>
          <w:rFonts w:ascii="Times New Roman" w:hAnsi="Times New Roman"/>
          <w:sz w:val="24"/>
          <w:szCs w:val="24"/>
        </w:rPr>
      </w:pPr>
    </w:p>
    <w:p w14:paraId="5A8D9F6A" w14:textId="77777777" w:rsidR="00183674" w:rsidRPr="000B09D3" w:rsidRDefault="00183674" w:rsidP="00E26614">
      <w:pPr>
        <w:shd w:val="clear" w:color="auto" w:fill="FFFFFF"/>
        <w:spacing w:after="0"/>
        <w:rPr>
          <w:rFonts w:ascii="Times New Roman" w:hAnsi="Times New Roman"/>
          <w:sz w:val="24"/>
          <w:szCs w:val="24"/>
        </w:rPr>
      </w:pPr>
      <w:r w:rsidRPr="000B09D3">
        <w:rPr>
          <w:rFonts w:ascii="Times New Roman" w:hAnsi="Times New Roman"/>
          <w:sz w:val="24"/>
          <w:szCs w:val="24"/>
        </w:rPr>
        <w:lastRenderedPageBreak/>
        <w:t>Unfortunately, neither of the two bills incorporates an opt-out provision available in the PRD, which would allow debtors representing micro and small businesses to forego dividing creditors into classes.</w:t>
      </w:r>
    </w:p>
    <w:p w14:paraId="06299441" w14:textId="77777777" w:rsidR="00183674" w:rsidRPr="000B09D3" w:rsidRDefault="00183674" w:rsidP="00E26614">
      <w:pPr>
        <w:shd w:val="clear" w:color="auto" w:fill="FFFFFF"/>
        <w:spacing w:after="0"/>
        <w:rPr>
          <w:rFonts w:ascii="Times New Roman" w:hAnsi="Times New Roman"/>
          <w:color w:val="374151"/>
          <w:sz w:val="24"/>
          <w:szCs w:val="24"/>
        </w:rPr>
      </w:pPr>
    </w:p>
    <w:p w14:paraId="3E92A640" w14:textId="71335769" w:rsidR="00183674" w:rsidRPr="000B09D3" w:rsidRDefault="00183674" w:rsidP="00E26614">
      <w:pPr>
        <w:shd w:val="clear" w:color="auto" w:fill="FFFFFF"/>
        <w:spacing w:after="0"/>
        <w:rPr>
          <w:rFonts w:ascii="Times New Roman" w:hAnsi="Times New Roman"/>
          <w:i/>
          <w:iCs/>
          <w:sz w:val="24"/>
          <w:szCs w:val="24"/>
        </w:rPr>
      </w:pPr>
      <w:r w:rsidRPr="000B09D3">
        <w:rPr>
          <w:rFonts w:ascii="Times New Roman" w:hAnsi="Times New Roman"/>
          <w:i/>
          <w:iCs/>
          <w:sz w:val="24"/>
          <w:szCs w:val="24"/>
        </w:rPr>
        <w:t>Plan approval</w:t>
      </w:r>
      <w:r w:rsidR="008034E6" w:rsidRPr="000B09D3">
        <w:rPr>
          <w:rFonts w:ascii="Times New Roman" w:hAnsi="Times New Roman"/>
          <w:i/>
          <w:iCs/>
          <w:sz w:val="24"/>
          <w:szCs w:val="24"/>
        </w:rPr>
        <w:t>;</w:t>
      </w:r>
      <w:r w:rsidRPr="000B09D3">
        <w:rPr>
          <w:rFonts w:ascii="Times New Roman" w:hAnsi="Times New Roman"/>
          <w:i/>
          <w:iCs/>
          <w:sz w:val="24"/>
          <w:szCs w:val="24"/>
        </w:rPr>
        <w:t xml:space="preserve"> </w:t>
      </w:r>
      <w:r w:rsidR="008034E6" w:rsidRPr="000B09D3">
        <w:rPr>
          <w:rFonts w:ascii="Times New Roman" w:hAnsi="Times New Roman"/>
          <w:i/>
          <w:iCs/>
          <w:sz w:val="24"/>
          <w:szCs w:val="24"/>
        </w:rPr>
        <w:t>c</w:t>
      </w:r>
      <w:r w:rsidRPr="000B09D3">
        <w:rPr>
          <w:rFonts w:ascii="Times New Roman" w:hAnsi="Times New Roman"/>
          <w:i/>
          <w:iCs/>
          <w:sz w:val="24"/>
          <w:szCs w:val="24"/>
        </w:rPr>
        <w:t>ross-class cram down</w:t>
      </w:r>
    </w:p>
    <w:p w14:paraId="1B00A8EA" w14:textId="77777777" w:rsidR="00183674" w:rsidRPr="000B09D3" w:rsidRDefault="00183674" w:rsidP="00E26614">
      <w:pPr>
        <w:shd w:val="clear" w:color="auto" w:fill="FFFFFF"/>
        <w:spacing w:after="0"/>
        <w:rPr>
          <w:rFonts w:ascii="Times New Roman" w:hAnsi="Times New Roman"/>
          <w:sz w:val="24"/>
          <w:szCs w:val="24"/>
        </w:rPr>
      </w:pPr>
    </w:p>
    <w:p w14:paraId="035CCD50" w14:textId="5D3D0BB3" w:rsidR="00183674" w:rsidRPr="000B09D3" w:rsidRDefault="00183674" w:rsidP="00E26614">
      <w:pPr>
        <w:spacing w:after="0"/>
        <w:rPr>
          <w:rFonts w:ascii="Times New Roman" w:hAnsi="Times New Roman"/>
          <w:sz w:val="24"/>
          <w:szCs w:val="24"/>
        </w:rPr>
      </w:pPr>
      <w:r w:rsidRPr="000B09D3">
        <w:rPr>
          <w:rFonts w:ascii="Times New Roman" w:hAnsi="Times New Roman"/>
          <w:sz w:val="24"/>
          <w:szCs w:val="24"/>
        </w:rPr>
        <w:t>Both bills stipulate that a proposed restructuring plan is deemed approved by the secured creditors</w:t>
      </w:r>
      <w:r w:rsidR="000B09D3">
        <w:rPr>
          <w:rFonts w:ascii="Times New Roman" w:hAnsi="Times New Roman"/>
          <w:sz w:val="24"/>
          <w:szCs w:val="24"/>
        </w:rPr>
        <w:t>’</w:t>
      </w:r>
      <w:r w:rsidRPr="000B09D3">
        <w:rPr>
          <w:rFonts w:ascii="Times New Roman" w:hAnsi="Times New Roman"/>
          <w:sz w:val="24"/>
          <w:szCs w:val="24"/>
        </w:rPr>
        <w:t xml:space="preserve"> class if it garners support from creditors entitled to vote, possessing at least two-thirds of the votes from the total secured claims included in the plan within this class. For unsecured creditors, the plan requires more than 50% of the votes from the total unsecured claims included in each class for approval.</w:t>
      </w:r>
    </w:p>
    <w:p w14:paraId="06AC39AC" w14:textId="77777777" w:rsidR="008034E6" w:rsidRPr="000B09D3" w:rsidRDefault="008034E6" w:rsidP="00E26614">
      <w:pPr>
        <w:spacing w:after="0"/>
        <w:rPr>
          <w:rFonts w:ascii="Times New Roman" w:hAnsi="Times New Roman"/>
          <w:sz w:val="24"/>
          <w:szCs w:val="24"/>
        </w:rPr>
      </w:pPr>
    </w:p>
    <w:p w14:paraId="1A3D214C" w14:textId="182D3256" w:rsidR="00183674" w:rsidRPr="000B09D3" w:rsidRDefault="00183674" w:rsidP="00E26614">
      <w:pPr>
        <w:spacing w:after="0"/>
        <w:rPr>
          <w:rFonts w:ascii="Times New Roman" w:hAnsi="Times New Roman"/>
          <w:sz w:val="24"/>
          <w:szCs w:val="24"/>
        </w:rPr>
      </w:pPr>
      <w:r w:rsidRPr="000B09D3">
        <w:rPr>
          <w:rFonts w:ascii="Times New Roman" w:hAnsi="Times New Roman"/>
          <w:sz w:val="24"/>
          <w:szCs w:val="24"/>
        </w:rPr>
        <w:t>Alongside the stay provision, cross-class cramdown will undoubtedly be a significant addition to Ukrainian insolvency law. Both bills adopt PRD provisions, which mandate the respective court to cram down the plan on dissenting creditors if:</w:t>
      </w:r>
    </w:p>
    <w:p w14:paraId="18F0BF39" w14:textId="77777777" w:rsidR="008034E6" w:rsidRPr="000B09D3" w:rsidRDefault="008034E6" w:rsidP="00E26614">
      <w:pPr>
        <w:spacing w:after="0"/>
        <w:rPr>
          <w:rFonts w:ascii="Times New Roman" w:hAnsi="Times New Roman"/>
          <w:sz w:val="24"/>
          <w:szCs w:val="24"/>
        </w:rPr>
      </w:pPr>
    </w:p>
    <w:p w14:paraId="36333308" w14:textId="6CEB6F87" w:rsidR="00183674" w:rsidRPr="000B09D3" w:rsidRDefault="00183674" w:rsidP="00BA791F">
      <w:pPr>
        <w:pStyle w:val="ListParagraph"/>
        <w:numPr>
          <w:ilvl w:val="0"/>
          <w:numId w:val="8"/>
        </w:numPr>
        <w:spacing w:after="0" w:line="240" w:lineRule="auto"/>
        <w:jc w:val="both"/>
        <w:rPr>
          <w:rFonts w:ascii="Times New Roman" w:hAnsi="Times New Roman" w:cs="Times New Roman"/>
          <w:sz w:val="24"/>
          <w:szCs w:val="24"/>
          <w:lang w:val="en-GB"/>
        </w:rPr>
      </w:pPr>
      <w:r w:rsidRPr="000B09D3">
        <w:rPr>
          <w:rFonts w:ascii="Times New Roman" w:hAnsi="Times New Roman" w:cs="Times New Roman"/>
          <w:sz w:val="24"/>
          <w:szCs w:val="24"/>
          <w:lang w:val="en-GB"/>
        </w:rPr>
        <w:t>no grounds exist for rejecting it;</w:t>
      </w:r>
    </w:p>
    <w:p w14:paraId="65398C40" w14:textId="23AF3AF5" w:rsidR="00183674" w:rsidRPr="000B09D3" w:rsidRDefault="00183674" w:rsidP="00BA791F">
      <w:pPr>
        <w:pStyle w:val="ListParagraph"/>
        <w:numPr>
          <w:ilvl w:val="0"/>
          <w:numId w:val="8"/>
        </w:numPr>
        <w:spacing w:after="0" w:line="240" w:lineRule="auto"/>
        <w:jc w:val="both"/>
        <w:rPr>
          <w:rFonts w:ascii="Times New Roman" w:hAnsi="Times New Roman" w:cs="Times New Roman"/>
          <w:sz w:val="24"/>
          <w:szCs w:val="24"/>
          <w:lang w:val="en-GB"/>
        </w:rPr>
      </w:pPr>
      <w:r w:rsidRPr="000B09D3">
        <w:rPr>
          <w:rFonts w:ascii="Times New Roman" w:hAnsi="Times New Roman" w:cs="Times New Roman"/>
          <w:sz w:val="24"/>
          <w:szCs w:val="24"/>
          <w:lang w:val="en-GB"/>
        </w:rPr>
        <w:t>the plan is approved by a majority of affected parties</w:t>
      </w:r>
      <w:r w:rsidR="000B09D3">
        <w:rPr>
          <w:rFonts w:ascii="Times New Roman" w:hAnsi="Times New Roman" w:cs="Times New Roman"/>
          <w:sz w:val="24"/>
          <w:szCs w:val="24"/>
          <w:lang w:val="en-GB"/>
        </w:rPr>
        <w:t>’;</w:t>
      </w:r>
      <w:r w:rsidRPr="000B09D3">
        <w:rPr>
          <w:rFonts w:ascii="Times New Roman" w:hAnsi="Times New Roman" w:cs="Times New Roman"/>
          <w:sz w:val="24"/>
          <w:szCs w:val="24"/>
          <w:lang w:val="en-GB"/>
        </w:rPr>
        <w:t xml:space="preserve"> voting classes, with at least one being secured creditors or senior to ordinary unsecured creditors, or by a class other than equity-holders;</w:t>
      </w:r>
    </w:p>
    <w:p w14:paraId="6BC664FD" w14:textId="4ED84538" w:rsidR="00183674" w:rsidRPr="000B09D3" w:rsidRDefault="00183674" w:rsidP="00BA791F">
      <w:pPr>
        <w:pStyle w:val="ListParagraph"/>
        <w:numPr>
          <w:ilvl w:val="0"/>
          <w:numId w:val="8"/>
        </w:numPr>
        <w:spacing w:after="0" w:line="240" w:lineRule="auto"/>
        <w:jc w:val="both"/>
        <w:rPr>
          <w:rFonts w:ascii="Times New Roman" w:hAnsi="Times New Roman" w:cs="Times New Roman"/>
          <w:sz w:val="24"/>
          <w:szCs w:val="24"/>
          <w:lang w:val="en-GB"/>
        </w:rPr>
      </w:pPr>
      <w:r w:rsidRPr="000B09D3">
        <w:rPr>
          <w:rFonts w:ascii="Times New Roman" w:hAnsi="Times New Roman" w:cs="Times New Roman"/>
          <w:sz w:val="24"/>
          <w:szCs w:val="24"/>
          <w:lang w:val="en-GB"/>
        </w:rPr>
        <w:t xml:space="preserve">dissenting creditor classes are treated equally or better than similar ranks, and more favourably than junior classes; </w:t>
      </w:r>
      <w:r w:rsidR="008034E6" w:rsidRPr="000B09D3">
        <w:rPr>
          <w:rFonts w:ascii="Times New Roman" w:hAnsi="Times New Roman" w:cs="Times New Roman"/>
          <w:sz w:val="24"/>
          <w:szCs w:val="24"/>
          <w:lang w:val="en-GB"/>
        </w:rPr>
        <w:t>and</w:t>
      </w:r>
    </w:p>
    <w:p w14:paraId="351D33C6" w14:textId="77777777" w:rsidR="00183674" w:rsidRPr="000B09D3" w:rsidRDefault="00183674" w:rsidP="00BA791F">
      <w:pPr>
        <w:pStyle w:val="ListParagraph"/>
        <w:numPr>
          <w:ilvl w:val="0"/>
          <w:numId w:val="8"/>
        </w:numPr>
        <w:spacing w:after="0" w:line="240" w:lineRule="auto"/>
        <w:jc w:val="both"/>
        <w:rPr>
          <w:rFonts w:ascii="Times New Roman" w:hAnsi="Times New Roman" w:cs="Times New Roman"/>
          <w:sz w:val="24"/>
          <w:szCs w:val="24"/>
          <w:lang w:val="en-GB"/>
        </w:rPr>
      </w:pPr>
      <w:r w:rsidRPr="000B09D3">
        <w:rPr>
          <w:rFonts w:ascii="Times New Roman" w:hAnsi="Times New Roman" w:cs="Times New Roman"/>
          <w:sz w:val="24"/>
          <w:szCs w:val="24"/>
          <w:lang w:val="en-GB"/>
        </w:rPr>
        <w:t>no class receives or retains more than their full claims or interests under the plan.</w:t>
      </w:r>
    </w:p>
    <w:p w14:paraId="3C580221" w14:textId="77777777" w:rsidR="00183674" w:rsidRPr="000B09D3" w:rsidRDefault="00183674" w:rsidP="00E26614">
      <w:pPr>
        <w:spacing w:after="0"/>
        <w:rPr>
          <w:rFonts w:ascii="Times New Roman" w:hAnsi="Times New Roman"/>
          <w:sz w:val="24"/>
          <w:szCs w:val="24"/>
        </w:rPr>
      </w:pPr>
    </w:p>
    <w:p w14:paraId="1756859B" w14:textId="59E45720" w:rsidR="00183674" w:rsidRPr="000B09D3" w:rsidRDefault="00183674" w:rsidP="00E26614">
      <w:pPr>
        <w:spacing w:after="0"/>
        <w:rPr>
          <w:rFonts w:ascii="Times New Roman" w:hAnsi="Times New Roman"/>
          <w:i/>
          <w:iCs/>
          <w:sz w:val="24"/>
          <w:szCs w:val="24"/>
        </w:rPr>
      </w:pPr>
      <w:r w:rsidRPr="000B09D3">
        <w:rPr>
          <w:rFonts w:ascii="Times New Roman" w:hAnsi="Times New Roman"/>
          <w:i/>
          <w:iCs/>
          <w:sz w:val="24"/>
          <w:szCs w:val="24"/>
        </w:rPr>
        <w:t>Monitoring and conclusion of the procedure</w:t>
      </w:r>
    </w:p>
    <w:p w14:paraId="20C54430" w14:textId="77777777" w:rsidR="008034E6" w:rsidRPr="000B09D3" w:rsidRDefault="008034E6" w:rsidP="00E26614">
      <w:pPr>
        <w:spacing w:after="0"/>
        <w:rPr>
          <w:rFonts w:ascii="Times New Roman" w:hAnsi="Times New Roman"/>
          <w:color w:val="333333"/>
          <w:sz w:val="24"/>
          <w:szCs w:val="24"/>
          <w:shd w:val="clear" w:color="auto" w:fill="FFFFFF"/>
        </w:rPr>
      </w:pPr>
    </w:p>
    <w:p w14:paraId="6D504813" w14:textId="09F6C725" w:rsidR="00183674" w:rsidRPr="000B09D3" w:rsidRDefault="00183674" w:rsidP="00E26614">
      <w:pPr>
        <w:spacing w:after="0"/>
        <w:rPr>
          <w:rFonts w:ascii="Times New Roman" w:hAnsi="Times New Roman"/>
          <w:color w:val="333333"/>
          <w:sz w:val="24"/>
          <w:szCs w:val="24"/>
          <w:shd w:val="clear" w:color="auto" w:fill="FFFFFF"/>
        </w:rPr>
      </w:pPr>
      <w:r w:rsidRPr="000B09D3">
        <w:rPr>
          <w:rFonts w:ascii="Times New Roman" w:hAnsi="Times New Roman"/>
          <w:color w:val="333333"/>
          <w:sz w:val="24"/>
          <w:szCs w:val="24"/>
          <w:shd w:val="clear" w:color="auto" w:fill="FFFFFF"/>
        </w:rPr>
        <w:t>Under both bills, either the debtor or the appointed preventive restructuring trustee must submit implementation reports to the court. Bill #10143 limits the preventive restructuring plan</w:t>
      </w:r>
      <w:r w:rsidR="000B09D3">
        <w:rPr>
          <w:rFonts w:ascii="Times New Roman" w:hAnsi="Times New Roman"/>
          <w:color w:val="333333"/>
          <w:sz w:val="24"/>
          <w:szCs w:val="24"/>
          <w:shd w:val="clear" w:color="auto" w:fill="FFFFFF"/>
        </w:rPr>
        <w:t>’</w:t>
      </w:r>
      <w:r w:rsidRPr="000B09D3">
        <w:rPr>
          <w:rFonts w:ascii="Times New Roman" w:hAnsi="Times New Roman"/>
          <w:color w:val="333333"/>
          <w:sz w:val="24"/>
          <w:szCs w:val="24"/>
          <w:shd w:val="clear" w:color="auto" w:fill="FFFFFF"/>
        </w:rPr>
        <w:t>s implementation to a maximum of four years, whereas Bill #10228 does not impose such a restriction.</w:t>
      </w:r>
    </w:p>
    <w:p w14:paraId="038E0A30" w14:textId="77777777" w:rsidR="008034E6" w:rsidRPr="000B09D3" w:rsidRDefault="008034E6" w:rsidP="00E26614">
      <w:pPr>
        <w:spacing w:after="0"/>
        <w:rPr>
          <w:rFonts w:ascii="Times New Roman" w:hAnsi="Times New Roman"/>
          <w:color w:val="333333"/>
          <w:sz w:val="24"/>
          <w:szCs w:val="24"/>
          <w:shd w:val="clear" w:color="auto" w:fill="FFFFFF"/>
        </w:rPr>
      </w:pPr>
    </w:p>
    <w:p w14:paraId="3BE9E6A8" w14:textId="69C47D02" w:rsidR="00183674" w:rsidRPr="000B09D3" w:rsidRDefault="00183674" w:rsidP="00E26614">
      <w:pPr>
        <w:spacing w:after="0"/>
        <w:rPr>
          <w:rFonts w:ascii="Times New Roman" w:hAnsi="Times New Roman"/>
          <w:color w:val="333333"/>
          <w:sz w:val="24"/>
          <w:szCs w:val="24"/>
          <w:shd w:val="clear" w:color="auto" w:fill="FFFFFF"/>
        </w:rPr>
      </w:pPr>
      <w:r w:rsidRPr="000B09D3">
        <w:rPr>
          <w:rFonts w:ascii="Times New Roman" w:hAnsi="Times New Roman"/>
          <w:color w:val="333333"/>
          <w:sz w:val="24"/>
          <w:szCs w:val="24"/>
          <w:shd w:val="clear" w:color="auto" w:fill="FFFFFF"/>
        </w:rPr>
        <w:t xml:space="preserve">The restructuring procedure concludes upon the submission of a report detailing the fulfilment of the preventive restructuring plan to the court. Bill #10228 offers more avenues for affected parties to contest the conclusion and extend the procedure, while Bill #10143 emphasizes </w:t>
      </w:r>
      <w:r w:rsidR="000B09D3">
        <w:rPr>
          <w:rFonts w:ascii="Times New Roman" w:hAnsi="Times New Roman"/>
          <w:color w:val="333333"/>
          <w:sz w:val="24"/>
          <w:szCs w:val="24"/>
          <w:shd w:val="clear" w:color="auto" w:fill="FFFFFF"/>
        </w:rPr>
        <w:t>“</w:t>
      </w:r>
      <w:r w:rsidRPr="000B09D3">
        <w:rPr>
          <w:rFonts w:ascii="Times New Roman" w:hAnsi="Times New Roman"/>
          <w:color w:val="333333"/>
          <w:sz w:val="24"/>
          <w:szCs w:val="24"/>
          <w:shd w:val="clear" w:color="auto" w:fill="FFFFFF"/>
        </w:rPr>
        <w:t>successful</w:t>
      </w:r>
      <w:r w:rsidR="000B09D3">
        <w:rPr>
          <w:rFonts w:ascii="Times New Roman" w:hAnsi="Times New Roman"/>
          <w:color w:val="333333"/>
          <w:sz w:val="24"/>
          <w:szCs w:val="24"/>
          <w:shd w:val="clear" w:color="auto" w:fill="FFFFFF"/>
        </w:rPr>
        <w:t>”</w:t>
      </w:r>
      <w:r w:rsidRPr="000B09D3">
        <w:rPr>
          <w:rFonts w:ascii="Times New Roman" w:hAnsi="Times New Roman"/>
          <w:color w:val="333333"/>
          <w:sz w:val="24"/>
          <w:szCs w:val="24"/>
          <w:shd w:val="clear" w:color="auto" w:fill="FFFFFF"/>
        </w:rPr>
        <w:t xml:space="preserve"> completion but lacks explicit provisions for objections by affected parties.</w:t>
      </w:r>
    </w:p>
    <w:p w14:paraId="17428849" w14:textId="77777777" w:rsidR="00183674" w:rsidRPr="000B09D3" w:rsidRDefault="00183674" w:rsidP="00E26614">
      <w:pPr>
        <w:spacing w:after="0"/>
        <w:rPr>
          <w:rFonts w:ascii="Times New Roman" w:hAnsi="Times New Roman"/>
          <w:color w:val="333333"/>
          <w:sz w:val="24"/>
          <w:szCs w:val="24"/>
          <w:shd w:val="clear" w:color="auto" w:fill="FFFFFF"/>
        </w:rPr>
      </w:pPr>
    </w:p>
    <w:p w14:paraId="6E731668" w14:textId="789632C1" w:rsidR="00183674" w:rsidRPr="000B09D3" w:rsidRDefault="008034E6" w:rsidP="00E26614">
      <w:pPr>
        <w:spacing w:after="0"/>
        <w:rPr>
          <w:rFonts w:ascii="Times New Roman" w:hAnsi="Times New Roman"/>
          <w:i/>
          <w:iCs/>
          <w:color w:val="333333"/>
          <w:sz w:val="24"/>
          <w:szCs w:val="24"/>
          <w:shd w:val="clear" w:color="auto" w:fill="FFFFFF"/>
        </w:rPr>
      </w:pPr>
      <w:r w:rsidRPr="000B09D3">
        <w:rPr>
          <w:rFonts w:ascii="Times New Roman" w:hAnsi="Times New Roman"/>
          <w:i/>
          <w:iCs/>
          <w:color w:val="333333"/>
          <w:sz w:val="24"/>
          <w:szCs w:val="24"/>
          <w:shd w:val="clear" w:color="auto" w:fill="FFFFFF"/>
        </w:rPr>
        <w:t>Summary</w:t>
      </w:r>
    </w:p>
    <w:p w14:paraId="3525FC51" w14:textId="77777777" w:rsidR="008034E6" w:rsidRPr="000B09D3" w:rsidRDefault="008034E6" w:rsidP="00E26614">
      <w:pPr>
        <w:spacing w:after="0"/>
        <w:rPr>
          <w:rFonts w:ascii="Times New Roman" w:hAnsi="Times New Roman"/>
          <w:color w:val="333333"/>
          <w:sz w:val="24"/>
          <w:szCs w:val="24"/>
          <w:shd w:val="clear" w:color="auto" w:fill="FFFFFF"/>
        </w:rPr>
      </w:pPr>
    </w:p>
    <w:p w14:paraId="502F9555" w14:textId="5B42863F" w:rsidR="00183674" w:rsidRPr="000B09D3" w:rsidRDefault="00183674" w:rsidP="00E26614">
      <w:pPr>
        <w:spacing w:after="0"/>
        <w:rPr>
          <w:rFonts w:ascii="Times New Roman" w:hAnsi="Times New Roman"/>
          <w:color w:val="333333"/>
          <w:sz w:val="24"/>
          <w:szCs w:val="24"/>
          <w:shd w:val="clear" w:color="auto" w:fill="FFFFFF"/>
        </w:rPr>
      </w:pPr>
      <w:r w:rsidRPr="000B09D3">
        <w:rPr>
          <w:rFonts w:ascii="Times New Roman" w:hAnsi="Times New Roman"/>
          <w:color w:val="333333"/>
          <w:sz w:val="24"/>
          <w:szCs w:val="24"/>
          <w:lang w:bidi="bn-BD"/>
        </w:rPr>
        <w:t>At present, it is uncertain which of the two bills introduced in Parliament will prevail, with a possibility of legislators combining strengths from both for a more comprehensive approach to transposition. The efficiency of this process in Ukraine</w:t>
      </w:r>
      <w:r w:rsidR="000B09D3">
        <w:rPr>
          <w:rFonts w:ascii="Times New Roman" w:hAnsi="Times New Roman"/>
          <w:color w:val="333333"/>
          <w:sz w:val="24"/>
          <w:szCs w:val="24"/>
          <w:lang w:bidi="bn-BD"/>
        </w:rPr>
        <w:t>’</w:t>
      </w:r>
      <w:r w:rsidRPr="000B09D3">
        <w:rPr>
          <w:rFonts w:ascii="Times New Roman" w:hAnsi="Times New Roman"/>
          <w:color w:val="333333"/>
          <w:sz w:val="24"/>
          <w:szCs w:val="24"/>
          <w:lang w:bidi="bn-BD"/>
        </w:rPr>
        <w:t>s unique circumstances remains uncertain. Challenges are acknowledged, and stakeholders anticipate the new preventive restructuring mechanism will not be fully operational immediately upon enactment. Nonetheless, both bills offer a solid foundation to address deficiencies in the existing pre-trial rehabilitation system, especially if focusing on aiding micro- and small enterprises.</w:t>
      </w:r>
    </w:p>
    <w:p w14:paraId="5761A948" w14:textId="7FD0F2F6" w:rsidR="0047439B" w:rsidRPr="000B09D3" w:rsidRDefault="0047439B" w:rsidP="00E26614">
      <w:pPr>
        <w:spacing w:after="0"/>
        <w:rPr>
          <w:rFonts w:ascii="Times New Roman" w:hAnsi="Times New Roman"/>
          <w:sz w:val="24"/>
          <w:szCs w:val="24"/>
        </w:rPr>
      </w:pPr>
    </w:p>
    <w:sectPr w:rsidR="0047439B" w:rsidRPr="000B09D3"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A30B" w14:textId="77777777" w:rsidR="00155240" w:rsidRDefault="00155240">
      <w:r>
        <w:separator/>
      </w:r>
    </w:p>
  </w:endnote>
  <w:endnote w:type="continuationSeparator" w:id="0">
    <w:p w14:paraId="1440D1B6" w14:textId="77777777" w:rsidR="00155240" w:rsidRDefault="00155240">
      <w:r>
        <w:continuationSeparator/>
      </w:r>
    </w:p>
  </w:endnote>
  <w:endnote w:type="continuationNotice" w:id="1">
    <w:p w14:paraId="1AD2843C" w14:textId="77777777" w:rsidR="00155240" w:rsidRDefault="001552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8BF5" w14:textId="77777777" w:rsidR="00155240" w:rsidRDefault="00155240">
      <w:r>
        <w:separator/>
      </w:r>
    </w:p>
  </w:footnote>
  <w:footnote w:type="continuationSeparator" w:id="0">
    <w:p w14:paraId="67DF513C" w14:textId="77777777" w:rsidR="00155240" w:rsidRDefault="00155240">
      <w:r>
        <w:continuationSeparator/>
      </w:r>
    </w:p>
  </w:footnote>
  <w:footnote w:type="continuationNotice" w:id="1">
    <w:p w14:paraId="102424B8" w14:textId="77777777" w:rsidR="00155240" w:rsidRDefault="00155240">
      <w:pPr>
        <w:spacing w:after="0"/>
      </w:pPr>
    </w:p>
  </w:footnote>
  <w:footnote w:id="2">
    <w:p w14:paraId="05100D11" w14:textId="0FD21EBC" w:rsidR="00183674" w:rsidRDefault="00183674" w:rsidP="00183674">
      <w:pPr>
        <w:pStyle w:val="FootnoteText"/>
      </w:pPr>
      <w:r>
        <w:rPr>
          <w:rStyle w:val="FootnoteReference"/>
        </w:rPr>
        <w:footnoteRef/>
      </w:r>
      <w:r>
        <w:t xml:space="preserve"> </w:t>
      </w:r>
      <w:r w:rsidR="004D04ED" w:rsidRPr="004D04ED">
        <w:rPr>
          <w:rFonts w:ascii="Times New Roman" w:hAnsi="Times New Roman"/>
        </w:rPr>
        <w:t>This project has received funding through the MSCA4Ukraine project, which is funded by the European Union. Views and opinions expressed are however those of the author only and do not necessarily reflect those of the European Union. Neither the European Union nor the MSCA4Ukraine Consortium as a whole nor any individual member institutions of the MSCA4Ukraine Consortium can be held responsible for them</w:t>
      </w:r>
      <w:r w:rsidRPr="004D04ED">
        <w:rPr>
          <w:rFonts w:ascii="Times New Roman" w:hAnsi="Times New Roman"/>
        </w:rPr>
        <w:t>.</w:t>
      </w:r>
    </w:p>
  </w:footnote>
  <w:footnote w:id="3">
    <w:p w14:paraId="53D1F847" w14:textId="22812B7D" w:rsidR="00E26614" w:rsidRPr="0013279B" w:rsidRDefault="00E26614" w:rsidP="00183674">
      <w:pPr>
        <w:pStyle w:val="FootnoteText"/>
        <w:rPr>
          <w:rFonts w:ascii="Times New Roman" w:hAnsi="Times New Roman"/>
        </w:rPr>
      </w:pPr>
      <w:r w:rsidRPr="00441079">
        <w:rPr>
          <w:rStyle w:val="FootnoteReference"/>
          <w:rFonts w:ascii="Times New Roman" w:hAnsi="Times New Roman"/>
        </w:rPr>
        <w:footnoteRef/>
      </w:r>
      <w:r w:rsidRPr="00441079">
        <w:rPr>
          <w:rFonts w:ascii="Times New Roman" w:hAnsi="Times New Roman"/>
        </w:rPr>
        <w:t xml:space="preserve"> Bill #10143 of 12 October 2023 on amending of the Code of Ukraine on bankruptcy procedures and other legislative acts of Ukraine regarding the implementation of Directive 2019/1023 of the European Parliament and the Council of </w:t>
      </w:r>
      <w:r w:rsidRPr="0013279B">
        <w:rPr>
          <w:rFonts w:ascii="Times New Roman" w:hAnsi="Times New Roman"/>
        </w:rPr>
        <w:t>the European Union and the introduction of preventive restructuring procedures</w:t>
      </w:r>
      <w:r>
        <w:rPr>
          <w:rFonts w:ascii="Times New Roman" w:hAnsi="Times New Roman"/>
        </w:rPr>
        <w:t xml:space="preserve">, available in Ukrainian at: </w:t>
      </w:r>
      <w:hyperlink r:id="rId1" w:history="1">
        <w:r w:rsidRPr="000F599A">
          <w:rPr>
            <w:rStyle w:val="Hyperlink"/>
            <w:rFonts w:ascii="Times New Roman" w:hAnsi="Times New Roman"/>
          </w:rPr>
          <w:t>https://itd.rada.gov.ua/billInfo/Bills/pubFile/2025002</w:t>
        </w:r>
      </w:hyperlink>
      <w:r>
        <w:rPr>
          <w:rFonts w:ascii="Times New Roman" w:hAnsi="Times New Roman"/>
        </w:rPr>
        <w:t>.</w:t>
      </w:r>
    </w:p>
  </w:footnote>
  <w:footnote w:id="4">
    <w:p w14:paraId="392E9C7C" w14:textId="506E1EF8" w:rsidR="00E26614" w:rsidRPr="004A41D6" w:rsidRDefault="00E26614" w:rsidP="00183674">
      <w:pPr>
        <w:pStyle w:val="FootnoteText"/>
        <w:rPr>
          <w:rFonts w:ascii="Times New Roman" w:hAnsi="Times New Roman"/>
        </w:rPr>
      </w:pPr>
      <w:r w:rsidRPr="004A41D6">
        <w:rPr>
          <w:rStyle w:val="FootnoteReference"/>
          <w:rFonts w:ascii="Times New Roman" w:hAnsi="Times New Roman"/>
        </w:rPr>
        <w:footnoteRef/>
      </w:r>
      <w:r w:rsidRPr="004A41D6">
        <w:rPr>
          <w:rFonts w:ascii="Times New Roman" w:hAnsi="Times New Roman"/>
        </w:rPr>
        <w:t xml:space="preserve"> Bill #10228 </w:t>
      </w:r>
      <w:r>
        <w:rPr>
          <w:rFonts w:ascii="Times New Roman" w:hAnsi="Times New Roman"/>
        </w:rPr>
        <w:t xml:space="preserve">of 8 November 2023 on amending some legislative acts of Ukraine regarding the improvement of preventive procedures and prevention of bankruptcy (text presented on 10 November 2023), available in Ukrainian at: </w:t>
      </w:r>
      <w:hyperlink r:id="rId2" w:history="1">
        <w:r w:rsidRPr="0087208D">
          <w:rPr>
            <w:rStyle w:val="Hyperlink"/>
            <w:rFonts w:ascii="Times New Roman" w:hAnsi="Times New Roman"/>
          </w:rPr>
          <w:t>https://itd.rada.gov.ua/billInfo/Bills/pubFile/2064509</w:t>
        </w:r>
      </w:hyperlink>
      <w:r>
        <w:rPr>
          <w:rFonts w:ascii="Times New Roman" w:hAnsi="Times New Roman"/>
        </w:rPr>
        <w:t>.</w:t>
      </w:r>
    </w:p>
  </w:footnote>
  <w:footnote w:id="5">
    <w:p w14:paraId="4C360FB9" w14:textId="2FCF95B2" w:rsidR="00E26614" w:rsidRDefault="00E26614" w:rsidP="00183674">
      <w:pPr>
        <w:pStyle w:val="FootnoteText"/>
      </w:pPr>
      <w:r>
        <w:rPr>
          <w:rStyle w:val="FootnoteReference"/>
        </w:rPr>
        <w:footnoteRef/>
      </w:r>
      <w:r>
        <w:t xml:space="preserve"> </w:t>
      </w:r>
      <w:r w:rsidRPr="00EE62A4">
        <w:rPr>
          <w:rFonts w:ascii="Times New Roman" w:hAnsi="Times New Roman"/>
        </w:rPr>
        <w:t>European Council</w:t>
      </w:r>
      <w:r>
        <w:rPr>
          <w:rFonts w:ascii="Times New Roman" w:hAnsi="Times New Roman"/>
        </w:rPr>
        <w:t xml:space="preserve">, </w:t>
      </w:r>
      <w:r w:rsidR="000B09D3">
        <w:rPr>
          <w:rFonts w:ascii="Times New Roman" w:hAnsi="Times New Roman"/>
        </w:rPr>
        <w:t>‘;</w:t>
      </w:r>
      <w:r>
        <w:rPr>
          <w:rFonts w:ascii="Times New Roman" w:hAnsi="Times New Roman"/>
        </w:rPr>
        <w:t>M</w:t>
      </w:r>
      <w:r w:rsidRPr="00EE62A4">
        <w:rPr>
          <w:rFonts w:ascii="Times New Roman" w:hAnsi="Times New Roman"/>
        </w:rPr>
        <w:t>eeting (23 and 24 June 2022) – Conclusions</w:t>
      </w:r>
      <w:r w:rsidR="000B09D3">
        <w:rPr>
          <w:rFonts w:ascii="Times New Roman" w:hAnsi="Times New Roman"/>
        </w:rPr>
        <w:t>’;</w:t>
      </w:r>
      <w:r w:rsidRPr="00EE62A4">
        <w:rPr>
          <w:rFonts w:ascii="Times New Roman" w:hAnsi="Times New Roman"/>
        </w:rPr>
        <w:t xml:space="preserve"> EUCO</w:t>
      </w:r>
      <w:r>
        <w:rPr>
          <w:rFonts w:ascii="Times New Roman" w:hAnsi="Times New Roman"/>
        </w:rPr>
        <w:t xml:space="preserve"> 24/22</w:t>
      </w:r>
      <w:r w:rsidRPr="00EE62A4">
        <w:rPr>
          <w:rFonts w:ascii="Times New Roman" w:hAnsi="Times New Roman"/>
        </w:rPr>
        <w:t>,</w:t>
      </w:r>
      <w:r>
        <w:rPr>
          <w:rFonts w:ascii="Times New Roman" w:hAnsi="Times New Roman"/>
        </w:rPr>
        <w:t xml:space="preserve"> para. 11; </w:t>
      </w:r>
      <w:r w:rsidRPr="008178C7">
        <w:rPr>
          <w:rFonts w:ascii="Times New Roman" w:hAnsi="Times New Roman"/>
        </w:rPr>
        <w:t>C</w:t>
      </w:r>
      <w:r>
        <w:rPr>
          <w:rFonts w:ascii="Times New Roman" w:hAnsi="Times New Roman"/>
        </w:rPr>
        <w:t xml:space="preserve">ommission, </w:t>
      </w:r>
      <w:r w:rsidR="000B09D3">
        <w:rPr>
          <w:rFonts w:ascii="Times New Roman" w:hAnsi="Times New Roman"/>
        </w:rPr>
        <w:t>‘;</w:t>
      </w:r>
      <w:r>
        <w:rPr>
          <w:rFonts w:ascii="Times New Roman" w:hAnsi="Times New Roman"/>
        </w:rPr>
        <w:t>Staff working document</w:t>
      </w:r>
      <w:r w:rsidRPr="008178C7">
        <w:rPr>
          <w:rFonts w:ascii="Times New Roman" w:hAnsi="Times New Roman"/>
        </w:rPr>
        <w:t xml:space="preserve"> Ukraine 2023 Report Accompanying the document Communication from the Commission to the European Parliament, the Council, the European Economic and Social Committee and the Committee of the Regions 2023 Communication on EU Enlargement policy</w:t>
      </w:r>
      <w:r w:rsidR="000B09D3">
        <w:rPr>
          <w:rFonts w:ascii="Times New Roman" w:hAnsi="Times New Roman"/>
        </w:rPr>
        <w:t>’;</w:t>
      </w:r>
      <w:r>
        <w:rPr>
          <w:rFonts w:ascii="Times New Roman" w:hAnsi="Times New Roman"/>
        </w:rPr>
        <w:t xml:space="preserve"> SWD/2023/699 final, 28.</w:t>
      </w:r>
    </w:p>
  </w:footnote>
  <w:footnote w:id="6">
    <w:p w14:paraId="5105FB68" w14:textId="70F4E843" w:rsidR="00E26614" w:rsidRPr="004A41D6" w:rsidRDefault="00E26614" w:rsidP="00183674">
      <w:pPr>
        <w:pStyle w:val="FootnoteText"/>
        <w:rPr>
          <w:rFonts w:ascii="Times New Roman" w:hAnsi="Times New Roman"/>
        </w:rPr>
      </w:pPr>
      <w:r w:rsidRPr="004A41D6">
        <w:rPr>
          <w:rStyle w:val="FootnoteReference"/>
          <w:rFonts w:ascii="Times New Roman" w:hAnsi="Times New Roman"/>
        </w:rPr>
        <w:footnoteRef/>
      </w:r>
      <w:r w:rsidRPr="004A41D6">
        <w:rPr>
          <w:rFonts w:ascii="Times New Roman" w:hAnsi="Times New Roman"/>
        </w:rPr>
        <w:t xml:space="preserve"> Memorandum of Understanding between the European Union as Lender and Ukraine as Borrower of 16 January 2023 – Instrument for providing support to Ukraine for 2023 (micro-financial assistance+) of up to EUR 18 billion.</w:t>
      </w:r>
    </w:p>
  </w:footnote>
  <w:footnote w:id="7">
    <w:p w14:paraId="6D8A9E65" w14:textId="373BE131" w:rsidR="00E26614" w:rsidRDefault="00E26614" w:rsidP="00183674">
      <w:pPr>
        <w:pStyle w:val="FootnoteText"/>
      </w:pPr>
      <w:r>
        <w:rPr>
          <w:rStyle w:val="FootnoteReference"/>
        </w:rPr>
        <w:footnoteRef/>
      </w:r>
      <w:r>
        <w:t xml:space="preserve"> See: </w:t>
      </w:r>
      <w:hyperlink r:id="rId3" w:history="1">
        <w:r w:rsidRPr="00C0075D">
          <w:rPr>
            <w:rStyle w:val="Hyperlink"/>
            <w:rFonts w:ascii="Times New Roman" w:hAnsi="Times New Roman"/>
          </w:rPr>
          <w:t>https://minjust.gov.ua/news/ministry/minyust-zatverdiv-dorojnyu-kartu-u-sferi-bankrutstva</w:t>
        </w:r>
      </w:hyperlink>
      <w:r>
        <w:rPr>
          <w:rFonts w:ascii="Times New Roman" w:hAnsi="Times New Roman"/>
        </w:rPr>
        <w:t>.</w:t>
      </w:r>
    </w:p>
  </w:footnote>
  <w:footnote w:id="8">
    <w:p w14:paraId="79EB6BD1" w14:textId="13594BDB" w:rsidR="00E26614" w:rsidRPr="004A41D6" w:rsidRDefault="00E26614" w:rsidP="00183674">
      <w:pPr>
        <w:pStyle w:val="FootnoteText"/>
        <w:rPr>
          <w:rFonts w:ascii="Times New Roman" w:hAnsi="Times New Roman"/>
        </w:rPr>
      </w:pPr>
      <w:r w:rsidRPr="004A41D6">
        <w:rPr>
          <w:rStyle w:val="FootnoteReference"/>
          <w:rFonts w:ascii="Times New Roman" w:hAnsi="Times New Roman"/>
        </w:rPr>
        <w:footnoteRef/>
      </w:r>
      <w:r>
        <w:rPr>
          <w:rFonts w:ascii="Times New Roman" w:hAnsi="Times New Roman"/>
        </w:rPr>
        <w:t xml:space="preserve"> SWD/2023/699 final, 28.</w:t>
      </w:r>
    </w:p>
  </w:footnote>
  <w:footnote w:id="9">
    <w:p w14:paraId="57943D1E" w14:textId="52A1B2F8" w:rsidR="00E26614" w:rsidRPr="004A41D6" w:rsidRDefault="00E26614" w:rsidP="00183674">
      <w:pPr>
        <w:pStyle w:val="FootnoteText"/>
        <w:rPr>
          <w:rFonts w:ascii="Times New Roman" w:hAnsi="Times New Roman"/>
        </w:rPr>
      </w:pPr>
      <w:r w:rsidRPr="004A41D6">
        <w:rPr>
          <w:rStyle w:val="FootnoteReference"/>
          <w:rFonts w:ascii="Times New Roman" w:hAnsi="Times New Roman"/>
        </w:rPr>
        <w:footnoteRef/>
      </w:r>
      <w:r w:rsidRPr="004A41D6">
        <w:rPr>
          <w:rFonts w:ascii="Times New Roman" w:hAnsi="Times New Roman"/>
        </w:rPr>
        <w:t xml:space="preserve"> Code of Ukraine on Bankruptcy Procedures of 18 October 2018 (in force since 21 </w:t>
      </w:r>
      <w:r>
        <w:rPr>
          <w:rFonts w:ascii="Times New Roman" w:hAnsi="Times New Roman"/>
        </w:rPr>
        <w:t xml:space="preserve">October </w:t>
      </w:r>
      <w:r w:rsidRPr="004A41D6">
        <w:rPr>
          <w:rFonts w:ascii="Times New Roman" w:hAnsi="Times New Roman"/>
        </w:rPr>
        <w:t>2019).</w:t>
      </w:r>
    </w:p>
  </w:footnote>
  <w:footnote w:id="10">
    <w:p w14:paraId="6CF97C0A" w14:textId="045C01BC" w:rsidR="00E26614" w:rsidRDefault="00E26614" w:rsidP="00183674">
      <w:pPr>
        <w:pStyle w:val="FootnoteText"/>
      </w:pPr>
      <w:r>
        <w:rPr>
          <w:rStyle w:val="FootnoteReference"/>
        </w:rPr>
        <w:footnoteRef/>
      </w:r>
      <w:r>
        <w:t xml:space="preserve"> </w:t>
      </w:r>
      <w:r>
        <w:rPr>
          <w:rFonts w:ascii="Times New Roman" w:hAnsi="Times New Roman"/>
        </w:rPr>
        <w:t>Olha Stakheyeva-Bogovyk</w:t>
      </w:r>
      <w:r w:rsidRPr="00D13430">
        <w:rPr>
          <w:rFonts w:ascii="Times New Roman" w:hAnsi="Times New Roman"/>
        </w:rPr>
        <w:t xml:space="preserve">, </w:t>
      </w:r>
      <w:r w:rsidRPr="00394F00">
        <w:rPr>
          <w:rFonts w:ascii="Times New Roman" w:hAnsi="Times New Roman"/>
          <w:i/>
          <w:iCs/>
        </w:rPr>
        <w:t>New Bankruptcy Code of Ukraine: What to Expect</w:t>
      </w:r>
      <w:r>
        <w:rPr>
          <w:rFonts w:ascii="Times New Roman" w:hAnsi="Times New Roman"/>
        </w:rPr>
        <w:t xml:space="preserve"> (2019) 76 </w:t>
      </w:r>
      <w:r w:rsidRPr="00E26614">
        <w:rPr>
          <w:rFonts w:ascii="Times New Roman" w:hAnsi="Times New Roman"/>
          <w:i/>
          <w:iCs/>
        </w:rPr>
        <w:t>Eurofenix</w:t>
      </w:r>
      <w:r w:rsidRPr="00D13430">
        <w:rPr>
          <w:rFonts w:ascii="Times New Roman" w:hAnsi="Times New Roman"/>
        </w:rPr>
        <w:t xml:space="preserve"> </w:t>
      </w:r>
      <w:r>
        <w:rPr>
          <w:rFonts w:ascii="Times New Roman" w:hAnsi="Times New Roman"/>
        </w:rPr>
        <w:t xml:space="preserve">26, available at: </w:t>
      </w:r>
      <w:hyperlink r:id="rId4" w:history="1">
        <w:r w:rsidRPr="00C0075D">
          <w:rPr>
            <w:rStyle w:val="Hyperlink"/>
            <w:rFonts w:ascii="Times New Roman" w:hAnsi="Times New Roman"/>
          </w:rPr>
          <w:t>https://www.insol-europe.org/download/documents/1585</w:t>
        </w:r>
      </w:hyperlink>
      <w:r>
        <w:rPr>
          <w:rFonts w:ascii="Times New Roman" w:hAnsi="Times New Roman"/>
        </w:rPr>
        <w:t>.</w:t>
      </w:r>
    </w:p>
  </w:footnote>
  <w:footnote w:id="11">
    <w:p w14:paraId="59D5CE14" w14:textId="77777777" w:rsidR="00E26614" w:rsidRDefault="00E26614" w:rsidP="00183674">
      <w:pPr>
        <w:pStyle w:val="FootnoteText"/>
        <w:rPr>
          <w:rFonts w:ascii="Times New Roman" w:hAnsi="Times New Roman"/>
        </w:rPr>
      </w:pPr>
      <w:r w:rsidRPr="004A41D6">
        <w:rPr>
          <w:rStyle w:val="FootnoteReference"/>
          <w:rFonts w:ascii="Times New Roman" w:hAnsi="Times New Roman"/>
        </w:rPr>
        <w:footnoteRef/>
      </w:r>
      <w:r w:rsidRPr="004A41D6">
        <w:rPr>
          <w:rFonts w:ascii="Times New Roman" w:hAnsi="Times New Roman"/>
        </w:rPr>
        <w:t xml:space="preserve"> Explanatory note to Bill #10143, available in Ukrainian at:</w:t>
      </w:r>
    </w:p>
    <w:p w14:paraId="3A188B29" w14:textId="533F59BF" w:rsidR="00E26614" w:rsidRPr="004A41D6" w:rsidRDefault="00000000" w:rsidP="00183674">
      <w:pPr>
        <w:pStyle w:val="FootnoteText"/>
        <w:rPr>
          <w:rFonts w:ascii="Times New Roman" w:hAnsi="Times New Roman"/>
        </w:rPr>
      </w:pPr>
      <w:hyperlink r:id="rId5" w:history="1">
        <w:r w:rsidR="00E26614" w:rsidRPr="00C0075D">
          <w:rPr>
            <w:rStyle w:val="Hyperlink"/>
            <w:rFonts w:ascii="Times New Roman" w:hAnsi="Times New Roman"/>
          </w:rPr>
          <w:t>https://itd.rada.gov.ua/billInfo/Bills/pubFile/2025003</w:t>
        </w:r>
      </w:hyperlink>
      <w:r w:rsidR="00E26614">
        <w:rPr>
          <w:rFonts w:ascii="Times New Roman" w:hAnsi="Times New Roman"/>
        </w:rPr>
        <w:t>.</w:t>
      </w:r>
    </w:p>
  </w:footnote>
  <w:footnote w:id="12">
    <w:p w14:paraId="5A9F83BA" w14:textId="0177206C" w:rsidR="00E26614" w:rsidRPr="00EA3CD8" w:rsidRDefault="00E26614" w:rsidP="00183674">
      <w:pPr>
        <w:pStyle w:val="FootnoteText"/>
        <w:rPr>
          <w:rFonts w:ascii="Times New Roman" w:hAnsi="Times New Roman"/>
        </w:rPr>
      </w:pPr>
      <w:r w:rsidRPr="00EA3CD8">
        <w:rPr>
          <w:rStyle w:val="FootnoteReference"/>
          <w:rFonts w:ascii="Times New Roman" w:hAnsi="Times New Roman"/>
        </w:rPr>
        <w:footnoteRef/>
      </w:r>
      <w:r w:rsidRPr="00EA3CD8">
        <w:rPr>
          <w:rFonts w:ascii="Times New Roman" w:hAnsi="Times New Roman"/>
        </w:rPr>
        <w:t xml:space="preserve"> The number can be inaccurate and in fact lower due to the absence of data officially published by the Department of Bankruptcy, Ministry of Justice of Ukraine. Besides, it is not uncommon for the Supreme Court to quash decisions of trial courts approving pre-trial rehabilitation plans many months after the approvals by the trial court.</w:t>
      </w:r>
    </w:p>
  </w:footnote>
  <w:footnote w:id="13">
    <w:p w14:paraId="347AFFB3" w14:textId="3BA0B456" w:rsidR="00E26614" w:rsidRDefault="00E26614" w:rsidP="00183674">
      <w:pPr>
        <w:pStyle w:val="FootnoteText"/>
        <w:rPr>
          <w:rFonts w:ascii="Times New Roman" w:hAnsi="Times New Roman"/>
        </w:rPr>
      </w:pPr>
      <w:r w:rsidRPr="00EA3CD8">
        <w:rPr>
          <w:rStyle w:val="FootnoteReference"/>
          <w:rFonts w:ascii="Times New Roman" w:hAnsi="Times New Roman"/>
        </w:rPr>
        <w:footnoteRef/>
      </w:r>
      <w:r w:rsidRPr="00EA3CD8">
        <w:rPr>
          <w:rFonts w:ascii="Times New Roman" w:hAnsi="Times New Roman"/>
        </w:rPr>
        <w:t xml:space="preserve"> The budget problem was emphasized by the respective parliamentary committee, </w:t>
      </w:r>
      <w:r>
        <w:rPr>
          <w:rFonts w:ascii="Times New Roman" w:hAnsi="Times New Roman"/>
        </w:rPr>
        <w:t xml:space="preserve">for which </w:t>
      </w:r>
      <w:r w:rsidRPr="00EA3CD8">
        <w:rPr>
          <w:rFonts w:ascii="Times New Roman" w:hAnsi="Times New Roman"/>
        </w:rPr>
        <w:t>see</w:t>
      </w:r>
      <w:r>
        <w:rPr>
          <w:rFonts w:ascii="Times New Roman" w:hAnsi="Times New Roman"/>
        </w:rPr>
        <w:t>:</w:t>
      </w:r>
    </w:p>
    <w:p w14:paraId="348D5CA0" w14:textId="187289E6" w:rsidR="00E26614" w:rsidRPr="00EA3CD8" w:rsidRDefault="00000000" w:rsidP="00183674">
      <w:pPr>
        <w:pStyle w:val="FootnoteText"/>
        <w:rPr>
          <w:rFonts w:ascii="Times New Roman" w:hAnsi="Times New Roman"/>
        </w:rPr>
      </w:pPr>
      <w:hyperlink r:id="rId6" w:history="1">
        <w:r w:rsidR="00E26614" w:rsidRPr="00C0075D">
          <w:rPr>
            <w:rStyle w:val="Hyperlink"/>
            <w:rFonts w:ascii="Times New Roman" w:hAnsi="Times New Roman"/>
          </w:rPr>
          <w:t>https://itd.rada.gov.ua/billInfo/Bills/pubFile/2128344</w:t>
        </w:r>
      </w:hyperlink>
      <w:r w:rsidR="00E26614">
        <w:rPr>
          <w:rFonts w:ascii="Times New Roman" w:hAnsi="Times New Roman"/>
        </w:rPr>
        <w:t xml:space="preserve">; </w:t>
      </w:r>
      <w:hyperlink r:id="rId7" w:history="1">
        <w:r w:rsidR="00E26614" w:rsidRPr="00A84802">
          <w:rPr>
            <w:rStyle w:val="Hyperlink"/>
            <w:rFonts w:ascii="Times New Roman" w:hAnsi="Times New Roman"/>
          </w:rPr>
          <w:t>https://itd.rada.gov.ua/billInfo/Bills/pubFile/2120630</w:t>
        </w:r>
      </w:hyperlink>
      <w:r w:rsidR="00E26614">
        <w:rPr>
          <w:rFonts w:ascii="Times New Roman" w:hAnsi="Times New Roman"/>
        </w:rPr>
        <w:t>.</w:t>
      </w:r>
    </w:p>
  </w:footnote>
  <w:footnote w:id="14">
    <w:p w14:paraId="2E2728BD" w14:textId="10EF5D58" w:rsidR="00E26614" w:rsidRDefault="00E26614" w:rsidP="00183674">
      <w:pPr>
        <w:pStyle w:val="FootnoteText"/>
      </w:pPr>
      <w:r>
        <w:rPr>
          <w:rStyle w:val="FootnoteReference"/>
        </w:rPr>
        <w:footnoteRef/>
      </w:r>
      <w:r>
        <w:t xml:space="preserve"> </w:t>
      </w:r>
      <w:r w:rsidRPr="00204187">
        <w:rPr>
          <w:rFonts w:ascii="Times New Roman" w:hAnsi="Times New Roman"/>
        </w:rPr>
        <w:t xml:space="preserve">Round table </w:t>
      </w:r>
      <w:r w:rsidR="000B09D3">
        <w:rPr>
          <w:rFonts w:ascii="Times New Roman" w:hAnsi="Times New Roman"/>
        </w:rPr>
        <w:t>‘;</w:t>
      </w:r>
      <w:r w:rsidRPr="00204187">
        <w:rPr>
          <w:rFonts w:ascii="Times New Roman" w:hAnsi="Times New Roman"/>
        </w:rPr>
        <w:t>Preventive Restructuring according to Bill #10143</w:t>
      </w:r>
      <w:r w:rsidR="000B09D3">
        <w:rPr>
          <w:rFonts w:ascii="Times New Roman" w:hAnsi="Times New Roman"/>
        </w:rPr>
        <w:t>’;</w:t>
      </w:r>
      <w:r w:rsidRPr="00204187">
        <w:rPr>
          <w:rFonts w:ascii="Times New Roman" w:hAnsi="Times New Roman"/>
        </w:rPr>
        <w:t xml:space="preserve"> (Kyiv, Ukraine, 8 December 2023) (in Ukrainian)</w:t>
      </w:r>
      <w:r>
        <w:rPr>
          <w:rFonts w:ascii="Times New Roman" w:hAnsi="Times New Roman"/>
        </w:rPr>
        <w:t>, available at:</w:t>
      </w:r>
      <w:r w:rsidRPr="00204187">
        <w:rPr>
          <w:rFonts w:ascii="Times New Roman" w:hAnsi="Times New Roman"/>
        </w:rPr>
        <w:t xml:space="preserve"> </w:t>
      </w:r>
      <w:hyperlink r:id="rId8" w:history="1">
        <w:r w:rsidRPr="00204187">
          <w:rPr>
            <w:rStyle w:val="Hyperlink"/>
            <w:rFonts w:ascii="Times New Roman" w:hAnsi="Times New Roman"/>
          </w:rPr>
          <w:t>https://www.facebook.com/Pravojusticeukraine/videos/262958836778151</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1C3472D0"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183674">
      <w:rPr>
        <w:rFonts w:ascii="Arial" w:hAnsi="Arial" w:cs="Arial"/>
        <w:b/>
        <w:sz w:val="20"/>
      </w:rPr>
      <w:t>March</w:t>
    </w:r>
    <w:r w:rsidR="002A5779" w:rsidRPr="002331CA">
      <w:rPr>
        <w:rFonts w:ascii="Arial" w:hAnsi="Arial" w:cs="Arial"/>
        <w:b/>
        <w:sz w:val="20"/>
      </w:rPr>
      <w:t xml:space="preserve"> 20</w:t>
    </w:r>
    <w:r w:rsidR="00087612" w:rsidRPr="002331CA">
      <w:rPr>
        <w:rFonts w:ascii="Arial" w:hAnsi="Arial" w:cs="Arial"/>
        <w:b/>
        <w:sz w:val="20"/>
      </w:rPr>
      <w:t>2</w:t>
    </w:r>
    <w:r w:rsidR="00183674">
      <w:rPr>
        <w:rFonts w:ascii="Arial" w:hAnsi="Arial" w:cs="Arial"/>
        <w:b/>
        <w:sz w:val="20"/>
      </w:rPr>
      <w:t>4</w:t>
    </w:r>
    <w:r w:rsidR="00D90E9D">
      <w:rPr>
        <w:rFonts w:ascii="Arial" w:hAnsi="Arial" w:cs="Arial"/>
        <w:b/>
        <w:sz w:val="20"/>
      </w:rPr>
      <w:t>)</w:t>
    </w:r>
  </w:p>
  <w:p w14:paraId="0F2C5C5A" w14:textId="2176C6A7" w:rsidR="00BF3D3E" w:rsidRPr="0011226B" w:rsidRDefault="00183674" w:rsidP="00D90E9D">
    <w:pPr>
      <w:pStyle w:val="Header"/>
      <w:spacing w:after="0"/>
      <w:rPr>
        <w:rFonts w:ascii="Arial" w:hAnsi="Arial" w:cs="Arial"/>
        <w:b/>
        <w:sz w:val="20"/>
        <w:lang w:val="fr-FR"/>
      </w:rPr>
    </w:pPr>
    <w:r>
      <w:rPr>
        <w:rFonts w:ascii="Arial" w:hAnsi="Arial" w:cs="Arial"/>
        <w:b/>
        <w:sz w:val="20"/>
      </w:rPr>
      <w:t xml:space="preserve">Oleksiy Kononov </w:t>
    </w:r>
    <w:r w:rsidR="00640EFC" w:rsidRPr="0011226B">
      <w:rPr>
        <w:rFonts w:ascii="Arial" w:hAnsi="Arial" w:cs="Arial"/>
        <w:b/>
        <w:sz w:val="20"/>
        <w:lang w:val="fr-FR"/>
      </w:rPr>
      <w:t>(</w:t>
    </w:r>
    <w:r>
      <w:rPr>
        <w:rFonts w:ascii="Arial" w:hAnsi="Arial" w:cs="Arial"/>
        <w:b/>
        <w:sz w:val="20"/>
        <w:lang w:val="fr-FR"/>
      </w:rPr>
      <w:t>UA</w:t>
    </w:r>
    <w:r w:rsidR="00BF3D3E"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 w15:restartNumberingAfterBreak="0">
    <w:nsid w:val="40E565FB"/>
    <w:multiLevelType w:val="hybridMultilevel"/>
    <w:tmpl w:val="4D7CF8E6"/>
    <w:lvl w:ilvl="0" w:tplc="B91840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6" w15:restartNumberingAfterBreak="0">
    <w:nsid w:val="632A1ADF"/>
    <w:multiLevelType w:val="hybridMultilevel"/>
    <w:tmpl w:val="4A561FE0"/>
    <w:lvl w:ilvl="0" w:tplc="6BF2A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42189264">
    <w:abstractNumId w:val="4"/>
  </w:num>
  <w:num w:numId="2" w16cid:durableId="981425758">
    <w:abstractNumId w:val="0"/>
  </w:num>
  <w:num w:numId="3" w16cid:durableId="491718521">
    <w:abstractNumId w:val="7"/>
  </w:num>
  <w:num w:numId="4" w16cid:durableId="2085445586">
    <w:abstractNumId w:val="2"/>
  </w:num>
  <w:num w:numId="5" w16cid:durableId="599214816">
    <w:abstractNumId w:val="1"/>
  </w:num>
  <w:num w:numId="6" w16cid:durableId="1070350675">
    <w:abstractNumId w:val="5"/>
  </w:num>
  <w:num w:numId="7" w16cid:durableId="1034767669">
    <w:abstractNumId w:val="6"/>
  </w:num>
  <w:num w:numId="8" w16cid:durableId="130839228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B09D3"/>
    <w:rsid w:val="000C4532"/>
    <w:rsid w:val="000C7620"/>
    <w:rsid w:val="000D3C8B"/>
    <w:rsid w:val="00104015"/>
    <w:rsid w:val="0011181C"/>
    <w:rsid w:val="0011226B"/>
    <w:rsid w:val="001258A8"/>
    <w:rsid w:val="00127C4A"/>
    <w:rsid w:val="00141375"/>
    <w:rsid w:val="00145356"/>
    <w:rsid w:val="00155240"/>
    <w:rsid w:val="0016531A"/>
    <w:rsid w:val="00167198"/>
    <w:rsid w:val="001835B2"/>
    <w:rsid w:val="00183674"/>
    <w:rsid w:val="001934CC"/>
    <w:rsid w:val="001A713B"/>
    <w:rsid w:val="001A72DC"/>
    <w:rsid w:val="001B1AA8"/>
    <w:rsid w:val="001C5080"/>
    <w:rsid w:val="001C7EC0"/>
    <w:rsid w:val="001D3A90"/>
    <w:rsid w:val="001E7A6F"/>
    <w:rsid w:val="001F119D"/>
    <w:rsid w:val="0020085B"/>
    <w:rsid w:val="00222353"/>
    <w:rsid w:val="002331CA"/>
    <w:rsid w:val="00247BAC"/>
    <w:rsid w:val="002756AD"/>
    <w:rsid w:val="00276632"/>
    <w:rsid w:val="00280030"/>
    <w:rsid w:val="00284601"/>
    <w:rsid w:val="002A48E9"/>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04ED"/>
    <w:rsid w:val="004D1D7E"/>
    <w:rsid w:val="004D7C11"/>
    <w:rsid w:val="004F1265"/>
    <w:rsid w:val="004F57B8"/>
    <w:rsid w:val="00535342"/>
    <w:rsid w:val="00540D53"/>
    <w:rsid w:val="00557280"/>
    <w:rsid w:val="00557A0F"/>
    <w:rsid w:val="005649F9"/>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B7ABD"/>
    <w:rsid w:val="006D0A86"/>
    <w:rsid w:val="006E7E8D"/>
    <w:rsid w:val="00703D03"/>
    <w:rsid w:val="00707113"/>
    <w:rsid w:val="007203F3"/>
    <w:rsid w:val="00740F50"/>
    <w:rsid w:val="00752792"/>
    <w:rsid w:val="00753FB5"/>
    <w:rsid w:val="00772427"/>
    <w:rsid w:val="00772DFE"/>
    <w:rsid w:val="00782731"/>
    <w:rsid w:val="00785E77"/>
    <w:rsid w:val="00786CA6"/>
    <w:rsid w:val="00790DFB"/>
    <w:rsid w:val="007A0387"/>
    <w:rsid w:val="007C4484"/>
    <w:rsid w:val="007D39E7"/>
    <w:rsid w:val="007E1590"/>
    <w:rsid w:val="008034E6"/>
    <w:rsid w:val="00807744"/>
    <w:rsid w:val="00825991"/>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A791F"/>
    <w:rsid w:val="00BC225C"/>
    <w:rsid w:val="00BC4C0D"/>
    <w:rsid w:val="00BD0697"/>
    <w:rsid w:val="00BE2B07"/>
    <w:rsid w:val="00BF3D3E"/>
    <w:rsid w:val="00C16DFA"/>
    <w:rsid w:val="00C2522B"/>
    <w:rsid w:val="00C378D4"/>
    <w:rsid w:val="00C900E1"/>
    <w:rsid w:val="00C96534"/>
    <w:rsid w:val="00CA2E89"/>
    <w:rsid w:val="00CA53BB"/>
    <w:rsid w:val="00CB7636"/>
    <w:rsid w:val="00CC02EB"/>
    <w:rsid w:val="00CE09C4"/>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26614"/>
    <w:rsid w:val="00E37A5D"/>
    <w:rsid w:val="00E53ABF"/>
    <w:rsid w:val="00E64EE0"/>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 w:val="00FD4304"/>
    <w:rsid w:val="00FF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4"/>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4"/>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4"/>
      </w:numPr>
    </w:pPr>
  </w:style>
  <w:style w:type="paragraph" w:customStyle="1" w:styleId="AgreementHeading4">
    <w:name w:val="Agreement Heading 4"/>
    <w:basedOn w:val="Normal"/>
    <w:rsid w:val="006E7E8D"/>
    <w:pPr>
      <w:numPr>
        <w:ilvl w:val="3"/>
        <w:numId w:val="4"/>
      </w:numPr>
    </w:pPr>
  </w:style>
  <w:style w:type="paragraph" w:customStyle="1" w:styleId="AgreementHeading5">
    <w:name w:val="Agreement Heading 5"/>
    <w:basedOn w:val="Normal"/>
    <w:rsid w:val="006E7E8D"/>
    <w:pPr>
      <w:numPr>
        <w:ilvl w:val="4"/>
        <w:numId w:val="4"/>
      </w:numPr>
    </w:pPr>
  </w:style>
  <w:style w:type="paragraph" w:customStyle="1" w:styleId="AgreementParties">
    <w:name w:val="Agreement Parties"/>
    <w:basedOn w:val="Normal"/>
    <w:rsid w:val="006E7E8D"/>
    <w:pPr>
      <w:numPr>
        <w:numId w:val="2"/>
      </w:numPr>
    </w:pPr>
  </w:style>
  <w:style w:type="paragraph" w:customStyle="1" w:styleId="AgreementRecitals">
    <w:name w:val="Agreement Recitals"/>
    <w:basedOn w:val="Normal"/>
    <w:rsid w:val="006E7E8D"/>
    <w:pPr>
      <w:numPr>
        <w:numId w:val="3"/>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5"/>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6"/>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6"/>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6"/>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 w:type="paragraph" w:styleId="EndnoteText">
    <w:name w:val="endnote text"/>
    <w:basedOn w:val="Normal"/>
    <w:link w:val="EndnoteTextChar"/>
    <w:uiPriority w:val="99"/>
    <w:semiHidden/>
    <w:unhideWhenUsed/>
    <w:rsid w:val="00183674"/>
    <w:pPr>
      <w:spacing w:after="0"/>
      <w:jc w:val="left"/>
    </w:pPr>
    <w:rPr>
      <w:rFonts w:asciiTheme="minorHAnsi" w:eastAsiaTheme="minorHAnsi"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183674"/>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1836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Pravojusticeukraine/videos/262958836778151" TargetMode="External"/><Relationship Id="rId3" Type="http://schemas.openxmlformats.org/officeDocument/2006/relationships/hyperlink" Target="https://minjust.gov.ua/news/ministry/minyust-zatverdiv-dorojnyu-kartu-u-sferi-bankrutstva" TargetMode="External"/><Relationship Id="rId7" Type="http://schemas.openxmlformats.org/officeDocument/2006/relationships/hyperlink" Target="https://itd.rada.gov.ua/billInfo/Bills/pubFile/2120630" TargetMode="External"/><Relationship Id="rId2" Type="http://schemas.openxmlformats.org/officeDocument/2006/relationships/hyperlink" Target="https://itd.rada.gov.ua/billInfo/Bills/pubFile/2064509" TargetMode="External"/><Relationship Id="rId1" Type="http://schemas.openxmlformats.org/officeDocument/2006/relationships/hyperlink" Target="https://itd.rada.gov.ua/billInfo/Bills/pubFile/2025002" TargetMode="External"/><Relationship Id="rId6" Type="http://schemas.openxmlformats.org/officeDocument/2006/relationships/hyperlink" Target="https://itd.rada.gov.ua/billInfo/Bills/pubFile/2128344" TargetMode="External"/><Relationship Id="rId5" Type="http://schemas.openxmlformats.org/officeDocument/2006/relationships/hyperlink" Target="https://itd.rada.gov.ua/billInfo/Bills/pubFile/2025003" TargetMode="External"/><Relationship Id="rId4" Type="http://schemas.openxmlformats.org/officeDocument/2006/relationships/hyperlink" Target="https://www.insol-europe.org/download/documents/1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1824</Words>
  <Characters>10402</Characters>
  <Application>Microsoft Office Word</Application>
  <DocSecurity>0</DocSecurity>
  <PresentationFormat/>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12202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19</cp:revision>
  <cp:lastPrinted>2017-11-20T20:14:00Z</cp:lastPrinted>
  <dcterms:created xsi:type="dcterms:W3CDTF">2021-05-25T19:44:00Z</dcterms:created>
  <dcterms:modified xsi:type="dcterms:W3CDTF">2024-03-21T13:40:00Z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