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A2A3D" w14:textId="77777777" w:rsidR="005D783E" w:rsidRPr="00957561" w:rsidRDefault="005D783E" w:rsidP="007A6A9C">
      <w:pPr>
        <w:spacing w:after="0"/>
        <w:rPr>
          <w:rFonts w:ascii="Times New Roman" w:hAnsi="Times New Roman"/>
          <w:sz w:val="24"/>
          <w:szCs w:val="24"/>
        </w:rPr>
      </w:pPr>
    </w:p>
    <w:p w14:paraId="247CF4C1" w14:textId="77777777" w:rsidR="0091176A" w:rsidRPr="00957561" w:rsidRDefault="0091176A" w:rsidP="007A6A9C">
      <w:pPr>
        <w:spacing w:after="0"/>
        <w:contextualSpacing/>
        <w:jc w:val="center"/>
        <w:rPr>
          <w:rFonts w:ascii="Times New Roman" w:hAnsi="Times New Roman"/>
          <w:b/>
          <w:sz w:val="24"/>
          <w:szCs w:val="24"/>
        </w:rPr>
      </w:pPr>
      <w:r w:rsidRPr="00957561">
        <w:rPr>
          <w:rFonts w:ascii="Times New Roman" w:hAnsi="Times New Roman"/>
          <w:b/>
          <w:noProof/>
          <w:sz w:val="24"/>
          <w:szCs w:val="24"/>
        </w:rPr>
        <w:drawing>
          <wp:inline distT="0" distB="0" distL="0" distR="0" wp14:anchorId="68C65D83" wp14:editId="1CFE6849">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095671F4" w14:textId="77777777" w:rsidR="00617533" w:rsidRPr="00957561" w:rsidRDefault="00617533" w:rsidP="007A6A9C">
      <w:pPr>
        <w:spacing w:after="0"/>
        <w:jc w:val="center"/>
        <w:rPr>
          <w:rFonts w:ascii="Times New Roman" w:hAnsi="Times New Roman"/>
          <w:b/>
          <w:sz w:val="24"/>
          <w:szCs w:val="24"/>
        </w:rPr>
      </w:pPr>
    </w:p>
    <w:p w14:paraId="545E44B6" w14:textId="2074153E" w:rsidR="00617533" w:rsidRPr="00957561" w:rsidRDefault="00617533" w:rsidP="007A6A9C">
      <w:pPr>
        <w:spacing w:after="0"/>
        <w:jc w:val="center"/>
        <w:rPr>
          <w:rFonts w:ascii="Times New Roman" w:hAnsi="Times New Roman"/>
          <w:b/>
          <w:sz w:val="24"/>
          <w:szCs w:val="24"/>
        </w:rPr>
      </w:pPr>
      <w:r w:rsidRPr="00957561">
        <w:rPr>
          <w:rFonts w:ascii="Times New Roman" w:hAnsi="Times New Roman"/>
          <w:b/>
          <w:sz w:val="24"/>
          <w:szCs w:val="24"/>
        </w:rPr>
        <w:t xml:space="preserve">Inside Story – </w:t>
      </w:r>
      <w:r w:rsidR="00957561" w:rsidRPr="00957561">
        <w:rPr>
          <w:rFonts w:ascii="Times New Roman" w:hAnsi="Times New Roman"/>
          <w:b/>
          <w:sz w:val="24"/>
          <w:szCs w:val="24"/>
        </w:rPr>
        <w:t>May</w:t>
      </w:r>
      <w:r w:rsidR="0091176A" w:rsidRPr="00957561">
        <w:rPr>
          <w:rFonts w:ascii="Times New Roman" w:hAnsi="Times New Roman"/>
          <w:b/>
          <w:sz w:val="24"/>
          <w:szCs w:val="24"/>
        </w:rPr>
        <w:t xml:space="preserve"> 202</w:t>
      </w:r>
      <w:r w:rsidR="007A6A9C" w:rsidRPr="00957561">
        <w:rPr>
          <w:rFonts w:ascii="Times New Roman" w:hAnsi="Times New Roman"/>
          <w:b/>
          <w:sz w:val="24"/>
          <w:szCs w:val="24"/>
        </w:rPr>
        <w:t>4</w:t>
      </w:r>
    </w:p>
    <w:p w14:paraId="3F7EEBFB" w14:textId="588E9967" w:rsidR="00617533" w:rsidRPr="00957561" w:rsidRDefault="00617533" w:rsidP="007A6A9C">
      <w:pPr>
        <w:spacing w:after="0"/>
        <w:jc w:val="center"/>
        <w:rPr>
          <w:rFonts w:ascii="Times New Roman" w:hAnsi="Times New Roman"/>
          <w:b/>
          <w:sz w:val="24"/>
          <w:szCs w:val="24"/>
        </w:rPr>
      </w:pPr>
    </w:p>
    <w:p w14:paraId="032FD235" w14:textId="4058B515" w:rsidR="005D783E" w:rsidRPr="00957561" w:rsidRDefault="00957561" w:rsidP="007A6A9C">
      <w:pPr>
        <w:spacing w:after="0"/>
        <w:jc w:val="center"/>
        <w:rPr>
          <w:rFonts w:ascii="Times New Roman" w:hAnsi="Times New Roman"/>
          <w:b/>
          <w:sz w:val="24"/>
          <w:szCs w:val="24"/>
        </w:rPr>
      </w:pPr>
      <w:r w:rsidRPr="00957561">
        <w:rPr>
          <w:rFonts w:ascii="Times New Roman" w:hAnsi="Times New Roman"/>
          <w:b/>
          <w:sz w:val="24"/>
          <w:szCs w:val="24"/>
        </w:rPr>
        <w:t>Corporate Purpose vs Corporate Interest in Luxembourg Restructuring and Insolvency</w:t>
      </w:r>
    </w:p>
    <w:p w14:paraId="5C9FDC72" w14:textId="77777777" w:rsidR="00617533" w:rsidRPr="00957561" w:rsidRDefault="00617533" w:rsidP="007A6A9C">
      <w:pPr>
        <w:spacing w:after="0"/>
        <w:jc w:val="center"/>
        <w:rPr>
          <w:rFonts w:ascii="Times New Roman" w:hAnsi="Times New Roman"/>
          <w:b/>
          <w:sz w:val="24"/>
          <w:szCs w:val="24"/>
        </w:rPr>
      </w:pPr>
    </w:p>
    <w:p w14:paraId="71183962" w14:textId="0B5D4FC4" w:rsidR="00957561" w:rsidRPr="00957561" w:rsidRDefault="00957561" w:rsidP="007A6A9C">
      <w:pPr>
        <w:spacing w:after="0"/>
        <w:jc w:val="center"/>
        <w:rPr>
          <w:rFonts w:ascii="Times New Roman" w:hAnsi="Times New Roman"/>
          <w:i/>
          <w:sz w:val="24"/>
          <w:szCs w:val="24"/>
        </w:rPr>
      </w:pPr>
      <w:r w:rsidRPr="00957561">
        <w:rPr>
          <w:rFonts w:ascii="Times New Roman" w:hAnsi="Times New Roman"/>
          <w:i/>
          <w:sz w:val="24"/>
          <w:szCs w:val="24"/>
        </w:rPr>
        <w:t>Sofia Polykandrioti</w:t>
      </w:r>
      <w:r w:rsidR="00C54799" w:rsidRPr="00957561">
        <w:rPr>
          <w:rFonts w:ascii="Times New Roman" w:hAnsi="Times New Roman"/>
          <w:i/>
          <w:sz w:val="24"/>
          <w:szCs w:val="24"/>
        </w:rPr>
        <w:t xml:space="preserve">, </w:t>
      </w:r>
      <w:r w:rsidRPr="00957561">
        <w:rPr>
          <w:rFonts w:ascii="Times New Roman" w:hAnsi="Times New Roman"/>
          <w:i/>
          <w:sz w:val="24"/>
          <w:szCs w:val="24"/>
        </w:rPr>
        <w:t xml:space="preserve">Associate, </w:t>
      </w:r>
      <w:r w:rsidRPr="00957561">
        <w:rPr>
          <w:rFonts w:ascii="Times New Roman" w:hAnsi="Times New Roman"/>
          <w:i/>
          <w:sz w:val="24"/>
          <w:szCs w:val="24"/>
          <w:shd w:val="clear" w:color="auto" w:fill="FFFFFF"/>
        </w:rPr>
        <w:t>Loyens &amp; Loeff</w:t>
      </w:r>
      <w:r w:rsidRPr="00957561">
        <w:rPr>
          <w:rFonts w:ascii="Times New Roman" w:hAnsi="Times New Roman"/>
          <w:i/>
          <w:sz w:val="24"/>
          <w:szCs w:val="24"/>
          <w:shd w:val="clear" w:color="auto" w:fill="FFFFFF"/>
        </w:rPr>
        <w:t>,</w:t>
      </w:r>
      <w:r w:rsidRPr="00957561">
        <w:rPr>
          <w:rFonts w:ascii="Arial" w:hAnsi="Arial" w:cs="Arial"/>
          <w:shd w:val="clear" w:color="auto" w:fill="FFFFFF"/>
        </w:rPr>
        <w:t xml:space="preserve"> </w:t>
      </w:r>
      <w:r w:rsidRPr="00957561">
        <w:rPr>
          <w:rFonts w:ascii="Times New Roman" w:hAnsi="Times New Roman"/>
          <w:i/>
          <w:sz w:val="24"/>
          <w:szCs w:val="24"/>
        </w:rPr>
        <w:t>Luxembourg</w:t>
      </w:r>
      <w:r w:rsidR="0091176A" w:rsidRPr="00957561">
        <w:rPr>
          <w:rFonts w:ascii="Times New Roman" w:hAnsi="Times New Roman"/>
          <w:i/>
          <w:sz w:val="24"/>
          <w:szCs w:val="24"/>
        </w:rPr>
        <w:t>. Email:</w:t>
      </w:r>
      <w:r w:rsidR="00C54799" w:rsidRPr="00957561">
        <w:rPr>
          <w:rFonts w:ascii="Times New Roman" w:hAnsi="Times New Roman"/>
          <w:i/>
          <w:sz w:val="24"/>
          <w:szCs w:val="24"/>
        </w:rPr>
        <w:t xml:space="preserve"> &lt;</w:t>
      </w:r>
      <w:r w:rsidRPr="00957561">
        <w:rPr>
          <w:rFonts w:ascii="Times New Roman" w:hAnsi="Times New Roman"/>
          <w:i/>
          <w:sz w:val="24"/>
          <w:szCs w:val="24"/>
        </w:rPr>
        <w:t>sofia.polykandrioti@loyensloeff.com</w:t>
      </w:r>
      <w:r w:rsidR="00C54799" w:rsidRPr="00957561">
        <w:rPr>
          <w:rFonts w:ascii="Times New Roman" w:hAnsi="Times New Roman"/>
          <w:i/>
          <w:sz w:val="24"/>
          <w:szCs w:val="24"/>
        </w:rPr>
        <w:t>&gt;</w:t>
      </w:r>
      <w:r w:rsidRPr="00957561">
        <w:rPr>
          <w:rFonts w:ascii="Times New Roman" w:hAnsi="Times New Roman"/>
          <w:i/>
          <w:sz w:val="24"/>
          <w:szCs w:val="24"/>
        </w:rPr>
        <w:t xml:space="preserve">; and </w:t>
      </w:r>
    </w:p>
    <w:p w14:paraId="530BE1BE" w14:textId="144C946D" w:rsidR="00C54799" w:rsidRPr="00957561" w:rsidRDefault="00957561" w:rsidP="007A6A9C">
      <w:pPr>
        <w:spacing w:after="0"/>
        <w:jc w:val="center"/>
        <w:rPr>
          <w:rFonts w:ascii="Times New Roman" w:hAnsi="Times New Roman"/>
          <w:i/>
          <w:sz w:val="24"/>
          <w:szCs w:val="24"/>
        </w:rPr>
      </w:pPr>
      <w:r w:rsidRPr="00957561">
        <w:rPr>
          <w:rFonts w:ascii="Times New Roman" w:hAnsi="Times New Roman"/>
          <w:i/>
          <w:sz w:val="24"/>
          <w:szCs w:val="24"/>
        </w:rPr>
        <w:t xml:space="preserve">Michael Scott, Partner, </w:t>
      </w:r>
      <w:r w:rsidRPr="00957561">
        <w:rPr>
          <w:rFonts w:ascii="Times New Roman" w:hAnsi="Times New Roman"/>
          <w:i/>
          <w:sz w:val="24"/>
          <w:szCs w:val="24"/>
          <w:shd w:val="clear" w:color="auto" w:fill="FFFFFF"/>
        </w:rPr>
        <w:t>Loyens &amp; Loeff,</w:t>
      </w:r>
      <w:r w:rsidRPr="00957561">
        <w:rPr>
          <w:rFonts w:ascii="Arial" w:hAnsi="Arial" w:cs="Arial"/>
          <w:shd w:val="clear" w:color="auto" w:fill="FFFFFF"/>
        </w:rPr>
        <w:t xml:space="preserve"> </w:t>
      </w:r>
      <w:r w:rsidRPr="00957561">
        <w:rPr>
          <w:rFonts w:ascii="Times New Roman" w:hAnsi="Times New Roman"/>
          <w:i/>
          <w:sz w:val="24"/>
          <w:szCs w:val="24"/>
        </w:rPr>
        <w:t>Luxembourg. Email: &lt;</w:t>
      </w:r>
      <w:r w:rsidRPr="00957561">
        <w:rPr>
          <w:rFonts w:ascii="Times New Roman" w:hAnsi="Times New Roman"/>
          <w:i/>
          <w:sz w:val="24"/>
          <w:szCs w:val="24"/>
        </w:rPr>
        <w:t>michael.scott@loyensloeff.com</w:t>
      </w:r>
      <w:r w:rsidRPr="00957561">
        <w:rPr>
          <w:rFonts w:ascii="Times New Roman" w:hAnsi="Times New Roman"/>
          <w:i/>
          <w:sz w:val="24"/>
          <w:szCs w:val="24"/>
        </w:rPr>
        <w:t>&gt;.</w:t>
      </w:r>
    </w:p>
    <w:p w14:paraId="4C0F3661" w14:textId="77777777" w:rsidR="00617533" w:rsidRPr="00957561" w:rsidRDefault="00617533" w:rsidP="007A6A9C">
      <w:pPr>
        <w:spacing w:after="0"/>
        <w:jc w:val="center"/>
        <w:rPr>
          <w:rFonts w:ascii="Times New Roman" w:hAnsi="Times New Roman"/>
          <w:b/>
          <w:sz w:val="24"/>
          <w:szCs w:val="24"/>
        </w:rPr>
      </w:pPr>
    </w:p>
    <w:p w14:paraId="6DE3035C" w14:textId="68FDE813" w:rsidR="00C54799" w:rsidRPr="00957561" w:rsidRDefault="00C54799" w:rsidP="00957561">
      <w:pPr>
        <w:pStyle w:val="Body"/>
        <w:jc w:val="both"/>
        <w:rPr>
          <w:rFonts w:cs="Times New Roman"/>
          <w:b/>
          <w:bCs/>
          <w:sz w:val="24"/>
          <w:szCs w:val="24"/>
          <w:lang w:val="en-GB"/>
        </w:rPr>
      </w:pPr>
      <w:r w:rsidRPr="00957561">
        <w:rPr>
          <w:rFonts w:cs="Times New Roman"/>
          <w:bCs/>
          <w:i/>
          <w:sz w:val="24"/>
          <w:szCs w:val="24"/>
          <w:lang w:val="en-GB"/>
        </w:rPr>
        <w:t>Introduction</w:t>
      </w:r>
    </w:p>
    <w:p w14:paraId="52E88B13" w14:textId="77777777" w:rsidR="00957561" w:rsidRPr="00957561" w:rsidRDefault="00957561" w:rsidP="00957561">
      <w:pPr>
        <w:spacing w:after="0"/>
        <w:rPr>
          <w:rFonts w:ascii="Times New Roman" w:hAnsi="Times New Roman"/>
          <w:b/>
          <w:bCs/>
          <w:sz w:val="24"/>
          <w:szCs w:val="24"/>
        </w:rPr>
      </w:pPr>
    </w:p>
    <w:p w14:paraId="3E2C4779" w14:textId="773741BF" w:rsidR="00957561" w:rsidRPr="00957561" w:rsidRDefault="00957561" w:rsidP="00957561">
      <w:pPr>
        <w:spacing w:after="0"/>
        <w:rPr>
          <w:rFonts w:ascii="Times New Roman" w:hAnsi="Times New Roman"/>
          <w:sz w:val="24"/>
          <w:szCs w:val="24"/>
        </w:rPr>
      </w:pPr>
      <w:r w:rsidRPr="00957561">
        <w:rPr>
          <w:rFonts w:ascii="Times New Roman" w:hAnsi="Times New Roman"/>
          <w:sz w:val="24"/>
          <w:szCs w:val="24"/>
        </w:rPr>
        <w:t xml:space="preserve">The concepts of </w:t>
      </w:r>
      <w:r w:rsidR="00CC311E">
        <w:rPr>
          <w:rFonts w:ascii="Times New Roman" w:hAnsi="Times New Roman"/>
          <w:sz w:val="24"/>
          <w:szCs w:val="24"/>
        </w:rPr>
        <w:t>“</w:t>
      </w:r>
      <w:r w:rsidRPr="00957561">
        <w:rPr>
          <w:rFonts w:ascii="Times New Roman" w:hAnsi="Times New Roman"/>
          <w:sz w:val="24"/>
          <w:szCs w:val="24"/>
        </w:rPr>
        <w:t>corporate purpose</w:t>
      </w:r>
      <w:r w:rsidR="00CC311E">
        <w:rPr>
          <w:rFonts w:ascii="Times New Roman" w:hAnsi="Times New Roman"/>
          <w:sz w:val="24"/>
          <w:szCs w:val="24"/>
        </w:rPr>
        <w:t>”</w:t>
      </w:r>
      <w:r w:rsidRPr="00957561">
        <w:rPr>
          <w:rFonts w:ascii="Times New Roman" w:hAnsi="Times New Roman"/>
          <w:sz w:val="24"/>
          <w:szCs w:val="24"/>
        </w:rPr>
        <w:t xml:space="preserve"> and </w:t>
      </w:r>
      <w:r w:rsidR="00CC311E">
        <w:rPr>
          <w:rFonts w:ascii="Times New Roman" w:hAnsi="Times New Roman"/>
          <w:sz w:val="24"/>
          <w:szCs w:val="24"/>
        </w:rPr>
        <w:t>“</w:t>
      </w:r>
      <w:r w:rsidRPr="00957561">
        <w:rPr>
          <w:rFonts w:ascii="Times New Roman" w:hAnsi="Times New Roman"/>
          <w:sz w:val="24"/>
          <w:szCs w:val="24"/>
        </w:rPr>
        <w:t>corporate interest</w:t>
      </w:r>
      <w:r w:rsidR="00CC311E">
        <w:rPr>
          <w:rFonts w:ascii="Times New Roman" w:hAnsi="Times New Roman"/>
          <w:sz w:val="24"/>
          <w:szCs w:val="24"/>
        </w:rPr>
        <w:t>”</w:t>
      </w:r>
      <w:r w:rsidRPr="00957561">
        <w:rPr>
          <w:rFonts w:ascii="Times New Roman" w:hAnsi="Times New Roman"/>
          <w:sz w:val="24"/>
          <w:szCs w:val="24"/>
        </w:rPr>
        <w:t xml:space="preserve"> of a commercial company</w:t>
      </w:r>
      <w:r>
        <w:rPr>
          <w:rFonts w:ascii="Times New Roman" w:hAnsi="Times New Roman"/>
          <w:sz w:val="24"/>
          <w:szCs w:val="24"/>
        </w:rPr>
        <w:t>,</w:t>
      </w:r>
      <w:r w:rsidRPr="00957561">
        <w:rPr>
          <w:rStyle w:val="FootnoteReference"/>
          <w:rFonts w:ascii="Times New Roman" w:hAnsi="Times New Roman"/>
          <w:sz w:val="24"/>
          <w:szCs w:val="24"/>
        </w:rPr>
        <w:footnoteReference w:id="1"/>
      </w:r>
      <w:r w:rsidRPr="00957561">
        <w:rPr>
          <w:rFonts w:ascii="Times New Roman" w:hAnsi="Times New Roman"/>
          <w:sz w:val="24"/>
          <w:szCs w:val="24"/>
        </w:rPr>
        <w:t xml:space="preserve"> whilst fundamental for corporate governance of Luxembourg companies, are not defined in Luxembourg law or jurisprudence. In this article, we explore these concepts with a focus on restructuring and insolvency situations by: (i) examining the features of each concept, (ii) considering which corporate body is responsible for assessment of the concepts, and (iii) discussing, in brief, the judicial assessment of the concepts when restructuring plans are being sanctioned.</w:t>
      </w:r>
    </w:p>
    <w:p w14:paraId="43BEB231" w14:textId="77777777" w:rsidR="00957561" w:rsidRPr="00957561" w:rsidRDefault="00957561" w:rsidP="00957561">
      <w:pPr>
        <w:spacing w:after="0"/>
        <w:rPr>
          <w:rFonts w:ascii="Times New Roman" w:hAnsi="Times New Roman"/>
          <w:sz w:val="24"/>
          <w:szCs w:val="24"/>
        </w:rPr>
      </w:pPr>
    </w:p>
    <w:p w14:paraId="05C6D55A" w14:textId="77777777" w:rsidR="00957561" w:rsidRPr="00957561" w:rsidRDefault="00957561" w:rsidP="00957561">
      <w:pPr>
        <w:spacing w:after="0"/>
        <w:rPr>
          <w:rFonts w:ascii="Times New Roman" w:hAnsi="Times New Roman"/>
          <w:i/>
          <w:iCs/>
          <w:sz w:val="24"/>
          <w:szCs w:val="24"/>
        </w:rPr>
      </w:pPr>
      <w:r w:rsidRPr="00957561">
        <w:rPr>
          <w:rFonts w:ascii="Times New Roman" w:hAnsi="Times New Roman"/>
          <w:i/>
          <w:iCs/>
          <w:sz w:val="24"/>
          <w:szCs w:val="24"/>
        </w:rPr>
        <w:t>Defining corporate objects, interest and purpose; distinct features and potential overlaps</w:t>
      </w:r>
    </w:p>
    <w:p w14:paraId="37F37F1D" w14:textId="77777777" w:rsidR="00957561" w:rsidRPr="00957561" w:rsidRDefault="00957561" w:rsidP="00957561">
      <w:pPr>
        <w:pStyle w:val="ListParagraph"/>
        <w:spacing w:after="0" w:line="240" w:lineRule="auto"/>
        <w:jc w:val="both"/>
        <w:rPr>
          <w:rFonts w:ascii="Times New Roman" w:hAnsi="Times New Roman" w:cs="Times New Roman"/>
          <w:b/>
          <w:bCs/>
          <w:sz w:val="24"/>
          <w:szCs w:val="24"/>
          <w:lang w:val="en-GB"/>
        </w:rPr>
      </w:pPr>
    </w:p>
    <w:p w14:paraId="136055D4" w14:textId="77777777" w:rsidR="00957561" w:rsidRPr="00957561" w:rsidRDefault="00957561" w:rsidP="00957561">
      <w:pPr>
        <w:pStyle w:val="ListParagraph"/>
        <w:numPr>
          <w:ilvl w:val="0"/>
          <w:numId w:val="44"/>
        </w:numPr>
        <w:spacing w:after="0" w:line="240" w:lineRule="auto"/>
        <w:contextualSpacing w:val="0"/>
        <w:jc w:val="both"/>
        <w:rPr>
          <w:rFonts w:ascii="Times New Roman" w:hAnsi="Times New Roman" w:cs="Times New Roman"/>
          <w:i/>
          <w:iCs/>
          <w:sz w:val="24"/>
          <w:szCs w:val="24"/>
          <w:lang w:val="en-GB"/>
        </w:rPr>
      </w:pPr>
      <w:r w:rsidRPr="00957561">
        <w:rPr>
          <w:rFonts w:ascii="Times New Roman" w:hAnsi="Times New Roman" w:cs="Times New Roman"/>
          <w:i/>
          <w:iCs/>
          <w:sz w:val="24"/>
          <w:szCs w:val="24"/>
          <w:lang w:val="en-GB"/>
        </w:rPr>
        <w:t xml:space="preserve">Corporate purpose; the </w:t>
      </w:r>
      <w:r w:rsidRPr="00957561">
        <w:rPr>
          <w:rFonts w:ascii="Times New Roman" w:eastAsia="Times New Roman" w:hAnsi="Times New Roman" w:cs="Times New Roman"/>
          <w:i/>
          <w:iCs/>
          <w:sz w:val="24"/>
          <w:szCs w:val="24"/>
          <w:lang w:val="en-GB"/>
        </w:rPr>
        <w:t>objects clause</w:t>
      </w:r>
    </w:p>
    <w:p w14:paraId="71C954C5" w14:textId="77777777" w:rsidR="00957561" w:rsidRPr="00957561" w:rsidRDefault="00957561" w:rsidP="00957561">
      <w:pPr>
        <w:pStyle w:val="ListParagraph"/>
        <w:spacing w:after="0" w:line="240" w:lineRule="auto"/>
        <w:jc w:val="both"/>
        <w:rPr>
          <w:rFonts w:ascii="Times New Roman" w:eastAsia="Times New Roman" w:hAnsi="Times New Roman" w:cs="Times New Roman"/>
          <w:i/>
          <w:iCs/>
          <w:sz w:val="24"/>
          <w:szCs w:val="24"/>
          <w:lang w:val="en-GB"/>
        </w:rPr>
      </w:pPr>
    </w:p>
    <w:p w14:paraId="53C5F098" w14:textId="184D3122" w:rsidR="00957561" w:rsidRPr="00957561" w:rsidRDefault="00957561" w:rsidP="00957561">
      <w:pPr>
        <w:spacing w:after="0"/>
        <w:rPr>
          <w:rFonts w:ascii="Times New Roman" w:hAnsi="Times New Roman"/>
          <w:sz w:val="24"/>
          <w:szCs w:val="24"/>
        </w:rPr>
      </w:pPr>
      <w:r w:rsidRPr="00957561">
        <w:rPr>
          <w:rFonts w:ascii="Times New Roman" w:hAnsi="Times New Roman"/>
          <w:sz w:val="24"/>
          <w:szCs w:val="24"/>
        </w:rPr>
        <w:t>The corporate purpose of a company refers to the company</w:t>
      </w:r>
      <w:r w:rsidR="00CC311E">
        <w:rPr>
          <w:rFonts w:ascii="Times New Roman" w:hAnsi="Times New Roman"/>
          <w:sz w:val="24"/>
          <w:szCs w:val="24"/>
        </w:rPr>
        <w:t>’</w:t>
      </w:r>
      <w:r w:rsidRPr="00957561">
        <w:rPr>
          <w:rFonts w:ascii="Times New Roman" w:hAnsi="Times New Roman"/>
          <w:sz w:val="24"/>
          <w:szCs w:val="24"/>
        </w:rPr>
        <w:t xml:space="preserve">s </w:t>
      </w:r>
      <w:r w:rsidRPr="00957561">
        <w:rPr>
          <w:rFonts w:ascii="Times New Roman" w:hAnsi="Times New Roman"/>
          <w:i/>
          <w:iCs/>
          <w:sz w:val="24"/>
          <w:szCs w:val="24"/>
        </w:rPr>
        <w:t>raison d</w:t>
      </w:r>
      <w:r w:rsidR="00CC311E">
        <w:rPr>
          <w:rFonts w:ascii="Times New Roman" w:hAnsi="Times New Roman"/>
          <w:i/>
          <w:iCs/>
          <w:sz w:val="24"/>
          <w:szCs w:val="24"/>
        </w:rPr>
        <w:t>’</w:t>
      </w:r>
      <w:r w:rsidRPr="00957561">
        <w:rPr>
          <w:rFonts w:ascii="Times New Roman" w:hAnsi="Times New Roman"/>
          <w:i/>
          <w:iCs/>
          <w:sz w:val="24"/>
          <w:szCs w:val="24"/>
        </w:rPr>
        <w:t>être</w:t>
      </w:r>
      <w:r w:rsidRPr="00957561">
        <w:rPr>
          <w:rFonts w:ascii="Times New Roman" w:hAnsi="Times New Roman"/>
          <w:sz w:val="24"/>
          <w:szCs w:val="24"/>
        </w:rPr>
        <w:t xml:space="preserve">, the specific corporate objectives for which the shareholders came together to initially incorporate the entity. Corporate objectives of the company are set forth in the objects clause contained in the governing </w:t>
      </w:r>
      <w:r w:rsidR="00CC311E">
        <w:rPr>
          <w:rFonts w:ascii="Times New Roman" w:hAnsi="Times New Roman"/>
          <w:sz w:val="24"/>
          <w:szCs w:val="24"/>
        </w:rPr>
        <w:t>“</w:t>
      </w:r>
      <w:r w:rsidRPr="00957561">
        <w:rPr>
          <w:rFonts w:ascii="Times New Roman" w:hAnsi="Times New Roman"/>
          <w:sz w:val="24"/>
          <w:szCs w:val="24"/>
        </w:rPr>
        <w:t>articles of association</w:t>
      </w:r>
      <w:r w:rsidR="00CC311E">
        <w:rPr>
          <w:rFonts w:ascii="Times New Roman" w:hAnsi="Times New Roman"/>
          <w:sz w:val="24"/>
          <w:szCs w:val="24"/>
        </w:rPr>
        <w:t>”</w:t>
      </w:r>
      <w:r w:rsidRPr="00957561">
        <w:rPr>
          <w:rStyle w:val="FootnoteReference"/>
          <w:rFonts w:ascii="Times New Roman" w:hAnsi="Times New Roman"/>
          <w:sz w:val="24"/>
          <w:szCs w:val="24"/>
        </w:rPr>
        <w:footnoteReference w:id="2"/>
      </w:r>
      <w:r w:rsidRPr="00957561">
        <w:rPr>
          <w:rFonts w:ascii="Times New Roman" w:hAnsi="Times New Roman"/>
          <w:sz w:val="24"/>
          <w:szCs w:val="24"/>
        </w:rPr>
        <w:t xml:space="preserve"> adopted by founding shareholders on incorporation</w:t>
      </w:r>
      <w:r w:rsidRPr="00957561">
        <w:rPr>
          <w:rStyle w:val="FootnoteReference"/>
          <w:rFonts w:ascii="Times New Roman" w:hAnsi="Times New Roman"/>
          <w:sz w:val="24"/>
          <w:szCs w:val="24"/>
        </w:rPr>
        <w:footnoteReference w:id="3"/>
      </w:r>
      <w:r w:rsidRPr="00957561">
        <w:rPr>
          <w:rFonts w:ascii="Times New Roman" w:hAnsi="Times New Roman"/>
          <w:sz w:val="24"/>
          <w:szCs w:val="24"/>
        </w:rPr>
        <w:t xml:space="preserve"> (and amended from time to time in accordance with the procedures set out in the Companies Law and the Articles</w:t>
      </w:r>
      <w:r>
        <w:rPr>
          <w:rFonts w:ascii="Times New Roman" w:hAnsi="Times New Roman"/>
          <w:sz w:val="24"/>
          <w:szCs w:val="24"/>
        </w:rPr>
        <w:t>).</w:t>
      </w:r>
      <w:r w:rsidRPr="00957561">
        <w:rPr>
          <w:rStyle w:val="FootnoteReference"/>
          <w:rFonts w:ascii="Times New Roman" w:hAnsi="Times New Roman"/>
          <w:sz w:val="24"/>
          <w:szCs w:val="24"/>
        </w:rPr>
        <w:footnoteReference w:id="4"/>
      </w:r>
      <w:r w:rsidRPr="00957561">
        <w:rPr>
          <w:rFonts w:ascii="Times New Roman" w:hAnsi="Times New Roman"/>
          <w:sz w:val="24"/>
          <w:szCs w:val="24"/>
        </w:rPr>
        <w:t xml:space="preserve"> </w:t>
      </w:r>
    </w:p>
    <w:p w14:paraId="6BABC7C4" w14:textId="469118F5" w:rsidR="00957561" w:rsidRDefault="00957561" w:rsidP="00957561">
      <w:pPr>
        <w:spacing w:after="0"/>
        <w:rPr>
          <w:rFonts w:ascii="Times New Roman" w:hAnsi="Times New Roman"/>
          <w:sz w:val="24"/>
          <w:szCs w:val="24"/>
        </w:rPr>
      </w:pPr>
      <w:r w:rsidRPr="00957561">
        <w:rPr>
          <w:rFonts w:ascii="Times New Roman" w:hAnsi="Times New Roman"/>
          <w:sz w:val="24"/>
          <w:szCs w:val="24"/>
        </w:rPr>
        <w:lastRenderedPageBreak/>
        <w:t>A company</w:t>
      </w:r>
      <w:r w:rsidR="00CC311E">
        <w:rPr>
          <w:rFonts w:ascii="Times New Roman" w:hAnsi="Times New Roman"/>
          <w:sz w:val="24"/>
          <w:szCs w:val="24"/>
        </w:rPr>
        <w:t>’</w:t>
      </w:r>
      <w:r w:rsidRPr="00957561">
        <w:rPr>
          <w:rFonts w:ascii="Times New Roman" w:hAnsi="Times New Roman"/>
          <w:sz w:val="24"/>
          <w:szCs w:val="24"/>
        </w:rPr>
        <w:t>s corporate objects clause draws the outer limits of the activity that the company can pursue. For instance, a company with, a SOPARFI corporate objects clause</w:t>
      </w:r>
      <w:r w:rsidRPr="00957561">
        <w:rPr>
          <w:rFonts w:ascii="Times New Roman" w:hAnsi="Times New Roman"/>
          <w:sz w:val="24"/>
          <w:szCs w:val="24"/>
          <w:vertAlign w:val="superscript"/>
        </w:rPr>
        <w:footnoteReference w:id="5"/>
      </w:r>
      <w:r w:rsidRPr="00957561">
        <w:rPr>
          <w:rFonts w:ascii="Times New Roman" w:hAnsi="Times New Roman"/>
          <w:sz w:val="24"/>
          <w:szCs w:val="24"/>
          <w:vertAlign w:val="superscript"/>
        </w:rPr>
        <w:t xml:space="preserve"> </w:t>
      </w:r>
      <w:r w:rsidRPr="00957561">
        <w:rPr>
          <w:rFonts w:ascii="Times New Roman" w:hAnsi="Times New Roman"/>
          <w:sz w:val="24"/>
          <w:szCs w:val="24"/>
        </w:rPr>
        <w:t>cannot carry out other activities such as the sale of goods in retail operations; its activities being limited to holding participations in other companies and financing activities. An objective outside the corporate objects could only be pursued if the company</w:t>
      </w:r>
      <w:r w:rsidR="00CC311E">
        <w:rPr>
          <w:rFonts w:ascii="Times New Roman" w:hAnsi="Times New Roman"/>
          <w:sz w:val="24"/>
          <w:szCs w:val="24"/>
        </w:rPr>
        <w:t>’</w:t>
      </w:r>
      <w:r w:rsidRPr="00957561">
        <w:rPr>
          <w:rFonts w:ascii="Times New Roman" w:hAnsi="Times New Roman"/>
          <w:sz w:val="24"/>
          <w:szCs w:val="24"/>
        </w:rPr>
        <w:t>s Articles were to first be amended by a shareholder(s)</w:t>
      </w:r>
      <w:r w:rsidR="00CC311E">
        <w:rPr>
          <w:rFonts w:ascii="Times New Roman" w:hAnsi="Times New Roman"/>
          <w:sz w:val="24"/>
          <w:szCs w:val="24"/>
        </w:rPr>
        <w:t>’</w:t>
      </w:r>
      <w:r w:rsidRPr="00957561">
        <w:rPr>
          <w:rFonts w:ascii="Times New Roman" w:hAnsi="Times New Roman"/>
          <w:sz w:val="24"/>
          <w:szCs w:val="24"/>
        </w:rPr>
        <w:t xml:space="preserve"> decision. </w:t>
      </w:r>
    </w:p>
    <w:p w14:paraId="34B34C62" w14:textId="77777777" w:rsidR="00957561" w:rsidRDefault="00957561" w:rsidP="00957561">
      <w:pPr>
        <w:spacing w:after="0"/>
        <w:rPr>
          <w:rFonts w:ascii="Times New Roman" w:hAnsi="Times New Roman"/>
          <w:sz w:val="24"/>
          <w:szCs w:val="24"/>
        </w:rPr>
      </w:pPr>
    </w:p>
    <w:p w14:paraId="381B8E29" w14:textId="7A9EAF2D" w:rsidR="00957561" w:rsidRPr="00957561" w:rsidRDefault="00957561" w:rsidP="00957561">
      <w:pPr>
        <w:spacing w:after="0"/>
        <w:rPr>
          <w:rFonts w:ascii="Times New Roman" w:hAnsi="Times New Roman"/>
          <w:sz w:val="24"/>
          <w:szCs w:val="24"/>
        </w:rPr>
      </w:pPr>
      <w:r w:rsidRPr="00957561">
        <w:rPr>
          <w:rFonts w:ascii="Times New Roman" w:hAnsi="Times New Roman"/>
          <w:sz w:val="24"/>
          <w:szCs w:val="24"/>
        </w:rPr>
        <w:t xml:space="preserve">As a consequence, the type of activities a company can undertake are controlled and restricted by its objects clause, which objects clause is determined by the founding shareholders.  </w:t>
      </w:r>
    </w:p>
    <w:p w14:paraId="14297A5D" w14:textId="77777777" w:rsidR="00957561" w:rsidRPr="00957561" w:rsidRDefault="00957561" w:rsidP="00957561">
      <w:pPr>
        <w:spacing w:after="0"/>
        <w:rPr>
          <w:rFonts w:ascii="Times New Roman" w:hAnsi="Times New Roman"/>
          <w:i/>
          <w:iCs/>
          <w:sz w:val="24"/>
          <w:szCs w:val="24"/>
        </w:rPr>
      </w:pPr>
    </w:p>
    <w:p w14:paraId="1647EF7F" w14:textId="77777777" w:rsidR="00957561" w:rsidRPr="00957561" w:rsidRDefault="00957561" w:rsidP="00957561">
      <w:pPr>
        <w:pStyle w:val="ListParagraph"/>
        <w:numPr>
          <w:ilvl w:val="0"/>
          <w:numId w:val="44"/>
        </w:numPr>
        <w:spacing w:after="0" w:line="240" w:lineRule="auto"/>
        <w:contextualSpacing w:val="0"/>
        <w:jc w:val="both"/>
        <w:rPr>
          <w:rFonts w:ascii="Times New Roman" w:hAnsi="Times New Roman" w:cs="Times New Roman"/>
          <w:i/>
          <w:iCs/>
          <w:sz w:val="24"/>
          <w:szCs w:val="24"/>
          <w:lang w:val="en-GB"/>
        </w:rPr>
      </w:pPr>
      <w:r w:rsidRPr="00957561">
        <w:rPr>
          <w:rFonts w:ascii="Times New Roman" w:hAnsi="Times New Roman" w:cs="Times New Roman"/>
          <w:i/>
          <w:iCs/>
          <w:sz w:val="24"/>
          <w:szCs w:val="24"/>
          <w:lang w:val="en-GB"/>
        </w:rPr>
        <w:t>Corporate interest</w:t>
      </w:r>
    </w:p>
    <w:p w14:paraId="7A12E2DD" w14:textId="77777777" w:rsidR="00957561" w:rsidRDefault="00957561" w:rsidP="00957561">
      <w:pPr>
        <w:spacing w:after="0"/>
        <w:rPr>
          <w:rFonts w:ascii="Times New Roman" w:hAnsi="Times New Roman"/>
          <w:sz w:val="24"/>
          <w:szCs w:val="24"/>
        </w:rPr>
      </w:pPr>
    </w:p>
    <w:p w14:paraId="1535BBE7" w14:textId="33F600FB" w:rsidR="00957561" w:rsidRPr="00957561" w:rsidRDefault="00957561" w:rsidP="00957561">
      <w:pPr>
        <w:spacing w:after="0"/>
        <w:rPr>
          <w:rFonts w:ascii="Times New Roman" w:hAnsi="Times New Roman"/>
          <w:sz w:val="24"/>
          <w:szCs w:val="24"/>
        </w:rPr>
      </w:pPr>
      <w:r w:rsidRPr="00957561">
        <w:rPr>
          <w:rFonts w:ascii="Times New Roman" w:hAnsi="Times New Roman"/>
          <w:sz w:val="24"/>
          <w:szCs w:val="24"/>
        </w:rPr>
        <w:t>Identifying a company</w:t>
      </w:r>
      <w:r w:rsidR="00CC311E">
        <w:rPr>
          <w:rFonts w:ascii="Times New Roman" w:hAnsi="Times New Roman"/>
          <w:sz w:val="24"/>
          <w:szCs w:val="24"/>
        </w:rPr>
        <w:t>’</w:t>
      </w:r>
      <w:r w:rsidRPr="00957561">
        <w:rPr>
          <w:rFonts w:ascii="Times New Roman" w:hAnsi="Times New Roman"/>
          <w:sz w:val="24"/>
          <w:szCs w:val="24"/>
        </w:rPr>
        <w:t>s corporate purpose is a straightforward process by reference to the restrictions contained in the relevant objects clause. To the contrary, the process of defining a company</w:t>
      </w:r>
      <w:r w:rsidR="00CC311E">
        <w:rPr>
          <w:rFonts w:ascii="Times New Roman" w:hAnsi="Times New Roman"/>
          <w:sz w:val="24"/>
          <w:szCs w:val="24"/>
        </w:rPr>
        <w:t>’</w:t>
      </w:r>
      <w:r w:rsidRPr="00957561">
        <w:rPr>
          <w:rFonts w:ascii="Times New Roman" w:hAnsi="Times New Roman"/>
          <w:sz w:val="24"/>
          <w:szCs w:val="24"/>
        </w:rPr>
        <w:t xml:space="preserve">s corporate interest is significantly more complex both in theory and in practice, as pursuant to Luxembourg law it includes anything useful or profitable to the </w:t>
      </w:r>
      <w:r w:rsidRPr="00957561">
        <w:rPr>
          <w:rFonts w:ascii="Times New Roman" w:hAnsi="Times New Roman"/>
          <w:i/>
          <w:iCs/>
          <w:sz w:val="24"/>
          <w:szCs w:val="24"/>
          <w:u w:val="single"/>
        </w:rPr>
        <w:t>company</w:t>
      </w:r>
      <w:r w:rsidRPr="00957561">
        <w:rPr>
          <w:rFonts w:ascii="Times New Roman" w:hAnsi="Times New Roman"/>
          <w:i/>
          <w:iCs/>
          <w:sz w:val="24"/>
          <w:szCs w:val="24"/>
        </w:rPr>
        <w:t>.</w:t>
      </w:r>
      <w:r w:rsidRPr="00957561">
        <w:rPr>
          <w:rStyle w:val="FootnoteReference"/>
          <w:rFonts w:ascii="Times New Roman" w:hAnsi="Times New Roman"/>
          <w:sz w:val="24"/>
          <w:szCs w:val="24"/>
        </w:rPr>
        <w:footnoteReference w:id="6"/>
      </w:r>
      <w:r w:rsidRPr="00957561">
        <w:rPr>
          <w:rFonts w:ascii="Times New Roman" w:hAnsi="Times New Roman"/>
          <w:sz w:val="24"/>
          <w:szCs w:val="24"/>
        </w:rPr>
        <w:t xml:space="preserve"> It is key to note that this definition is narrow in the sense that in determining the corporate interest, consideration is given only to the benefit of the company </w:t>
      </w:r>
      <w:r w:rsidRPr="00957561">
        <w:rPr>
          <w:rFonts w:ascii="Times New Roman" w:hAnsi="Times New Roman"/>
          <w:sz w:val="24"/>
          <w:szCs w:val="24"/>
          <w:u w:val="single"/>
        </w:rPr>
        <w:t>itself</w:t>
      </w:r>
      <w:r w:rsidRPr="00957561">
        <w:rPr>
          <w:rFonts w:ascii="Times New Roman" w:hAnsi="Times New Roman"/>
          <w:sz w:val="24"/>
          <w:szCs w:val="24"/>
        </w:rPr>
        <w:t xml:space="preserve"> and not to that of relevant third parties, such as shareholders, subsidiaries, group entities or creditors.</w:t>
      </w:r>
      <w:r w:rsidRPr="00957561">
        <w:rPr>
          <w:rStyle w:val="FootnoteReference"/>
          <w:rFonts w:ascii="Times New Roman" w:hAnsi="Times New Roman"/>
          <w:sz w:val="24"/>
          <w:szCs w:val="24"/>
        </w:rPr>
        <w:footnoteReference w:id="7"/>
      </w:r>
    </w:p>
    <w:p w14:paraId="39E831D5" w14:textId="77777777" w:rsidR="00957561" w:rsidRDefault="00957561" w:rsidP="00957561">
      <w:pPr>
        <w:spacing w:after="0"/>
        <w:rPr>
          <w:rFonts w:ascii="Times New Roman" w:hAnsi="Times New Roman"/>
          <w:sz w:val="24"/>
          <w:szCs w:val="24"/>
        </w:rPr>
      </w:pPr>
    </w:p>
    <w:p w14:paraId="49763E4C" w14:textId="643012FB" w:rsidR="00957561" w:rsidRPr="00957561" w:rsidRDefault="00957561" w:rsidP="00957561">
      <w:pPr>
        <w:spacing w:after="0"/>
        <w:rPr>
          <w:rFonts w:ascii="Times New Roman" w:hAnsi="Times New Roman"/>
          <w:sz w:val="24"/>
          <w:szCs w:val="24"/>
        </w:rPr>
      </w:pPr>
      <w:r w:rsidRPr="00957561">
        <w:rPr>
          <w:rFonts w:ascii="Times New Roman" w:hAnsi="Times New Roman"/>
          <w:sz w:val="24"/>
          <w:szCs w:val="24"/>
        </w:rPr>
        <w:t>Often the company</w:t>
      </w:r>
      <w:r w:rsidR="00CC311E">
        <w:rPr>
          <w:rFonts w:ascii="Times New Roman" w:hAnsi="Times New Roman"/>
          <w:sz w:val="24"/>
          <w:szCs w:val="24"/>
        </w:rPr>
        <w:t>’</w:t>
      </w:r>
      <w:r w:rsidRPr="00957561">
        <w:rPr>
          <w:rFonts w:ascii="Times New Roman" w:hAnsi="Times New Roman"/>
          <w:sz w:val="24"/>
          <w:szCs w:val="24"/>
        </w:rPr>
        <w:t>s corporate interest will be aligned with that of its shareholders or its subsidiaries but there is no automatic overlap. For example, in the case of a downstream guarantee, (where a parent company guarantees a loan to be taken by its subsidiary), the guarantee will be typically to the corporate interest of both parties. In particular, the guarantee will be a condition to the financing provided to the subsidiary, and the financing will be to the benefit of the subsidiary for the expansion or funding of its business operations. It will also likely be to the benefit of the parent because of an envisaged increase in the value of its investment in the subsidiary.</w:t>
      </w:r>
    </w:p>
    <w:p w14:paraId="1054B410" w14:textId="77777777" w:rsidR="00957561" w:rsidRDefault="00957561" w:rsidP="00957561">
      <w:pPr>
        <w:spacing w:after="0"/>
        <w:rPr>
          <w:rFonts w:ascii="Times New Roman" w:hAnsi="Times New Roman"/>
          <w:sz w:val="24"/>
          <w:szCs w:val="24"/>
        </w:rPr>
      </w:pPr>
    </w:p>
    <w:p w14:paraId="5840B7FC" w14:textId="0FA4CE63" w:rsidR="00957561" w:rsidRPr="00957561" w:rsidRDefault="00957561" w:rsidP="00957561">
      <w:pPr>
        <w:spacing w:after="0"/>
        <w:rPr>
          <w:rFonts w:ascii="Times New Roman" w:hAnsi="Times New Roman"/>
          <w:sz w:val="24"/>
          <w:szCs w:val="24"/>
        </w:rPr>
      </w:pPr>
      <w:r w:rsidRPr="00957561">
        <w:rPr>
          <w:rFonts w:ascii="Times New Roman" w:hAnsi="Times New Roman"/>
          <w:sz w:val="24"/>
          <w:szCs w:val="24"/>
        </w:rPr>
        <w:t>Legal authors agree that corporate interest goes beyond and is separate from the interest of the shareholders (and the same logic is applied to the interest of creditors). Corporate interest in Luxembourg is not determined by the sum of individual interests of the shareholders or the intersection of their interests.</w:t>
      </w:r>
      <w:r w:rsidRPr="00957561">
        <w:rPr>
          <w:rStyle w:val="FootnoteReference"/>
          <w:rFonts w:ascii="Times New Roman" w:hAnsi="Times New Roman"/>
          <w:sz w:val="24"/>
          <w:szCs w:val="24"/>
        </w:rPr>
        <w:footnoteReference w:id="8"/>
      </w:r>
      <w:r w:rsidRPr="00957561">
        <w:rPr>
          <w:rFonts w:ascii="Times New Roman" w:hAnsi="Times New Roman"/>
          <w:sz w:val="24"/>
          <w:szCs w:val="24"/>
        </w:rPr>
        <w:t xml:space="preserve"> This is in contrast to other European jurisdictions, under which the corporate interest is assessed taking into account other stakeholders</w:t>
      </w:r>
      <w:r w:rsidR="00CC311E">
        <w:rPr>
          <w:rFonts w:ascii="Times New Roman" w:hAnsi="Times New Roman"/>
          <w:sz w:val="24"/>
          <w:szCs w:val="24"/>
        </w:rPr>
        <w:t>’</w:t>
      </w:r>
      <w:r w:rsidRPr="00957561">
        <w:rPr>
          <w:rFonts w:ascii="Times New Roman" w:hAnsi="Times New Roman"/>
          <w:sz w:val="24"/>
          <w:szCs w:val="24"/>
        </w:rPr>
        <w:t xml:space="preserve"> interests (shareholders or creditors). Appropriate attention needs to be paid to this point in Luxembourg law as it this may be surprising to directors or clients unfamiliar with Luxembourg law.</w:t>
      </w:r>
      <w:r w:rsidRPr="00957561">
        <w:rPr>
          <w:rStyle w:val="FootnoteReference"/>
          <w:rFonts w:ascii="Times New Roman" w:hAnsi="Times New Roman"/>
          <w:sz w:val="24"/>
          <w:szCs w:val="24"/>
        </w:rPr>
        <w:footnoteReference w:id="9"/>
      </w:r>
      <w:r w:rsidRPr="00957561">
        <w:rPr>
          <w:rFonts w:ascii="Times New Roman" w:hAnsi="Times New Roman"/>
          <w:sz w:val="24"/>
          <w:szCs w:val="24"/>
        </w:rPr>
        <w:t xml:space="preserve"> By means of example, a conflict of corporate interests between the company and shareholders and creditors may come into play when a company in distress receives an offer to restructure and survive as a going concern, where such offer from senior creditors may result in a change of control (detriment to existing shareholders) or a write </w:t>
      </w:r>
      <w:r w:rsidRPr="00957561">
        <w:rPr>
          <w:rFonts w:ascii="Times New Roman" w:hAnsi="Times New Roman"/>
          <w:sz w:val="24"/>
          <w:szCs w:val="24"/>
        </w:rPr>
        <w:lastRenderedPageBreak/>
        <w:t xml:space="preserve">down of junior debt pursuant to a restructuring process (detriment to junior creditors). In such a circumstance, the interest of the company in pursuing a Court approved restructuring process resulting in the company surviving a bankruptcy, would trump the interests of the existing shareholders or junior creditors. </w:t>
      </w:r>
    </w:p>
    <w:p w14:paraId="585B4744" w14:textId="77777777" w:rsidR="00957561" w:rsidRDefault="00957561" w:rsidP="00957561">
      <w:pPr>
        <w:spacing w:after="0"/>
        <w:rPr>
          <w:rFonts w:ascii="Times New Roman" w:hAnsi="Times New Roman"/>
          <w:sz w:val="24"/>
          <w:szCs w:val="24"/>
        </w:rPr>
      </w:pPr>
    </w:p>
    <w:p w14:paraId="45DF183C" w14:textId="1D49E30E" w:rsidR="00957561" w:rsidRPr="00957561" w:rsidRDefault="00957561" w:rsidP="00957561">
      <w:pPr>
        <w:spacing w:after="0"/>
        <w:rPr>
          <w:rFonts w:ascii="Times New Roman" w:hAnsi="Times New Roman"/>
          <w:sz w:val="24"/>
          <w:szCs w:val="24"/>
        </w:rPr>
      </w:pPr>
      <w:r w:rsidRPr="00957561">
        <w:rPr>
          <w:rFonts w:ascii="Times New Roman" w:hAnsi="Times New Roman"/>
          <w:sz w:val="24"/>
          <w:szCs w:val="24"/>
        </w:rPr>
        <w:t>Considering that there will often be overlaps between the above concepts and the interests of the various stakeholders, it follows from the above that a company</w:t>
      </w:r>
      <w:r w:rsidR="00CC311E">
        <w:rPr>
          <w:rFonts w:ascii="Times New Roman" w:hAnsi="Times New Roman"/>
          <w:sz w:val="24"/>
          <w:szCs w:val="24"/>
        </w:rPr>
        <w:t>’</w:t>
      </w:r>
      <w:r w:rsidRPr="00957561">
        <w:rPr>
          <w:rFonts w:ascii="Times New Roman" w:hAnsi="Times New Roman"/>
          <w:sz w:val="24"/>
          <w:szCs w:val="24"/>
        </w:rPr>
        <w:t>s corporate interest is a separate legal concept (x) from the same company</w:t>
      </w:r>
      <w:r w:rsidR="00CC311E">
        <w:rPr>
          <w:rFonts w:ascii="Times New Roman" w:hAnsi="Times New Roman"/>
          <w:sz w:val="24"/>
          <w:szCs w:val="24"/>
        </w:rPr>
        <w:t>’</w:t>
      </w:r>
      <w:r w:rsidRPr="00957561">
        <w:rPr>
          <w:rFonts w:ascii="Times New Roman" w:hAnsi="Times New Roman"/>
          <w:sz w:val="24"/>
          <w:szCs w:val="24"/>
        </w:rPr>
        <w:t>s corporate purpose, and (y) from the interest of any third parties, including the company</w:t>
      </w:r>
      <w:r w:rsidR="00CC311E">
        <w:rPr>
          <w:rFonts w:ascii="Times New Roman" w:hAnsi="Times New Roman"/>
          <w:sz w:val="24"/>
          <w:szCs w:val="24"/>
        </w:rPr>
        <w:t>’</w:t>
      </w:r>
      <w:r w:rsidRPr="00957561">
        <w:rPr>
          <w:rFonts w:ascii="Times New Roman" w:hAnsi="Times New Roman"/>
          <w:sz w:val="24"/>
          <w:szCs w:val="24"/>
        </w:rPr>
        <w:t xml:space="preserve">s direct shareholders and creditors. It would be improper to mix the analysis of one concept with the other and there is no basis for doing so under Luxembourg law. </w:t>
      </w:r>
    </w:p>
    <w:p w14:paraId="1AB19FE6" w14:textId="77777777" w:rsidR="00957561" w:rsidRPr="00957561" w:rsidRDefault="00957561" w:rsidP="00957561">
      <w:pPr>
        <w:spacing w:after="0"/>
        <w:rPr>
          <w:rFonts w:ascii="Times New Roman" w:hAnsi="Times New Roman"/>
          <w:sz w:val="24"/>
          <w:szCs w:val="24"/>
        </w:rPr>
      </w:pPr>
    </w:p>
    <w:p w14:paraId="2B4FF5D3" w14:textId="0DEB5461" w:rsidR="00957561" w:rsidRPr="00957561" w:rsidRDefault="00957561" w:rsidP="00957561">
      <w:pPr>
        <w:spacing w:after="0"/>
        <w:rPr>
          <w:rFonts w:ascii="Times New Roman" w:hAnsi="Times New Roman"/>
          <w:i/>
          <w:iCs/>
          <w:sz w:val="24"/>
          <w:szCs w:val="24"/>
        </w:rPr>
      </w:pPr>
      <w:r w:rsidRPr="00957561">
        <w:rPr>
          <w:rFonts w:ascii="Times New Roman" w:hAnsi="Times New Roman"/>
          <w:i/>
          <w:iCs/>
          <w:sz w:val="24"/>
          <w:szCs w:val="24"/>
        </w:rPr>
        <w:t>Assessment of a company</w:t>
      </w:r>
      <w:r w:rsidR="00CC311E">
        <w:rPr>
          <w:rFonts w:ascii="Times New Roman" w:hAnsi="Times New Roman"/>
          <w:i/>
          <w:iCs/>
          <w:sz w:val="24"/>
          <w:szCs w:val="24"/>
        </w:rPr>
        <w:t>’</w:t>
      </w:r>
      <w:r w:rsidRPr="00957561">
        <w:rPr>
          <w:rFonts w:ascii="Times New Roman" w:hAnsi="Times New Roman"/>
          <w:i/>
          <w:iCs/>
          <w:sz w:val="24"/>
          <w:szCs w:val="24"/>
        </w:rPr>
        <w:t>s corporate purpose and corporate interest</w:t>
      </w:r>
    </w:p>
    <w:p w14:paraId="35966D21" w14:textId="77777777" w:rsidR="00957561" w:rsidRPr="00957561" w:rsidRDefault="00957561" w:rsidP="00957561">
      <w:pPr>
        <w:spacing w:after="0"/>
        <w:rPr>
          <w:rFonts w:ascii="Times New Roman" w:hAnsi="Times New Roman"/>
          <w:sz w:val="24"/>
          <w:szCs w:val="24"/>
        </w:rPr>
      </w:pPr>
    </w:p>
    <w:p w14:paraId="66E55DC8" w14:textId="77777777" w:rsidR="00957561" w:rsidRPr="00957561" w:rsidRDefault="00957561" w:rsidP="00957561">
      <w:pPr>
        <w:pStyle w:val="ListParagraph"/>
        <w:numPr>
          <w:ilvl w:val="0"/>
          <w:numId w:val="45"/>
        </w:numPr>
        <w:spacing w:after="0" w:line="240" w:lineRule="auto"/>
        <w:contextualSpacing w:val="0"/>
        <w:jc w:val="both"/>
        <w:rPr>
          <w:rFonts w:ascii="Times New Roman" w:hAnsi="Times New Roman" w:cs="Times New Roman"/>
          <w:i/>
          <w:iCs/>
          <w:sz w:val="24"/>
          <w:szCs w:val="24"/>
          <w:lang w:val="en-GB"/>
        </w:rPr>
      </w:pPr>
      <w:r w:rsidRPr="00957561">
        <w:rPr>
          <w:rFonts w:ascii="Times New Roman" w:hAnsi="Times New Roman" w:cs="Times New Roman"/>
          <w:i/>
          <w:iCs/>
          <w:sz w:val="24"/>
          <w:szCs w:val="24"/>
          <w:lang w:val="en-GB"/>
        </w:rPr>
        <w:t>Relevant body and no group concept</w:t>
      </w:r>
    </w:p>
    <w:p w14:paraId="084BB6D9" w14:textId="77777777" w:rsidR="00957561" w:rsidRPr="00957561" w:rsidRDefault="00957561" w:rsidP="00957561">
      <w:pPr>
        <w:spacing w:after="0"/>
        <w:rPr>
          <w:rFonts w:ascii="Times New Roman" w:hAnsi="Times New Roman"/>
          <w:sz w:val="24"/>
          <w:szCs w:val="24"/>
        </w:rPr>
      </w:pPr>
    </w:p>
    <w:p w14:paraId="5BB2599A" w14:textId="77777777" w:rsidR="00957561" w:rsidRPr="00957561" w:rsidRDefault="00957561" w:rsidP="00957561">
      <w:pPr>
        <w:spacing w:after="0"/>
        <w:rPr>
          <w:rFonts w:ascii="Times New Roman" w:hAnsi="Times New Roman"/>
          <w:sz w:val="24"/>
          <w:szCs w:val="24"/>
        </w:rPr>
      </w:pPr>
      <w:r w:rsidRPr="00957561">
        <w:rPr>
          <w:rFonts w:ascii="Times New Roman" w:hAnsi="Times New Roman"/>
          <w:sz w:val="24"/>
          <w:szCs w:val="24"/>
        </w:rPr>
        <w:t>As referenced above, the corporate purpose of a company is determined by shareholders pursuant to the objects clause contained in the Articles. The relevant body tasked with assessing corporate interest is the board. The board is a collegiate body and thus any decision duly taken by or on behalf of the board following the applicable decision-making is accountable to the board as a whole.</w:t>
      </w:r>
      <w:r w:rsidRPr="00957561">
        <w:rPr>
          <w:rStyle w:val="FootnoteReference"/>
          <w:rFonts w:ascii="Times New Roman" w:hAnsi="Times New Roman"/>
          <w:sz w:val="24"/>
          <w:szCs w:val="24"/>
        </w:rPr>
        <w:footnoteReference w:id="10"/>
      </w:r>
    </w:p>
    <w:p w14:paraId="0F7F87DB" w14:textId="77777777" w:rsidR="00957561" w:rsidRDefault="00957561" w:rsidP="00957561">
      <w:pPr>
        <w:spacing w:after="0"/>
        <w:rPr>
          <w:rFonts w:ascii="Times New Roman" w:hAnsi="Times New Roman"/>
          <w:sz w:val="24"/>
          <w:szCs w:val="24"/>
        </w:rPr>
      </w:pPr>
    </w:p>
    <w:p w14:paraId="642460AE" w14:textId="0E905489" w:rsidR="00957561" w:rsidRPr="00957561" w:rsidRDefault="00957561" w:rsidP="00957561">
      <w:pPr>
        <w:spacing w:after="0"/>
        <w:rPr>
          <w:rFonts w:ascii="Times New Roman" w:hAnsi="Times New Roman"/>
          <w:sz w:val="24"/>
          <w:szCs w:val="24"/>
        </w:rPr>
      </w:pPr>
      <w:r w:rsidRPr="00957561">
        <w:rPr>
          <w:rFonts w:ascii="Times New Roman" w:hAnsi="Times New Roman"/>
          <w:sz w:val="24"/>
          <w:szCs w:val="24"/>
        </w:rPr>
        <w:t>In assessing corporate interest</w:t>
      </w:r>
      <w:r>
        <w:rPr>
          <w:rFonts w:ascii="Times New Roman" w:hAnsi="Times New Roman"/>
          <w:sz w:val="24"/>
          <w:szCs w:val="24"/>
        </w:rPr>
        <w:t>,</w:t>
      </w:r>
      <w:r w:rsidRPr="00957561">
        <w:rPr>
          <w:rFonts w:ascii="Times New Roman" w:hAnsi="Times New Roman"/>
          <w:sz w:val="24"/>
          <w:szCs w:val="24"/>
        </w:rPr>
        <w:t xml:space="preserve"> it is also important to note that Luxembourg law does not follow a </w:t>
      </w:r>
      <w:r w:rsidR="00CC311E">
        <w:rPr>
          <w:rFonts w:ascii="Times New Roman" w:hAnsi="Times New Roman"/>
          <w:sz w:val="24"/>
          <w:szCs w:val="24"/>
        </w:rPr>
        <w:t>“</w:t>
      </w:r>
      <w:r w:rsidRPr="00957561">
        <w:rPr>
          <w:rFonts w:ascii="Times New Roman" w:hAnsi="Times New Roman"/>
          <w:i/>
          <w:iCs/>
          <w:sz w:val="24"/>
          <w:szCs w:val="24"/>
        </w:rPr>
        <w:t>group of companies</w:t>
      </w:r>
      <w:r w:rsidR="00CC311E">
        <w:rPr>
          <w:rFonts w:ascii="Times New Roman" w:hAnsi="Times New Roman"/>
          <w:sz w:val="24"/>
          <w:szCs w:val="24"/>
        </w:rPr>
        <w:t>”</w:t>
      </w:r>
      <w:r w:rsidRPr="00957561">
        <w:rPr>
          <w:rFonts w:ascii="Times New Roman" w:hAnsi="Times New Roman"/>
          <w:sz w:val="24"/>
          <w:szCs w:val="24"/>
        </w:rPr>
        <w:t xml:space="preserve"> concept for the assessment of corporate interest, and hence the analysis must be undertaken s</w:t>
      </w:r>
      <w:r w:rsidRPr="00957561">
        <w:rPr>
          <w:rFonts w:ascii="Times New Roman" w:hAnsi="Times New Roman"/>
          <w:i/>
          <w:iCs/>
          <w:sz w:val="24"/>
          <w:szCs w:val="24"/>
        </w:rPr>
        <w:t>eparately</w:t>
      </w:r>
      <w:r w:rsidRPr="00957561">
        <w:rPr>
          <w:rFonts w:ascii="Times New Roman" w:hAnsi="Times New Roman"/>
          <w:sz w:val="24"/>
          <w:szCs w:val="24"/>
        </w:rPr>
        <w:t xml:space="preserve"> by the applicable board in the interests of the company alone and not necessarily the </w:t>
      </w:r>
      <w:proofErr w:type="gramStart"/>
      <w:r w:rsidRPr="00957561">
        <w:rPr>
          <w:rFonts w:ascii="Times New Roman" w:hAnsi="Times New Roman"/>
          <w:sz w:val="24"/>
          <w:szCs w:val="24"/>
        </w:rPr>
        <w:t>group</w:t>
      </w:r>
      <w:r w:rsidR="00CC311E">
        <w:rPr>
          <w:rFonts w:ascii="Times New Roman" w:hAnsi="Times New Roman"/>
          <w:sz w:val="24"/>
          <w:szCs w:val="24"/>
        </w:rPr>
        <w:t>’</w:t>
      </w:r>
      <w:r w:rsidRPr="00957561">
        <w:rPr>
          <w:rFonts w:ascii="Times New Roman" w:hAnsi="Times New Roman"/>
          <w:sz w:val="24"/>
          <w:szCs w:val="24"/>
        </w:rPr>
        <w:t>s</w:t>
      </w:r>
      <w:proofErr w:type="gramEnd"/>
      <w:r w:rsidRPr="00957561">
        <w:rPr>
          <w:rFonts w:ascii="Times New Roman" w:hAnsi="Times New Roman"/>
          <w:sz w:val="24"/>
          <w:szCs w:val="24"/>
        </w:rPr>
        <w:t>. For example, a company cannot sacrifice its own benefit for its corporate group surviving by being purposedly bankrupted.</w:t>
      </w:r>
      <w:r w:rsidRPr="00957561">
        <w:rPr>
          <w:rStyle w:val="FootnoteReference"/>
          <w:rFonts w:ascii="Times New Roman" w:hAnsi="Times New Roman"/>
          <w:sz w:val="24"/>
          <w:szCs w:val="24"/>
        </w:rPr>
        <w:footnoteReference w:id="11"/>
      </w:r>
    </w:p>
    <w:p w14:paraId="5A463F93" w14:textId="77777777" w:rsidR="00957561" w:rsidRDefault="00957561" w:rsidP="00957561">
      <w:pPr>
        <w:spacing w:after="0"/>
        <w:rPr>
          <w:rFonts w:ascii="Times New Roman" w:hAnsi="Times New Roman"/>
          <w:sz w:val="24"/>
          <w:szCs w:val="24"/>
        </w:rPr>
      </w:pPr>
    </w:p>
    <w:p w14:paraId="629DD717" w14:textId="067CE78B" w:rsidR="00957561" w:rsidRPr="00957561" w:rsidRDefault="00957561" w:rsidP="00957561">
      <w:pPr>
        <w:spacing w:after="0"/>
        <w:rPr>
          <w:rFonts w:ascii="Times New Roman" w:hAnsi="Times New Roman"/>
          <w:sz w:val="24"/>
          <w:szCs w:val="24"/>
        </w:rPr>
      </w:pPr>
      <w:r w:rsidRPr="00957561">
        <w:rPr>
          <w:rFonts w:ascii="Times New Roman" w:hAnsi="Times New Roman"/>
          <w:sz w:val="24"/>
          <w:szCs w:val="24"/>
        </w:rPr>
        <w:t xml:space="preserve">A holding or financing company is usually part of a corporate structure that includes multiple companies that form part of a </w:t>
      </w:r>
      <w:r w:rsidR="00CC311E">
        <w:rPr>
          <w:rFonts w:ascii="Times New Roman" w:hAnsi="Times New Roman"/>
          <w:sz w:val="24"/>
          <w:szCs w:val="24"/>
        </w:rPr>
        <w:t>“</w:t>
      </w:r>
      <w:r w:rsidRPr="00957561">
        <w:rPr>
          <w:rFonts w:ascii="Times New Roman" w:hAnsi="Times New Roman"/>
          <w:sz w:val="24"/>
          <w:szCs w:val="24"/>
        </w:rPr>
        <w:t>corporate group</w:t>
      </w:r>
      <w:r w:rsidR="00CC311E">
        <w:rPr>
          <w:rFonts w:ascii="Times New Roman" w:hAnsi="Times New Roman"/>
          <w:sz w:val="24"/>
          <w:szCs w:val="24"/>
        </w:rPr>
        <w:t>”</w:t>
      </w:r>
      <w:r w:rsidRPr="00957561">
        <w:rPr>
          <w:rFonts w:ascii="Times New Roman" w:hAnsi="Times New Roman"/>
          <w:sz w:val="24"/>
          <w:szCs w:val="24"/>
        </w:rPr>
        <w:t>. The same directors often sit on the boards of multiple companies of the group having a parent - subsidiary or sister companies</w:t>
      </w:r>
      <w:r w:rsidR="00CC311E">
        <w:rPr>
          <w:rFonts w:ascii="Times New Roman" w:hAnsi="Times New Roman"/>
          <w:sz w:val="24"/>
          <w:szCs w:val="24"/>
        </w:rPr>
        <w:t>’</w:t>
      </w:r>
      <w:r w:rsidRPr="00957561">
        <w:rPr>
          <w:rFonts w:ascii="Times New Roman" w:hAnsi="Times New Roman"/>
          <w:sz w:val="24"/>
          <w:szCs w:val="24"/>
        </w:rPr>
        <w:t xml:space="preserve"> relationship. The directors of each relevant board when composed by the same individuals must change </w:t>
      </w:r>
      <w:r w:rsidR="00CC311E">
        <w:rPr>
          <w:rFonts w:ascii="Times New Roman" w:hAnsi="Times New Roman"/>
          <w:sz w:val="24"/>
          <w:szCs w:val="24"/>
        </w:rPr>
        <w:t>“</w:t>
      </w:r>
      <w:r w:rsidRPr="00957561">
        <w:rPr>
          <w:rFonts w:ascii="Times New Roman" w:hAnsi="Times New Roman"/>
          <w:sz w:val="24"/>
          <w:szCs w:val="24"/>
        </w:rPr>
        <w:t>corporate hats</w:t>
      </w:r>
      <w:r w:rsidR="00CC311E">
        <w:rPr>
          <w:rFonts w:ascii="Times New Roman" w:hAnsi="Times New Roman"/>
          <w:sz w:val="24"/>
          <w:szCs w:val="24"/>
        </w:rPr>
        <w:t>”</w:t>
      </w:r>
      <w:r w:rsidRPr="00957561">
        <w:rPr>
          <w:rFonts w:ascii="Times New Roman" w:hAnsi="Times New Roman"/>
          <w:sz w:val="24"/>
          <w:szCs w:val="24"/>
        </w:rPr>
        <w:t xml:space="preserve"> for the purposes of examining whether the contemplated transaction falls within the relevant company</w:t>
      </w:r>
      <w:r w:rsidR="00CC311E">
        <w:rPr>
          <w:rFonts w:ascii="Times New Roman" w:hAnsi="Times New Roman"/>
          <w:sz w:val="24"/>
          <w:szCs w:val="24"/>
        </w:rPr>
        <w:t>’</w:t>
      </w:r>
      <w:r w:rsidRPr="00957561">
        <w:rPr>
          <w:rFonts w:ascii="Times New Roman" w:hAnsi="Times New Roman"/>
          <w:sz w:val="24"/>
          <w:szCs w:val="24"/>
        </w:rPr>
        <w:t>s corporate objects clause and best serves the interests of that specific company.</w:t>
      </w:r>
      <w:r w:rsidRPr="00957561">
        <w:rPr>
          <w:rStyle w:val="FootnoteReference"/>
          <w:rFonts w:ascii="Times New Roman" w:hAnsi="Times New Roman"/>
          <w:sz w:val="24"/>
          <w:szCs w:val="24"/>
        </w:rPr>
        <w:footnoteReference w:id="12"/>
      </w:r>
      <w:r w:rsidRPr="00957561">
        <w:rPr>
          <w:rFonts w:ascii="Times New Roman" w:hAnsi="Times New Roman"/>
          <w:sz w:val="24"/>
          <w:szCs w:val="24"/>
        </w:rPr>
        <w:t xml:space="preserve"> However, changing </w:t>
      </w:r>
      <w:r w:rsidR="00CC311E">
        <w:rPr>
          <w:rFonts w:ascii="Times New Roman" w:hAnsi="Times New Roman"/>
          <w:sz w:val="24"/>
          <w:szCs w:val="24"/>
        </w:rPr>
        <w:t>“</w:t>
      </w:r>
      <w:r w:rsidRPr="00957561">
        <w:rPr>
          <w:rFonts w:ascii="Times New Roman" w:hAnsi="Times New Roman"/>
          <w:sz w:val="24"/>
          <w:szCs w:val="24"/>
        </w:rPr>
        <w:t>corporate hats</w:t>
      </w:r>
      <w:r w:rsidR="00CC311E">
        <w:rPr>
          <w:rFonts w:ascii="Times New Roman" w:hAnsi="Times New Roman"/>
          <w:sz w:val="24"/>
          <w:szCs w:val="24"/>
        </w:rPr>
        <w:t>”</w:t>
      </w:r>
      <w:r w:rsidRPr="00957561">
        <w:rPr>
          <w:rFonts w:ascii="Times New Roman" w:hAnsi="Times New Roman"/>
          <w:sz w:val="24"/>
          <w:szCs w:val="24"/>
        </w:rPr>
        <w:t xml:space="preserve"> would not entail taking an isolated decision based only on facts that are immediately relevant to the company they act on behalf of. In their assessment process, board members are allowed to, and will typically receive, consider information about the group as a whole and apply such information to the position of the company. Such data allows the board to have the full background of the transaction and is naturally relevant to the directors</w:t>
      </w:r>
      <w:r w:rsidR="00CC311E">
        <w:rPr>
          <w:rFonts w:ascii="Times New Roman" w:hAnsi="Times New Roman"/>
          <w:sz w:val="24"/>
          <w:szCs w:val="24"/>
        </w:rPr>
        <w:t>’</w:t>
      </w:r>
      <w:r w:rsidRPr="00957561">
        <w:rPr>
          <w:rFonts w:ascii="Times New Roman" w:hAnsi="Times New Roman"/>
          <w:sz w:val="24"/>
          <w:szCs w:val="24"/>
        </w:rPr>
        <w:t xml:space="preserve"> assessment. </w:t>
      </w:r>
    </w:p>
    <w:p w14:paraId="3AAB926E" w14:textId="5401C2D1" w:rsidR="00957561" w:rsidRPr="00957561" w:rsidRDefault="00957561" w:rsidP="00957561">
      <w:pPr>
        <w:spacing w:after="0"/>
        <w:ind w:firstLine="720"/>
        <w:rPr>
          <w:rFonts w:ascii="Times New Roman" w:hAnsi="Times New Roman"/>
          <w:color w:val="4F81BD" w:themeColor="accent1"/>
          <w:sz w:val="24"/>
          <w:szCs w:val="24"/>
        </w:rPr>
      </w:pPr>
      <w:r w:rsidRPr="00957561">
        <w:rPr>
          <w:rFonts w:ascii="Times New Roman" w:hAnsi="Times New Roman"/>
          <w:sz w:val="24"/>
          <w:szCs w:val="24"/>
        </w:rPr>
        <w:t xml:space="preserve"> </w:t>
      </w:r>
    </w:p>
    <w:p w14:paraId="631D6006" w14:textId="68EBC14C" w:rsidR="00957561" w:rsidRPr="00957561" w:rsidRDefault="00957561" w:rsidP="00957561">
      <w:pPr>
        <w:pStyle w:val="ListParagraph"/>
        <w:numPr>
          <w:ilvl w:val="0"/>
          <w:numId w:val="45"/>
        </w:numPr>
        <w:spacing w:after="0" w:line="240" w:lineRule="auto"/>
        <w:contextualSpacing w:val="0"/>
        <w:jc w:val="both"/>
        <w:rPr>
          <w:rFonts w:ascii="Times New Roman" w:hAnsi="Times New Roman" w:cs="Times New Roman"/>
          <w:i/>
          <w:iCs/>
          <w:sz w:val="24"/>
          <w:szCs w:val="24"/>
          <w:lang w:val="en-GB"/>
        </w:rPr>
      </w:pPr>
      <w:r w:rsidRPr="00957561">
        <w:rPr>
          <w:rFonts w:ascii="Times New Roman" w:eastAsia="Times New Roman" w:hAnsi="Times New Roman" w:cs="Times New Roman"/>
          <w:i/>
          <w:iCs/>
          <w:sz w:val="24"/>
          <w:szCs w:val="24"/>
          <w:lang w:val="en-GB"/>
        </w:rPr>
        <w:t>The nature of the directors</w:t>
      </w:r>
      <w:r w:rsidR="00CC311E">
        <w:rPr>
          <w:rFonts w:ascii="Times New Roman" w:eastAsia="Times New Roman" w:hAnsi="Times New Roman" w:cs="Times New Roman"/>
          <w:i/>
          <w:iCs/>
          <w:sz w:val="24"/>
          <w:szCs w:val="24"/>
          <w:lang w:val="en-GB"/>
        </w:rPr>
        <w:t>’</w:t>
      </w:r>
      <w:r w:rsidRPr="00957561">
        <w:rPr>
          <w:rFonts w:ascii="Times New Roman" w:eastAsia="Times New Roman" w:hAnsi="Times New Roman" w:cs="Times New Roman"/>
          <w:i/>
          <w:iCs/>
          <w:sz w:val="24"/>
          <w:szCs w:val="24"/>
          <w:lang w:val="en-GB"/>
        </w:rPr>
        <w:t xml:space="preserve"> assessment </w:t>
      </w:r>
    </w:p>
    <w:p w14:paraId="78F9ACC1" w14:textId="77777777" w:rsidR="00957561" w:rsidRPr="00957561" w:rsidRDefault="00957561" w:rsidP="00957561">
      <w:pPr>
        <w:pStyle w:val="ListParagraph"/>
        <w:spacing w:after="0" w:line="240" w:lineRule="auto"/>
        <w:jc w:val="both"/>
        <w:rPr>
          <w:rFonts w:ascii="Times New Roman" w:hAnsi="Times New Roman" w:cs="Times New Roman"/>
          <w:i/>
          <w:iCs/>
          <w:sz w:val="24"/>
          <w:szCs w:val="24"/>
          <w:lang w:val="en-GB"/>
        </w:rPr>
      </w:pPr>
    </w:p>
    <w:p w14:paraId="1D655B81" w14:textId="1C160798" w:rsidR="00957561" w:rsidRPr="00957561" w:rsidRDefault="00957561" w:rsidP="00957561">
      <w:pPr>
        <w:spacing w:after="0"/>
        <w:rPr>
          <w:rFonts w:ascii="Times New Roman" w:hAnsi="Times New Roman"/>
          <w:sz w:val="24"/>
          <w:szCs w:val="24"/>
        </w:rPr>
      </w:pPr>
      <w:r w:rsidRPr="00957561">
        <w:rPr>
          <w:rFonts w:ascii="Times New Roman" w:hAnsi="Times New Roman"/>
          <w:sz w:val="24"/>
          <w:szCs w:val="24"/>
        </w:rPr>
        <w:t>The board</w:t>
      </w:r>
      <w:r w:rsidR="00CC311E">
        <w:rPr>
          <w:rFonts w:ascii="Times New Roman" w:hAnsi="Times New Roman"/>
          <w:sz w:val="24"/>
          <w:szCs w:val="24"/>
        </w:rPr>
        <w:t>’</w:t>
      </w:r>
      <w:r w:rsidRPr="00957561">
        <w:rPr>
          <w:rFonts w:ascii="Times New Roman" w:hAnsi="Times New Roman"/>
          <w:sz w:val="24"/>
          <w:szCs w:val="24"/>
        </w:rPr>
        <w:t>s central duty is to act in furtherance of the company</w:t>
      </w:r>
      <w:r w:rsidR="00CC311E">
        <w:rPr>
          <w:rFonts w:ascii="Times New Roman" w:hAnsi="Times New Roman"/>
          <w:sz w:val="24"/>
          <w:szCs w:val="24"/>
        </w:rPr>
        <w:t>’</w:t>
      </w:r>
      <w:r w:rsidRPr="00957561">
        <w:rPr>
          <w:rFonts w:ascii="Times New Roman" w:hAnsi="Times New Roman"/>
          <w:sz w:val="24"/>
          <w:szCs w:val="24"/>
        </w:rPr>
        <w:t>s corporate purpose and corporate interest. As a company</w:t>
      </w:r>
      <w:r w:rsidR="00CC311E">
        <w:rPr>
          <w:rFonts w:ascii="Times New Roman" w:hAnsi="Times New Roman"/>
          <w:sz w:val="24"/>
          <w:szCs w:val="24"/>
        </w:rPr>
        <w:t>’</w:t>
      </w:r>
      <w:r w:rsidRPr="00957561">
        <w:rPr>
          <w:rFonts w:ascii="Times New Roman" w:hAnsi="Times New Roman"/>
          <w:sz w:val="24"/>
          <w:szCs w:val="24"/>
        </w:rPr>
        <w:t xml:space="preserve">s </w:t>
      </w:r>
      <w:r w:rsidR="00CC311E">
        <w:rPr>
          <w:rFonts w:ascii="Times New Roman" w:hAnsi="Times New Roman"/>
          <w:sz w:val="24"/>
          <w:szCs w:val="24"/>
        </w:rPr>
        <w:t>“</w:t>
      </w:r>
      <w:r w:rsidRPr="00957561">
        <w:rPr>
          <w:rFonts w:ascii="Times New Roman" w:hAnsi="Times New Roman"/>
          <w:sz w:val="24"/>
          <w:szCs w:val="24"/>
        </w:rPr>
        <w:t>corporate purpose</w:t>
      </w:r>
      <w:r w:rsidR="00CC311E">
        <w:rPr>
          <w:rFonts w:ascii="Times New Roman" w:hAnsi="Times New Roman"/>
          <w:sz w:val="24"/>
          <w:szCs w:val="24"/>
        </w:rPr>
        <w:t>”</w:t>
      </w:r>
      <w:r w:rsidRPr="00957561">
        <w:rPr>
          <w:rFonts w:ascii="Times New Roman" w:hAnsi="Times New Roman"/>
          <w:sz w:val="24"/>
          <w:szCs w:val="24"/>
        </w:rPr>
        <w:t xml:space="preserve"> is a distinct concept from its </w:t>
      </w:r>
      <w:r w:rsidRPr="00957561">
        <w:rPr>
          <w:rFonts w:ascii="Times New Roman" w:hAnsi="Times New Roman"/>
          <w:sz w:val="24"/>
          <w:szCs w:val="24"/>
        </w:rPr>
        <w:br/>
      </w:r>
      <w:r w:rsidR="00CC311E">
        <w:rPr>
          <w:rFonts w:ascii="Times New Roman" w:hAnsi="Times New Roman"/>
          <w:sz w:val="24"/>
          <w:szCs w:val="24"/>
        </w:rPr>
        <w:t>“</w:t>
      </w:r>
      <w:r w:rsidRPr="00957561">
        <w:rPr>
          <w:rFonts w:ascii="Times New Roman" w:hAnsi="Times New Roman"/>
          <w:sz w:val="24"/>
          <w:szCs w:val="24"/>
        </w:rPr>
        <w:t>corporate interest</w:t>
      </w:r>
      <w:r w:rsidR="00CC311E">
        <w:rPr>
          <w:rFonts w:ascii="Times New Roman" w:hAnsi="Times New Roman"/>
          <w:sz w:val="24"/>
          <w:szCs w:val="24"/>
        </w:rPr>
        <w:t>”</w:t>
      </w:r>
      <w:r w:rsidRPr="00957561">
        <w:rPr>
          <w:rFonts w:ascii="Times New Roman" w:hAnsi="Times New Roman"/>
          <w:sz w:val="24"/>
          <w:szCs w:val="24"/>
        </w:rPr>
        <w:t>, the board</w:t>
      </w:r>
      <w:r w:rsidR="00CC311E">
        <w:rPr>
          <w:rFonts w:ascii="Times New Roman" w:hAnsi="Times New Roman"/>
          <w:sz w:val="24"/>
          <w:szCs w:val="24"/>
        </w:rPr>
        <w:t>’</w:t>
      </w:r>
      <w:r w:rsidRPr="00957561">
        <w:rPr>
          <w:rFonts w:ascii="Times New Roman" w:hAnsi="Times New Roman"/>
          <w:sz w:val="24"/>
          <w:szCs w:val="24"/>
        </w:rPr>
        <w:t>s assessment will also be separate.</w:t>
      </w:r>
    </w:p>
    <w:p w14:paraId="54743336" w14:textId="77777777" w:rsidR="00957561" w:rsidRPr="00957561" w:rsidRDefault="00957561" w:rsidP="00957561">
      <w:pPr>
        <w:spacing w:after="0"/>
        <w:ind w:firstLine="720"/>
        <w:rPr>
          <w:rFonts w:ascii="Times New Roman" w:hAnsi="Times New Roman"/>
          <w:sz w:val="24"/>
          <w:szCs w:val="24"/>
        </w:rPr>
      </w:pPr>
    </w:p>
    <w:p w14:paraId="08DD862C" w14:textId="63869893" w:rsidR="00957561" w:rsidRPr="00957561" w:rsidRDefault="00957561" w:rsidP="00957561">
      <w:pPr>
        <w:pStyle w:val="ListParagraph"/>
        <w:numPr>
          <w:ilvl w:val="0"/>
          <w:numId w:val="43"/>
        </w:numPr>
        <w:spacing w:after="0" w:line="240" w:lineRule="auto"/>
        <w:contextualSpacing w:val="0"/>
        <w:jc w:val="both"/>
        <w:rPr>
          <w:rFonts w:ascii="Times New Roman" w:hAnsi="Times New Roman" w:cs="Times New Roman"/>
          <w:i/>
          <w:iCs/>
          <w:sz w:val="24"/>
          <w:szCs w:val="24"/>
          <w:lang w:val="en-GB"/>
        </w:rPr>
      </w:pPr>
      <w:r w:rsidRPr="00957561">
        <w:rPr>
          <w:rFonts w:ascii="Times New Roman" w:hAnsi="Times New Roman" w:cs="Times New Roman"/>
          <w:i/>
          <w:iCs/>
          <w:sz w:val="24"/>
          <w:szCs w:val="24"/>
          <w:lang w:val="en-GB"/>
        </w:rPr>
        <w:t>Assessing a company</w:t>
      </w:r>
      <w:r w:rsidR="00CC311E">
        <w:rPr>
          <w:rFonts w:ascii="Times New Roman" w:hAnsi="Times New Roman" w:cs="Times New Roman"/>
          <w:i/>
          <w:iCs/>
          <w:sz w:val="24"/>
          <w:szCs w:val="24"/>
          <w:lang w:val="en-GB"/>
        </w:rPr>
        <w:t>’</w:t>
      </w:r>
      <w:r w:rsidRPr="00957561">
        <w:rPr>
          <w:rFonts w:ascii="Times New Roman" w:hAnsi="Times New Roman" w:cs="Times New Roman"/>
          <w:i/>
          <w:iCs/>
          <w:sz w:val="24"/>
          <w:szCs w:val="24"/>
          <w:lang w:val="en-GB"/>
        </w:rPr>
        <w:t>s corporate purpose</w:t>
      </w:r>
    </w:p>
    <w:p w14:paraId="3570FA83" w14:textId="77777777" w:rsidR="00957561" w:rsidRPr="00957561" w:rsidRDefault="00957561" w:rsidP="00957561">
      <w:pPr>
        <w:spacing w:after="0"/>
        <w:rPr>
          <w:rFonts w:ascii="Times New Roman" w:hAnsi="Times New Roman"/>
          <w:i/>
          <w:iCs/>
          <w:sz w:val="24"/>
          <w:szCs w:val="24"/>
        </w:rPr>
      </w:pPr>
    </w:p>
    <w:p w14:paraId="4A4733BA" w14:textId="1049F046" w:rsidR="00957561" w:rsidRPr="00957561" w:rsidRDefault="00957561" w:rsidP="00957561">
      <w:pPr>
        <w:spacing w:after="0"/>
        <w:rPr>
          <w:rFonts w:ascii="Times New Roman" w:hAnsi="Times New Roman"/>
          <w:sz w:val="24"/>
          <w:szCs w:val="24"/>
        </w:rPr>
      </w:pPr>
      <w:r w:rsidRPr="00957561">
        <w:rPr>
          <w:rFonts w:ascii="Times New Roman" w:hAnsi="Times New Roman"/>
          <w:sz w:val="24"/>
          <w:szCs w:val="24"/>
        </w:rPr>
        <w:t>The outer limits of directors</w:t>
      </w:r>
      <w:r w:rsidR="00CC311E">
        <w:rPr>
          <w:rFonts w:ascii="Times New Roman" w:hAnsi="Times New Roman"/>
          <w:sz w:val="24"/>
          <w:szCs w:val="24"/>
        </w:rPr>
        <w:t>’</w:t>
      </w:r>
      <w:r w:rsidRPr="00957561">
        <w:rPr>
          <w:rFonts w:ascii="Times New Roman" w:hAnsi="Times New Roman"/>
          <w:sz w:val="24"/>
          <w:szCs w:val="24"/>
        </w:rPr>
        <w:t xml:space="preserve"> actions, </w:t>
      </w:r>
      <w:r w:rsidRPr="00957561">
        <w:rPr>
          <w:rFonts w:ascii="Times New Roman" w:hAnsi="Times New Roman"/>
          <w:i/>
          <w:iCs/>
          <w:sz w:val="24"/>
          <w:szCs w:val="24"/>
        </w:rPr>
        <w:t>i.e.</w:t>
      </w:r>
      <w:r>
        <w:rPr>
          <w:rFonts w:ascii="Times New Roman" w:hAnsi="Times New Roman"/>
          <w:i/>
          <w:iCs/>
          <w:sz w:val="24"/>
          <w:szCs w:val="24"/>
        </w:rPr>
        <w:t>,</w:t>
      </w:r>
      <w:r w:rsidRPr="00957561">
        <w:rPr>
          <w:rFonts w:ascii="Times New Roman" w:hAnsi="Times New Roman"/>
          <w:sz w:val="24"/>
          <w:szCs w:val="24"/>
        </w:rPr>
        <w:t xml:space="preserve"> the type of transactions they can undertake when representing the company (</w:t>
      </w:r>
      <w:r w:rsidRPr="00957561">
        <w:rPr>
          <w:rFonts w:ascii="Times New Roman" w:hAnsi="Times New Roman"/>
          <w:i/>
          <w:iCs/>
          <w:sz w:val="24"/>
          <w:szCs w:val="24"/>
        </w:rPr>
        <w:t>e.g.</w:t>
      </w:r>
      <w:r>
        <w:rPr>
          <w:rFonts w:ascii="Times New Roman" w:hAnsi="Times New Roman"/>
          <w:i/>
          <w:iCs/>
          <w:sz w:val="24"/>
          <w:szCs w:val="24"/>
        </w:rPr>
        <w:t>,</w:t>
      </w:r>
      <w:r w:rsidRPr="00957561">
        <w:rPr>
          <w:rFonts w:ascii="Times New Roman" w:hAnsi="Times New Roman"/>
          <w:sz w:val="24"/>
          <w:szCs w:val="24"/>
        </w:rPr>
        <w:t xml:space="preserve"> granting loans, pledges), are mandated by the company</w:t>
      </w:r>
      <w:r w:rsidR="00CC311E">
        <w:rPr>
          <w:rFonts w:ascii="Times New Roman" w:hAnsi="Times New Roman"/>
          <w:sz w:val="24"/>
          <w:szCs w:val="24"/>
        </w:rPr>
        <w:t>’</w:t>
      </w:r>
      <w:r w:rsidRPr="00957561">
        <w:rPr>
          <w:rFonts w:ascii="Times New Roman" w:hAnsi="Times New Roman"/>
          <w:sz w:val="24"/>
          <w:szCs w:val="24"/>
        </w:rPr>
        <w:t>s corporate purpose. As a preliminary procedural step and before assessing the merits of the intended transaction, the board must ensure that the contemplated acts are permitted under the company</w:t>
      </w:r>
      <w:r w:rsidR="00CC311E">
        <w:rPr>
          <w:rFonts w:ascii="Times New Roman" w:hAnsi="Times New Roman"/>
          <w:sz w:val="24"/>
          <w:szCs w:val="24"/>
        </w:rPr>
        <w:t>’</w:t>
      </w:r>
      <w:r w:rsidRPr="00957561">
        <w:rPr>
          <w:rFonts w:ascii="Times New Roman" w:hAnsi="Times New Roman"/>
          <w:sz w:val="24"/>
          <w:szCs w:val="24"/>
        </w:rPr>
        <w:t>s corporate objects as reflected in the company</w:t>
      </w:r>
      <w:r w:rsidR="00CC311E">
        <w:rPr>
          <w:rFonts w:ascii="Times New Roman" w:hAnsi="Times New Roman"/>
          <w:sz w:val="24"/>
          <w:szCs w:val="24"/>
        </w:rPr>
        <w:t>’</w:t>
      </w:r>
      <w:r w:rsidRPr="00957561">
        <w:rPr>
          <w:rFonts w:ascii="Times New Roman" w:hAnsi="Times New Roman"/>
          <w:sz w:val="24"/>
          <w:szCs w:val="24"/>
        </w:rPr>
        <w:t>s Articles. If the board proceeds with an action outside the corporate objects this will amount to a breach of the Articles</w:t>
      </w:r>
      <w:r>
        <w:rPr>
          <w:rFonts w:ascii="Times New Roman" w:hAnsi="Times New Roman"/>
          <w:sz w:val="24"/>
          <w:szCs w:val="24"/>
        </w:rPr>
        <w:t>.</w:t>
      </w:r>
      <w:r w:rsidRPr="00957561">
        <w:rPr>
          <w:rStyle w:val="FootnoteReference"/>
          <w:rFonts w:ascii="Times New Roman" w:hAnsi="Times New Roman"/>
          <w:sz w:val="24"/>
          <w:szCs w:val="24"/>
        </w:rPr>
        <w:footnoteReference w:id="13"/>
      </w:r>
    </w:p>
    <w:p w14:paraId="289852FE" w14:textId="77777777" w:rsidR="00957561" w:rsidRPr="00957561" w:rsidRDefault="00957561" w:rsidP="00957561">
      <w:pPr>
        <w:spacing w:after="0"/>
        <w:rPr>
          <w:rFonts w:ascii="Times New Roman" w:hAnsi="Times New Roman"/>
          <w:sz w:val="24"/>
          <w:szCs w:val="24"/>
        </w:rPr>
      </w:pPr>
    </w:p>
    <w:p w14:paraId="76B4ADBE" w14:textId="542773E2" w:rsidR="00957561" w:rsidRPr="00957561" w:rsidRDefault="00957561" w:rsidP="00957561">
      <w:pPr>
        <w:pStyle w:val="ListParagraph"/>
        <w:numPr>
          <w:ilvl w:val="0"/>
          <w:numId w:val="43"/>
        </w:numPr>
        <w:spacing w:after="0" w:line="240" w:lineRule="auto"/>
        <w:contextualSpacing w:val="0"/>
        <w:jc w:val="both"/>
        <w:rPr>
          <w:rFonts w:ascii="Times New Roman" w:hAnsi="Times New Roman" w:cs="Times New Roman"/>
          <w:i/>
          <w:iCs/>
          <w:sz w:val="24"/>
          <w:szCs w:val="24"/>
          <w:lang w:val="en-GB"/>
        </w:rPr>
      </w:pPr>
      <w:r w:rsidRPr="00957561">
        <w:rPr>
          <w:rFonts w:ascii="Times New Roman" w:hAnsi="Times New Roman" w:cs="Times New Roman"/>
          <w:i/>
          <w:iCs/>
          <w:sz w:val="24"/>
          <w:szCs w:val="24"/>
          <w:lang w:val="en-GB"/>
        </w:rPr>
        <w:t>Assessing a company</w:t>
      </w:r>
      <w:r w:rsidR="00CC311E">
        <w:rPr>
          <w:rFonts w:ascii="Times New Roman" w:hAnsi="Times New Roman" w:cs="Times New Roman"/>
          <w:i/>
          <w:iCs/>
          <w:sz w:val="24"/>
          <w:szCs w:val="24"/>
          <w:lang w:val="en-GB"/>
        </w:rPr>
        <w:t>’</w:t>
      </w:r>
      <w:r w:rsidRPr="00957561">
        <w:rPr>
          <w:rFonts w:ascii="Times New Roman" w:hAnsi="Times New Roman" w:cs="Times New Roman"/>
          <w:i/>
          <w:iCs/>
          <w:sz w:val="24"/>
          <w:szCs w:val="24"/>
          <w:lang w:val="en-GB"/>
        </w:rPr>
        <w:t>s corporate interest</w:t>
      </w:r>
    </w:p>
    <w:p w14:paraId="0C7A3934" w14:textId="77777777" w:rsidR="00957561" w:rsidRPr="00957561" w:rsidRDefault="00957561" w:rsidP="00957561">
      <w:pPr>
        <w:spacing w:after="0"/>
        <w:ind w:firstLine="720"/>
        <w:rPr>
          <w:rFonts w:ascii="Times New Roman" w:hAnsi="Times New Roman"/>
          <w:sz w:val="24"/>
          <w:szCs w:val="24"/>
        </w:rPr>
      </w:pPr>
    </w:p>
    <w:p w14:paraId="47F13803" w14:textId="06A3DAC6" w:rsidR="00957561" w:rsidRPr="00957561" w:rsidRDefault="00957561" w:rsidP="00957561">
      <w:pPr>
        <w:spacing w:after="0"/>
        <w:rPr>
          <w:rFonts w:ascii="Times New Roman" w:hAnsi="Times New Roman"/>
          <w:sz w:val="24"/>
          <w:szCs w:val="24"/>
        </w:rPr>
      </w:pPr>
      <w:r w:rsidRPr="00957561">
        <w:rPr>
          <w:rFonts w:ascii="Times New Roman" w:hAnsi="Times New Roman"/>
          <w:sz w:val="24"/>
          <w:szCs w:val="24"/>
        </w:rPr>
        <w:t>An action that is within the corporate purpose does not automatically qualify as in the company</w:t>
      </w:r>
      <w:r w:rsidR="00CC311E">
        <w:rPr>
          <w:rFonts w:ascii="Times New Roman" w:hAnsi="Times New Roman"/>
          <w:sz w:val="24"/>
          <w:szCs w:val="24"/>
        </w:rPr>
        <w:t>’</w:t>
      </w:r>
      <w:r w:rsidRPr="00957561">
        <w:rPr>
          <w:rFonts w:ascii="Times New Roman" w:hAnsi="Times New Roman"/>
          <w:sz w:val="24"/>
          <w:szCs w:val="24"/>
        </w:rPr>
        <w:t>s corporate interest.</w:t>
      </w:r>
      <w:r w:rsidRPr="00957561">
        <w:rPr>
          <w:rStyle w:val="FootnoteReference"/>
          <w:rFonts w:ascii="Times New Roman" w:hAnsi="Times New Roman"/>
          <w:sz w:val="24"/>
          <w:szCs w:val="24"/>
        </w:rPr>
        <w:footnoteReference w:id="14"/>
      </w:r>
      <w:r w:rsidRPr="00957561">
        <w:rPr>
          <w:rFonts w:ascii="Times New Roman" w:hAnsi="Times New Roman"/>
          <w:sz w:val="24"/>
          <w:szCs w:val="24"/>
        </w:rPr>
        <w:t xml:space="preserve"> The assessment of whether a transaction is in the company</w:t>
      </w:r>
      <w:r w:rsidR="00CC311E">
        <w:rPr>
          <w:rFonts w:ascii="Times New Roman" w:hAnsi="Times New Roman"/>
          <w:sz w:val="24"/>
          <w:szCs w:val="24"/>
        </w:rPr>
        <w:t>’</w:t>
      </w:r>
      <w:r w:rsidRPr="00957561">
        <w:rPr>
          <w:rFonts w:ascii="Times New Roman" w:hAnsi="Times New Roman"/>
          <w:sz w:val="24"/>
          <w:szCs w:val="24"/>
        </w:rPr>
        <w:t>s corporate interest is not a legal or procedural assessment but a factual and substantive assessment. The board of the relevant company must consider the circumstances of each transaction, make an economic and financial analysis of the contemplated transaction, and compare alternatives available to the company at the time of the assessment. If several options are available, the directors must compare and weigh the benefits of all options against one another and choose the one that best serves the interests of the company.</w:t>
      </w:r>
      <w:r w:rsidRPr="00957561">
        <w:rPr>
          <w:rStyle w:val="FootnoteReference"/>
          <w:rFonts w:ascii="Times New Roman" w:hAnsi="Times New Roman"/>
          <w:sz w:val="24"/>
          <w:szCs w:val="24"/>
        </w:rPr>
        <w:footnoteReference w:id="15"/>
      </w:r>
      <w:r w:rsidRPr="00957561">
        <w:rPr>
          <w:rFonts w:ascii="Times New Roman" w:hAnsi="Times New Roman"/>
          <w:sz w:val="24"/>
          <w:szCs w:val="24"/>
        </w:rPr>
        <w:t xml:space="preserve"> Factors to be taken into account during this quantitative and qualitative determination are the maximization of financial benefits, costs, the requisite means and timing for the implementation, and any external risks. </w:t>
      </w:r>
    </w:p>
    <w:p w14:paraId="447A92F4" w14:textId="77777777" w:rsidR="00957561" w:rsidRDefault="00957561" w:rsidP="00957561">
      <w:pPr>
        <w:spacing w:after="0"/>
        <w:rPr>
          <w:rFonts w:ascii="Times New Roman" w:hAnsi="Times New Roman"/>
          <w:sz w:val="24"/>
          <w:szCs w:val="24"/>
        </w:rPr>
      </w:pPr>
    </w:p>
    <w:p w14:paraId="0BFEA6CE" w14:textId="17FC76EA" w:rsidR="00957561" w:rsidRPr="00957561" w:rsidRDefault="00957561" w:rsidP="00957561">
      <w:pPr>
        <w:spacing w:after="0"/>
        <w:rPr>
          <w:rFonts w:ascii="Times New Roman" w:hAnsi="Times New Roman"/>
          <w:sz w:val="24"/>
          <w:szCs w:val="24"/>
        </w:rPr>
      </w:pPr>
      <w:r w:rsidRPr="00957561">
        <w:rPr>
          <w:rFonts w:ascii="Times New Roman" w:hAnsi="Times New Roman"/>
          <w:sz w:val="24"/>
          <w:szCs w:val="24"/>
        </w:rPr>
        <w:t>Given that the assessment of the company</w:t>
      </w:r>
      <w:r w:rsidR="00CC311E">
        <w:rPr>
          <w:rFonts w:ascii="Times New Roman" w:hAnsi="Times New Roman"/>
          <w:sz w:val="24"/>
          <w:szCs w:val="24"/>
        </w:rPr>
        <w:t>’</w:t>
      </w:r>
      <w:r w:rsidRPr="00957561">
        <w:rPr>
          <w:rFonts w:ascii="Times New Roman" w:hAnsi="Times New Roman"/>
          <w:sz w:val="24"/>
          <w:szCs w:val="24"/>
        </w:rPr>
        <w:t>s interest is not a question of law, legal counsels do not ordinarily opine on the existence of corporate interest.</w:t>
      </w:r>
    </w:p>
    <w:p w14:paraId="4351ECE6" w14:textId="77777777" w:rsidR="00957561" w:rsidRPr="00957561" w:rsidRDefault="00957561" w:rsidP="00957561">
      <w:pPr>
        <w:spacing w:after="0"/>
        <w:ind w:firstLine="720"/>
        <w:rPr>
          <w:rFonts w:ascii="Times New Roman" w:hAnsi="Times New Roman"/>
          <w:sz w:val="24"/>
          <w:szCs w:val="24"/>
        </w:rPr>
      </w:pPr>
    </w:p>
    <w:p w14:paraId="38FA1902" w14:textId="55135EC7" w:rsidR="00957561" w:rsidRPr="00957561" w:rsidRDefault="00957561" w:rsidP="00957561">
      <w:pPr>
        <w:pStyle w:val="ListParagraph"/>
        <w:numPr>
          <w:ilvl w:val="0"/>
          <w:numId w:val="43"/>
        </w:numPr>
        <w:spacing w:after="0" w:line="240" w:lineRule="auto"/>
        <w:contextualSpacing w:val="0"/>
        <w:jc w:val="both"/>
        <w:rPr>
          <w:rFonts w:ascii="Times New Roman" w:hAnsi="Times New Roman" w:cs="Times New Roman"/>
          <w:i/>
          <w:iCs/>
          <w:sz w:val="24"/>
          <w:szCs w:val="24"/>
          <w:lang w:val="en-GB"/>
        </w:rPr>
      </w:pPr>
      <w:r w:rsidRPr="00957561">
        <w:rPr>
          <w:rFonts w:ascii="Times New Roman" w:hAnsi="Times New Roman" w:cs="Times New Roman"/>
          <w:i/>
          <w:iCs/>
          <w:sz w:val="24"/>
          <w:szCs w:val="24"/>
          <w:lang w:val="en-GB"/>
        </w:rPr>
        <w:t xml:space="preserve"> Assessing a company</w:t>
      </w:r>
      <w:r w:rsidR="00CC311E">
        <w:rPr>
          <w:rFonts w:ascii="Times New Roman" w:hAnsi="Times New Roman" w:cs="Times New Roman"/>
          <w:i/>
          <w:iCs/>
          <w:sz w:val="24"/>
          <w:szCs w:val="24"/>
          <w:lang w:val="en-GB"/>
        </w:rPr>
        <w:t>’</w:t>
      </w:r>
      <w:r w:rsidRPr="00957561">
        <w:rPr>
          <w:rFonts w:ascii="Times New Roman" w:hAnsi="Times New Roman" w:cs="Times New Roman"/>
          <w:i/>
          <w:iCs/>
          <w:sz w:val="24"/>
          <w:szCs w:val="24"/>
          <w:lang w:val="en-GB"/>
        </w:rPr>
        <w:t>s corporate interest in insolvency situations</w:t>
      </w:r>
    </w:p>
    <w:p w14:paraId="0159C9EC" w14:textId="77777777" w:rsidR="00957561" w:rsidRDefault="00957561" w:rsidP="00957561">
      <w:pPr>
        <w:spacing w:after="0"/>
        <w:rPr>
          <w:rFonts w:ascii="Times New Roman" w:hAnsi="Times New Roman"/>
          <w:sz w:val="24"/>
          <w:szCs w:val="24"/>
        </w:rPr>
      </w:pPr>
    </w:p>
    <w:p w14:paraId="6A09BF3A" w14:textId="5210C2DD" w:rsidR="00957561" w:rsidRPr="00957561" w:rsidRDefault="00957561" w:rsidP="00957561">
      <w:pPr>
        <w:spacing w:after="0"/>
        <w:rPr>
          <w:rFonts w:ascii="Times New Roman" w:hAnsi="Times New Roman"/>
          <w:sz w:val="24"/>
          <w:szCs w:val="24"/>
        </w:rPr>
      </w:pPr>
      <w:r w:rsidRPr="00957561">
        <w:rPr>
          <w:rFonts w:ascii="Times New Roman" w:hAnsi="Times New Roman"/>
          <w:sz w:val="24"/>
          <w:szCs w:val="24"/>
        </w:rPr>
        <w:t xml:space="preserve">Both the SA and the SARL are commercial companies and are formed to undertake commercial activities, </w:t>
      </w:r>
      <w:r w:rsidRPr="00957561">
        <w:rPr>
          <w:rFonts w:ascii="Times New Roman" w:hAnsi="Times New Roman"/>
          <w:i/>
          <w:iCs/>
          <w:sz w:val="24"/>
          <w:szCs w:val="24"/>
        </w:rPr>
        <w:t>i.e.</w:t>
      </w:r>
      <w:r>
        <w:rPr>
          <w:rFonts w:ascii="Times New Roman" w:hAnsi="Times New Roman"/>
          <w:i/>
          <w:iCs/>
          <w:sz w:val="24"/>
          <w:szCs w:val="24"/>
        </w:rPr>
        <w:t>,</w:t>
      </w:r>
      <w:r w:rsidRPr="00957561">
        <w:rPr>
          <w:rFonts w:ascii="Times New Roman" w:hAnsi="Times New Roman"/>
          <w:sz w:val="24"/>
          <w:szCs w:val="24"/>
        </w:rPr>
        <w:t xml:space="preserve"> activities with the aim of making a commercial profit.</w:t>
      </w:r>
      <w:r w:rsidRPr="00957561">
        <w:rPr>
          <w:rStyle w:val="FootnoteReference"/>
          <w:rFonts w:ascii="Times New Roman" w:hAnsi="Times New Roman"/>
          <w:sz w:val="24"/>
          <w:szCs w:val="24"/>
        </w:rPr>
        <w:footnoteReference w:id="16"/>
      </w:r>
      <w:r w:rsidRPr="00957561">
        <w:rPr>
          <w:rFonts w:ascii="Times New Roman" w:hAnsi="Times New Roman"/>
          <w:sz w:val="24"/>
          <w:szCs w:val="24"/>
        </w:rPr>
        <w:t xml:space="preserve"> Such activities are questioned and should be examined in detail when a company considers that it may be insolvent or such company is aware that it may require a restructuring of its debt to prevent bankruptcy or insolvency.  In these pre-bankruptcy situations trust towards the company is undermined and the company becomes less attractive to third parties, including investors or potential financiers. At the same time, the company may not have the necessary resources to stay operational during a restructuring or insolvency proceeding and may suffer further cost-leakage due to the expenses and long waiting periods associated with any insolvency proceedings. </w:t>
      </w:r>
    </w:p>
    <w:p w14:paraId="6BB32148" w14:textId="77777777" w:rsidR="00957561" w:rsidRDefault="00957561" w:rsidP="00957561">
      <w:pPr>
        <w:spacing w:after="0"/>
        <w:rPr>
          <w:rFonts w:ascii="Times New Roman" w:hAnsi="Times New Roman"/>
          <w:sz w:val="24"/>
          <w:szCs w:val="24"/>
        </w:rPr>
      </w:pPr>
    </w:p>
    <w:p w14:paraId="12F9F601" w14:textId="75AF42E0" w:rsidR="00957561" w:rsidRPr="00957561" w:rsidRDefault="00957561" w:rsidP="00957561">
      <w:pPr>
        <w:spacing w:after="0"/>
        <w:rPr>
          <w:rFonts w:ascii="Times New Roman" w:hAnsi="Times New Roman"/>
          <w:sz w:val="24"/>
          <w:szCs w:val="24"/>
        </w:rPr>
      </w:pPr>
      <w:r w:rsidRPr="00957561">
        <w:rPr>
          <w:rFonts w:ascii="Times New Roman" w:hAnsi="Times New Roman"/>
          <w:sz w:val="24"/>
          <w:szCs w:val="24"/>
        </w:rPr>
        <w:t xml:space="preserve">Given the above, it should be regarded in any distressed situation that the board must use its best efforts to prevent a bankruptcy by exploring viable alternatives before filing the company </w:t>
      </w:r>
      <w:r w:rsidRPr="00957561">
        <w:rPr>
          <w:rFonts w:ascii="Times New Roman" w:hAnsi="Times New Roman"/>
          <w:sz w:val="24"/>
          <w:szCs w:val="24"/>
        </w:rPr>
        <w:lastRenderedPageBreak/>
        <w:t>for bankruptcy. Against this background, a board must prioritize the company</w:t>
      </w:r>
      <w:r w:rsidR="00CC311E">
        <w:rPr>
          <w:rFonts w:ascii="Times New Roman" w:hAnsi="Times New Roman"/>
          <w:sz w:val="24"/>
          <w:szCs w:val="24"/>
        </w:rPr>
        <w:t>’</w:t>
      </w:r>
      <w:r w:rsidRPr="00957561">
        <w:rPr>
          <w:rFonts w:ascii="Times New Roman" w:hAnsi="Times New Roman"/>
          <w:sz w:val="24"/>
          <w:szCs w:val="24"/>
        </w:rPr>
        <w:t xml:space="preserve">s survival, in which case the </w:t>
      </w:r>
      <w:r w:rsidR="00CC311E">
        <w:rPr>
          <w:rFonts w:ascii="Times New Roman" w:hAnsi="Times New Roman"/>
          <w:sz w:val="24"/>
          <w:szCs w:val="24"/>
        </w:rPr>
        <w:t>“</w:t>
      </w:r>
      <w:r w:rsidRPr="00957561">
        <w:rPr>
          <w:rFonts w:ascii="Times New Roman" w:hAnsi="Times New Roman"/>
          <w:sz w:val="24"/>
          <w:szCs w:val="24"/>
        </w:rPr>
        <w:t>best offer rule</w:t>
      </w:r>
      <w:r w:rsidR="00CC311E">
        <w:rPr>
          <w:rFonts w:ascii="Times New Roman" w:hAnsi="Times New Roman"/>
          <w:sz w:val="24"/>
          <w:szCs w:val="24"/>
        </w:rPr>
        <w:t>”</w:t>
      </w:r>
      <w:r w:rsidRPr="00957561">
        <w:rPr>
          <w:rFonts w:ascii="Times New Roman" w:hAnsi="Times New Roman"/>
          <w:sz w:val="24"/>
          <w:szCs w:val="24"/>
        </w:rPr>
        <w:t xml:space="preserve"> can be applied when assessing the company</w:t>
      </w:r>
      <w:r w:rsidR="00CC311E">
        <w:rPr>
          <w:rFonts w:ascii="Times New Roman" w:hAnsi="Times New Roman"/>
          <w:sz w:val="24"/>
          <w:szCs w:val="24"/>
        </w:rPr>
        <w:t>’</w:t>
      </w:r>
      <w:r w:rsidRPr="00957561">
        <w:rPr>
          <w:rFonts w:ascii="Times New Roman" w:hAnsi="Times New Roman"/>
          <w:sz w:val="24"/>
          <w:szCs w:val="24"/>
        </w:rPr>
        <w:t>s corporate interest. In other words, in pre-insolvency situations the duty of the board to further the company</w:t>
      </w:r>
      <w:r w:rsidR="00CC311E">
        <w:rPr>
          <w:rFonts w:ascii="Times New Roman" w:hAnsi="Times New Roman"/>
          <w:sz w:val="24"/>
          <w:szCs w:val="24"/>
        </w:rPr>
        <w:t>’</w:t>
      </w:r>
      <w:r w:rsidRPr="00957561">
        <w:rPr>
          <w:rFonts w:ascii="Times New Roman" w:hAnsi="Times New Roman"/>
          <w:sz w:val="24"/>
          <w:szCs w:val="24"/>
        </w:rPr>
        <w:t>s corporate interest in practice translates in opting for the most viable solution available to the company; the restructuring plan that would allow the company to survive under the best terms and increases its chances to ultimately regenerate substantial profit (even if such restructuring plan is to the detriment of shareholders or creditors).</w:t>
      </w:r>
    </w:p>
    <w:p w14:paraId="0F56EAE0" w14:textId="77777777" w:rsidR="00957561" w:rsidRDefault="00957561" w:rsidP="00957561">
      <w:pPr>
        <w:spacing w:after="0"/>
        <w:rPr>
          <w:rFonts w:ascii="Times New Roman" w:hAnsi="Times New Roman"/>
          <w:sz w:val="24"/>
          <w:szCs w:val="24"/>
        </w:rPr>
      </w:pPr>
    </w:p>
    <w:p w14:paraId="1A5F475A" w14:textId="0680E09A" w:rsidR="00957561" w:rsidRPr="00957561" w:rsidRDefault="00957561" w:rsidP="00957561">
      <w:pPr>
        <w:spacing w:after="0"/>
        <w:rPr>
          <w:rFonts w:ascii="Times New Roman" w:hAnsi="Times New Roman"/>
          <w:strike/>
          <w:sz w:val="24"/>
          <w:szCs w:val="24"/>
        </w:rPr>
      </w:pPr>
      <w:r w:rsidRPr="00957561">
        <w:rPr>
          <w:rFonts w:ascii="Times New Roman" w:hAnsi="Times New Roman"/>
          <w:sz w:val="24"/>
          <w:szCs w:val="24"/>
        </w:rPr>
        <w:t xml:space="preserve">The board should apply the </w:t>
      </w:r>
      <w:r w:rsidR="00CC311E">
        <w:rPr>
          <w:rFonts w:ascii="Times New Roman" w:hAnsi="Times New Roman"/>
          <w:sz w:val="24"/>
          <w:szCs w:val="24"/>
        </w:rPr>
        <w:t>“</w:t>
      </w:r>
      <w:r w:rsidRPr="00957561">
        <w:rPr>
          <w:rFonts w:ascii="Times New Roman" w:hAnsi="Times New Roman"/>
          <w:sz w:val="24"/>
          <w:szCs w:val="24"/>
        </w:rPr>
        <w:t>best offer rule</w:t>
      </w:r>
      <w:r w:rsidR="00CC311E">
        <w:rPr>
          <w:rFonts w:ascii="Times New Roman" w:hAnsi="Times New Roman"/>
          <w:sz w:val="24"/>
          <w:szCs w:val="24"/>
        </w:rPr>
        <w:t>”</w:t>
      </w:r>
      <w:r w:rsidRPr="00957561">
        <w:rPr>
          <w:rFonts w:ascii="Times New Roman" w:hAnsi="Times New Roman"/>
          <w:sz w:val="24"/>
          <w:szCs w:val="24"/>
        </w:rPr>
        <w:t xml:space="preserve"> by using the quantitative and qualitative process described above with projected timing for the implementation of the financial restructuring being crucial.  The board must consider, in its determination, any restructuring plan that is capable of implementation and in good faith will lead to the survival of the company as a going concern. In this regard, the board must consider the bankruptcy test in Luxembourg and note that if the cumulative conditions of such test are met, it has a legal duty to file for bankruptcy, and cannot take actions with the aim of (x) intentionally delaying a bankruptcy or (y) creating a position that one group of creditors is benefited to the detriment of another group of creditors in any foreseeable bankruptcy.    </w:t>
      </w:r>
    </w:p>
    <w:p w14:paraId="23C679DF" w14:textId="77777777" w:rsidR="00957561" w:rsidRDefault="00957561" w:rsidP="00957561">
      <w:pPr>
        <w:spacing w:after="0"/>
        <w:rPr>
          <w:rFonts w:ascii="Times New Roman" w:hAnsi="Times New Roman"/>
          <w:sz w:val="24"/>
          <w:szCs w:val="24"/>
        </w:rPr>
      </w:pPr>
    </w:p>
    <w:p w14:paraId="54410A02" w14:textId="147D3E29" w:rsidR="00957561" w:rsidRPr="00957561" w:rsidRDefault="00957561" w:rsidP="00957561">
      <w:pPr>
        <w:spacing w:after="0"/>
        <w:rPr>
          <w:rFonts w:ascii="Times New Roman" w:hAnsi="Times New Roman"/>
          <w:sz w:val="24"/>
          <w:szCs w:val="24"/>
        </w:rPr>
      </w:pPr>
      <w:r w:rsidRPr="00957561">
        <w:rPr>
          <w:rFonts w:ascii="Times New Roman" w:hAnsi="Times New Roman"/>
          <w:sz w:val="24"/>
          <w:szCs w:val="24"/>
        </w:rPr>
        <w:t>In summary, the board shall act in furtherance of the company corporate purpose and corporate interest by opting for the restructuring plan that is in the best interests of the company if such restructuring plan, in good faith, can prevent a bankruptcy. The directors have a duty to prevent a bankruptcy where possible; a filing for bankruptcy is considered a measure of last resort and only when the cumulative conditions for bankruptcy have been absolutely met, the bankruptcy process being a liquidation process and ending the existence of the company.</w:t>
      </w:r>
    </w:p>
    <w:p w14:paraId="5E29BF0C" w14:textId="77777777" w:rsidR="00957561" w:rsidRPr="00957561" w:rsidRDefault="00957561" w:rsidP="00957561">
      <w:pPr>
        <w:spacing w:after="0"/>
        <w:rPr>
          <w:rFonts w:ascii="Times New Roman" w:hAnsi="Times New Roman"/>
          <w:sz w:val="24"/>
          <w:szCs w:val="24"/>
        </w:rPr>
      </w:pPr>
    </w:p>
    <w:p w14:paraId="029324C7" w14:textId="5FDE4681" w:rsidR="00957561" w:rsidRPr="00957561" w:rsidRDefault="00957561" w:rsidP="00957561">
      <w:pPr>
        <w:pStyle w:val="ListParagraph"/>
        <w:numPr>
          <w:ilvl w:val="0"/>
          <w:numId w:val="43"/>
        </w:numPr>
        <w:spacing w:after="0" w:line="240" w:lineRule="auto"/>
        <w:contextualSpacing w:val="0"/>
        <w:jc w:val="both"/>
        <w:rPr>
          <w:rFonts w:ascii="Times New Roman" w:eastAsia="Times New Roman" w:hAnsi="Times New Roman" w:cs="Times New Roman"/>
          <w:i/>
          <w:iCs/>
          <w:sz w:val="24"/>
          <w:szCs w:val="24"/>
          <w:lang w:val="en-GB"/>
        </w:rPr>
      </w:pPr>
      <w:r w:rsidRPr="00957561">
        <w:rPr>
          <w:rFonts w:ascii="Times New Roman" w:eastAsia="Times New Roman" w:hAnsi="Times New Roman" w:cs="Times New Roman"/>
          <w:i/>
          <w:iCs/>
          <w:sz w:val="24"/>
          <w:szCs w:val="24"/>
          <w:lang w:val="en-GB"/>
        </w:rPr>
        <w:t>Standards and principles that guide the board in its assessment of a company</w:t>
      </w:r>
      <w:r w:rsidR="00CC311E">
        <w:rPr>
          <w:rFonts w:ascii="Times New Roman" w:eastAsia="Times New Roman" w:hAnsi="Times New Roman" w:cs="Times New Roman"/>
          <w:i/>
          <w:iCs/>
          <w:sz w:val="24"/>
          <w:szCs w:val="24"/>
          <w:lang w:val="en-GB"/>
        </w:rPr>
        <w:t>’</w:t>
      </w:r>
      <w:r w:rsidRPr="00957561">
        <w:rPr>
          <w:rFonts w:ascii="Times New Roman" w:eastAsia="Times New Roman" w:hAnsi="Times New Roman" w:cs="Times New Roman"/>
          <w:i/>
          <w:iCs/>
          <w:sz w:val="24"/>
          <w:szCs w:val="24"/>
          <w:lang w:val="en-GB"/>
        </w:rPr>
        <w:t>s corporate purpose and corporate interest</w:t>
      </w:r>
    </w:p>
    <w:p w14:paraId="3B139656" w14:textId="77777777" w:rsidR="00957561" w:rsidRDefault="00957561" w:rsidP="00957561">
      <w:pPr>
        <w:spacing w:after="0"/>
        <w:rPr>
          <w:rFonts w:ascii="Times New Roman" w:hAnsi="Times New Roman"/>
          <w:sz w:val="24"/>
          <w:szCs w:val="24"/>
        </w:rPr>
      </w:pPr>
    </w:p>
    <w:p w14:paraId="4A56A4AF" w14:textId="558C1AD0" w:rsidR="00957561" w:rsidRPr="00957561" w:rsidRDefault="00957561" w:rsidP="00957561">
      <w:pPr>
        <w:spacing w:after="0"/>
        <w:rPr>
          <w:rFonts w:ascii="Times New Roman" w:hAnsi="Times New Roman"/>
          <w:sz w:val="24"/>
          <w:szCs w:val="24"/>
        </w:rPr>
      </w:pPr>
      <w:r w:rsidRPr="00957561">
        <w:rPr>
          <w:rFonts w:ascii="Times New Roman" w:hAnsi="Times New Roman"/>
          <w:sz w:val="24"/>
          <w:szCs w:val="24"/>
        </w:rPr>
        <w:t>Directors have a duty to act in the company</w:t>
      </w:r>
      <w:r w:rsidR="00CC311E">
        <w:rPr>
          <w:rFonts w:ascii="Times New Roman" w:hAnsi="Times New Roman"/>
          <w:sz w:val="24"/>
          <w:szCs w:val="24"/>
        </w:rPr>
        <w:t>’</w:t>
      </w:r>
      <w:r w:rsidRPr="00957561">
        <w:rPr>
          <w:rFonts w:ascii="Times New Roman" w:hAnsi="Times New Roman"/>
          <w:sz w:val="24"/>
          <w:szCs w:val="24"/>
        </w:rPr>
        <w:t xml:space="preserve">s best interests and in doing so they must adhere to certain standards and principles briefly summarized below. These standards and principles aim at safeguarding the corporate interest of a company.    </w:t>
      </w:r>
    </w:p>
    <w:p w14:paraId="78F8A337" w14:textId="77777777" w:rsidR="00957561" w:rsidRPr="00957561" w:rsidRDefault="00957561" w:rsidP="00957561">
      <w:pPr>
        <w:spacing w:after="0"/>
        <w:rPr>
          <w:rFonts w:ascii="Times New Roman" w:hAnsi="Times New Roman"/>
          <w:sz w:val="24"/>
          <w:szCs w:val="24"/>
        </w:rPr>
      </w:pPr>
    </w:p>
    <w:p w14:paraId="759A666B" w14:textId="03A5B51C" w:rsidR="00957561" w:rsidRPr="00957561" w:rsidRDefault="00957561" w:rsidP="00957561">
      <w:pPr>
        <w:pStyle w:val="ListParagraph"/>
        <w:numPr>
          <w:ilvl w:val="0"/>
          <w:numId w:val="42"/>
        </w:numPr>
        <w:spacing w:after="0" w:line="240" w:lineRule="auto"/>
        <w:contextualSpacing w:val="0"/>
        <w:jc w:val="both"/>
        <w:rPr>
          <w:rFonts w:ascii="Times New Roman" w:eastAsia="Times New Roman" w:hAnsi="Times New Roman" w:cs="Times New Roman"/>
          <w:sz w:val="24"/>
          <w:szCs w:val="24"/>
          <w:u w:val="single"/>
          <w:lang w:val="en-GB"/>
        </w:rPr>
      </w:pPr>
      <w:r w:rsidRPr="00957561">
        <w:rPr>
          <w:rFonts w:ascii="Times New Roman" w:hAnsi="Times New Roman" w:cs="Times New Roman"/>
          <w:sz w:val="24"/>
          <w:szCs w:val="24"/>
          <w:u w:val="single"/>
          <w:lang w:val="en-GB"/>
        </w:rPr>
        <w:t xml:space="preserve">No violation of the Companies Law and the Articles. </w:t>
      </w:r>
      <w:r w:rsidRPr="00957561">
        <w:rPr>
          <w:rFonts w:ascii="Times New Roman" w:hAnsi="Times New Roman" w:cs="Times New Roman"/>
          <w:sz w:val="24"/>
          <w:szCs w:val="24"/>
          <w:lang w:val="en-GB"/>
        </w:rPr>
        <w:t>The directors have a duty to act in accordance with the provisions of the Companies Law and the Articles and the board can be held jointly and severally liable both towards the company and to any third parties for damages resulting from such violation. Acting against a company</w:t>
      </w:r>
      <w:r w:rsidR="00CC311E">
        <w:rPr>
          <w:rFonts w:ascii="Times New Roman" w:hAnsi="Times New Roman" w:cs="Times New Roman"/>
          <w:sz w:val="24"/>
          <w:szCs w:val="24"/>
          <w:lang w:val="en-GB"/>
        </w:rPr>
        <w:t>’</w:t>
      </w:r>
      <w:r w:rsidRPr="00957561">
        <w:rPr>
          <w:rFonts w:ascii="Times New Roman" w:hAnsi="Times New Roman" w:cs="Times New Roman"/>
          <w:sz w:val="24"/>
          <w:szCs w:val="24"/>
          <w:lang w:val="en-GB"/>
        </w:rPr>
        <w:t>s corporate purpose and corporate interest would typically amount to a breach of the Companies Law and the Articles.</w:t>
      </w:r>
      <w:r w:rsidRPr="00957561">
        <w:rPr>
          <w:rStyle w:val="FootnoteReference"/>
          <w:rFonts w:ascii="Times New Roman" w:hAnsi="Times New Roman" w:cs="Times New Roman"/>
          <w:sz w:val="24"/>
          <w:szCs w:val="24"/>
          <w:lang w:val="en-GB"/>
        </w:rPr>
        <w:footnoteReference w:id="17"/>
      </w:r>
    </w:p>
    <w:p w14:paraId="3F581760" w14:textId="77777777" w:rsidR="00957561" w:rsidRPr="00957561" w:rsidRDefault="00957561" w:rsidP="00957561">
      <w:pPr>
        <w:spacing w:after="0"/>
        <w:rPr>
          <w:rFonts w:ascii="Times New Roman" w:hAnsi="Times New Roman"/>
          <w:sz w:val="24"/>
          <w:szCs w:val="24"/>
          <w:u w:val="single"/>
        </w:rPr>
      </w:pPr>
    </w:p>
    <w:p w14:paraId="31858522" w14:textId="797B45DE" w:rsidR="00957561" w:rsidRPr="00957561" w:rsidRDefault="00957561" w:rsidP="00957561">
      <w:pPr>
        <w:pStyle w:val="ListParagraph"/>
        <w:numPr>
          <w:ilvl w:val="0"/>
          <w:numId w:val="42"/>
        </w:numPr>
        <w:spacing w:after="0" w:line="240" w:lineRule="auto"/>
        <w:contextualSpacing w:val="0"/>
        <w:jc w:val="both"/>
        <w:rPr>
          <w:rFonts w:ascii="Times New Roman" w:eastAsia="Times New Roman" w:hAnsi="Times New Roman" w:cs="Times New Roman"/>
          <w:sz w:val="24"/>
          <w:szCs w:val="24"/>
          <w:lang w:val="en-GB"/>
        </w:rPr>
      </w:pPr>
      <w:r w:rsidRPr="00957561">
        <w:rPr>
          <w:rFonts w:ascii="Times New Roman" w:eastAsia="Times New Roman" w:hAnsi="Times New Roman" w:cs="Times New Roman"/>
          <w:sz w:val="24"/>
          <w:szCs w:val="24"/>
          <w:u w:val="single"/>
          <w:lang w:val="en-GB"/>
        </w:rPr>
        <w:t>The reasonable person standard.</w:t>
      </w:r>
      <w:r w:rsidRPr="00957561">
        <w:rPr>
          <w:rFonts w:ascii="Times New Roman" w:eastAsia="Times New Roman" w:hAnsi="Times New Roman" w:cs="Times New Roman"/>
          <w:sz w:val="24"/>
          <w:szCs w:val="24"/>
          <w:lang w:val="en-GB"/>
        </w:rPr>
        <w:t xml:space="preserve"> Any decision undertaken by the board must pass the reasonableness test. A board must exercise its duties with as much care, diligence and skills as would be displayed by a reasonable person in the same circumstances. A director who is a member of a specific profession will be required to have a greater expertise, such as would be displayed by a reasonably competent member of the same profession, </w:t>
      </w:r>
      <w:r w:rsidRPr="00957561">
        <w:rPr>
          <w:rFonts w:ascii="Times New Roman" w:eastAsia="Times New Roman" w:hAnsi="Times New Roman" w:cs="Times New Roman"/>
          <w:i/>
          <w:iCs/>
          <w:sz w:val="24"/>
          <w:szCs w:val="24"/>
          <w:lang w:val="en-GB"/>
        </w:rPr>
        <w:t>e.g.</w:t>
      </w:r>
      <w:r>
        <w:rPr>
          <w:rFonts w:ascii="Times New Roman" w:eastAsia="Times New Roman" w:hAnsi="Times New Roman" w:cs="Times New Roman"/>
          <w:i/>
          <w:iCs/>
          <w:sz w:val="24"/>
          <w:szCs w:val="24"/>
          <w:lang w:val="en-GB"/>
        </w:rPr>
        <w:t>,</w:t>
      </w:r>
      <w:r w:rsidRPr="00957561">
        <w:rPr>
          <w:rFonts w:ascii="Times New Roman" w:eastAsia="Times New Roman" w:hAnsi="Times New Roman" w:cs="Times New Roman"/>
          <w:sz w:val="24"/>
          <w:szCs w:val="24"/>
          <w:lang w:val="en-GB"/>
        </w:rPr>
        <w:t xml:space="preserve"> knowledge of the law for a lawyer or analysis of financials for an accountant. </w:t>
      </w:r>
    </w:p>
    <w:p w14:paraId="6A513939" w14:textId="77777777" w:rsidR="00957561" w:rsidRPr="00957561" w:rsidRDefault="00957561" w:rsidP="00957561">
      <w:pPr>
        <w:pStyle w:val="ListParagraph"/>
        <w:spacing w:after="0" w:line="240" w:lineRule="auto"/>
        <w:rPr>
          <w:rFonts w:ascii="Times New Roman" w:eastAsia="Times New Roman" w:hAnsi="Times New Roman" w:cs="Times New Roman"/>
          <w:sz w:val="24"/>
          <w:szCs w:val="24"/>
          <w:lang w:val="en-GB"/>
        </w:rPr>
      </w:pPr>
    </w:p>
    <w:p w14:paraId="490D31AC" w14:textId="3216F390" w:rsidR="00957561" w:rsidRPr="00957561" w:rsidRDefault="00957561" w:rsidP="00957561">
      <w:pPr>
        <w:pStyle w:val="ListParagraph"/>
        <w:spacing w:after="0" w:line="240" w:lineRule="auto"/>
        <w:ind w:left="1080"/>
        <w:jc w:val="both"/>
        <w:rPr>
          <w:rFonts w:ascii="Times New Roman" w:hAnsi="Times New Roman" w:cs="Times New Roman"/>
          <w:sz w:val="24"/>
          <w:szCs w:val="24"/>
          <w:lang w:val="en-GB"/>
        </w:rPr>
      </w:pPr>
      <w:r w:rsidRPr="00957561">
        <w:rPr>
          <w:rFonts w:ascii="Times New Roman" w:eastAsia="Times New Roman" w:hAnsi="Times New Roman" w:cs="Times New Roman"/>
          <w:sz w:val="24"/>
          <w:szCs w:val="24"/>
          <w:lang w:val="en-GB"/>
        </w:rPr>
        <w:t xml:space="preserve">A decision in line with the reasonable person standard is not automatically in the best interest of the company because the positive determination that a transaction </w:t>
      </w:r>
      <w:r w:rsidR="00CC311E" w:rsidRPr="00957561">
        <w:rPr>
          <w:rFonts w:ascii="Times New Roman" w:eastAsia="Times New Roman" w:hAnsi="Times New Roman" w:cs="Times New Roman"/>
          <w:sz w:val="24"/>
          <w:szCs w:val="24"/>
          <w:lang w:val="en-GB"/>
        </w:rPr>
        <w:t>favours</w:t>
      </w:r>
      <w:r w:rsidRPr="00957561">
        <w:rPr>
          <w:rFonts w:ascii="Times New Roman" w:eastAsia="Times New Roman" w:hAnsi="Times New Roman" w:cs="Times New Roman"/>
          <w:sz w:val="24"/>
          <w:szCs w:val="24"/>
          <w:lang w:val="en-GB"/>
        </w:rPr>
        <w:t xml:space="preserve"> the company</w:t>
      </w:r>
      <w:r w:rsidR="00CC311E">
        <w:rPr>
          <w:rFonts w:ascii="Times New Roman" w:eastAsia="Times New Roman" w:hAnsi="Times New Roman" w:cs="Times New Roman"/>
          <w:sz w:val="24"/>
          <w:szCs w:val="24"/>
          <w:lang w:val="en-GB"/>
        </w:rPr>
        <w:t>’</w:t>
      </w:r>
      <w:r w:rsidRPr="00957561">
        <w:rPr>
          <w:rFonts w:ascii="Times New Roman" w:eastAsia="Times New Roman" w:hAnsi="Times New Roman" w:cs="Times New Roman"/>
          <w:sz w:val="24"/>
          <w:szCs w:val="24"/>
          <w:lang w:val="en-GB"/>
        </w:rPr>
        <w:t xml:space="preserve">s corporate interest requires a higher standard of diligence by the board. To illustrate, a reasonable person may decide that the company receiving funding from its existing shareholders makes sense in that these are familiar parties to the company, as opposed to third-party funding with more favourable terms (and presumably a security package attached). Both offers are viable options for the company as both permit the continuance of company as a going concern. However, accepting the more expensive shareholder financing on the grounds of familiar parties alone, would likely fail the </w:t>
      </w:r>
      <w:r w:rsidRPr="00957561">
        <w:rPr>
          <w:rFonts w:ascii="Times New Roman" w:hAnsi="Times New Roman" w:cs="Times New Roman"/>
          <w:sz w:val="24"/>
          <w:szCs w:val="24"/>
          <w:lang w:val="en-GB"/>
        </w:rPr>
        <w:t xml:space="preserve">quantitative and qualitative analysis described above; it being regarded as not in the best interests of the </w:t>
      </w:r>
      <w:r w:rsidRPr="00957561">
        <w:rPr>
          <w:rFonts w:ascii="Times New Roman" w:hAnsi="Times New Roman" w:cs="Times New Roman"/>
          <w:i/>
          <w:iCs/>
          <w:sz w:val="24"/>
          <w:szCs w:val="24"/>
          <w:lang w:val="en-GB"/>
        </w:rPr>
        <w:t>company</w:t>
      </w:r>
      <w:r w:rsidRPr="00957561">
        <w:rPr>
          <w:rFonts w:ascii="Times New Roman" w:hAnsi="Times New Roman" w:cs="Times New Roman"/>
          <w:sz w:val="24"/>
          <w:szCs w:val="24"/>
          <w:lang w:val="en-GB"/>
        </w:rPr>
        <w:t xml:space="preserve"> to receive financing under less favourable terms at the preference of existing shareholders. </w:t>
      </w:r>
    </w:p>
    <w:p w14:paraId="1A3777E4" w14:textId="77777777" w:rsidR="00957561" w:rsidRPr="00957561" w:rsidRDefault="00957561" w:rsidP="00957561">
      <w:pPr>
        <w:pStyle w:val="ListParagraph"/>
        <w:spacing w:after="0" w:line="240" w:lineRule="auto"/>
        <w:ind w:left="1080"/>
        <w:jc w:val="both"/>
        <w:rPr>
          <w:rFonts w:ascii="Times New Roman" w:hAnsi="Times New Roman" w:cs="Times New Roman"/>
          <w:sz w:val="24"/>
          <w:szCs w:val="24"/>
          <w:lang w:val="en-GB"/>
        </w:rPr>
      </w:pPr>
    </w:p>
    <w:p w14:paraId="5CFF2896" w14:textId="2377404F" w:rsidR="00957561" w:rsidRPr="00957561" w:rsidRDefault="00957561" w:rsidP="00957561">
      <w:pPr>
        <w:pStyle w:val="ListParagraph"/>
        <w:spacing w:after="0" w:line="240" w:lineRule="auto"/>
        <w:ind w:left="1080"/>
        <w:jc w:val="both"/>
        <w:rPr>
          <w:rFonts w:ascii="Times New Roman" w:eastAsia="Times New Roman" w:hAnsi="Times New Roman" w:cs="Times New Roman"/>
          <w:sz w:val="24"/>
          <w:szCs w:val="24"/>
          <w:lang w:val="en-GB"/>
        </w:rPr>
      </w:pPr>
      <w:r w:rsidRPr="00957561">
        <w:rPr>
          <w:rFonts w:ascii="Times New Roman" w:eastAsia="Times New Roman" w:hAnsi="Times New Roman" w:cs="Times New Roman"/>
          <w:sz w:val="24"/>
          <w:szCs w:val="24"/>
          <w:lang w:val="en-GB"/>
        </w:rPr>
        <w:t>It follows that a decision taken in furtherance of the company</w:t>
      </w:r>
      <w:r w:rsidR="00CC311E">
        <w:rPr>
          <w:rFonts w:ascii="Times New Roman" w:eastAsia="Times New Roman" w:hAnsi="Times New Roman" w:cs="Times New Roman"/>
          <w:sz w:val="24"/>
          <w:szCs w:val="24"/>
          <w:lang w:val="en-GB"/>
        </w:rPr>
        <w:t>’</w:t>
      </w:r>
      <w:r w:rsidRPr="00957561">
        <w:rPr>
          <w:rFonts w:ascii="Times New Roman" w:eastAsia="Times New Roman" w:hAnsi="Times New Roman" w:cs="Times New Roman"/>
          <w:sz w:val="24"/>
          <w:szCs w:val="24"/>
          <w:lang w:val="en-GB"/>
        </w:rPr>
        <w:t xml:space="preserve">s corporate interest will always meet the reasonable person standard test but it is not necessarily so that the corporate interest test is met when the reasonable standard test is met.  As such, the two concepts are intertwined but not identical. </w:t>
      </w:r>
    </w:p>
    <w:p w14:paraId="43C4FCA0" w14:textId="77777777" w:rsidR="00957561" w:rsidRPr="00957561" w:rsidRDefault="00957561" w:rsidP="00957561">
      <w:pPr>
        <w:pStyle w:val="ListParagraph"/>
        <w:spacing w:after="0" w:line="240" w:lineRule="auto"/>
        <w:ind w:left="1080"/>
        <w:jc w:val="both"/>
        <w:rPr>
          <w:rFonts w:ascii="Times New Roman" w:eastAsia="Times New Roman" w:hAnsi="Times New Roman" w:cs="Times New Roman"/>
          <w:sz w:val="24"/>
          <w:szCs w:val="24"/>
          <w:lang w:val="en-GB"/>
        </w:rPr>
      </w:pPr>
    </w:p>
    <w:p w14:paraId="771C62CF" w14:textId="1C577CA7" w:rsidR="00957561" w:rsidRPr="00957561" w:rsidRDefault="00957561" w:rsidP="00957561">
      <w:pPr>
        <w:pStyle w:val="ListParagraph"/>
        <w:numPr>
          <w:ilvl w:val="0"/>
          <w:numId w:val="42"/>
        </w:numPr>
        <w:spacing w:after="0" w:line="240" w:lineRule="auto"/>
        <w:contextualSpacing w:val="0"/>
        <w:jc w:val="both"/>
        <w:rPr>
          <w:rFonts w:ascii="Times New Roman" w:eastAsia="Times New Roman" w:hAnsi="Times New Roman" w:cs="Times New Roman"/>
          <w:sz w:val="24"/>
          <w:szCs w:val="24"/>
          <w:lang w:val="en-GB"/>
        </w:rPr>
      </w:pPr>
      <w:r w:rsidRPr="00957561">
        <w:rPr>
          <w:rFonts w:ascii="Times New Roman" w:eastAsia="Times New Roman" w:hAnsi="Times New Roman" w:cs="Times New Roman"/>
          <w:sz w:val="24"/>
          <w:szCs w:val="24"/>
          <w:lang w:val="en-GB"/>
        </w:rPr>
        <w:t xml:space="preserve"> </w:t>
      </w:r>
      <w:r w:rsidRPr="00957561">
        <w:rPr>
          <w:rFonts w:ascii="Times New Roman" w:eastAsia="Times New Roman" w:hAnsi="Times New Roman" w:cs="Times New Roman"/>
          <w:sz w:val="24"/>
          <w:szCs w:val="24"/>
          <w:u w:val="single"/>
          <w:lang w:val="en-GB"/>
        </w:rPr>
        <w:t>Loyalty, honesty and in good faith</w:t>
      </w:r>
      <w:r w:rsidRPr="00957561">
        <w:rPr>
          <w:rFonts w:ascii="Times New Roman" w:eastAsia="Times New Roman" w:hAnsi="Times New Roman" w:cs="Times New Roman"/>
          <w:sz w:val="24"/>
          <w:szCs w:val="24"/>
          <w:lang w:val="en-GB"/>
        </w:rPr>
        <w:t>.  In addition to acting reasonably, the directors must act with loyalty, honesty and in good faith for the company</w:t>
      </w:r>
      <w:r w:rsidR="00CC311E">
        <w:rPr>
          <w:rFonts w:ascii="Times New Roman" w:eastAsia="Times New Roman" w:hAnsi="Times New Roman" w:cs="Times New Roman"/>
          <w:sz w:val="24"/>
          <w:szCs w:val="24"/>
          <w:lang w:val="en-GB"/>
        </w:rPr>
        <w:t>’</w:t>
      </w:r>
      <w:r w:rsidRPr="00957561">
        <w:rPr>
          <w:rFonts w:ascii="Times New Roman" w:eastAsia="Times New Roman" w:hAnsi="Times New Roman" w:cs="Times New Roman"/>
          <w:sz w:val="24"/>
          <w:szCs w:val="24"/>
          <w:lang w:val="en-GB"/>
        </w:rPr>
        <w:t xml:space="preserve">s exclusive benefit. Luxembourg law, unlike certain common law jurisdictions does not recognize a concept of </w:t>
      </w:r>
      <w:r w:rsidR="00CC311E">
        <w:rPr>
          <w:rFonts w:ascii="Times New Roman" w:eastAsia="Times New Roman" w:hAnsi="Times New Roman" w:cs="Times New Roman"/>
          <w:sz w:val="24"/>
          <w:szCs w:val="24"/>
          <w:lang w:val="en-GB"/>
        </w:rPr>
        <w:t>“</w:t>
      </w:r>
      <w:r w:rsidRPr="00957561">
        <w:rPr>
          <w:rFonts w:ascii="Times New Roman" w:eastAsia="Times New Roman" w:hAnsi="Times New Roman" w:cs="Times New Roman"/>
          <w:sz w:val="24"/>
          <w:szCs w:val="24"/>
          <w:lang w:val="en-GB"/>
        </w:rPr>
        <w:t>fiduciary duty of directors</w:t>
      </w:r>
      <w:r w:rsidR="00CC311E">
        <w:rPr>
          <w:rFonts w:ascii="Times New Roman" w:eastAsia="Times New Roman" w:hAnsi="Times New Roman" w:cs="Times New Roman"/>
          <w:sz w:val="24"/>
          <w:szCs w:val="24"/>
          <w:lang w:val="en-GB"/>
        </w:rPr>
        <w:t>”</w:t>
      </w:r>
      <w:r w:rsidRPr="00957561">
        <w:rPr>
          <w:rFonts w:ascii="Times New Roman" w:eastAsia="Times New Roman" w:hAnsi="Times New Roman" w:cs="Times New Roman"/>
          <w:sz w:val="24"/>
          <w:szCs w:val="24"/>
          <w:lang w:val="en-GB"/>
        </w:rPr>
        <w:t>. Therefore, it would be incorrect to call a director</w:t>
      </w:r>
      <w:r w:rsidR="00CC311E">
        <w:rPr>
          <w:rFonts w:ascii="Times New Roman" w:eastAsia="Times New Roman" w:hAnsi="Times New Roman" w:cs="Times New Roman"/>
          <w:sz w:val="24"/>
          <w:szCs w:val="24"/>
          <w:lang w:val="en-GB"/>
        </w:rPr>
        <w:t>’</w:t>
      </w:r>
      <w:r w:rsidRPr="00957561">
        <w:rPr>
          <w:rFonts w:ascii="Times New Roman" w:eastAsia="Times New Roman" w:hAnsi="Times New Roman" w:cs="Times New Roman"/>
          <w:sz w:val="24"/>
          <w:szCs w:val="24"/>
          <w:lang w:val="en-GB"/>
        </w:rPr>
        <w:t xml:space="preserve">s duties </w:t>
      </w:r>
      <w:r w:rsidR="00CC311E">
        <w:rPr>
          <w:rFonts w:ascii="Times New Roman" w:eastAsia="Times New Roman" w:hAnsi="Times New Roman" w:cs="Times New Roman"/>
          <w:sz w:val="24"/>
          <w:szCs w:val="24"/>
          <w:lang w:val="en-GB"/>
        </w:rPr>
        <w:t>“</w:t>
      </w:r>
      <w:r w:rsidRPr="00957561">
        <w:rPr>
          <w:rFonts w:ascii="Times New Roman" w:eastAsia="Times New Roman" w:hAnsi="Times New Roman" w:cs="Times New Roman"/>
          <w:sz w:val="24"/>
          <w:szCs w:val="24"/>
          <w:lang w:val="en-GB"/>
        </w:rPr>
        <w:t>fiduciary duties</w:t>
      </w:r>
      <w:r w:rsidR="00CC311E">
        <w:rPr>
          <w:rFonts w:ascii="Times New Roman" w:eastAsia="Times New Roman" w:hAnsi="Times New Roman" w:cs="Times New Roman"/>
          <w:sz w:val="24"/>
          <w:szCs w:val="24"/>
          <w:lang w:val="en-GB"/>
        </w:rPr>
        <w:t>”</w:t>
      </w:r>
      <w:r w:rsidRPr="00957561">
        <w:rPr>
          <w:rFonts w:ascii="Times New Roman" w:eastAsia="Times New Roman" w:hAnsi="Times New Roman" w:cs="Times New Roman"/>
          <w:sz w:val="24"/>
          <w:szCs w:val="24"/>
          <w:lang w:val="en-GB"/>
        </w:rPr>
        <w:t xml:space="preserve"> as this has no meaning in Luxembourg law, but the duty is linked to the exercise of their mandate in line with the law and Articles.</w:t>
      </w:r>
      <w:r w:rsidRPr="00957561">
        <w:rPr>
          <w:rStyle w:val="FootnoteReference"/>
          <w:rFonts w:ascii="Times New Roman" w:eastAsia="Times New Roman" w:hAnsi="Times New Roman" w:cs="Times New Roman"/>
          <w:sz w:val="24"/>
          <w:szCs w:val="24"/>
          <w:lang w:val="en-GB"/>
        </w:rPr>
        <w:footnoteReference w:id="18"/>
      </w:r>
    </w:p>
    <w:p w14:paraId="1707937E" w14:textId="77777777" w:rsidR="00957561" w:rsidRPr="00957561" w:rsidRDefault="00957561" w:rsidP="00957561">
      <w:pPr>
        <w:spacing w:after="0"/>
        <w:rPr>
          <w:rFonts w:ascii="Times New Roman" w:hAnsi="Times New Roman"/>
          <w:sz w:val="24"/>
          <w:szCs w:val="24"/>
        </w:rPr>
      </w:pPr>
    </w:p>
    <w:p w14:paraId="18B1F8A8" w14:textId="04FFA7F4" w:rsidR="00957561" w:rsidRPr="00957561" w:rsidRDefault="00957561" w:rsidP="00957561">
      <w:pPr>
        <w:pStyle w:val="ListParagraph"/>
        <w:numPr>
          <w:ilvl w:val="0"/>
          <w:numId w:val="42"/>
        </w:numPr>
        <w:spacing w:after="0" w:line="240" w:lineRule="auto"/>
        <w:contextualSpacing w:val="0"/>
        <w:jc w:val="both"/>
        <w:rPr>
          <w:rFonts w:ascii="Times New Roman" w:eastAsia="Times New Roman" w:hAnsi="Times New Roman" w:cs="Times New Roman"/>
          <w:sz w:val="24"/>
          <w:szCs w:val="24"/>
          <w:u w:val="single"/>
          <w:lang w:val="en-GB"/>
        </w:rPr>
      </w:pPr>
      <w:r w:rsidRPr="00957561">
        <w:rPr>
          <w:rFonts w:ascii="Times New Roman" w:hAnsi="Times New Roman" w:cs="Times New Roman"/>
          <w:sz w:val="24"/>
          <w:szCs w:val="24"/>
          <w:u w:val="single"/>
          <w:lang w:val="en-GB"/>
        </w:rPr>
        <w:t>No violation of equal treatment.</w:t>
      </w:r>
      <w:r w:rsidRPr="00957561">
        <w:rPr>
          <w:rFonts w:ascii="Times New Roman" w:eastAsia="Times New Roman" w:hAnsi="Times New Roman" w:cs="Times New Roman"/>
          <w:color w:val="4F81BD" w:themeColor="accent1"/>
          <w:sz w:val="24"/>
          <w:szCs w:val="24"/>
          <w:lang w:val="en-GB"/>
        </w:rPr>
        <w:t xml:space="preserve"> </w:t>
      </w:r>
      <w:r w:rsidRPr="00957561">
        <w:rPr>
          <w:rFonts w:ascii="Times New Roman" w:eastAsia="Times New Roman" w:hAnsi="Times New Roman" w:cs="Times New Roman"/>
          <w:sz w:val="24"/>
          <w:szCs w:val="24"/>
          <w:lang w:val="en-GB"/>
        </w:rPr>
        <w:t>Upon decision</w:t>
      </w:r>
      <w:r w:rsidRPr="00957561">
        <w:rPr>
          <w:rFonts w:ascii="Times New Roman" w:eastAsia="Times New Roman" w:hAnsi="Times New Roman" w:cs="Times New Roman"/>
          <w:color w:val="4F81BD" w:themeColor="accent1"/>
          <w:sz w:val="24"/>
          <w:szCs w:val="24"/>
          <w:lang w:val="en-GB"/>
        </w:rPr>
        <w:t>-</w:t>
      </w:r>
      <w:r w:rsidRPr="00957561">
        <w:rPr>
          <w:rFonts w:ascii="Times New Roman" w:eastAsia="Times New Roman" w:hAnsi="Times New Roman" w:cs="Times New Roman"/>
          <w:sz w:val="24"/>
          <w:szCs w:val="24"/>
          <w:lang w:val="en-GB"/>
        </w:rPr>
        <w:t>making, directors should not breach shareholders equal treatment (</w:t>
      </w:r>
      <w:r w:rsidRPr="00957561">
        <w:rPr>
          <w:rFonts w:ascii="Times New Roman" w:eastAsia="Times New Roman" w:hAnsi="Times New Roman" w:cs="Times New Roman"/>
          <w:i/>
          <w:iCs/>
          <w:sz w:val="24"/>
          <w:szCs w:val="24"/>
          <w:lang w:val="en-GB"/>
        </w:rPr>
        <w:t>i.e.</w:t>
      </w:r>
      <w:r>
        <w:rPr>
          <w:rFonts w:ascii="Times New Roman" w:eastAsia="Times New Roman" w:hAnsi="Times New Roman" w:cs="Times New Roman"/>
          <w:i/>
          <w:iCs/>
          <w:sz w:val="24"/>
          <w:szCs w:val="24"/>
          <w:lang w:val="en-GB"/>
        </w:rPr>
        <w:t>,</w:t>
      </w:r>
      <w:r w:rsidRPr="00957561">
        <w:rPr>
          <w:rFonts w:ascii="Times New Roman" w:eastAsia="Times New Roman" w:hAnsi="Times New Roman" w:cs="Times New Roman"/>
          <w:sz w:val="24"/>
          <w:szCs w:val="24"/>
          <w:lang w:val="en-GB"/>
        </w:rPr>
        <w:t xml:space="preserve"> favo</w:t>
      </w:r>
      <w:r>
        <w:rPr>
          <w:rFonts w:ascii="Times New Roman" w:eastAsia="Times New Roman" w:hAnsi="Times New Roman" w:cs="Times New Roman"/>
          <w:sz w:val="24"/>
          <w:szCs w:val="24"/>
          <w:lang w:val="en-GB"/>
        </w:rPr>
        <w:t>u</w:t>
      </w:r>
      <w:r w:rsidRPr="00957561">
        <w:rPr>
          <w:rFonts w:ascii="Times New Roman" w:eastAsia="Times New Roman" w:hAnsi="Times New Roman" w:cs="Times New Roman"/>
          <w:sz w:val="24"/>
          <w:szCs w:val="24"/>
          <w:lang w:val="en-GB"/>
        </w:rPr>
        <w:t>r one shareholder versus another) nor favo</w:t>
      </w:r>
      <w:r>
        <w:rPr>
          <w:rFonts w:ascii="Times New Roman" w:eastAsia="Times New Roman" w:hAnsi="Times New Roman" w:cs="Times New Roman"/>
          <w:sz w:val="24"/>
          <w:szCs w:val="24"/>
          <w:lang w:val="en-GB"/>
        </w:rPr>
        <w:t>u</w:t>
      </w:r>
      <w:r w:rsidRPr="00957561">
        <w:rPr>
          <w:rFonts w:ascii="Times New Roman" w:eastAsia="Times New Roman" w:hAnsi="Times New Roman" w:cs="Times New Roman"/>
          <w:sz w:val="24"/>
          <w:szCs w:val="24"/>
          <w:lang w:val="en-GB"/>
        </w:rPr>
        <w:t>r shareholders to the detriment of the company.</w:t>
      </w:r>
      <w:r w:rsidRPr="00957561">
        <w:rPr>
          <w:rStyle w:val="FootnoteReference"/>
          <w:rFonts w:ascii="Times New Roman" w:eastAsia="Times New Roman" w:hAnsi="Times New Roman" w:cs="Times New Roman"/>
          <w:sz w:val="24"/>
          <w:szCs w:val="24"/>
          <w:lang w:val="en-GB"/>
        </w:rPr>
        <w:footnoteReference w:id="19"/>
      </w:r>
      <w:r w:rsidRPr="00957561">
        <w:rPr>
          <w:rFonts w:ascii="Times New Roman" w:eastAsia="Times New Roman" w:hAnsi="Times New Roman" w:cs="Times New Roman"/>
          <w:sz w:val="24"/>
          <w:szCs w:val="24"/>
          <w:lang w:val="en-GB"/>
        </w:rPr>
        <w:t xml:space="preserve"> Directors</w:t>
      </w:r>
      <w:r w:rsidRPr="00957561">
        <w:rPr>
          <w:rFonts w:ascii="Times New Roman" w:hAnsi="Times New Roman" w:cs="Times New Roman"/>
          <w:sz w:val="24"/>
          <w:szCs w:val="24"/>
          <w:lang w:val="en-GB"/>
        </w:rPr>
        <w:t xml:space="preserve"> </w:t>
      </w:r>
      <w:r w:rsidRPr="00957561">
        <w:rPr>
          <w:rFonts w:ascii="Times New Roman" w:eastAsia="Times New Roman" w:hAnsi="Times New Roman" w:cs="Times New Roman"/>
          <w:sz w:val="24"/>
          <w:szCs w:val="24"/>
          <w:lang w:val="en-GB"/>
        </w:rPr>
        <w:t xml:space="preserve">must exercise special caution to not allow any natural tendencies to promote the interests of the party that nominates them for appointment to the board to interfere with their judgment as members of the board. </w:t>
      </w:r>
    </w:p>
    <w:p w14:paraId="7E9CFB20" w14:textId="77777777" w:rsidR="00957561" w:rsidRPr="00957561" w:rsidRDefault="00957561" w:rsidP="00957561">
      <w:pPr>
        <w:spacing w:after="0"/>
        <w:rPr>
          <w:rFonts w:ascii="Times New Roman" w:hAnsi="Times New Roman"/>
          <w:color w:val="C0504D" w:themeColor="accent2"/>
          <w:sz w:val="24"/>
          <w:szCs w:val="24"/>
        </w:rPr>
      </w:pPr>
    </w:p>
    <w:p w14:paraId="675B005F" w14:textId="3F6181EC" w:rsidR="00957561" w:rsidRPr="00957561" w:rsidRDefault="00957561" w:rsidP="00957561">
      <w:pPr>
        <w:spacing w:after="0"/>
        <w:rPr>
          <w:rFonts w:ascii="Times New Roman" w:hAnsi="Times New Roman"/>
          <w:sz w:val="24"/>
          <w:szCs w:val="24"/>
        </w:rPr>
      </w:pPr>
      <w:r w:rsidRPr="00957561">
        <w:rPr>
          <w:rFonts w:ascii="Times New Roman" w:hAnsi="Times New Roman"/>
          <w:sz w:val="24"/>
          <w:szCs w:val="24"/>
        </w:rPr>
        <w:t>For completeness, we note that when a director breaches his/her management duties including acting against the company</w:t>
      </w:r>
      <w:r w:rsidR="00CC311E">
        <w:rPr>
          <w:rFonts w:ascii="Times New Roman" w:hAnsi="Times New Roman"/>
          <w:sz w:val="24"/>
          <w:szCs w:val="24"/>
        </w:rPr>
        <w:t>’</w:t>
      </w:r>
      <w:r w:rsidRPr="00957561">
        <w:rPr>
          <w:rFonts w:ascii="Times New Roman" w:hAnsi="Times New Roman"/>
          <w:sz w:val="24"/>
          <w:szCs w:val="24"/>
        </w:rPr>
        <w:t>s purpose and interest, as well as the above duties, that director can face various forms of civil or criminal liability under Luxembourg law.</w:t>
      </w:r>
      <w:r w:rsidRPr="00957561">
        <w:rPr>
          <w:rStyle w:val="FootnoteReference"/>
          <w:rFonts w:ascii="Times New Roman" w:hAnsi="Times New Roman"/>
          <w:sz w:val="24"/>
          <w:szCs w:val="24"/>
        </w:rPr>
        <w:footnoteReference w:id="20"/>
      </w:r>
      <w:r w:rsidRPr="00957561">
        <w:rPr>
          <w:rFonts w:ascii="Times New Roman" w:hAnsi="Times New Roman"/>
          <w:sz w:val="24"/>
          <w:szCs w:val="24"/>
        </w:rPr>
        <w:t xml:space="preserve"> Directors may be civilly liable for breaching their management duties, the Companies Law, or the company</w:t>
      </w:r>
      <w:r w:rsidR="00CC311E">
        <w:rPr>
          <w:rFonts w:ascii="Times New Roman" w:hAnsi="Times New Roman"/>
          <w:sz w:val="24"/>
          <w:szCs w:val="24"/>
        </w:rPr>
        <w:t>’</w:t>
      </w:r>
      <w:r w:rsidRPr="00957561">
        <w:rPr>
          <w:rFonts w:ascii="Times New Roman" w:hAnsi="Times New Roman"/>
          <w:sz w:val="24"/>
          <w:szCs w:val="24"/>
        </w:rPr>
        <w:t>s Articles or in tort for harm caused to third parties. Directors may also face criminal liability from misconduct in the management of the company</w:t>
      </w:r>
      <w:r w:rsidR="00CC311E">
        <w:rPr>
          <w:rFonts w:ascii="Times New Roman" w:hAnsi="Times New Roman"/>
          <w:sz w:val="24"/>
          <w:szCs w:val="24"/>
        </w:rPr>
        <w:t>’</w:t>
      </w:r>
      <w:r w:rsidRPr="00957561">
        <w:rPr>
          <w:rFonts w:ascii="Times New Roman" w:hAnsi="Times New Roman"/>
          <w:sz w:val="24"/>
          <w:szCs w:val="24"/>
        </w:rPr>
        <w:t>s affairs (</w:t>
      </w:r>
      <w:r w:rsidRPr="00957561">
        <w:rPr>
          <w:rFonts w:ascii="Times New Roman" w:hAnsi="Times New Roman"/>
          <w:i/>
          <w:iCs/>
          <w:sz w:val="24"/>
          <w:szCs w:val="24"/>
        </w:rPr>
        <w:t>faute de gestion</w:t>
      </w:r>
      <w:r w:rsidRPr="00957561">
        <w:rPr>
          <w:rFonts w:ascii="Times New Roman" w:hAnsi="Times New Roman"/>
          <w:sz w:val="24"/>
          <w:szCs w:val="24"/>
        </w:rPr>
        <w:t>), when a director in bad faith uses his / her voting influence to the company</w:t>
      </w:r>
      <w:r w:rsidR="00CC311E">
        <w:rPr>
          <w:rFonts w:ascii="Times New Roman" w:hAnsi="Times New Roman"/>
          <w:sz w:val="24"/>
          <w:szCs w:val="24"/>
        </w:rPr>
        <w:t>’</w:t>
      </w:r>
      <w:r w:rsidRPr="00957561">
        <w:rPr>
          <w:rFonts w:ascii="Times New Roman" w:hAnsi="Times New Roman"/>
          <w:sz w:val="24"/>
          <w:szCs w:val="24"/>
        </w:rPr>
        <w:t>s detriment and for the benefit of a third party.</w:t>
      </w:r>
      <w:r w:rsidRPr="00957561">
        <w:rPr>
          <w:rFonts w:ascii="Times New Roman" w:hAnsi="Times New Roman"/>
          <w:sz w:val="24"/>
          <w:szCs w:val="24"/>
          <w:vertAlign w:val="superscript"/>
        </w:rPr>
        <w:footnoteReference w:id="21"/>
      </w:r>
      <w:r w:rsidRPr="00957561">
        <w:rPr>
          <w:rFonts w:ascii="Times New Roman" w:hAnsi="Times New Roman"/>
          <w:sz w:val="24"/>
          <w:szCs w:val="24"/>
        </w:rPr>
        <w:t xml:space="preserve">  </w:t>
      </w:r>
    </w:p>
    <w:p w14:paraId="292A1F32" w14:textId="77777777" w:rsidR="00957561" w:rsidRPr="00957561" w:rsidRDefault="00957561" w:rsidP="00957561">
      <w:pPr>
        <w:spacing w:after="0"/>
        <w:rPr>
          <w:rFonts w:ascii="Times New Roman" w:hAnsi="Times New Roman"/>
          <w:sz w:val="24"/>
          <w:szCs w:val="24"/>
        </w:rPr>
      </w:pPr>
    </w:p>
    <w:p w14:paraId="4FFB7D1B" w14:textId="77777777" w:rsidR="00957561" w:rsidRPr="00957561" w:rsidRDefault="00957561" w:rsidP="00957561">
      <w:pPr>
        <w:spacing w:after="0"/>
        <w:rPr>
          <w:rFonts w:ascii="Times New Roman" w:hAnsi="Times New Roman"/>
          <w:i/>
          <w:iCs/>
          <w:sz w:val="24"/>
          <w:szCs w:val="24"/>
        </w:rPr>
      </w:pPr>
      <w:r w:rsidRPr="00957561">
        <w:rPr>
          <w:rFonts w:ascii="Times New Roman" w:hAnsi="Times New Roman"/>
          <w:i/>
          <w:iCs/>
          <w:sz w:val="24"/>
          <w:szCs w:val="24"/>
        </w:rPr>
        <w:lastRenderedPageBreak/>
        <w:t>Judicial assessment as to the existence of corporate interest</w:t>
      </w:r>
    </w:p>
    <w:p w14:paraId="7DFB5AA2" w14:textId="77777777" w:rsidR="00957561" w:rsidRPr="00957561" w:rsidRDefault="00957561" w:rsidP="00957561">
      <w:pPr>
        <w:spacing w:after="0"/>
        <w:rPr>
          <w:rFonts w:ascii="Times New Roman" w:hAnsi="Times New Roman"/>
          <w:b/>
          <w:bCs/>
          <w:i/>
          <w:iCs/>
          <w:sz w:val="24"/>
          <w:szCs w:val="24"/>
        </w:rPr>
      </w:pPr>
    </w:p>
    <w:p w14:paraId="2ED0F349" w14:textId="201DF9C9" w:rsidR="00957561" w:rsidRPr="00957561" w:rsidRDefault="00957561" w:rsidP="00957561">
      <w:pPr>
        <w:spacing w:after="0"/>
        <w:rPr>
          <w:rFonts w:ascii="Times New Roman" w:hAnsi="Times New Roman"/>
          <w:sz w:val="24"/>
          <w:szCs w:val="24"/>
        </w:rPr>
      </w:pPr>
      <w:r w:rsidRPr="00957561">
        <w:rPr>
          <w:rFonts w:ascii="Times New Roman" w:hAnsi="Times New Roman"/>
          <w:sz w:val="24"/>
          <w:szCs w:val="24"/>
        </w:rPr>
        <w:t>When reviewing whether a transaction that has been undertaken by the board was in the best interest of the company, the extent of judicial review permitted is limited. In examining the position, a Luxembourg court will put itself in the position of the board at the point in time that the board decision was made and perform a fringe control (</w:t>
      </w:r>
      <w:r w:rsidRPr="00957561">
        <w:rPr>
          <w:rFonts w:ascii="Times New Roman" w:hAnsi="Times New Roman"/>
          <w:i/>
          <w:iCs/>
          <w:sz w:val="24"/>
          <w:szCs w:val="24"/>
        </w:rPr>
        <w:t>contrôle marginal</w:t>
      </w:r>
      <w:r w:rsidRPr="00957561">
        <w:rPr>
          <w:rFonts w:ascii="Times New Roman" w:hAnsi="Times New Roman"/>
          <w:sz w:val="24"/>
          <w:szCs w:val="24"/>
        </w:rPr>
        <w:t xml:space="preserve">) of the decision, </w:t>
      </w:r>
      <w:r w:rsidRPr="00957561">
        <w:rPr>
          <w:rFonts w:ascii="Times New Roman" w:hAnsi="Times New Roman"/>
          <w:i/>
          <w:iCs/>
          <w:sz w:val="24"/>
          <w:szCs w:val="24"/>
        </w:rPr>
        <w:t>i.e.</w:t>
      </w:r>
      <w:r w:rsidRPr="00957561">
        <w:rPr>
          <w:rFonts w:ascii="Times New Roman" w:hAnsi="Times New Roman"/>
          <w:sz w:val="24"/>
          <w:szCs w:val="24"/>
        </w:rPr>
        <w:t xml:space="preserve"> it will examine whether the board</w:t>
      </w:r>
      <w:r w:rsidR="00CC311E">
        <w:rPr>
          <w:rFonts w:ascii="Times New Roman" w:hAnsi="Times New Roman"/>
          <w:sz w:val="24"/>
          <w:szCs w:val="24"/>
        </w:rPr>
        <w:t>’</w:t>
      </w:r>
      <w:r w:rsidRPr="00957561">
        <w:rPr>
          <w:rFonts w:ascii="Times New Roman" w:hAnsi="Times New Roman"/>
          <w:sz w:val="24"/>
          <w:szCs w:val="24"/>
        </w:rPr>
        <w:t>s decisions were not too far remote from a marginal appreciation, even if other decisions would have been more appropriate or could have avoided more damage.</w:t>
      </w:r>
      <w:r w:rsidRPr="00957561">
        <w:rPr>
          <w:rStyle w:val="FootnoteReference"/>
          <w:rFonts w:ascii="Times New Roman" w:hAnsi="Times New Roman"/>
          <w:sz w:val="24"/>
          <w:szCs w:val="24"/>
        </w:rPr>
        <w:footnoteReference w:id="22"/>
      </w:r>
      <w:r>
        <w:rPr>
          <w:rFonts w:ascii="Times New Roman" w:hAnsi="Times New Roman"/>
          <w:sz w:val="24"/>
          <w:szCs w:val="24"/>
        </w:rPr>
        <w:t xml:space="preserve"> </w:t>
      </w:r>
      <w:r w:rsidRPr="00957561">
        <w:rPr>
          <w:rFonts w:ascii="Times New Roman" w:hAnsi="Times New Roman"/>
          <w:sz w:val="24"/>
          <w:szCs w:val="24"/>
        </w:rPr>
        <w:t xml:space="preserve">The rationale of fringe control under Luxembourg law is similar to the rationale behind the judgment rule under US law, </w:t>
      </w:r>
      <w:r w:rsidRPr="00957561">
        <w:rPr>
          <w:rFonts w:ascii="Times New Roman" w:hAnsi="Times New Roman"/>
          <w:i/>
          <w:iCs/>
          <w:sz w:val="24"/>
          <w:szCs w:val="24"/>
        </w:rPr>
        <w:t>i.e.</w:t>
      </w:r>
      <w:r w:rsidRPr="00957561">
        <w:rPr>
          <w:rFonts w:ascii="Times New Roman" w:hAnsi="Times New Roman"/>
          <w:sz w:val="24"/>
          <w:szCs w:val="24"/>
        </w:rPr>
        <w:t xml:space="preserve"> it would be unfair to expect from the directors to make right decisions all of the time. </w:t>
      </w:r>
      <w:r w:rsidRPr="00957561">
        <w:rPr>
          <w:rStyle w:val="FootnoteReference"/>
          <w:rFonts w:ascii="Times New Roman" w:hAnsi="Times New Roman"/>
          <w:sz w:val="24"/>
          <w:szCs w:val="24"/>
        </w:rPr>
        <w:footnoteReference w:id="23"/>
      </w:r>
    </w:p>
    <w:p w14:paraId="1143E8BC" w14:textId="77777777" w:rsidR="00957561" w:rsidRDefault="00957561" w:rsidP="00957561">
      <w:pPr>
        <w:spacing w:after="0"/>
        <w:rPr>
          <w:rFonts w:ascii="Times New Roman" w:hAnsi="Times New Roman"/>
          <w:sz w:val="24"/>
          <w:szCs w:val="24"/>
        </w:rPr>
      </w:pPr>
    </w:p>
    <w:p w14:paraId="211209DE" w14:textId="77FC7E7B" w:rsidR="00957561" w:rsidRPr="00957561" w:rsidRDefault="00957561" w:rsidP="00957561">
      <w:pPr>
        <w:spacing w:after="0"/>
        <w:rPr>
          <w:rFonts w:ascii="Times New Roman" w:hAnsi="Times New Roman"/>
          <w:sz w:val="24"/>
          <w:szCs w:val="24"/>
        </w:rPr>
      </w:pPr>
      <w:r w:rsidRPr="00957561">
        <w:rPr>
          <w:rFonts w:ascii="Times New Roman" w:hAnsi="Times New Roman"/>
          <w:sz w:val="24"/>
          <w:szCs w:val="24"/>
        </w:rPr>
        <w:t xml:space="preserve">However, it is worth mentioning that judicial assessment in the form of fringe control will only be applicable when a Luxembourg court is examining </w:t>
      </w:r>
      <w:r w:rsidRPr="00957561">
        <w:rPr>
          <w:rFonts w:ascii="Times New Roman" w:hAnsi="Times New Roman"/>
          <w:i/>
          <w:iCs/>
          <w:sz w:val="24"/>
          <w:szCs w:val="24"/>
        </w:rPr>
        <w:t>post-facto</w:t>
      </w:r>
      <w:r w:rsidRPr="00957561">
        <w:rPr>
          <w:rFonts w:ascii="Times New Roman" w:hAnsi="Times New Roman"/>
          <w:sz w:val="24"/>
          <w:szCs w:val="24"/>
        </w:rPr>
        <w:t xml:space="preserve"> whether a decision already undertaken by the board violated the company</w:t>
      </w:r>
      <w:r w:rsidR="00CC311E">
        <w:rPr>
          <w:rFonts w:ascii="Times New Roman" w:hAnsi="Times New Roman"/>
          <w:sz w:val="24"/>
          <w:szCs w:val="24"/>
        </w:rPr>
        <w:t>’</w:t>
      </w:r>
      <w:r w:rsidRPr="00957561">
        <w:rPr>
          <w:rFonts w:ascii="Times New Roman" w:hAnsi="Times New Roman"/>
          <w:sz w:val="24"/>
          <w:szCs w:val="24"/>
        </w:rPr>
        <w:t>s corporate interest. In the context of international restructurings, we have seen in practice that a judge may have more power to evaluate whether certain decisions to be undertaken by the board (in future) will be in line with the company</w:t>
      </w:r>
      <w:r w:rsidR="00CC311E">
        <w:rPr>
          <w:rFonts w:ascii="Times New Roman" w:hAnsi="Times New Roman"/>
          <w:sz w:val="24"/>
          <w:szCs w:val="24"/>
        </w:rPr>
        <w:t>’</w:t>
      </w:r>
      <w:r w:rsidRPr="00957561">
        <w:rPr>
          <w:rFonts w:ascii="Times New Roman" w:hAnsi="Times New Roman"/>
          <w:sz w:val="24"/>
          <w:szCs w:val="24"/>
        </w:rPr>
        <w:t>s corporate interest, as interpreted under Luxembourg law. For example, where a foreign court sanctions a restructuring plan, such as under a Chapter 11 Plan under US law or a scheme of arrangement under UK law, foreign judges may allow involved parties, such as the company itself, lenders or shareholders, to oppose to a proposed restructuring plan on the grounds that it violates the company</w:t>
      </w:r>
      <w:r w:rsidR="00CC311E">
        <w:rPr>
          <w:rFonts w:ascii="Times New Roman" w:hAnsi="Times New Roman"/>
          <w:sz w:val="24"/>
          <w:szCs w:val="24"/>
        </w:rPr>
        <w:t>’</w:t>
      </w:r>
      <w:r w:rsidRPr="00957561">
        <w:rPr>
          <w:rFonts w:ascii="Times New Roman" w:hAnsi="Times New Roman"/>
          <w:sz w:val="24"/>
          <w:szCs w:val="24"/>
        </w:rPr>
        <w:t>s corporate interest under Luxembourg law, and argue that an alternative insolvency plan may better serve the company</w:t>
      </w:r>
      <w:r w:rsidR="00CC311E">
        <w:rPr>
          <w:rFonts w:ascii="Times New Roman" w:hAnsi="Times New Roman"/>
          <w:sz w:val="24"/>
          <w:szCs w:val="24"/>
        </w:rPr>
        <w:t>’</w:t>
      </w:r>
      <w:r w:rsidRPr="00957561">
        <w:rPr>
          <w:rFonts w:ascii="Times New Roman" w:hAnsi="Times New Roman"/>
          <w:sz w:val="24"/>
          <w:szCs w:val="24"/>
        </w:rPr>
        <w:t xml:space="preserve">s interests, and hence should be sanctioned by the court. </w:t>
      </w:r>
    </w:p>
    <w:p w14:paraId="4C115507" w14:textId="77777777" w:rsidR="00957561" w:rsidRPr="00957561" w:rsidRDefault="00957561" w:rsidP="00957561">
      <w:pPr>
        <w:spacing w:after="0"/>
        <w:rPr>
          <w:rFonts w:ascii="Times New Roman" w:hAnsi="Times New Roman"/>
          <w:sz w:val="24"/>
          <w:szCs w:val="24"/>
        </w:rPr>
      </w:pPr>
    </w:p>
    <w:p w14:paraId="4FF7BD0B" w14:textId="77777777" w:rsidR="00957561" w:rsidRPr="00957561" w:rsidRDefault="00957561" w:rsidP="00957561">
      <w:pPr>
        <w:spacing w:after="0"/>
        <w:rPr>
          <w:rFonts w:ascii="Times New Roman" w:hAnsi="Times New Roman"/>
          <w:i/>
          <w:iCs/>
          <w:sz w:val="24"/>
          <w:szCs w:val="24"/>
        </w:rPr>
      </w:pPr>
      <w:r w:rsidRPr="00957561">
        <w:rPr>
          <w:rFonts w:ascii="Times New Roman" w:hAnsi="Times New Roman"/>
          <w:i/>
          <w:iCs/>
          <w:sz w:val="24"/>
          <w:szCs w:val="24"/>
        </w:rPr>
        <w:t>Conclusion</w:t>
      </w:r>
    </w:p>
    <w:p w14:paraId="30DC93E3" w14:textId="77777777" w:rsidR="00957561" w:rsidRDefault="00957561" w:rsidP="00957561">
      <w:pPr>
        <w:spacing w:after="0"/>
        <w:rPr>
          <w:rFonts w:ascii="Times New Roman" w:hAnsi="Times New Roman"/>
          <w:sz w:val="24"/>
          <w:szCs w:val="24"/>
        </w:rPr>
      </w:pPr>
    </w:p>
    <w:p w14:paraId="6E1C1E1E" w14:textId="5BAF13D2" w:rsidR="00957561" w:rsidRPr="00957561" w:rsidRDefault="00957561" w:rsidP="00957561">
      <w:pPr>
        <w:spacing w:after="0"/>
        <w:rPr>
          <w:rFonts w:ascii="Times New Roman" w:hAnsi="Times New Roman"/>
          <w:sz w:val="24"/>
          <w:szCs w:val="24"/>
        </w:rPr>
      </w:pPr>
      <w:r w:rsidRPr="00957561">
        <w:rPr>
          <w:rFonts w:ascii="Times New Roman" w:hAnsi="Times New Roman"/>
          <w:sz w:val="24"/>
          <w:szCs w:val="24"/>
        </w:rPr>
        <w:t>To conclude, the company</w:t>
      </w:r>
      <w:r w:rsidR="00CC311E">
        <w:rPr>
          <w:rFonts w:ascii="Times New Roman" w:hAnsi="Times New Roman"/>
          <w:sz w:val="24"/>
          <w:szCs w:val="24"/>
        </w:rPr>
        <w:t>’</w:t>
      </w:r>
      <w:r w:rsidRPr="00957561">
        <w:rPr>
          <w:rFonts w:ascii="Times New Roman" w:hAnsi="Times New Roman"/>
          <w:sz w:val="24"/>
          <w:szCs w:val="24"/>
        </w:rPr>
        <w:t>s own interests, which may divert from that of shareholders or creditors, take absolute priority over any other interests and must stand-alone determine the outcome of any decision of the board, including negotiating and implementing a restructuring plan in insolvency situations. The board can be liable under Luxembourg law for acting against the company</w:t>
      </w:r>
      <w:r w:rsidR="00CC311E">
        <w:rPr>
          <w:rFonts w:ascii="Times New Roman" w:hAnsi="Times New Roman"/>
          <w:sz w:val="24"/>
          <w:szCs w:val="24"/>
        </w:rPr>
        <w:t>’</w:t>
      </w:r>
      <w:r w:rsidRPr="00957561">
        <w:rPr>
          <w:rFonts w:ascii="Times New Roman" w:hAnsi="Times New Roman"/>
          <w:sz w:val="24"/>
          <w:szCs w:val="24"/>
        </w:rPr>
        <w:t>s corporate interest if: (i) it undertakes any actions that are not beneficial to the company, or (ii) it remains passive when it should have acted to avoid a detriment, such as its bankruptcy. These considerations, applicable standards and principles must all be taken into account in the directors</w:t>
      </w:r>
      <w:r w:rsidR="00CC311E">
        <w:rPr>
          <w:rFonts w:ascii="Times New Roman" w:hAnsi="Times New Roman"/>
          <w:sz w:val="24"/>
          <w:szCs w:val="24"/>
        </w:rPr>
        <w:t>’</w:t>
      </w:r>
      <w:r w:rsidRPr="00957561">
        <w:rPr>
          <w:rFonts w:ascii="Times New Roman" w:hAnsi="Times New Roman"/>
          <w:sz w:val="24"/>
          <w:szCs w:val="24"/>
        </w:rPr>
        <w:t xml:space="preserve"> decision-making process and become even more relevant in insolvency situations, where typically the pressure a board receives from shareholders, lenders, employees and other third parties to act in a specific fashion (and in the interest of that third party) will be substantial. </w:t>
      </w:r>
    </w:p>
    <w:p w14:paraId="47BC5DE8" w14:textId="77777777" w:rsidR="00957561" w:rsidRPr="00957561" w:rsidRDefault="00957561" w:rsidP="00957561">
      <w:pPr>
        <w:spacing w:after="0"/>
        <w:rPr>
          <w:rFonts w:ascii="Times New Roman" w:hAnsi="Times New Roman"/>
          <w:sz w:val="24"/>
          <w:szCs w:val="24"/>
        </w:rPr>
      </w:pPr>
    </w:p>
    <w:p w14:paraId="206B749C" w14:textId="77777777" w:rsidR="00957561" w:rsidRPr="00957561" w:rsidRDefault="00957561" w:rsidP="00957561">
      <w:pPr>
        <w:spacing w:after="0"/>
        <w:rPr>
          <w:rFonts w:ascii="Times New Roman" w:hAnsi="Times New Roman"/>
          <w:sz w:val="24"/>
          <w:szCs w:val="24"/>
        </w:rPr>
      </w:pPr>
    </w:p>
    <w:p w14:paraId="3FCFEF25" w14:textId="64A6F4BC" w:rsidR="00FF6E2E" w:rsidRPr="00957561" w:rsidRDefault="00FF6E2E" w:rsidP="00957561">
      <w:pPr>
        <w:spacing w:after="0"/>
        <w:rPr>
          <w:rFonts w:ascii="Times New Roman" w:hAnsi="Times New Roman"/>
          <w:iCs/>
          <w:sz w:val="24"/>
          <w:szCs w:val="24"/>
        </w:rPr>
      </w:pPr>
    </w:p>
    <w:sectPr w:rsidR="00FF6E2E" w:rsidRPr="00957561"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F8DD6" w14:textId="77777777" w:rsidR="00C35464" w:rsidRDefault="00C35464">
      <w:r>
        <w:separator/>
      </w:r>
    </w:p>
  </w:endnote>
  <w:endnote w:type="continuationSeparator" w:id="0">
    <w:p w14:paraId="39DCBF8C" w14:textId="77777777" w:rsidR="00C35464" w:rsidRDefault="00C3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2D7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EAC3A" w14:textId="77777777" w:rsidR="00C35464" w:rsidRDefault="00C35464">
      <w:r>
        <w:separator/>
      </w:r>
    </w:p>
  </w:footnote>
  <w:footnote w:type="continuationSeparator" w:id="0">
    <w:p w14:paraId="0DEA0F9F" w14:textId="77777777" w:rsidR="00C35464" w:rsidRDefault="00C35464">
      <w:r>
        <w:continuationSeparator/>
      </w:r>
    </w:p>
  </w:footnote>
  <w:footnote w:id="1">
    <w:p w14:paraId="55654AA7" w14:textId="22DC4A98" w:rsidR="00957561" w:rsidRPr="00822FF6" w:rsidRDefault="00957561" w:rsidP="00957561">
      <w:pPr>
        <w:pStyle w:val="FootnoteText"/>
        <w:rPr>
          <w:rFonts w:ascii="Times New Roman" w:hAnsi="Times New Roman"/>
        </w:rPr>
      </w:pPr>
      <w:r w:rsidRPr="00822FF6">
        <w:rPr>
          <w:rStyle w:val="FootnoteReference"/>
          <w:rFonts w:ascii="Times New Roman" w:hAnsi="Times New Roman"/>
        </w:rPr>
        <w:footnoteRef/>
      </w:r>
      <w:r w:rsidRPr="00822FF6">
        <w:rPr>
          <w:rFonts w:ascii="Times New Roman" w:hAnsi="Times New Roman"/>
        </w:rPr>
        <w:t xml:space="preserve"> This </w:t>
      </w:r>
      <w:r w:rsidRPr="00822FF6">
        <w:rPr>
          <w:rFonts w:ascii="Times New Roman" w:hAnsi="Times New Roman"/>
        </w:rPr>
        <w:t>Inside Story</w:t>
      </w:r>
      <w:r w:rsidRPr="00822FF6">
        <w:rPr>
          <w:rFonts w:ascii="Times New Roman" w:hAnsi="Times New Roman"/>
        </w:rPr>
        <w:t xml:space="preserve"> focuses on the Luxembourg </w:t>
      </w:r>
      <w:r w:rsidR="00CC311E">
        <w:rPr>
          <w:rFonts w:ascii="Times New Roman" w:hAnsi="Times New Roman"/>
        </w:rPr>
        <w:t>“</w:t>
      </w:r>
      <w:r w:rsidRPr="00822FF6">
        <w:rPr>
          <w:rFonts w:ascii="Times New Roman" w:hAnsi="Times New Roman"/>
        </w:rPr>
        <w:t>soci</w:t>
      </w:r>
      <w:r w:rsidR="00822FF6">
        <w:rPr>
          <w:rFonts w:ascii="Times New Roman" w:hAnsi="Times New Roman"/>
        </w:rPr>
        <w:t>é</w:t>
      </w:r>
      <w:r w:rsidRPr="00822FF6">
        <w:rPr>
          <w:rFonts w:ascii="Times New Roman" w:hAnsi="Times New Roman"/>
        </w:rPr>
        <w:t>t</w:t>
      </w:r>
      <w:r w:rsidR="00822FF6">
        <w:rPr>
          <w:rFonts w:ascii="Times New Roman" w:hAnsi="Times New Roman"/>
        </w:rPr>
        <w:t>é</w:t>
      </w:r>
      <w:r w:rsidRPr="00822FF6">
        <w:rPr>
          <w:rFonts w:ascii="Times New Roman" w:hAnsi="Times New Roman"/>
        </w:rPr>
        <w:t xml:space="preserve"> anonyme</w:t>
      </w:r>
      <w:r w:rsidR="00CC311E">
        <w:rPr>
          <w:rFonts w:ascii="Times New Roman" w:hAnsi="Times New Roman"/>
        </w:rPr>
        <w:t>”</w:t>
      </w:r>
      <w:r w:rsidRPr="00822FF6">
        <w:rPr>
          <w:rFonts w:ascii="Times New Roman" w:hAnsi="Times New Roman"/>
        </w:rPr>
        <w:t xml:space="preserve"> (</w:t>
      </w:r>
      <w:r w:rsidR="00CC311E">
        <w:rPr>
          <w:rFonts w:ascii="Times New Roman" w:hAnsi="Times New Roman"/>
        </w:rPr>
        <w:t>“</w:t>
      </w:r>
      <w:r w:rsidRPr="00822FF6">
        <w:rPr>
          <w:rFonts w:ascii="Times New Roman" w:hAnsi="Times New Roman"/>
        </w:rPr>
        <w:t>SA</w:t>
      </w:r>
      <w:r w:rsidR="00CC311E">
        <w:rPr>
          <w:rFonts w:ascii="Times New Roman" w:hAnsi="Times New Roman"/>
          <w:b/>
          <w:bCs/>
        </w:rPr>
        <w:t>”</w:t>
      </w:r>
      <w:r w:rsidRPr="00822FF6">
        <w:rPr>
          <w:rFonts w:ascii="Times New Roman" w:hAnsi="Times New Roman"/>
        </w:rPr>
        <w:t xml:space="preserve">), a public limited liability company, and the Luxembourg </w:t>
      </w:r>
      <w:r w:rsidR="00CC311E">
        <w:rPr>
          <w:rFonts w:ascii="Times New Roman" w:hAnsi="Times New Roman"/>
        </w:rPr>
        <w:t>“</w:t>
      </w:r>
      <w:r w:rsidRPr="00822FF6">
        <w:rPr>
          <w:rFonts w:ascii="Times New Roman" w:hAnsi="Times New Roman"/>
        </w:rPr>
        <w:t>soci</w:t>
      </w:r>
      <w:r w:rsidR="00822FF6">
        <w:rPr>
          <w:rFonts w:ascii="Times New Roman" w:hAnsi="Times New Roman"/>
        </w:rPr>
        <w:t>é</w:t>
      </w:r>
      <w:r w:rsidRPr="00822FF6">
        <w:rPr>
          <w:rFonts w:ascii="Times New Roman" w:hAnsi="Times New Roman"/>
        </w:rPr>
        <w:t>t</w:t>
      </w:r>
      <w:r w:rsidR="00822FF6">
        <w:rPr>
          <w:rFonts w:ascii="Times New Roman" w:hAnsi="Times New Roman"/>
        </w:rPr>
        <w:t>é</w:t>
      </w:r>
      <w:r w:rsidRPr="00822FF6">
        <w:rPr>
          <w:rFonts w:ascii="Times New Roman" w:hAnsi="Times New Roman"/>
        </w:rPr>
        <w:t xml:space="preserve"> </w:t>
      </w:r>
      <w:r w:rsidR="00822FF6">
        <w:rPr>
          <w:rFonts w:ascii="Times New Roman" w:hAnsi="Times New Roman"/>
        </w:rPr>
        <w:t>à</w:t>
      </w:r>
      <w:r w:rsidRPr="00822FF6">
        <w:rPr>
          <w:rFonts w:ascii="Times New Roman" w:hAnsi="Times New Roman"/>
        </w:rPr>
        <w:t xml:space="preserve"> responsabilit</w:t>
      </w:r>
      <w:r w:rsidR="00822FF6">
        <w:rPr>
          <w:rFonts w:ascii="Times New Roman" w:hAnsi="Times New Roman"/>
        </w:rPr>
        <w:t>é</w:t>
      </w:r>
      <w:r w:rsidRPr="00822FF6">
        <w:rPr>
          <w:rFonts w:ascii="Times New Roman" w:hAnsi="Times New Roman"/>
        </w:rPr>
        <w:t xml:space="preserve"> limit</w:t>
      </w:r>
      <w:r w:rsidR="00822FF6">
        <w:rPr>
          <w:rFonts w:ascii="Times New Roman" w:hAnsi="Times New Roman"/>
        </w:rPr>
        <w:t>é</w:t>
      </w:r>
      <w:r w:rsidRPr="00822FF6">
        <w:rPr>
          <w:rFonts w:ascii="Times New Roman" w:hAnsi="Times New Roman"/>
        </w:rPr>
        <w:t>e</w:t>
      </w:r>
      <w:r w:rsidR="00CC311E">
        <w:rPr>
          <w:rFonts w:ascii="Times New Roman" w:hAnsi="Times New Roman"/>
        </w:rPr>
        <w:t>”</w:t>
      </w:r>
      <w:r w:rsidRPr="00822FF6">
        <w:rPr>
          <w:rFonts w:ascii="Times New Roman" w:hAnsi="Times New Roman"/>
        </w:rPr>
        <w:t xml:space="preserve"> (</w:t>
      </w:r>
      <w:r w:rsidR="00CC311E">
        <w:rPr>
          <w:rFonts w:ascii="Times New Roman" w:hAnsi="Times New Roman"/>
        </w:rPr>
        <w:t>“</w:t>
      </w:r>
      <w:r w:rsidRPr="00822FF6">
        <w:rPr>
          <w:rFonts w:ascii="Times New Roman" w:hAnsi="Times New Roman"/>
        </w:rPr>
        <w:t>SARL</w:t>
      </w:r>
      <w:r w:rsidR="00CC311E">
        <w:rPr>
          <w:rFonts w:ascii="Times New Roman" w:hAnsi="Times New Roman"/>
          <w:b/>
          <w:bCs/>
        </w:rPr>
        <w:t>”</w:t>
      </w:r>
      <w:r w:rsidRPr="00822FF6">
        <w:rPr>
          <w:rFonts w:ascii="Times New Roman" w:hAnsi="Times New Roman"/>
        </w:rPr>
        <w:t xml:space="preserve">), a private limited liability company. For ease of reference, we hereby refer to both corporate forms as </w:t>
      </w:r>
      <w:r w:rsidR="00CC311E">
        <w:rPr>
          <w:rFonts w:ascii="Times New Roman" w:hAnsi="Times New Roman"/>
        </w:rPr>
        <w:t>“</w:t>
      </w:r>
      <w:r w:rsidRPr="00822FF6">
        <w:rPr>
          <w:rFonts w:ascii="Times New Roman" w:hAnsi="Times New Roman"/>
        </w:rPr>
        <w:t>companies,</w:t>
      </w:r>
      <w:r w:rsidR="00CC311E">
        <w:rPr>
          <w:rFonts w:ascii="Times New Roman" w:hAnsi="Times New Roman"/>
        </w:rPr>
        <w:t>”</w:t>
      </w:r>
      <w:r w:rsidRPr="00822FF6">
        <w:rPr>
          <w:rFonts w:ascii="Times New Roman" w:hAnsi="Times New Roman"/>
        </w:rPr>
        <w:t xml:space="preserve"> and to their directors (for public companies) or managers (for private companies) simply as </w:t>
      </w:r>
      <w:r w:rsidR="00CC311E">
        <w:rPr>
          <w:rFonts w:ascii="Times New Roman" w:hAnsi="Times New Roman"/>
        </w:rPr>
        <w:t>“</w:t>
      </w:r>
      <w:r w:rsidRPr="00822FF6">
        <w:rPr>
          <w:rFonts w:ascii="Times New Roman" w:hAnsi="Times New Roman"/>
        </w:rPr>
        <w:t>directors</w:t>
      </w:r>
      <w:r w:rsidR="00CC311E">
        <w:rPr>
          <w:rFonts w:ascii="Times New Roman" w:hAnsi="Times New Roman"/>
        </w:rPr>
        <w:t>”</w:t>
      </w:r>
      <w:r w:rsidRPr="00822FF6">
        <w:rPr>
          <w:rFonts w:ascii="Times New Roman" w:hAnsi="Times New Roman"/>
        </w:rPr>
        <w:t xml:space="preserve"> or as the </w:t>
      </w:r>
      <w:r w:rsidR="00CC311E">
        <w:rPr>
          <w:rFonts w:ascii="Times New Roman" w:hAnsi="Times New Roman"/>
        </w:rPr>
        <w:t>“</w:t>
      </w:r>
      <w:r w:rsidRPr="00822FF6">
        <w:rPr>
          <w:rFonts w:ascii="Times New Roman" w:hAnsi="Times New Roman"/>
        </w:rPr>
        <w:t>board</w:t>
      </w:r>
      <w:r w:rsidR="00CC311E">
        <w:rPr>
          <w:rFonts w:ascii="Times New Roman" w:hAnsi="Times New Roman"/>
        </w:rPr>
        <w:t>”</w:t>
      </w:r>
      <w:r w:rsidRPr="00822FF6">
        <w:rPr>
          <w:rFonts w:ascii="Times New Roman" w:hAnsi="Times New Roman"/>
        </w:rPr>
        <w:t xml:space="preserve">. </w:t>
      </w:r>
    </w:p>
  </w:footnote>
  <w:footnote w:id="2">
    <w:p w14:paraId="29EDDB89" w14:textId="2C68C66F" w:rsidR="00957561" w:rsidRPr="00822FF6" w:rsidRDefault="00957561" w:rsidP="00957561">
      <w:pPr>
        <w:pStyle w:val="FootnoteText"/>
        <w:rPr>
          <w:rFonts w:ascii="Times New Roman" w:hAnsi="Times New Roman"/>
        </w:rPr>
      </w:pPr>
      <w:r w:rsidRPr="00822FF6">
        <w:rPr>
          <w:rStyle w:val="FootnoteReference"/>
          <w:rFonts w:ascii="Times New Roman" w:hAnsi="Times New Roman"/>
        </w:rPr>
        <w:footnoteRef/>
      </w:r>
      <w:r w:rsidRPr="00822FF6">
        <w:rPr>
          <w:rFonts w:ascii="Times New Roman" w:hAnsi="Times New Roman"/>
        </w:rPr>
        <w:t xml:space="preserve"> Hereafter </w:t>
      </w:r>
      <w:r w:rsidR="00CC311E">
        <w:rPr>
          <w:rFonts w:ascii="Times New Roman" w:hAnsi="Times New Roman"/>
        </w:rPr>
        <w:t>“</w:t>
      </w:r>
      <w:r w:rsidRPr="00822FF6">
        <w:rPr>
          <w:rFonts w:ascii="Times New Roman" w:hAnsi="Times New Roman"/>
        </w:rPr>
        <w:t>the Ar</w:t>
      </w:r>
      <w:r w:rsidR="00822FF6" w:rsidRPr="00822FF6">
        <w:rPr>
          <w:rFonts w:ascii="Times New Roman" w:hAnsi="Times New Roman"/>
        </w:rPr>
        <w:t>t</w:t>
      </w:r>
      <w:r w:rsidRPr="00822FF6">
        <w:rPr>
          <w:rFonts w:ascii="Times New Roman" w:hAnsi="Times New Roman"/>
        </w:rPr>
        <w:t>icles</w:t>
      </w:r>
      <w:r w:rsidR="00CC311E">
        <w:rPr>
          <w:rFonts w:ascii="Times New Roman" w:hAnsi="Times New Roman"/>
        </w:rPr>
        <w:t>”</w:t>
      </w:r>
      <w:r w:rsidRPr="00822FF6">
        <w:rPr>
          <w:rFonts w:ascii="Times New Roman" w:hAnsi="Times New Roman"/>
        </w:rPr>
        <w:t>.</w:t>
      </w:r>
    </w:p>
  </w:footnote>
  <w:footnote w:id="3">
    <w:p w14:paraId="250BDBB5" w14:textId="1EA8BAC1" w:rsidR="00957561" w:rsidRPr="00822FF6" w:rsidRDefault="00957561" w:rsidP="00957561">
      <w:pPr>
        <w:pStyle w:val="FootnoteText"/>
        <w:rPr>
          <w:rFonts w:ascii="Times New Roman" w:hAnsi="Times New Roman"/>
        </w:rPr>
      </w:pPr>
      <w:r w:rsidRPr="00822FF6">
        <w:rPr>
          <w:rStyle w:val="FootnoteReference"/>
          <w:rFonts w:ascii="Times New Roman" w:hAnsi="Times New Roman"/>
        </w:rPr>
        <w:footnoteRef/>
      </w:r>
      <w:r w:rsidRPr="00822FF6">
        <w:rPr>
          <w:rFonts w:ascii="Times New Roman" w:hAnsi="Times New Roman"/>
        </w:rPr>
        <w:t xml:space="preserve"> Art</w:t>
      </w:r>
      <w:r w:rsidRPr="00822FF6">
        <w:rPr>
          <w:rFonts w:ascii="Times New Roman" w:hAnsi="Times New Roman"/>
        </w:rPr>
        <w:t>icles</w:t>
      </w:r>
      <w:r w:rsidRPr="00822FF6">
        <w:rPr>
          <w:rFonts w:ascii="Times New Roman" w:hAnsi="Times New Roman"/>
        </w:rPr>
        <w:t xml:space="preserve"> 420-15 </w:t>
      </w:r>
      <w:r w:rsidRPr="00822FF6">
        <w:rPr>
          <w:rFonts w:ascii="Times New Roman" w:hAnsi="Times New Roman"/>
        </w:rPr>
        <w:t>(</w:t>
      </w:r>
      <w:r w:rsidRPr="00822FF6">
        <w:rPr>
          <w:rFonts w:ascii="Times New Roman" w:hAnsi="Times New Roman"/>
        </w:rPr>
        <w:t>S.A.</w:t>
      </w:r>
      <w:r w:rsidRPr="00822FF6">
        <w:rPr>
          <w:rFonts w:ascii="Times New Roman" w:hAnsi="Times New Roman"/>
        </w:rPr>
        <w:t>) and</w:t>
      </w:r>
      <w:r w:rsidRPr="00822FF6">
        <w:rPr>
          <w:rFonts w:ascii="Times New Roman" w:hAnsi="Times New Roman"/>
        </w:rPr>
        <w:t xml:space="preserve"> 710-7 </w:t>
      </w:r>
      <w:r w:rsidRPr="00822FF6">
        <w:rPr>
          <w:rFonts w:ascii="Times New Roman" w:hAnsi="Times New Roman"/>
        </w:rPr>
        <w:t>(</w:t>
      </w:r>
      <w:r w:rsidRPr="00822FF6">
        <w:rPr>
          <w:rFonts w:ascii="Times New Roman" w:hAnsi="Times New Roman"/>
        </w:rPr>
        <w:t>SARL</w:t>
      </w:r>
      <w:r w:rsidRPr="00822FF6">
        <w:rPr>
          <w:rFonts w:ascii="Times New Roman" w:hAnsi="Times New Roman"/>
        </w:rPr>
        <w:t>),</w:t>
      </w:r>
      <w:r w:rsidRPr="00822FF6">
        <w:rPr>
          <w:rFonts w:ascii="Times New Roman" w:hAnsi="Times New Roman"/>
        </w:rPr>
        <w:t xml:space="preserve"> </w:t>
      </w:r>
      <w:r w:rsidRPr="00822FF6">
        <w:rPr>
          <w:rFonts w:ascii="Times New Roman" w:hAnsi="Times New Roman"/>
        </w:rPr>
        <w:t>L</w:t>
      </w:r>
      <w:r w:rsidRPr="00822FF6">
        <w:rPr>
          <w:rFonts w:ascii="Times New Roman" w:hAnsi="Times New Roman"/>
        </w:rPr>
        <w:t xml:space="preserve">aw </w:t>
      </w:r>
      <w:r w:rsidRPr="00822FF6">
        <w:rPr>
          <w:rFonts w:ascii="Times New Roman" w:hAnsi="Times New Roman"/>
        </w:rPr>
        <w:t>o</w:t>
      </w:r>
      <w:r w:rsidRPr="00822FF6">
        <w:rPr>
          <w:rFonts w:ascii="Times New Roman" w:hAnsi="Times New Roman"/>
        </w:rPr>
        <w:t xml:space="preserve">f 10 August 1915 on commercial companies (hereafter </w:t>
      </w:r>
      <w:r w:rsidR="00CC311E">
        <w:rPr>
          <w:rFonts w:ascii="Times New Roman" w:hAnsi="Times New Roman"/>
        </w:rPr>
        <w:t>“</w:t>
      </w:r>
      <w:r w:rsidRPr="00822FF6">
        <w:rPr>
          <w:rFonts w:ascii="Times New Roman" w:hAnsi="Times New Roman"/>
        </w:rPr>
        <w:t>the Companies Law</w:t>
      </w:r>
      <w:r w:rsidR="00CC311E">
        <w:rPr>
          <w:rFonts w:ascii="Times New Roman" w:hAnsi="Times New Roman"/>
        </w:rPr>
        <w:t>”</w:t>
      </w:r>
      <w:r w:rsidRPr="00822FF6">
        <w:rPr>
          <w:rFonts w:ascii="Times New Roman" w:hAnsi="Times New Roman"/>
        </w:rPr>
        <w:t>).</w:t>
      </w:r>
    </w:p>
  </w:footnote>
  <w:footnote w:id="4">
    <w:p w14:paraId="52F8666D" w14:textId="6EC3C473" w:rsidR="00957561" w:rsidRPr="00822FF6" w:rsidRDefault="00957561" w:rsidP="00957561">
      <w:pPr>
        <w:pStyle w:val="FootnoteText"/>
        <w:rPr>
          <w:rFonts w:ascii="Times New Roman" w:hAnsi="Times New Roman"/>
        </w:rPr>
      </w:pPr>
      <w:r w:rsidRPr="00822FF6">
        <w:rPr>
          <w:rStyle w:val="FootnoteReference"/>
          <w:rFonts w:ascii="Times New Roman" w:hAnsi="Times New Roman"/>
        </w:rPr>
        <w:footnoteRef/>
      </w:r>
      <w:r w:rsidRPr="00822FF6">
        <w:rPr>
          <w:rStyle w:val="FootnoteReference"/>
          <w:rFonts w:ascii="Times New Roman" w:hAnsi="Times New Roman"/>
        </w:rPr>
        <w:t xml:space="preserve"> </w:t>
      </w:r>
      <w:r w:rsidRPr="00822FF6">
        <w:rPr>
          <w:rFonts w:ascii="Times New Roman" w:hAnsi="Times New Roman"/>
        </w:rPr>
        <w:t>The process for amending the articles of association of a company (including its corporate objects) is included in Art</w:t>
      </w:r>
      <w:r w:rsidRPr="00822FF6">
        <w:rPr>
          <w:rFonts w:ascii="Times New Roman" w:hAnsi="Times New Roman"/>
        </w:rPr>
        <w:t>icles</w:t>
      </w:r>
      <w:r w:rsidRPr="00822FF6">
        <w:rPr>
          <w:rFonts w:ascii="Times New Roman" w:hAnsi="Times New Roman"/>
        </w:rPr>
        <w:t xml:space="preserve"> 450-3 (SA), 710-17 and 710-18 (SARL)</w:t>
      </w:r>
      <w:r w:rsidRPr="00822FF6">
        <w:rPr>
          <w:rFonts w:ascii="Times New Roman" w:hAnsi="Times New Roman"/>
        </w:rPr>
        <w:t>, Companies Law,</w:t>
      </w:r>
      <w:r w:rsidRPr="00822FF6">
        <w:rPr>
          <w:rFonts w:ascii="Times New Roman" w:hAnsi="Times New Roman"/>
        </w:rPr>
        <w:t xml:space="preserve"> and typically in the Articles.</w:t>
      </w:r>
    </w:p>
  </w:footnote>
  <w:footnote w:id="5">
    <w:p w14:paraId="1E7E3BDE" w14:textId="38FCA383" w:rsidR="00957561" w:rsidRPr="00822FF6" w:rsidRDefault="00957561" w:rsidP="00957561">
      <w:pPr>
        <w:pStyle w:val="FootnoteText"/>
        <w:rPr>
          <w:rFonts w:ascii="Times New Roman" w:hAnsi="Times New Roman"/>
        </w:rPr>
      </w:pPr>
      <w:r w:rsidRPr="00822FF6">
        <w:rPr>
          <w:rStyle w:val="FootnoteReference"/>
          <w:rFonts w:ascii="Times New Roman" w:hAnsi="Times New Roman"/>
        </w:rPr>
        <w:footnoteRef/>
      </w:r>
      <w:r w:rsidRPr="00822FF6">
        <w:rPr>
          <w:rFonts w:ascii="Times New Roman" w:hAnsi="Times New Roman"/>
          <w:i/>
          <w:iCs/>
        </w:rPr>
        <w:t xml:space="preserve"> </w:t>
      </w:r>
      <w:r w:rsidRPr="00822FF6">
        <w:rPr>
          <w:rFonts w:ascii="Times New Roman" w:hAnsi="Times New Roman"/>
        </w:rPr>
        <w:t>A</w:t>
      </w:r>
      <w:r w:rsidRPr="00822FF6">
        <w:rPr>
          <w:rFonts w:ascii="Times New Roman" w:hAnsi="Times New Roman"/>
          <w:i/>
          <w:iCs/>
        </w:rPr>
        <w:t xml:space="preserve"> </w:t>
      </w:r>
      <w:r w:rsidRPr="00822FF6">
        <w:rPr>
          <w:rFonts w:ascii="Times New Roman" w:hAnsi="Times New Roman"/>
        </w:rPr>
        <w:t>Société de Participations Financi</w:t>
      </w:r>
      <w:r w:rsidR="00CC311E">
        <w:rPr>
          <w:rFonts w:ascii="Times New Roman" w:hAnsi="Times New Roman"/>
        </w:rPr>
        <w:t>è</w:t>
      </w:r>
      <w:r w:rsidRPr="00822FF6">
        <w:rPr>
          <w:rFonts w:ascii="Times New Roman" w:hAnsi="Times New Roman"/>
        </w:rPr>
        <w:t>res</w:t>
      </w:r>
      <w:r w:rsidRPr="00822FF6">
        <w:rPr>
          <w:rFonts w:ascii="Times New Roman" w:hAnsi="Times New Roman"/>
          <w:i/>
          <w:iCs/>
        </w:rPr>
        <w:t xml:space="preserve"> </w:t>
      </w:r>
      <w:r w:rsidRPr="00822FF6">
        <w:rPr>
          <w:rFonts w:ascii="Times New Roman" w:hAnsi="Times New Roman"/>
        </w:rPr>
        <w:t>(</w:t>
      </w:r>
      <w:r w:rsidR="00CC311E">
        <w:rPr>
          <w:rFonts w:ascii="Times New Roman" w:hAnsi="Times New Roman"/>
        </w:rPr>
        <w:t>“</w:t>
      </w:r>
      <w:r w:rsidRPr="00822FF6">
        <w:rPr>
          <w:rFonts w:ascii="Times New Roman" w:hAnsi="Times New Roman"/>
        </w:rPr>
        <w:t>SOPARFI</w:t>
      </w:r>
      <w:r w:rsidR="00CC311E">
        <w:rPr>
          <w:rFonts w:ascii="Times New Roman" w:hAnsi="Times New Roman"/>
        </w:rPr>
        <w:t>”</w:t>
      </w:r>
      <w:r w:rsidRPr="00822FF6">
        <w:rPr>
          <w:rFonts w:ascii="Times New Roman" w:hAnsi="Times New Roman"/>
        </w:rPr>
        <w:t>) is a company dedicated to holding and financing activities in Luxembourg.</w:t>
      </w:r>
    </w:p>
  </w:footnote>
  <w:footnote w:id="6">
    <w:p w14:paraId="6BCB6613" w14:textId="43532F79" w:rsidR="00957561" w:rsidRPr="00822FF6" w:rsidRDefault="00957561" w:rsidP="00957561">
      <w:pPr>
        <w:pStyle w:val="FootnoteText"/>
        <w:rPr>
          <w:rFonts w:ascii="Times New Roman" w:hAnsi="Times New Roman"/>
        </w:rPr>
      </w:pPr>
      <w:r w:rsidRPr="00822FF6">
        <w:rPr>
          <w:rStyle w:val="FootnoteReference"/>
          <w:rFonts w:ascii="Times New Roman" w:hAnsi="Times New Roman"/>
        </w:rPr>
        <w:footnoteRef/>
      </w:r>
      <w:r w:rsidRPr="00822FF6">
        <w:rPr>
          <w:rStyle w:val="FootnoteReference"/>
          <w:rFonts w:ascii="Times New Roman" w:hAnsi="Times New Roman"/>
        </w:rPr>
        <w:t xml:space="preserve"> </w:t>
      </w:r>
      <w:r w:rsidRPr="00822FF6">
        <w:rPr>
          <w:rFonts w:ascii="Times New Roman" w:hAnsi="Times New Roman"/>
        </w:rPr>
        <w:t>Y. Payen and F. Brouxel</w:t>
      </w:r>
      <w:r w:rsidR="00822FF6" w:rsidRPr="00822FF6">
        <w:rPr>
          <w:rFonts w:ascii="Times New Roman" w:hAnsi="Times New Roman"/>
        </w:rPr>
        <w:t>,</w:t>
      </w:r>
      <w:r w:rsidRPr="00822FF6">
        <w:rPr>
          <w:rFonts w:ascii="Times New Roman" w:hAnsi="Times New Roman"/>
        </w:rPr>
        <w:t xml:space="preserve"> </w:t>
      </w:r>
      <w:r w:rsidR="00CC311E">
        <w:rPr>
          <w:rFonts w:ascii="Times New Roman" w:hAnsi="Times New Roman"/>
        </w:rPr>
        <w:t>“</w:t>
      </w:r>
      <w:r w:rsidRPr="00822FF6">
        <w:rPr>
          <w:rFonts w:ascii="Times New Roman" w:hAnsi="Times New Roman"/>
        </w:rPr>
        <w:t xml:space="preserve">Defensive strategies and other </w:t>
      </w:r>
      <w:r w:rsidR="00CC311E">
        <w:rPr>
          <w:rFonts w:ascii="Times New Roman" w:hAnsi="Times New Roman"/>
        </w:rPr>
        <w:t>“</w:t>
      </w:r>
      <w:r w:rsidRPr="00822FF6">
        <w:rPr>
          <w:rFonts w:ascii="Times New Roman" w:hAnsi="Times New Roman"/>
        </w:rPr>
        <w:t>Poison Pills</w:t>
      </w:r>
      <w:r w:rsidR="00CC311E">
        <w:rPr>
          <w:rFonts w:ascii="Times New Roman" w:hAnsi="Times New Roman"/>
        </w:rPr>
        <w:t>”</w:t>
      </w:r>
      <w:r w:rsidRPr="00822FF6">
        <w:rPr>
          <w:rFonts w:ascii="Times New Roman" w:hAnsi="Times New Roman"/>
        </w:rPr>
        <w:t xml:space="preserve"> and </w:t>
      </w:r>
      <w:r w:rsidR="00CC311E">
        <w:rPr>
          <w:rFonts w:ascii="Times New Roman" w:hAnsi="Times New Roman"/>
        </w:rPr>
        <w:t>“</w:t>
      </w:r>
      <w:r w:rsidRPr="00822FF6">
        <w:rPr>
          <w:rFonts w:ascii="Times New Roman" w:hAnsi="Times New Roman"/>
        </w:rPr>
        <w:t>Shark Repellents</w:t>
      </w:r>
      <w:r w:rsidR="00CC311E">
        <w:rPr>
          <w:rFonts w:ascii="Times New Roman" w:hAnsi="Times New Roman"/>
        </w:rPr>
        <w:t>”</w:t>
      </w:r>
      <w:r w:rsidRPr="00822FF6">
        <w:rPr>
          <w:rFonts w:ascii="Times New Roman" w:hAnsi="Times New Roman"/>
        </w:rPr>
        <w:t xml:space="preserve"> available to the management board of a (target) company under the Luxembourg Law of 19 May 2006 on takeover bids</w:t>
      </w:r>
      <w:r w:rsidR="00CC311E">
        <w:rPr>
          <w:rFonts w:ascii="Times New Roman" w:hAnsi="Times New Roman"/>
        </w:rPr>
        <w:t>”</w:t>
      </w:r>
      <w:r w:rsidRPr="00822FF6">
        <w:rPr>
          <w:rFonts w:ascii="Times New Roman" w:hAnsi="Times New Roman"/>
        </w:rPr>
        <w:t xml:space="preserve"> </w:t>
      </w:r>
      <w:r w:rsidRPr="00822FF6">
        <w:rPr>
          <w:rFonts w:ascii="Times New Roman" w:hAnsi="Times New Roman"/>
          <w:i/>
          <w:iCs/>
        </w:rPr>
        <w:t>Droit Bancaire et Financier au Luxembourg</w:t>
      </w:r>
      <w:r w:rsidR="00822FF6">
        <w:rPr>
          <w:rFonts w:ascii="Times New Roman" w:hAnsi="Times New Roman"/>
          <w:i/>
          <w:iCs/>
        </w:rPr>
        <w:t>,</w:t>
      </w:r>
      <w:r w:rsidRPr="00822FF6">
        <w:rPr>
          <w:rFonts w:ascii="Times New Roman" w:hAnsi="Times New Roman"/>
        </w:rPr>
        <w:t xml:space="preserve"> Vol</w:t>
      </w:r>
      <w:r w:rsidR="00822FF6">
        <w:rPr>
          <w:rFonts w:ascii="Times New Roman" w:hAnsi="Times New Roman"/>
        </w:rPr>
        <w:t>ume</w:t>
      </w:r>
      <w:r w:rsidRPr="00822FF6">
        <w:rPr>
          <w:rFonts w:ascii="Times New Roman" w:hAnsi="Times New Roman"/>
        </w:rPr>
        <w:t xml:space="preserve"> IV, 2014</w:t>
      </w:r>
      <w:r w:rsidRPr="00822FF6">
        <w:rPr>
          <w:rFonts w:ascii="Times New Roman" w:hAnsi="Times New Roman"/>
        </w:rPr>
        <w:t>,</w:t>
      </w:r>
      <w:r w:rsidRPr="00822FF6">
        <w:rPr>
          <w:rFonts w:ascii="Times New Roman" w:hAnsi="Times New Roman"/>
        </w:rPr>
        <w:t xml:space="preserve"> 1956.</w:t>
      </w:r>
    </w:p>
  </w:footnote>
  <w:footnote w:id="7">
    <w:p w14:paraId="7517CA1B" w14:textId="1ABF822C" w:rsidR="00957561" w:rsidRPr="00822FF6" w:rsidRDefault="00957561" w:rsidP="00957561">
      <w:pPr>
        <w:pStyle w:val="FootnoteText"/>
        <w:rPr>
          <w:rFonts w:ascii="Times New Roman" w:hAnsi="Times New Roman"/>
        </w:rPr>
      </w:pPr>
      <w:r w:rsidRPr="00822FF6">
        <w:rPr>
          <w:rStyle w:val="FootnoteReference"/>
          <w:rFonts w:ascii="Times New Roman" w:hAnsi="Times New Roman"/>
        </w:rPr>
        <w:footnoteRef/>
      </w:r>
      <w:r w:rsidRPr="00822FF6">
        <w:rPr>
          <w:rFonts w:ascii="Times New Roman" w:hAnsi="Times New Roman"/>
        </w:rPr>
        <w:t xml:space="preserve"> A. Steichen</w:t>
      </w:r>
      <w:r w:rsidRPr="00822FF6">
        <w:rPr>
          <w:rFonts w:ascii="Times New Roman" w:hAnsi="Times New Roman"/>
        </w:rPr>
        <w:t>,</w:t>
      </w:r>
      <w:r w:rsidRPr="00822FF6">
        <w:rPr>
          <w:rFonts w:ascii="Times New Roman" w:hAnsi="Times New Roman"/>
        </w:rPr>
        <w:t xml:space="preserve"> </w:t>
      </w:r>
      <w:r w:rsidRPr="00822FF6">
        <w:rPr>
          <w:rFonts w:ascii="Times New Roman" w:hAnsi="Times New Roman"/>
          <w:i/>
          <w:iCs/>
        </w:rPr>
        <w:t>Précis de droit des sociétés</w:t>
      </w:r>
      <w:r w:rsidRPr="00822FF6">
        <w:rPr>
          <w:rFonts w:ascii="Times New Roman" w:hAnsi="Times New Roman"/>
        </w:rPr>
        <w:t xml:space="preserve"> </w:t>
      </w:r>
      <w:r w:rsidRPr="00822FF6">
        <w:rPr>
          <w:rFonts w:ascii="Times New Roman" w:hAnsi="Times New Roman"/>
        </w:rPr>
        <w:t>(</w:t>
      </w:r>
      <w:r w:rsidRPr="00822FF6">
        <w:rPr>
          <w:rFonts w:ascii="Times New Roman" w:hAnsi="Times New Roman"/>
        </w:rPr>
        <w:t>6</w:t>
      </w:r>
      <w:r w:rsidRPr="00822FF6">
        <w:rPr>
          <w:rFonts w:ascii="Times New Roman" w:hAnsi="Times New Roman"/>
        </w:rPr>
        <w:t>th</w:t>
      </w:r>
      <w:r w:rsidRPr="00822FF6">
        <w:rPr>
          <w:rFonts w:ascii="Times New Roman" w:hAnsi="Times New Roman"/>
        </w:rPr>
        <w:t xml:space="preserve"> </w:t>
      </w:r>
      <w:r w:rsidRPr="00822FF6">
        <w:rPr>
          <w:rFonts w:ascii="Times New Roman" w:hAnsi="Times New Roman"/>
        </w:rPr>
        <w:t>edn)</w:t>
      </w:r>
      <w:r w:rsidRPr="00822FF6">
        <w:rPr>
          <w:rFonts w:ascii="Times New Roman" w:hAnsi="Times New Roman"/>
        </w:rPr>
        <w:t xml:space="preserve"> </w:t>
      </w:r>
      <w:r w:rsidRPr="00822FF6">
        <w:rPr>
          <w:rFonts w:ascii="Times New Roman" w:hAnsi="Times New Roman"/>
        </w:rPr>
        <w:t>(</w:t>
      </w:r>
      <w:r w:rsidR="00822FF6" w:rsidRPr="00822FF6">
        <w:rPr>
          <w:rFonts w:ascii="Times New Roman" w:hAnsi="Times New Roman"/>
        </w:rPr>
        <w:t xml:space="preserve">Larcier/Intersentia, </w:t>
      </w:r>
      <w:r w:rsidRPr="00822FF6">
        <w:rPr>
          <w:rFonts w:ascii="Times New Roman" w:hAnsi="Times New Roman"/>
        </w:rPr>
        <w:t>2018</w:t>
      </w:r>
      <w:r w:rsidR="00822FF6" w:rsidRPr="00822FF6">
        <w:rPr>
          <w:rFonts w:ascii="Times New Roman" w:hAnsi="Times New Roman"/>
        </w:rPr>
        <w:t>)</w:t>
      </w:r>
      <w:r w:rsidRPr="00822FF6">
        <w:rPr>
          <w:rFonts w:ascii="Times New Roman" w:hAnsi="Times New Roman"/>
        </w:rPr>
        <w:t>, 453.</w:t>
      </w:r>
    </w:p>
  </w:footnote>
  <w:footnote w:id="8">
    <w:p w14:paraId="2CB15A88" w14:textId="7DADF7DB" w:rsidR="00957561" w:rsidRPr="00822FF6" w:rsidRDefault="00957561" w:rsidP="00957561">
      <w:pPr>
        <w:pStyle w:val="FootnoteText"/>
        <w:rPr>
          <w:rFonts w:ascii="Times New Roman" w:hAnsi="Times New Roman"/>
        </w:rPr>
      </w:pPr>
      <w:r w:rsidRPr="00822FF6">
        <w:rPr>
          <w:rStyle w:val="FootnoteReference"/>
          <w:rFonts w:ascii="Times New Roman" w:hAnsi="Times New Roman"/>
        </w:rPr>
        <w:footnoteRef/>
      </w:r>
      <w:r w:rsidRPr="00822FF6">
        <w:rPr>
          <w:rStyle w:val="FootnoteReference"/>
          <w:rFonts w:ascii="Times New Roman" w:hAnsi="Times New Roman"/>
        </w:rPr>
        <w:t xml:space="preserve"> </w:t>
      </w:r>
      <w:r w:rsidRPr="00822FF6">
        <w:rPr>
          <w:rFonts w:ascii="Times New Roman" w:hAnsi="Times New Roman"/>
        </w:rPr>
        <w:t>Idem</w:t>
      </w:r>
      <w:r w:rsidRPr="00822FF6">
        <w:rPr>
          <w:rFonts w:ascii="Times New Roman" w:hAnsi="Times New Roman"/>
        </w:rPr>
        <w:t xml:space="preserve">. </w:t>
      </w:r>
    </w:p>
  </w:footnote>
  <w:footnote w:id="9">
    <w:p w14:paraId="2AEADC77" w14:textId="3B2789DF" w:rsidR="00957561" w:rsidRPr="00822FF6" w:rsidRDefault="00957561" w:rsidP="00957561">
      <w:pPr>
        <w:pStyle w:val="FootnoteText"/>
        <w:rPr>
          <w:rFonts w:ascii="Times New Roman" w:hAnsi="Times New Roman"/>
        </w:rPr>
      </w:pPr>
      <w:r w:rsidRPr="00822FF6">
        <w:rPr>
          <w:rStyle w:val="FootnoteReference"/>
          <w:rFonts w:ascii="Times New Roman" w:hAnsi="Times New Roman"/>
        </w:rPr>
        <w:footnoteRef/>
      </w:r>
      <w:r w:rsidRPr="00822FF6">
        <w:rPr>
          <w:rStyle w:val="FootnoteReference"/>
          <w:rFonts w:ascii="Times New Roman" w:hAnsi="Times New Roman"/>
        </w:rPr>
        <w:t xml:space="preserve"> </w:t>
      </w:r>
      <w:r w:rsidRPr="00822FF6">
        <w:rPr>
          <w:rFonts w:ascii="Times New Roman" w:hAnsi="Times New Roman"/>
        </w:rPr>
        <w:t>F. Magnus</w:t>
      </w:r>
      <w:r w:rsidR="00822FF6" w:rsidRPr="00822FF6">
        <w:rPr>
          <w:rFonts w:ascii="Times New Roman" w:hAnsi="Times New Roman"/>
        </w:rPr>
        <w:t>,</w:t>
      </w:r>
      <w:r w:rsidRPr="00822FF6">
        <w:rPr>
          <w:rFonts w:ascii="Times New Roman" w:hAnsi="Times New Roman"/>
        </w:rPr>
        <w:t xml:space="preserve"> </w:t>
      </w:r>
      <w:r w:rsidR="00CC311E">
        <w:rPr>
          <w:rFonts w:ascii="Times New Roman" w:hAnsi="Times New Roman"/>
        </w:rPr>
        <w:t>“</w:t>
      </w:r>
      <w:r w:rsidRPr="00822FF6">
        <w:rPr>
          <w:rFonts w:ascii="Times New Roman" w:hAnsi="Times New Roman"/>
        </w:rPr>
        <w:t>Appréciation des contours de l</w:t>
      </w:r>
      <w:r w:rsidR="00CC311E">
        <w:rPr>
          <w:rFonts w:ascii="Times New Roman" w:hAnsi="Times New Roman"/>
        </w:rPr>
        <w:t>’</w:t>
      </w:r>
      <w:r w:rsidRPr="00822FF6">
        <w:rPr>
          <w:rFonts w:ascii="Times New Roman" w:hAnsi="Times New Roman"/>
        </w:rPr>
        <w:t>intérêt social: regard critique à travers les enseignements tirés des notions d</w:t>
      </w:r>
      <w:r w:rsidR="00CC311E">
        <w:rPr>
          <w:rFonts w:ascii="Times New Roman" w:hAnsi="Times New Roman"/>
        </w:rPr>
        <w:t>’”</w:t>
      </w:r>
      <w:r w:rsidRPr="00822FF6">
        <w:rPr>
          <w:rFonts w:ascii="Times New Roman" w:hAnsi="Times New Roman"/>
        </w:rPr>
        <w:t>intérêt de groupe</w:t>
      </w:r>
      <w:r w:rsidR="00CC311E">
        <w:rPr>
          <w:rFonts w:ascii="Times New Roman" w:hAnsi="Times New Roman"/>
        </w:rPr>
        <w:t>”</w:t>
      </w:r>
      <w:r w:rsidRPr="00822FF6">
        <w:rPr>
          <w:rFonts w:ascii="Times New Roman" w:hAnsi="Times New Roman"/>
        </w:rPr>
        <w:t xml:space="preserve"> et d</w:t>
      </w:r>
      <w:r w:rsidR="00CC311E">
        <w:rPr>
          <w:rFonts w:ascii="Times New Roman" w:hAnsi="Times New Roman"/>
        </w:rPr>
        <w:t>’”</w:t>
      </w:r>
      <w:r w:rsidRPr="00822FF6">
        <w:rPr>
          <w:rFonts w:ascii="Times New Roman" w:hAnsi="Times New Roman"/>
        </w:rPr>
        <w:t>avantages anormaux ou bénévoles</w:t>
      </w:r>
      <w:r w:rsidR="00CC311E">
        <w:rPr>
          <w:rFonts w:ascii="Times New Roman" w:hAnsi="Times New Roman"/>
        </w:rPr>
        <w:t>”“</w:t>
      </w:r>
      <w:r w:rsidRPr="00822FF6">
        <w:rPr>
          <w:rFonts w:ascii="Times New Roman" w:hAnsi="Times New Roman"/>
        </w:rPr>
        <w:t xml:space="preserve">, </w:t>
      </w:r>
      <w:r w:rsidRPr="00822FF6">
        <w:rPr>
          <w:rFonts w:ascii="Times New Roman" w:hAnsi="Times New Roman"/>
          <w:i/>
          <w:iCs/>
        </w:rPr>
        <w:t>Revue Pratique des Sociétés</w:t>
      </w:r>
      <w:r w:rsidRPr="00822FF6">
        <w:rPr>
          <w:rFonts w:ascii="Times New Roman" w:hAnsi="Times New Roman"/>
        </w:rPr>
        <w:t>, n° 7057, 2011/3, 327.</w:t>
      </w:r>
    </w:p>
  </w:footnote>
  <w:footnote w:id="10">
    <w:p w14:paraId="0F187888" w14:textId="6D0C73AE" w:rsidR="00957561" w:rsidRPr="00822FF6" w:rsidRDefault="00957561" w:rsidP="00957561">
      <w:pPr>
        <w:pStyle w:val="FootnoteText"/>
        <w:rPr>
          <w:rFonts w:ascii="Times New Roman" w:hAnsi="Times New Roman"/>
        </w:rPr>
      </w:pPr>
      <w:r w:rsidRPr="00822FF6">
        <w:rPr>
          <w:rStyle w:val="FootnoteReference"/>
          <w:rFonts w:ascii="Times New Roman" w:hAnsi="Times New Roman"/>
        </w:rPr>
        <w:footnoteRef/>
      </w:r>
      <w:r w:rsidRPr="00822FF6">
        <w:rPr>
          <w:rFonts w:ascii="Times New Roman" w:hAnsi="Times New Roman"/>
        </w:rPr>
        <w:t xml:space="preserve"> Steichen</w:t>
      </w:r>
      <w:r w:rsidR="00822FF6">
        <w:rPr>
          <w:rFonts w:ascii="Times New Roman" w:hAnsi="Times New Roman"/>
        </w:rPr>
        <w:t xml:space="preserve"> (above note 7)</w:t>
      </w:r>
      <w:r w:rsidRPr="00822FF6">
        <w:rPr>
          <w:rFonts w:ascii="Times New Roman" w:hAnsi="Times New Roman"/>
        </w:rPr>
        <w:t>, 290.</w:t>
      </w:r>
    </w:p>
  </w:footnote>
  <w:footnote w:id="11">
    <w:p w14:paraId="38D4AED5" w14:textId="21B22970" w:rsidR="00957561" w:rsidRPr="00822FF6" w:rsidRDefault="00957561" w:rsidP="00957561">
      <w:pPr>
        <w:pStyle w:val="FootnoteText"/>
        <w:rPr>
          <w:rFonts w:ascii="Times New Roman" w:hAnsi="Times New Roman"/>
        </w:rPr>
      </w:pPr>
      <w:r w:rsidRPr="00822FF6">
        <w:rPr>
          <w:rStyle w:val="FootnoteReference"/>
          <w:rFonts w:ascii="Times New Roman" w:hAnsi="Times New Roman"/>
        </w:rPr>
        <w:footnoteRef/>
      </w:r>
      <w:r w:rsidRPr="00822FF6">
        <w:rPr>
          <w:rFonts w:ascii="Times New Roman" w:hAnsi="Times New Roman"/>
        </w:rPr>
        <w:t xml:space="preserve"> </w:t>
      </w:r>
      <w:r w:rsidRPr="00822FF6">
        <w:rPr>
          <w:rFonts w:ascii="Times New Roman" w:hAnsi="Times New Roman"/>
        </w:rPr>
        <w:t xml:space="preserve">Ibid., </w:t>
      </w:r>
      <w:r w:rsidRPr="00822FF6">
        <w:rPr>
          <w:rFonts w:ascii="Times New Roman" w:hAnsi="Times New Roman"/>
        </w:rPr>
        <w:t>453.</w:t>
      </w:r>
    </w:p>
  </w:footnote>
  <w:footnote w:id="12">
    <w:p w14:paraId="5243E869" w14:textId="730A3000" w:rsidR="00957561" w:rsidRPr="00822FF6" w:rsidRDefault="00957561" w:rsidP="00957561">
      <w:pPr>
        <w:pStyle w:val="FootnoteText"/>
        <w:rPr>
          <w:rFonts w:ascii="Times New Roman" w:hAnsi="Times New Roman"/>
        </w:rPr>
      </w:pPr>
      <w:r w:rsidRPr="00822FF6">
        <w:rPr>
          <w:rStyle w:val="FootnoteReference"/>
          <w:rFonts w:ascii="Times New Roman" w:hAnsi="Times New Roman"/>
        </w:rPr>
        <w:footnoteRef/>
      </w:r>
      <w:r w:rsidRPr="00822FF6">
        <w:rPr>
          <w:rFonts w:ascii="Times New Roman" w:hAnsi="Times New Roman"/>
        </w:rPr>
        <w:t xml:space="preserve"> </w:t>
      </w:r>
      <w:r w:rsidRPr="00822FF6">
        <w:rPr>
          <w:rFonts w:ascii="Times New Roman" w:hAnsi="Times New Roman"/>
        </w:rPr>
        <w:t xml:space="preserve">Ibid., </w:t>
      </w:r>
      <w:r w:rsidRPr="00822FF6">
        <w:rPr>
          <w:rFonts w:ascii="Times New Roman" w:hAnsi="Times New Roman"/>
        </w:rPr>
        <w:t>282.</w:t>
      </w:r>
    </w:p>
  </w:footnote>
  <w:footnote w:id="13">
    <w:p w14:paraId="1237E57B" w14:textId="2BE9D9E5" w:rsidR="00957561" w:rsidRPr="00822FF6" w:rsidRDefault="00957561" w:rsidP="00957561">
      <w:pPr>
        <w:pStyle w:val="FootnoteText"/>
        <w:rPr>
          <w:rFonts w:ascii="Times New Roman" w:hAnsi="Times New Roman"/>
        </w:rPr>
      </w:pPr>
      <w:r w:rsidRPr="00822FF6">
        <w:rPr>
          <w:rStyle w:val="FootnoteReference"/>
          <w:rFonts w:ascii="Times New Roman" w:hAnsi="Times New Roman"/>
        </w:rPr>
        <w:footnoteRef/>
      </w:r>
      <w:r w:rsidRPr="00822FF6">
        <w:rPr>
          <w:rFonts w:ascii="Times New Roman" w:hAnsi="Times New Roman"/>
        </w:rPr>
        <w:t xml:space="preserve"> Types</w:t>
      </w:r>
      <w:r w:rsidR="00822FF6">
        <w:rPr>
          <w:rFonts w:ascii="Times New Roman" w:hAnsi="Times New Roman"/>
        </w:rPr>
        <w:t xml:space="preserve"> of</w:t>
      </w:r>
      <w:r w:rsidRPr="00822FF6">
        <w:rPr>
          <w:rFonts w:ascii="Times New Roman" w:hAnsi="Times New Roman"/>
        </w:rPr>
        <w:t xml:space="preserve"> liability that arises from such breach are briefly mentioned below in Part 2(B)(4).</w:t>
      </w:r>
    </w:p>
  </w:footnote>
  <w:footnote w:id="14">
    <w:p w14:paraId="056B514A" w14:textId="02B940B4" w:rsidR="00957561" w:rsidRPr="00822FF6" w:rsidRDefault="00957561" w:rsidP="00957561">
      <w:pPr>
        <w:pStyle w:val="FootnoteText"/>
        <w:rPr>
          <w:rFonts w:ascii="Times New Roman" w:hAnsi="Times New Roman"/>
          <w:highlight w:val="yellow"/>
        </w:rPr>
      </w:pPr>
      <w:r w:rsidRPr="00822FF6">
        <w:rPr>
          <w:rStyle w:val="FootnoteReference"/>
          <w:rFonts w:ascii="Times New Roman" w:hAnsi="Times New Roman"/>
        </w:rPr>
        <w:footnoteRef/>
      </w:r>
      <w:r w:rsidRPr="00822FF6">
        <w:rPr>
          <w:rFonts w:ascii="Times New Roman" w:hAnsi="Times New Roman"/>
        </w:rPr>
        <w:t xml:space="preserve"> </w:t>
      </w:r>
      <w:r w:rsidR="00822FF6" w:rsidRPr="00822FF6">
        <w:rPr>
          <w:rFonts w:ascii="Times New Roman" w:hAnsi="Times New Roman"/>
        </w:rPr>
        <w:t>Steichen</w:t>
      </w:r>
      <w:r w:rsidR="00822FF6">
        <w:rPr>
          <w:rFonts w:ascii="Times New Roman" w:hAnsi="Times New Roman"/>
        </w:rPr>
        <w:t xml:space="preserve"> (above note 7)</w:t>
      </w:r>
      <w:r w:rsidR="00822FF6" w:rsidRPr="00822FF6">
        <w:rPr>
          <w:rFonts w:ascii="Times New Roman" w:hAnsi="Times New Roman"/>
        </w:rPr>
        <w:t xml:space="preserve">, </w:t>
      </w:r>
      <w:r w:rsidRPr="00822FF6">
        <w:rPr>
          <w:rFonts w:ascii="Times New Roman" w:hAnsi="Times New Roman"/>
        </w:rPr>
        <w:t>282.</w:t>
      </w:r>
    </w:p>
  </w:footnote>
  <w:footnote w:id="15">
    <w:p w14:paraId="011A40CE" w14:textId="0B1EB0F4" w:rsidR="00957561" w:rsidRPr="00822FF6" w:rsidRDefault="00957561" w:rsidP="00957561">
      <w:pPr>
        <w:spacing w:after="0"/>
        <w:rPr>
          <w:rFonts w:ascii="Times New Roman" w:hAnsi="Times New Roman"/>
          <w:sz w:val="20"/>
        </w:rPr>
      </w:pPr>
      <w:r w:rsidRPr="00822FF6">
        <w:rPr>
          <w:rStyle w:val="FootnoteReference"/>
          <w:rFonts w:ascii="Times New Roman" w:hAnsi="Times New Roman"/>
          <w:sz w:val="20"/>
        </w:rPr>
        <w:footnoteRef/>
      </w:r>
      <w:r w:rsidRPr="00822FF6">
        <w:rPr>
          <w:rFonts w:ascii="Times New Roman" w:hAnsi="Times New Roman"/>
          <w:sz w:val="20"/>
        </w:rPr>
        <w:t xml:space="preserve"> X. Dieux and D. Wilermain</w:t>
      </w:r>
      <w:r w:rsidR="00822FF6">
        <w:rPr>
          <w:rFonts w:ascii="Times New Roman" w:hAnsi="Times New Roman"/>
          <w:sz w:val="20"/>
        </w:rPr>
        <w:t>,</w:t>
      </w:r>
      <w:r w:rsidRPr="00822FF6">
        <w:rPr>
          <w:rFonts w:ascii="Times New Roman" w:hAnsi="Times New Roman"/>
          <w:sz w:val="20"/>
        </w:rPr>
        <w:t xml:space="preserve"> </w:t>
      </w:r>
      <w:r w:rsidR="00CC311E">
        <w:rPr>
          <w:rFonts w:ascii="Times New Roman" w:hAnsi="Times New Roman"/>
          <w:sz w:val="20"/>
        </w:rPr>
        <w:t>“</w:t>
      </w:r>
      <w:r w:rsidRPr="00822FF6">
        <w:rPr>
          <w:rFonts w:ascii="Times New Roman" w:hAnsi="Times New Roman"/>
          <w:sz w:val="20"/>
        </w:rPr>
        <w:t>L</w:t>
      </w:r>
      <w:r w:rsidR="00CC311E">
        <w:rPr>
          <w:rFonts w:ascii="Times New Roman" w:hAnsi="Times New Roman"/>
          <w:sz w:val="20"/>
        </w:rPr>
        <w:t>’</w:t>
      </w:r>
      <w:r w:rsidRPr="00822FF6">
        <w:rPr>
          <w:rFonts w:ascii="Times New Roman" w:hAnsi="Times New Roman"/>
          <w:sz w:val="20"/>
        </w:rPr>
        <w:t>acquisition de l</w:t>
      </w:r>
      <w:r w:rsidR="00CC311E">
        <w:rPr>
          <w:rFonts w:ascii="Times New Roman" w:hAnsi="Times New Roman"/>
          <w:sz w:val="20"/>
        </w:rPr>
        <w:t>’</w:t>
      </w:r>
      <w:r w:rsidRPr="00822FF6">
        <w:rPr>
          <w:rFonts w:ascii="Times New Roman" w:hAnsi="Times New Roman"/>
          <w:sz w:val="20"/>
        </w:rPr>
        <w:t>entreprise par les cadres, actualisation des contraintes applicables à ce type d</w:t>
      </w:r>
      <w:r w:rsidR="00CC311E">
        <w:rPr>
          <w:rFonts w:ascii="Times New Roman" w:hAnsi="Times New Roman"/>
          <w:sz w:val="20"/>
        </w:rPr>
        <w:t>’</w:t>
      </w:r>
      <w:r w:rsidRPr="00822FF6">
        <w:rPr>
          <w:rFonts w:ascii="Times New Roman" w:hAnsi="Times New Roman"/>
          <w:sz w:val="20"/>
        </w:rPr>
        <w:t>opérations, au regard du droit des sociétés commerciales</w:t>
      </w:r>
      <w:r w:rsidR="00CC311E">
        <w:rPr>
          <w:rFonts w:ascii="Times New Roman" w:hAnsi="Times New Roman"/>
          <w:sz w:val="20"/>
        </w:rPr>
        <w:t>”</w:t>
      </w:r>
      <w:r w:rsidRPr="00822FF6">
        <w:rPr>
          <w:rFonts w:ascii="Times New Roman" w:hAnsi="Times New Roman"/>
          <w:sz w:val="20"/>
        </w:rPr>
        <w:t xml:space="preserve">, </w:t>
      </w:r>
      <w:r w:rsidRPr="00822FF6">
        <w:rPr>
          <w:rFonts w:ascii="Times New Roman" w:hAnsi="Times New Roman"/>
          <w:i/>
          <w:iCs/>
          <w:sz w:val="20"/>
        </w:rPr>
        <w:t>Actualités en droit des affaires</w:t>
      </w:r>
      <w:r w:rsidRPr="00822FF6">
        <w:rPr>
          <w:rFonts w:ascii="Times New Roman" w:hAnsi="Times New Roman"/>
          <w:sz w:val="20"/>
        </w:rPr>
        <w:t xml:space="preserve"> </w:t>
      </w:r>
      <w:r w:rsidR="00822FF6">
        <w:rPr>
          <w:rFonts w:ascii="Times New Roman" w:hAnsi="Times New Roman"/>
          <w:sz w:val="20"/>
        </w:rPr>
        <w:t>(</w:t>
      </w:r>
      <w:r w:rsidRPr="00822FF6">
        <w:rPr>
          <w:rFonts w:ascii="Times New Roman" w:hAnsi="Times New Roman"/>
          <w:sz w:val="20"/>
        </w:rPr>
        <w:t>Vanham &amp; Vanham, 2003</w:t>
      </w:r>
      <w:r w:rsidR="00822FF6">
        <w:rPr>
          <w:rFonts w:ascii="Times New Roman" w:hAnsi="Times New Roman"/>
          <w:sz w:val="20"/>
        </w:rPr>
        <w:t>)</w:t>
      </w:r>
      <w:r w:rsidRPr="00822FF6">
        <w:rPr>
          <w:rFonts w:ascii="Times New Roman" w:hAnsi="Times New Roman"/>
          <w:sz w:val="20"/>
        </w:rPr>
        <w:t xml:space="preserve">, 212; J. M. van Hille and N. François, </w:t>
      </w:r>
      <w:r w:rsidRPr="00822FF6">
        <w:rPr>
          <w:rFonts w:ascii="Times New Roman" w:hAnsi="Times New Roman"/>
          <w:i/>
          <w:iCs/>
          <w:sz w:val="20"/>
        </w:rPr>
        <w:t>La société anonyme, aspects juridiques et pratiques</w:t>
      </w:r>
      <w:r w:rsidRPr="00822FF6">
        <w:rPr>
          <w:rFonts w:ascii="Times New Roman" w:hAnsi="Times New Roman"/>
          <w:sz w:val="20"/>
        </w:rPr>
        <w:t xml:space="preserve"> </w:t>
      </w:r>
      <w:r w:rsidR="00822FF6">
        <w:rPr>
          <w:rFonts w:ascii="Times New Roman" w:hAnsi="Times New Roman"/>
          <w:sz w:val="20"/>
        </w:rPr>
        <w:t>(</w:t>
      </w:r>
      <w:r w:rsidRPr="00822FF6">
        <w:rPr>
          <w:rFonts w:ascii="Times New Roman" w:hAnsi="Times New Roman"/>
          <w:sz w:val="20"/>
        </w:rPr>
        <w:t>Bruylant, 1992</w:t>
      </w:r>
      <w:r w:rsidR="00822FF6">
        <w:rPr>
          <w:rFonts w:ascii="Times New Roman" w:hAnsi="Times New Roman"/>
          <w:sz w:val="20"/>
        </w:rPr>
        <w:t>)</w:t>
      </w:r>
      <w:r w:rsidRPr="00822FF6">
        <w:rPr>
          <w:rFonts w:ascii="Times New Roman" w:hAnsi="Times New Roman"/>
          <w:sz w:val="20"/>
        </w:rPr>
        <w:t xml:space="preserve">, 73. </w:t>
      </w:r>
    </w:p>
  </w:footnote>
  <w:footnote w:id="16">
    <w:p w14:paraId="6734C5CC" w14:textId="0279E1D9" w:rsidR="00957561" w:rsidRPr="00822FF6" w:rsidRDefault="00957561" w:rsidP="00957561">
      <w:pPr>
        <w:pStyle w:val="FootnoteText"/>
        <w:rPr>
          <w:rFonts w:ascii="Times New Roman" w:hAnsi="Times New Roman"/>
        </w:rPr>
      </w:pPr>
      <w:r w:rsidRPr="00822FF6">
        <w:rPr>
          <w:rStyle w:val="FootnoteReference"/>
          <w:rFonts w:ascii="Times New Roman" w:hAnsi="Times New Roman"/>
        </w:rPr>
        <w:footnoteRef/>
      </w:r>
      <w:r w:rsidRPr="00822FF6">
        <w:rPr>
          <w:rFonts w:ascii="Times New Roman" w:hAnsi="Times New Roman"/>
        </w:rPr>
        <w:t xml:space="preserve"> Art. 100-2</w:t>
      </w:r>
      <w:r w:rsidR="00822FF6">
        <w:rPr>
          <w:rFonts w:ascii="Times New Roman" w:hAnsi="Times New Roman"/>
        </w:rPr>
        <w:t>,</w:t>
      </w:r>
      <w:r w:rsidRPr="00822FF6">
        <w:rPr>
          <w:rFonts w:ascii="Times New Roman" w:hAnsi="Times New Roman"/>
        </w:rPr>
        <w:t xml:space="preserve"> Companies Law.</w:t>
      </w:r>
    </w:p>
  </w:footnote>
  <w:footnote w:id="17">
    <w:p w14:paraId="6E950E55" w14:textId="110C9061" w:rsidR="00957561" w:rsidRPr="00822FF6" w:rsidRDefault="00957561" w:rsidP="00957561">
      <w:pPr>
        <w:pStyle w:val="FootnoteText"/>
        <w:rPr>
          <w:rFonts w:ascii="Times New Roman" w:hAnsi="Times New Roman"/>
        </w:rPr>
      </w:pPr>
      <w:r w:rsidRPr="00822FF6">
        <w:rPr>
          <w:rStyle w:val="FootnoteReference"/>
          <w:rFonts w:ascii="Times New Roman" w:hAnsi="Times New Roman"/>
        </w:rPr>
        <w:footnoteRef/>
      </w:r>
      <w:r w:rsidRPr="00822FF6">
        <w:rPr>
          <w:rFonts w:ascii="Times New Roman" w:hAnsi="Times New Roman"/>
        </w:rPr>
        <w:t xml:space="preserve"> </w:t>
      </w:r>
      <w:r w:rsidR="00822FF6" w:rsidRPr="00822FF6">
        <w:rPr>
          <w:rFonts w:ascii="Times New Roman" w:hAnsi="Times New Roman"/>
        </w:rPr>
        <w:t>Steichen</w:t>
      </w:r>
      <w:r w:rsidR="00822FF6">
        <w:rPr>
          <w:rFonts w:ascii="Times New Roman" w:hAnsi="Times New Roman"/>
        </w:rPr>
        <w:t xml:space="preserve"> (above note 7)</w:t>
      </w:r>
      <w:r w:rsidR="00822FF6" w:rsidRPr="00822FF6">
        <w:rPr>
          <w:rFonts w:ascii="Times New Roman" w:hAnsi="Times New Roman"/>
        </w:rPr>
        <w:t xml:space="preserve">, </w:t>
      </w:r>
      <w:r w:rsidRPr="00822FF6">
        <w:rPr>
          <w:rFonts w:ascii="Times New Roman" w:hAnsi="Times New Roman"/>
        </w:rPr>
        <w:t>285.</w:t>
      </w:r>
    </w:p>
  </w:footnote>
  <w:footnote w:id="18">
    <w:p w14:paraId="6753B568" w14:textId="18EB4725" w:rsidR="00957561" w:rsidRPr="00822FF6" w:rsidRDefault="00957561" w:rsidP="00957561">
      <w:pPr>
        <w:pStyle w:val="FootnoteText"/>
        <w:rPr>
          <w:rFonts w:ascii="Times New Roman" w:hAnsi="Times New Roman"/>
        </w:rPr>
      </w:pPr>
      <w:r w:rsidRPr="00822FF6">
        <w:rPr>
          <w:rStyle w:val="FootnoteReference"/>
          <w:rFonts w:ascii="Times New Roman" w:hAnsi="Times New Roman"/>
        </w:rPr>
        <w:footnoteRef/>
      </w:r>
      <w:r w:rsidRPr="00822FF6">
        <w:rPr>
          <w:rFonts w:ascii="Times New Roman" w:hAnsi="Times New Roman"/>
        </w:rPr>
        <w:t xml:space="preserve"> </w:t>
      </w:r>
      <w:r w:rsidR="00822FF6">
        <w:rPr>
          <w:rFonts w:ascii="Times New Roman" w:hAnsi="Times New Roman"/>
        </w:rPr>
        <w:t xml:space="preserve">Ibid., </w:t>
      </w:r>
      <w:r w:rsidRPr="00822FF6">
        <w:rPr>
          <w:rFonts w:ascii="Times New Roman" w:hAnsi="Times New Roman"/>
        </w:rPr>
        <w:t>286.</w:t>
      </w:r>
    </w:p>
  </w:footnote>
  <w:footnote w:id="19">
    <w:p w14:paraId="11635198" w14:textId="42F3FBFD" w:rsidR="00957561" w:rsidRPr="00822FF6" w:rsidRDefault="00957561" w:rsidP="00957561">
      <w:pPr>
        <w:pStyle w:val="FootnoteText"/>
        <w:rPr>
          <w:rFonts w:ascii="Times New Roman" w:hAnsi="Times New Roman"/>
        </w:rPr>
      </w:pPr>
      <w:r w:rsidRPr="00822FF6">
        <w:rPr>
          <w:rStyle w:val="FootnoteReference"/>
          <w:rFonts w:ascii="Times New Roman" w:hAnsi="Times New Roman"/>
        </w:rPr>
        <w:footnoteRef/>
      </w:r>
      <w:r w:rsidRPr="00822FF6">
        <w:rPr>
          <w:rFonts w:ascii="Times New Roman" w:hAnsi="Times New Roman"/>
        </w:rPr>
        <w:t xml:space="preserve"> Payen and Brouxel</w:t>
      </w:r>
      <w:r w:rsidR="00822FF6">
        <w:rPr>
          <w:rFonts w:ascii="Times New Roman" w:hAnsi="Times New Roman"/>
        </w:rPr>
        <w:t xml:space="preserve"> (above note 6),</w:t>
      </w:r>
      <w:r w:rsidRPr="00822FF6">
        <w:rPr>
          <w:rFonts w:ascii="Times New Roman" w:hAnsi="Times New Roman"/>
        </w:rPr>
        <w:t xml:space="preserve"> 1967.</w:t>
      </w:r>
    </w:p>
  </w:footnote>
  <w:footnote w:id="20">
    <w:p w14:paraId="2A3DDC88" w14:textId="77777777" w:rsidR="00957561" w:rsidRPr="00822FF6" w:rsidRDefault="00957561" w:rsidP="00957561">
      <w:pPr>
        <w:pStyle w:val="FootnoteText"/>
        <w:rPr>
          <w:rFonts w:ascii="Times New Roman" w:hAnsi="Times New Roman"/>
        </w:rPr>
      </w:pPr>
      <w:r w:rsidRPr="00822FF6">
        <w:rPr>
          <w:rStyle w:val="FootnoteReference"/>
          <w:rFonts w:ascii="Times New Roman" w:hAnsi="Times New Roman"/>
        </w:rPr>
        <w:footnoteRef/>
      </w:r>
      <w:r w:rsidRPr="00822FF6">
        <w:rPr>
          <w:rFonts w:ascii="Times New Roman" w:hAnsi="Times New Roman"/>
        </w:rPr>
        <w:t xml:space="preserve"> Liability of the directors is outside the scope of this article and is only briefly mentioned.</w:t>
      </w:r>
    </w:p>
  </w:footnote>
  <w:footnote w:id="21">
    <w:p w14:paraId="22421C9C" w14:textId="0DB0EB61" w:rsidR="00957561" w:rsidRPr="00822FF6" w:rsidRDefault="00957561" w:rsidP="00957561">
      <w:pPr>
        <w:spacing w:after="0"/>
        <w:rPr>
          <w:rFonts w:ascii="Times New Roman" w:hAnsi="Times New Roman"/>
          <w:sz w:val="20"/>
        </w:rPr>
      </w:pPr>
      <w:r w:rsidRPr="00822FF6">
        <w:rPr>
          <w:rStyle w:val="FootnoteReference"/>
          <w:rFonts w:ascii="Times New Roman" w:hAnsi="Times New Roman"/>
          <w:sz w:val="20"/>
        </w:rPr>
        <w:footnoteRef/>
      </w:r>
      <w:r w:rsidRPr="00822FF6">
        <w:rPr>
          <w:rFonts w:ascii="Times New Roman" w:hAnsi="Times New Roman"/>
          <w:sz w:val="20"/>
        </w:rPr>
        <w:t xml:space="preserve"> Decision of the Luxembourg District Court dated 13 May 2002, roll Nos 66466 and 66486; Steichen</w:t>
      </w:r>
      <w:r w:rsidR="00822FF6">
        <w:rPr>
          <w:rFonts w:ascii="Times New Roman" w:hAnsi="Times New Roman"/>
          <w:sz w:val="20"/>
        </w:rPr>
        <w:t xml:space="preserve"> (above note 7), </w:t>
      </w:r>
      <w:r w:rsidRPr="00822FF6">
        <w:rPr>
          <w:rFonts w:ascii="Times New Roman" w:hAnsi="Times New Roman"/>
          <w:sz w:val="20"/>
        </w:rPr>
        <w:t>285.</w:t>
      </w:r>
    </w:p>
  </w:footnote>
  <w:footnote w:id="22">
    <w:p w14:paraId="5D503FEC" w14:textId="0072FACF" w:rsidR="00957561" w:rsidRPr="00822FF6" w:rsidRDefault="00957561" w:rsidP="00957561">
      <w:pPr>
        <w:spacing w:after="0"/>
        <w:rPr>
          <w:rFonts w:ascii="Times New Roman" w:hAnsi="Times New Roman"/>
          <w:sz w:val="20"/>
        </w:rPr>
      </w:pPr>
      <w:r w:rsidRPr="00822FF6">
        <w:rPr>
          <w:rStyle w:val="FootnoteReference"/>
          <w:rFonts w:ascii="Times New Roman" w:hAnsi="Times New Roman"/>
          <w:sz w:val="20"/>
        </w:rPr>
        <w:footnoteRef/>
      </w:r>
      <w:r w:rsidRPr="00822FF6">
        <w:rPr>
          <w:rFonts w:ascii="Times New Roman" w:hAnsi="Times New Roman"/>
          <w:sz w:val="20"/>
        </w:rPr>
        <w:t xml:space="preserve"> van Hille and François</w:t>
      </w:r>
      <w:r w:rsidR="00822FF6">
        <w:rPr>
          <w:rFonts w:ascii="Times New Roman" w:hAnsi="Times New Roman"/>
          <w:sz w:val="20"/>
        </w:rPr>
        <w:t xml:space="preserve"> (above note 15)</w:t>
      </w:r>
      <w:r w:rsidRPr="00822FF6">
        <w:rPr>
          <w:rFonts w:ascii="Times New Roman" w:hAnsi="Times New Roman"/>
          <w:sz w:val="20"/>
        </w:rPr>
        <w:t>, 73; G. Nyatanyi and G Smets</w:t>
      </w:r>
      <w:r w:rsidR="00822FF6">
        <w:rPr>
          <w:rFonts w:ascii="Times New Roman" w:hAnsi="Times New Roman"/>
          <w:sz w:val="20"/>
        </w:rPr>
        <w:t>,</w:t>
      </w:r>
      <w:r w:rsidRPr="00822FF6">
        <w:rPr>
          <w:rFonts w:ascii="Times New Roman" w:hAnsi="Times New Roman"/>
          <w:sz w:val="20"/>
        </w:rPr>
        <w:t xml:space="preserve"> </w:t>
      </w:r>
      <w:r w:rsidR="00CC311E">
        <w:rPr>
          <w:rFonts w:ascii="Times New Roman" w:hAnsi="Times New Roman"/>
          <w:sz w:val="20"/>
        </w:rPr>
        <w:t>“</w:t>
      </w:r>
      <w:r w:rsidRPr="00822FF6">
        <w:rPr>
          <w:rFonts w:ascii="Times New Roman" w:hAnsi="Times New Roman"/>
          <w:sz w:val="20"/>
        </w:rPr>
        <w:t>Corporate Interest under Belgian Law: A Practical Approach</w:t>
      </w:r>
      <w:r w:rsidR="00CC311E">
        <w:rPr>
          <w:rFonts w:ascii="Times New Roman" w:hAnsi="Times New Roman"/>
          <w:sz w:val="20"/>
        </w:rPr>
        <w:t>”</w:t>
      </w:r>
      <w:r w:rsidRPr="00822FF6">
        <w:rPr>
          <w:rFonts w:ascii="Times New Roman" w:hAnsi="Times New Roman"/>
          <w:sz w:val="20"/>
        </w:rPr>
        <w:t xml:space="preserve"> </w:t>
      </w:r>
      <w:r w:rsidRPr="00822FF6">
        <w:rPr>
          <w:rFonts w:ascii="Times New Roman" w:hAnsi="Times New Roman"/>
          <w:i/>
          <w:iCs/>
          <w:sz w:val="20"/>
        </w:rPr>
        <w:t>Forum Financier/Droit Bancaire Et Financier</w:t>
      </w:r>
      <w:r w:rsidRPr="00822FF6">
        <w:rPr>
          <w:rFonts w:ascii="Times New Roman" w:hAnsi="Times New Roman"/>
          <w:sz w:val="20"/>
        </w:rPr>
        <w:t>, Vol</w:t>
      </w:r>
      <w:r w:rsidR="00822FF6">
        <w:rPr>
          <w:rFonts w:ascii="Times New Roman" w:hAnsi="Times New Roman"/>
          <w:sz w:val="20"/>
        </w:rPr>
        <w:t>ume</w:t>
      </w:r>
      <w:r w:rsidRPr="00822FF6">
        <w:rPr>
          <w:rFonts w:ascii="Times New Roman" w:hAnsi="Times New Roman"/>
          <w:sz w:val="20"/>
        </w:rPr>
        <w:t xml:space="preserve"> III, 2008, 161.</w:t>
      </w:r>
    </w:p>
  </w:footnote>
  <w:footnote w:id="23">
    <w:p w14:paraId="6AB123DD" w14:textId="630FB304" w:rsidR="00957561" w:rsidRPr="00822FF6" w:rsidRDefault="00957561" w:rsidP="00957561">
      <w:pPr>
        <w:pStyle w:val="FootnoteText"/>
        <w:rPr>
          <w:rFonts w:ascii="Times New Roman" w:hAnsi="Times New Roman"/>
        </w:rPr>
      </w:pPr>
      <w:r w:rsidRPr="00822FF6">
        <w:rPr>
          <w:rStyle w:val="FootnoteReference"/>
          <w:rFonts w:ascii="Times New Roman" w:hAnsi="Times New Roman"/>
        </w:rPr>
        <w:footnoteRef/>
      </w:r>
      <w:r w:rsidRPr="00822FF6">
        <w:rPr>
          <w:rFonts w:ascii="Times New Roman" w:hAnsi="Times New Roman"/>
        </w:rPr>
        <w:t xml:space="preserve"> </w:t>
      </w:r>
      <w:r w:rsidR="00822FF6" w:rsidRPr="00822FF6">
        <w:rPr>
          <w:rFonts w:ascii="Times New Roman" w:hAnsi="Times New Roman"/>
        </w:rPr>
        <w:t>Payen and Brouxel</w:t>
      </w:r>
      <w:r w:rsidR="00822FF6">
        <w:rPr>
          <w:rFonts w:ascii="Times New Roman" w:hAnsi="Times New Roman"/>
        </w:rPr>
        <w:t xml:space="preserve"> (above note 6),</w:t>
      </w:r>
      <w:r w:rsidR="00822FF6" w:rsidRPr="00822FF6">
        <w:rPr>
          <w:rFonts w:ascii="Times New Roman" w:hAnsi="Times New Roman"/>
        </w:rPr>
        <w:t xml:space="preserve"> </w:t>
      </w:r>
      <w:r w:rsidRPr="00822FF6">
        <w:rPr>
          <w:rFonts w:ascii="Times New Roman" w:hAnsi="Times New Roman"/>
        </w:rPr>
        <w:t>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0D0DD" w14:textId="5044880E" w:rsidR="00BF3D3E" w:rsidRPr="00C2522B" w:rsidRDefault="00BF3D3E" w:rsidP="00C2522B">
    <w:pPr>
      <w:pStyle w:val="Header"/>
      <w:spacing w:after="0"/>
      <w:rPr>
        <w:rFonts w:ascii="Arial" w:hAnsi="Arial" w:cs="Arial"/>
        <w:b/>
      </w:rPr>
    </w:pPr>
    <w:r w:rsidRPr="00C2522B">
      <w:rPr>
        <w:rFonts w:ascii="Arial" w:hAnsi="Arial" w:cs="Arial"/>
        <w:b/>
      </w:rPr>
      <w:t>Inside Story (</w:t>
    </w:r>
    <w:r w:rsidR="00957561">
      <w:rPr>
        <w:rFonts w:ascii="Arial" w:hAnsi="Arial" w:cs="Arial"/>
        <w:b/>
      </w:rPr>
      <w:t>May</w:t>
    </w:r>
    <w:r w:rsidR="0091176A">
      <w:rPr>
        <w:rFonts w:ascii="Arial" w:hAnsi="Arial" w:cs="Arial"/>
        <w:b/>
      </w:rPr>
      <w:t xml:space="preserve"> </w:t>
    </w:r>
    <w:r w:rsidR="003666A0">
      <w:rPr>
        <w:rFonts w:ascii="Arial" w:hAnsi="Arial" w:cs="Arial"/>
        <w:b/>
      </w:rPr>
      <w:t>20</w:t>
    </w:r>
    <w:r w:rsidR="0091176A">
      <w:rPr>
        <w:rFonts w:ascii="Arial" w:hAnsi="Arial" w:cs="Arial"/>
        <w:b/>
      </w:rPr>
      <w:t>2</w:t>
    </w:r>
    <w:r w:rsidR="007A6A9C">
      <w:rPr>
        <w:rFonts w:ascii="Arial" w:hAnsi="Arial" w:cs="Arial"/>
        <w:b/>
      </w:rPr>
      <w:t>4</w:t>
    </w:r>
    <w:r w:rsidRPr="00C2522B">
      <w:rPr>
        <w:rFonts w:ascii="Arial" w:hAnsi="Arial" w:cs="Arial"/>
        <w:b/>
      </w:rPr>
      <w:t>)</w:t>
    </w:r>
  </w:p>
  <w:p w14:paraId="5CB97EE8" w14:textId="5E820FCC" w:rsidR="00BF3D3E" w:rsidRPr="00C2522B" w:rsidRDefault="00957561" w:rsidP="00C2522B">
    <w:pPr>
      <w:pStyle w:val="Header"/>
      <w:spacing w:after="0"/>
      <w:rPr>
        <w:rFonts w:ascii="Arial" w:hAnsi="Arial" w:cs="Arial"/>
        <w:b/>
      </w:rPr>
    </w:pPr>
    <w:r>
      <w:rPr>
        <w:rFonts w:ascii="Arial" w:hAnsi="Arial" w:cs="Arial"/>
        <w:b/>
      </w:rPr>
      <w:t>Sofia Polykandrioti and Michael Scott</w:t>
    </w:r>
    <w:r w:rsidR="00C54799">
      <w:rPr>
        <w:rFonts w:ascii="Arial" w:hAnsi="Arial" w:cs="Arial"/>
        <w:b/>
      </w:rPr>
      <w:t xml:space="preserve"> </w:t>
    </w:r>
    <w:r w:rsidR="00BF3D3E" w:rsidRPr="00C2522B">
      <w:rPr>
        <w:rFonts w:ascii="Arial" w:hAnsi="Arial" w:cs="Arial"/>
        <w:b/>
      </w:rPr>
      <w:t>(</w:t>
    </w:r>
    <w:r>
      <w:rPr>
        <w:rFonts w:ascii="Arial" w:hAnsi="Arial" w:cs="Arial"/>
        <w:b/>
      </w:rPr>
      <w:t>Luxembourg</w:t>
    </w:r>
    <w:r w:rsidR="00BF3D3E" w:rsidRPr="00C2522B">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4C0028"/>
    <w:multiLevelType w:val="hybridMultilevel"/>
    <w:tmpl w:val="84C4C65C"/>
    <w:lvl w:ilvl="0" w:tplc="FB9429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A61827"/>
    <w:multiLevelType w:val="hybridMultilevel"/>
    <w:tmpl w:val="AB50B442"/>
    <w:lvl w:ilvl="0" w:tplc="B1D6D3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DC34B1"/>
    <w:multiLevelType w:val="hybridMultilevel"/>
    <w:tmpl w:val="5342A5BA"/>
    <w:lvl w:ilvl="0" w:tplc="9CB073E4">
      <w:start w:val="1"/>
      <w:numFmt w:val="lowerRoman"/>
      <w:lvlText w:val="(%1)"/>
      <w:lvlJc w:val="left"/>
      <w:pPr>
        <w:ind w:left="1080" w:hanging="72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FD51AF6"/>
    <w:multiLevelType w:val="hybridMultilevel"/>
    <w:tmpl w:val="B9022BA4"/>
    <w:lvl w:ilvl="0" w:tplc="A6B027E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A346E6"/>
    <w:multiLevelType w:val="hybridMultilevel"/>
    <w:tmpl w:val="B41ABC24"/>
    <w:lvl w:ilvl="0" w:tplc="59E651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5311D3F"/>
    <w:multiLevelType w:val="hybridMultilevel"/>
    <w:tmpl w:val="C8A861C2"/>
    <w:lvl w:ilvl="0" w:tplc="5DF886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4"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6" w15:restartNumberingAfterBreak="0">
    <w:nsid w:val="22CC14E4"/>
    <w:multiLevelType w:val="hybridMultilevel"/>
    <w:tmpl w:val="FEC8FD36"/>
    <w:lvl w:ilvl="0" w:tplc="9D28ACC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F73AA4"/>
    <w:multiLevelType w:val="hybridMultilevel"/>
    <w:tmpl w:val="728E40E8"/>
    <w:lvl w:ilvl="0" w:tplc="8FDA2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9" w15:restartNumberingAfterBreak="0">
    <w:nsid w:val="2D4279FE"/>
    <w:multiLevelType w:val="hybridMultilevel"/>
    <w:tmpl w:val="08D4FB38"/>
    <w:lvl w:ilvl="0" w:tplc="0A8AC87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39396F67"/>
    <w:multiLevelType w:val="hybridMultilevel"/>
    <w:tmpl w:val="4D2C20BE"/>
    <w:lvl w:ilvl="0" w:tplc="AF5E50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AD09AE"/>
    <w:multiLevelType w:val="hybridMultilevel"/>
    <w:tmpl w:val="5C14ECCC"/>
    <w:lvl w:ilvl="0" w:tplc="01CC4D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2A73270"/>
    <w:multiLevelType w:val="hybridMultilevel"/>
    <w:tmpl w:val="43FA641C"/>
    <w:lvl w:ilvl="0" w:tplc="9A460E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8"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A7E3738"/>
    <w:multiLevelType w:val="hybridMultilevel"/>
    <w:tmpl w:val="445AB9E4"/>
    <w:lvl w:ilvl="0" w:tplc="C400D77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DCE51A2"/>
    <w:multiLevelType w:val="hybridMultilevel"/>
    <w:tmpl w:val="EB2EC86A"/>
    <w:lvl w:ilvl="0" w:tplc="733EAF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abstractNum w:abstractNumId="34" w15:restartNumberingAfterBreak="0">
    <w:nsid w:val="799A6CA3"/>
    <w:multiLevelType w:val="hybridMultilevel"/>
    <w:tmpl w:val="8EE08D98"/>
    <w:lvl w:ilvl="0" w:tplc="A8FC5864">
      <w:start w:val="1"/>
      <w:numFmt w:val="lowerRoman"/>
      <w:lvlText w:val="(%1)"/>
      <w:lvlJc w:val="left"/>
      <w:pPr>
        <w:ind w:left="1080" w:hanging="72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7"/>
  </w:num>
  <w:num w:numId="3">
    <w:abstractNumId w:val="31"/>
  </w:num>
  <w:num w:numId="4">
    <w:abstractNumId w:val="15"/>
  </w:num>
  <w:num w:numId="5">
    <w:abstractNumId w:val="18"/>
  </w:num>
  <w:num w:numId="6">
    <w:abstractNumId w:val="33"/>
  </w:num>
  <w:num w:numId="7">
    <w:abstractNumId w:val="0"/>
  </w:num>
  <w:num w:numId="8">
    <w:abstractNumId w:val="11"/>
  </w:num>
  <w:num w:numId="9">
    <w:abstractNumId w:val="2"/>
  </w:num>
  <w:num w:numId="10">
    <w:abstractNumId w:val="1"/>
  </w:num>
  <w:num w:numId="11">
    <w:abstractNumId w:val="28"/>
  </w:num>
  <w:num w:numId="12">
    <w:abstractNumId w:val="10"/>
  </w:num>
  <w:num w:numId="13">
    <w:abstractNumId w:val="27"/>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7"/>
  </w:num>
  <w:num w:numId="21">
    <w:abstractNumId w:val="31"/>
  </w:num>
  <w:num w:numId="22">
    <w:abstractNumId w:val="18"/>
  </w:num>
  <w:num w:numId="23">
    <w:abstractNumId w:val="15"/>
  </w:num>
  <w:num w:numId="24">
    <w:abstractNumId w:val="29"/>
  </w:num>
  <w:num w:numId="25">
    <w:abstractNumId w:val="23"/>
  </w:num>
  <w:num w:numId="26">
    <w:abstractNumId w:val="26"/>
  </w:num>
  <w:num w:numId="27">
    <w:abstractNumId w:val="22"/>
  </w:num>
  <w:num w:numId="28">
    <w:abstractNumId w:val="25"/>
  </w:num>
  <w:num w:numId="29">
    <w:abstractNumId w:val="6"/>
  </w:num>
  <w:num w:numId="30">
    <w:abstractNumId w:val="14"/>
  </w:num>
  <w:num w:numId="31">
    <w:abstractNumId w:val="4"/>
  </w:num>
  <w:num w:numId="32">
    <w:abstractNumId w:val="17"/>
  </w:num>
  <w:num w:numId="33">
    <w:abstractNumId w:val="24"/>
  </w:num>
  <w:num w:numId="34">
    <w:abstractNumId w:val="34"/>
  </w:num>
  <w:num w:numId="35">
    <w:abstractNumId w:val="5"/>
  </w:num>
  <w:num w:numId="36">
    <w:abstractNumId w:val="3"/>
  </w:num>
  <w:num w:numId="37">
    <w:abstractNumId w:val="21"/>
  </w:num>
  <w:num w:numId="38">
    <w:abstractNumId w:val="32"/>
  </w:num>
  <w:num w:numId="39">
    <w:abstractNumId w:val="20"/>
  </w:num>
  <w:num w:numId="40">
    <w:abstractNumId w:val="12"/>
  </w:num>
  <w:num w:numId="41">
    <w:abstractNumId w:val="30"/>
  </w:num>
  <w:num w:numId="42">
    <w:abstractNumId w:val="8"/>
  </w:num>
  <w:num w:numId="43">
    <w:abstractNumId w:val="19"/>
  </w:num>
  <w:num w:numId="44">
    <w:abstractNumId w:val="9"/>
  </w:num>
  <w:num w:numId="45">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33C5"/>
    <w:rsid w:val="00001C5A"/>
    <w:rsid w:val="000033DF"/>
    <w:rsid w:val="000126E6"/>
    <w:rsid w:val="00086E49"/>
    <w:rsid w:val="000921F0"/>
    <w:rsid w:val="00092307"/>
    <w:rsid w:val="000C4532"/>
    <w:rsid w:val="000D3C8B"/>
    <w:rsid w:val="001258A8"/>
    <w:rsid w:val="00127C4A"/>
    <w:rsid w:val="00141375"/>
    <w:rsid w:val="00145356"/>
    <w:rsid w:val="001835B2"/>
    <w:rsid w:val="001934CC"/>
    <w:rsid w:val="001A713B"/>
    <w:rsid w:val="001B33AD"/>
    <w:rsid w:val="001C5080"/>
    <w:rsid w:val="001D3A90"/>
    <w:rsid w:val="001E0189"/>
    <w:rsid w:val="001F119D"/>
    <w:rsid w:val="00247BAC"/>
    <w:rsid w:val="00276632"/>
    <w:rsid w:val="00280030"/>
    <w:rsid w:val="002E09E9"/>
    <w:rsid w:val="002E481E"/>
    <w:rsid w:val="003021B6"/>
    <w:rsid w:val="003217E3"/>
    <w:rsid w:val="0032563F"/>
    <w:rsid w:val="00340FF0"/>
    <w:rsid w:val="003518FD"/>
    <w:rsid w:val="003666A0"/>
    <w:rsid w:val="00367985"/>
    <w:rsid w:val="00395D89"/>
    <w:rsid w:val="00396E5A"/>
    <w:rsid w:val="003978ED"/>
    <w:rsid w:val="003C284E"/>
    <w:rsid w:val="003C69AB"/>
    <w:rsid w:val="003E3EAC"/>
    <w:rsid w:val="00404D9A"/>
    <w:rsid w:val="00415AEE"/>
    <w:rsid w:val="00415DDB"/>
    <w:rsid w:val="00434808"/>
    <w:rsid w:val="00437BFE"/>
    <w:rsid w:val="00440CF8"/>
    <w:rsid w:val="004433C5"/>
    <w:rsid w:val="00470254"/>
    <w:rsid w:val="00484F6D"/>
    <w:rsid w:val="004B3FED"/>
    <w:rsid w:val="004D1D7E"/>
    <w:rsid w:val="004F57B8"/>
    <w:rsid w:val="00535342"/>
    <w:rsid w:val="00557280"/>
    <w:rsid w:val="00557A0F"/>
    <w:rsid w:val="00560963"/>
    <w:rsid w:val="005764A7"/>
    <w:rsid w:val="00577785"/>
    <w:rsid w:val="00593E77"/>
    <w:rsid w:val="005D0DB7"/>
    <w:rsid w:val="005D6C09"/>
    <w:rsid w:val="005D783E"/>
    <w:rsid w:val="005D79E3"/>
    <w:rsid w:val="005E7C6B"/>
    <w:rsid w:val="00617533"/>
    <w:rsid w:val="00623598"/>
    <w:rsid w:val="006441B0"/>
    <w:rsid w:val="00652135"/>
    <w:rsid w:val="00673BB3"/>
    <w:rsid w:val="00694350"/>
    <w:rsid w:val="006D0A86"/>
    <w:rsid w:val="006E7E8D"/>
    <w:rsid w:val="00703D03"/>
    <w:rsid w:val="00707113"/>
    <w:rsid w:val="0070753F"/>
    <w:rsid w:val="00740F50"/>
    <w:rsid w:val="00772427"/>
    <w:rsid w:val="00790DFB"/>
    <w:rsid w:val="007A6A9C"/>
    <w:rsid w:val="007C4484"/>
    <w:rsid w:val="007D5F6C"/>
    <w:rsid w:val="007E1590"/>
    <w:rsid w:val="00807744"/>
    <w:rsid w:val="00822FF6"/>
    <w:rsid w:val="008432D1"/>
    <w:rsid w:val="00847988"/>
    <w:rsid w:val="00867725"/>
    <w:rsid w:val="00876BCD"/>
    <w:rsid w:val="00877CBB"/>
    <w:rsid w:val="00886023"/>
    <w:rsid w:val="009069C9"/>
    <w:rsid w:val="0091176A"/>
    <w:rsid w:val="00933B42"/>
    <w:rsid w:val="0093601D"/>
    <w:rsid w:val="00957561"/>
    <w:rsid w:val="00976F27"/>
    <w:rsid w:val="00977889"/>
    <w:rsid w:val="0098305D"/>
    <w:rsid w:val="009B5E68"/>
    <w:rsid w:val="009E51C4"/>
    <w:rsid w:val="009F52F0"/>
    <w:rsid w:val="00A0599F"/>
    <w:rsid w:val="00A14E9E"/>
    <w:rsid w:val="00A34959"/>
    <w:rsid w:val="00A3654A"/>
    <w:rsid w:val="00A81F5B"/>
    <w:rsid w:val="00AA741E"/>
    <w:rsid w:val="00AD3470"/>
    <w:rsid w:val="00AD6AE4"/>
    <w:rsid w:val="00B10912"/>
    <w:rsid w:val="00B40F88"/>
    <w:rsid w:val="00B46BCC"/>
    <w:rsid w:val="00BA1EF1"/>
    <w:rsid w:val="00BC4C0D"/>
    <w:rsid w:val="00BD0697"/>
    <w:rsid w:val="00BE6DD9"/>
    <w:rsid w:val="00BF3D3E"/>
    <w:rsid w:val="00C16DFA"/>
    <w:rsid w:val="00C2522B"/>
    <w:rsid w:val="00C35464"/>
    <w:rsid w:val="00C54799"/>
    <w:rsid w:val="00C76A78"/>
    <w:rsid w:val="00C96534"/>
    <w:rsid w:val="00CC311E"/>
    <w:rsid w:val="00CE09C4"/>
    <w:rsid w:val="00D31877"/>
    <w:rsid w:val="00D32C99"/>
    <w:rsid w:val="00D6291C"/>
    <w:rsid w:val="00DA2CAE"/>
    <w:rsid w:val="00DE5F99"/>
    <w:rsid w:val="00DF7344"/>
    <w:rsid w:val="00E007BF"/>
    <w:rsid w:val="00E2501C"/>
    <w:rsid w:val="00E37A5D"/>
    <w:rsid w:val="00E53ABF"/>
    <w:rsid w:val="00EB6116"/>
    <w:rsid w:val="00EC1075"/>
    <w:rsid w:val="00ED21A7"/>
    <w:rsid w:val="00F20AC6"/>
    <w:rsid w:val="00F36532"/>
    <w:rsid w:val="00F55F2D"/>
    <w:rsid w:val="00F77372"/>
    <w:rsid w:val="00F90C01"/>
    <w:rsid w:val="00FB7C3C"/>
    <w:rsid w:val="00FD1151"/>
    <w:rsid w:val="00FF6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15:docId w15:val="{C6CF86BC-64A4-4E45-B73D-2A7622E7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styleId="UnresolvedMention">
    <w:name w:val="Unresolved Mention"/>
    <w:basedOn w:val="DefaultParagraphFont"/>
    <w:uiPriority w:val="99"/>
    <w:semiHidden/>
    <w:unhideWhenUsed/>
    <w:rsid w:val="00D32C99"/>
    <w:rPr>
      <w:color w:val="808080"/>
      <w:shd w:val="clear" w:color="auto" w:fill="E6E6E6"/>
    </w:rPr>
  </w:style>
  <w:style w:type="paragraph" w:styleId="NormalWeb">
    <w:name w:val="Normal (Web)"/>
    <w:basedOn w:val="Normal"/>
    <w:uiPriority w:val="99"/>
    <w:semiHidden/>
    <w:unhideWhenUsed/>
    <w:rsid w:val="00BD0697"/>
    <w:pPr>
      <w:spacing w:before="100" w:beforeAutospacing="1" w:after="100" w:afterAutospacing="1"/>
      <w:jc w:val="left"/>
    </w:pPr>
    <w:rPr>
      <w:rFonts w:ascii="Times New Roman" w:hAnsi="Times New Roman"/>
      <w:sz w:val="24"/>
      <w:szCs w:val="24"/>
      <w:lang w:val="hu-HU" w:eastAsia="hu-HU"/>
    </w:rPr>
  </w:style>
  <w:style w:type="paragraph" w:customStyle="1" w:styleId="Body">
    <w:name w:val="Body"/>
    <w:rsid w:val="00C54799"/>
    <w:rPr>
      <w:rFonts w:ascii="Times New Roman" w:eastAsia="Arial Unicode MS" w:hAnsi="Times New Roman" w:cs="Arial Unicode MS"/>
      <w:color w:val="000000"/>
      <w:sz w:val="20"/>
      <w:szCs w:val="20"/>
      <w:u w:color="000000"/>
      <w:lang w:val="en-US"/>
    </w:rPr>
  </w:style>
  <w:style w:type="paragraph" w:customStyle="1" w:styleId="FootnoteText1">
    <w:name w:val="Footnote Text1"/>
    <w:rsid w:val="00C54799"/>
    <w:rPr>
      <w:rFonts w:ascii="Times New Roman" w:hAnsi="Times New Roman"/>
      <w:color w:val="000000"/>
      <w:sz w:val="20"/>
      <w:szCs w:val="20"/>
      <w:u w:color="000000"/>
      <w:lang w:val="en-US"/>
    </w:rPr>
  </w:style>
  <w:style w:type="paragraph" w:styleId="NoSpacing">
    <w:name w:val="No Spacing"/>
    <w:qFormat/>
    <w:rsid w:val="00C54799"/>
    <w:rPr>
      <w:rFonts w:ascii="Calibri" w:eastAsia="Calibri" w:hAnsi="Calibri" w:cs="Calibri"/>
      <w:color w:val="000000"/>
      <w:sz w:val="22"/>
      <w:szCs w:val="22"/>
      <w:u w:color="000000"/>
      <w:lang w:val="de-DE"/>
    </w:rPr>
  </w:style>
  <w:style w:type="character" w:customStyle="1" w:styleId="rynqvb">
    <w:name w:val="rynqvb"/>
    <w:basedOn w:val="DefaultParagraphFont"/>
    <w:rsid w:val="0091176A"/>
  </w:style>
  <w:style w:type="character" w:customStyle="1" w:styleId="hwtze">
    <w:name w:val="hwtze"/>
    <w:basedOn w:val="DefaultParagraphFont"/>
    <w:rsid w:val="00911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7F1F3-6018-4BF7-8A6A-FE0D5D557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7</Pages>
  <Words>2922</Words>
  <Characters>16656</Characters>
  <Application>Microsoft Office Word</Application>
  <DocSecurity>0</DocSecurity>
  <PresentationFormat/>
  <Lines>138</Lines>
  <Paragraphs>39</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19539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17</cp:revision>
  <cp:lastPrinted>2017-11-20T20:14:00Z</cp:lastPrinted>
  <dcterms:created xsi:type="dcterms:W3CDTF">2018-03-28T10:47:00Z</dcterms:created>
  <dcterms:modified xsi:type="dcterms:W3CDTF">2024-05-01T13:22:00Z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