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77777777" w:rsidR="005D783E" w:rsidRPr="000B315F" w:rsidRDefault="005D783E" w:rsidP="00631F24">
      <w:pPr>
        <w:spacing w:after="0"/>
        <w:rPr>
          <w:rFonts w:ascii="Times New Roman" w:hAnsi="Times New Roman"/>
          <w:sz w:val="24"/>
          <w:szCs w:val="24"/>
        </w:rPr>
      </w:pPr>
    </w:p>
    <w:p w14:paraId="39E9118B" w14:textId="561C5F5A" w:rsidR="00617533" w:rsidRPr="000B315F" w:rsidRDefault="00492065" w:rsidP="00631F24">
      <w:pPr>
        <w:spacing w:after="0"/>
        <w:jc w:val="center"/>
        <w:rPr>
          <w:rFonts w:ascii="Times New Roman" w:hAnsi="Times New Roman"/>
          <w:b/>
          <w:sz w:val="24"/>
          <w:szCs w:val="24"/>
        </w:rPr>
      </w:pPr>
      <w:r w:rsidRPr="000B315F">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0B315F" w:rsidRDefault="00617533" w:rsidP="00631F24">
      <w:pPr>
        <w:spacing w:after="0"/>
        <w:jc w:val="center"/>
        <w:rPr>
          <w:rFonts w:ascii="Times New Roman" w:hAnsi="Times New Roman"/>
          <w:b/>
          <w:sz w:val="24"/>
          <w:szCs w:val="24"/>
        </w:rPr>
      </w:pPr>
    </w:p>
    <w:p w14:paraId="2C7EFD65" w14:textId="02791AB0" w:rsidR="00617533" w:rsidRPr="000B315F" w:rsidRDefault="00617533" w:rsidP="00631F24">
      <w:pPr>
        <w:spacing w:after="0"/>
        <w:jc w:val="center"/>
        <w:rPr>
          <w:rFonts w:ascii="Times New Roman" w:hAnsi="Times New Roman"/>
          <w:b/>
          <w:sz w:val="36"/>
          <w:szCs w:val="36"/>
        </w:rPr>
      </w:pPr>
      <w:r w:rsidRPr="000B315F">
        <w:rPr>
          <w:rFonts w:ascii="Times New Roman" w:hAnsi="Times New Roman"/>
          <w:b/>
          <w:sz w:val="36"/>
          <w:szCs w:val="36"/>
        </w:rPr>
        <w:t xml:space="preserve">Inside Story – </w:t>
      </w:r>
      <w:r w:rsidR="000B315F" w:rsidRPr="000B315F">
        <w:rPr>
          <w:rFonts w:ascii="Times New Roman" w:hAnsi="Times New Roman"/>
          <w:b/>
          <w:sz w:val="36"/>
          <w:szCs w:val="36"/>
        </w:rPr>
        <w:t>September</w:t>
      </w:r>
      <w:r w:rsidR="00492065" w:rsidRPr="000B315F">
        <w:rPr>
          <w:rFonts w:ascii="Times New Roman" w:hAnsi="Times New Roman"/>
          <w:b/>
          <w:sz w:val="36"/>
          <w:szCs w:val="36"/>
        </w:rPr>
        <w:t xml:space="preserve"> </w:t>
      </w:r>
      <w:r w:rsidRPr="000B315F">
        <w:rPr>
          <w:rFonts w:ascii="Times New Roman" w:hAnsi="Times New Roman"/>
          <w:b/>
          <w:sz w:val="36"/>
          <w:szCs w:val="36"/>
        </w:rPr>
        <w:t>20</w:t>
      </w:r>
      <w:r w:rsidR="00782731" w:rsidRPr="000B315F">
        <w:rPr>
          <w:rFonts w:ascii="Times New Roman" w:hAnsi="Times New Roman"/>
          <w:b/>
          <w:sz w:val="36"/>
          <w:szCs w:val="36"/>
        </w:rPr>
        <w:t>2</w:t>
      </w:r>
      <w:r w:rsidR="000B315F" w:rsidRPr="000B315F">
        <w:rPr>
          <w:rFonts w:ascii="Times New Roman" w:hAnsi="Times New Roman"/>
          <w:b/>
          <w:sz w:val="36"/>
          <w:szCs w:val="36"/>
        </w:rPr>
        <w:t>4</w:t>
      </w:r>
    </w:p>
    <w:p w14:paraId="1ECBC4F0" w14:textId="77777777" w:rsidR="00617533" w:rsidRPr="000B315F" w:rsidRDefault="00617533" w:rsidP="00631F24">
      <w:pPr>
        <w:spacing w:after="0"/>
        <w:jc w:val="center"/>
        <w:rPr>
          <w:rFonts w:ascii="Times New Roman" w:hAnsi="Times New Roman"/>
          <w:b/>
          <w:sz w:val="24"/>
          <w:szCs w:val="24"/>
        </w:rPr>
      </w:pPr>
    </w:p>
    <w:p w14:paraId="0A4EFC57" w14:textId="12BC6CCA" w:rsidR="00F36532" w:rsidRPr="000B315F" w:rsidRDefault="000B315F" w:rsidP="000B315F">
      <w:pPr>
        <w:spacing w:after="0"/>
        <w:jc w:val="center"/>
        <w:rPr>
          <w:rFonts w:ascii="Times New Roman" w:hAnsi="Times New Roman"/>
          <w:b/>
          <w:sz w:val="28"/>
          <w:szCs w:val="28"/>
          <w:lang w:val="en-US"/>
        </w:rPr>
      </w:pPr>
      <w:r w:rsidRPr="000B315F">
        <w:rPr>
          <w:rFonts w:ascii="Times New Roman" w:hAnsi="Times New Roman"/>
          <w:b/>
          <w:sz w:val="28"/>
          <w:szCs w:val="28"/>
          <w:lang w:val="en-US"/>
        </w:rPr>
        <w:t xml:space="preserve">Cross-Border Transaction Avoidance: The </w:t>
      </w:r>
      <w:r w:rsidRPr="000B315F">
        <w:rPr>
          <w:rFonts w:ascii="Times New Roman" w:hAnsi="Times New Roman"/>
          <w:b/>
          <w:sz w:val="28"/>
          <w:szCs w:val="28"/>
        </w:rPr>
        <w:t>Aktsiaselts METUS-EST</w:t>
      </w:r>
      <w:r w:rsidRPr="000B315F">
        <w:rPr>
          <w:rFonts w:ascii="Times New Roman" w:hAnsi="Times New Roman"/>
          <w:b/>
          <w:sz w:val="28"/>
          <w:szCs w:val="28"/>
        </w:rPr>
        <w:t xml:space="preserve"> case and the</w:t>
      </w:r>
      <w:r w:rsidRPr="000B315F">
        <w:rPr>
          <w:rFonts w:ascii="Times New Roman" w:hAnsi="Times New Roman"/>
          <w:b/>
          <w:sz w:val="28"/>
          <w:szCs w:val="28"/>
          <w:lang w:val="en-US"/>
        </w:rPr>
        <w:t xml:space="preserve"> Challenge to </w:t>
      </w:r>
      <w:r w:rsidR="00EA585B" w:rsidRPr="000B315F">
        <w:rPr>
          <w:rFonts w:ascii="Times New Roman" w:hAnsi="Times New Roman"/>
          <w:b/>
          <w:sz w:val="28"/>
          <w:szCs w:val="28"/>
          <w:lang w:val="en-US"/>
        </w:rPr>
        <w:t>Estonia</w:t>
      </w:r>
      <w:r w:rsidRPr="000B315F">
        <w:rPr>
          <w:rFonts w:ascii="Times New Roman" w:hAnsi="Times New Roman"/>
          <w:b/>
          <w:sz w:val="28"/>
          <w:szCs w:val="28"/>
          <w:lang w:val="en-US"/>
        </w:rPr>
        <w:t>n and Swedish Courts</w:t>
      </w:r>
    </w:p>
    <w:p w14:paraId="13333E38" w14:textId="77777777" w:rsidR="00617533" w:rsidRPr="000B315F" w:rsidRDefault="00617533" w:rsidP="00631F24">
      <w:pPr>
        <w:spacing w:after="0"/>
        <w:jc w:val="center"/>
        <w:rPr>
          <w:rFonts w:ascii="Times New Roman" w:hAnsi="Times New Roman"/>
          <w:b/>
          <w:sz w:val="24"/>
          <w:szCs w:val="24"/>
        </w:rPr>
      </w:pPr>
    </w:p>
    <w:p w14:paraId="2FE6AF0E" w14:textId="580746A7" w:rsidR="007A0387" w:rsidRPr="000B315F" w:rsidRDefault="00EA585B" w:rsidP="000B315F">
      <w:pPr>
        <w:spacing w:after="0"/>
        <w:jc w:val="center"/>
        <w:rPr>
          <w:rFonts w:ascii="Times New Roman" w:hAnsi="Times New Roman"/>
          <w:sz w:val="24"/>
          <w:szCs w:val="24"/>
        </w:rPr>
      </w:pPr>
      <w:r w:rsidRPr="000B315F">
        <w:rPr>
          <w:rFonts w:ascii="Times New Roman" w:hAnsi="Times New Roman"/>
          <w:sz w:val="24"/>
          <w:szCs w:val="24"/>
        </w:rPr>
        <w:t>Anto Kasak</w:t>
      </w:r>
      <w:r w:rsidR="00782731" w:rsidRPr="000B315F">
        <w:rPr>
          <w:rFonts w:ascii="Times New Roman" w:hAnsi="Times New Roman"/>
          <w:sz w:val="24"/>
          <w:szCs w:val="24"/>
        </w:rPr>
        <w:t xml:space="preserve">, </w:t>
      </w:r>
      <w:r w:rsidRPr="000B315F">
        <w:rPr>
          <w:rFonts w:ascii="Times New Roman" w:hAnsi="Times New Roman"/>
          <w:sz w:val="24"/>
          <w:szCs w:val="24"/>
        </w:rPr>
        <w:t>Partner, Kasak and Lepikson</w:t>
      </w:r>
      <w:r w:rsidR="00E0090D" w:rsidRPr="000B315F">
        <w:rPr>
          <w:rFonts w:ascii="Times New Roman" w:hAnsi="Times New Roman"/>
          <w:sz w:val="24"/>
          <w:szCs w:val="24"/>
        </w:rPr>
        <w:t xml:space="preserve"> Law Firm</w:t>
      </w:r>
      <w:r w:rsidRPr="000B315F">
        <w:rPr>
          <w:rFonts w:ascii="Times New Roman" w:hAnsi="Times New Roman"/>
          <w:sz w:val="24"/>
          <w:szCs w:val="24"/>
        </w:rPr>
        <w:t xml:space="preserve">; Lecturer, Tartu University, Estonia </w:t>
      </w:r>
      <w:r w:rsidR="007A0387" w:rsidRPr="000B315F">
        <w:rPr>
          <w:rFonts w:ascii="Times New Roman" w:hAnsi="Times New Roman"/>
          <w:sz w:val="24"/>
          <w:szCs w:val="24"/>
        </w:rPr>
        <w:t>&lt;</w:t>
      </w:r>
      <w:r w:rsidRPr="000B315F">
        <w:rPr>
          <w:rStyle w:val="Emphasis"/>
          <w:rFonts w:ascii="Times New Roman" w:hAnsi="Times New Roman"/>
          <w:i w:val="0"/>
          <w:iCs w:val="0"/>
          <w:sz w:val="24"/>
          <w:szCs w:val="24"/>
          <w:shd w:val="clear" w:color="auto" w:fill="FFFFFF"/>
        </w:rPr>
        <w:t>anto</w:t>
      </w:r>
      <w:r w:rsidR="00492065" w:rsidRPr="000B315F">
        <w:rPr>
          <w:rFonts w:ascii="Times New Roman" w:hAnsi="Times New Roman"/>
          <w:sz w:val="24"/>
          <w:szCs w:val="24"/>
          <w:shd w:val="clear" w:color="auto" w:fill="FFFFFF"/>
        </w:rPr>
        <w:t>@</w:t>
      </w:r>
      <w:r w:rsidRPr="000B315F">
        <w:rPr>
          <w:rStyle w:val="Emphasis"/>
          <w:rFonts w:ascii="Times New Roman" w:hAnsi="Times New Roman"/>
          <w:i w:val="0"/>
          <w:iCs w:val="0"/>
          <w:sz w:val="24"/>
          <w:szCs w:val="24"/>
          <w:shd w:val="clear" w:color="auto" w:fill="FFFFFF"/>
        </w:rPr>
        <w:t>kasaklepikson</w:t>
      </w:r>
      <w:r w:rsidR="00492065" w:rsidRPr="000B315F">
        <w:rPr>
          <w:rFonts w:ascii="Times New Roman" w:hAnsi="Times New Roman"/>
          <w:sz w:val="24"/>
          <w:szCs w:val="24"/>
          <w:shd w:val="clear" w:color="auto" w:fill="FFFFFF"/>
        </w:rPr>
        <w:t>.</w:t>
      </w:r>
      <w:r w:rsidRPr="000B315F">
        <w:rPr>
          <w:rFonts w:ascii="Times New Roman" w:hAnsi="Times New Roman"/>
          <w:sz w:val="24"/>
          <w:szCs w:val="24"/>
          <w:shd w:val="clear" w:color="auto" w:fill="FFFFFF"/>
        </w:rPr>
        <w:t>ee</w:t>
      </w:r>
      <w:r w:rsidR="007A0387" w:rsidRPr="000B315F">
        <w:rPr>
          <w:rFonts w:ascii="Times New Roman" w:hAnsi="Times New Roman"/>
          <w:sz w:val="24"/>
          <w:szCs w:val="24"/>
        </w:rPr>
        <w:t>&gt;</w:t>
      </w:r>
      <w:r w:rsidR="00492065" w:rsidRPr="000B315F">
        <w:rPr>
          <w:rFonts w:ascii="Times New Roman" w:hAnsi="Times New Roman"/>
          <w:sz w:val="24"/>
          <w:szCs w:val="24"/>
        </w:rPr>
        <w:t>.</w:t>
      </w:r>
    </w:p>
    <w:p w14:paraId="3FD67537" w14:textId="77777777" w:rsidR="005D783E" w:rsidRPr="000B315F" w:rsidRDefault="005D783E" w:rsidP="00631F24">
      <w:pPr>
        <w:spacing w:after="0"/>
        <w:rPr>
          <w:rFonts w:ascii="Times New Roman" w:hAnsi="Times New Roman"/>
          <w:sz w:val="24"/>
          <w:szCs w:val="24"/>
        </w:rPr>
      </w:pPr>
    </w:p>
    <w:p w14:paraId="215BA39D" w14:textId="77777777" w:rsidR="005D783E" w:rsidRPr="000B315F" w:rsidRDefault="005D783E" w:rsidP="00782731">
      <w:pPr>
        <w:spacing w:after="0"/>
        <w:rPr>
          <w:rFonts w:ascii="Times New Roman" w:hAnsi="Times New Roman"/>
          <w:i/>
          <w:sz w:val="24"/>
          <w:szCs w:val="24"/>
        </w:rPr>
      </w:pPr>
      <w:r w:rsidRPr="000B315F">
        <w:rPr>
          <w:rFonts w:ascii="Times New Roman" w:hAnsi="Times New Roman"/>
          <w:i/>
          <w:sz w:val="24"/>
          <w:szCs w:val="24"/>
        </w:rPr>
        <w:t>Introduction</w:t>
      </w:r>
    </w:p>
    <w:p w14:paraId="53A06F56" w14:textId="05E9B6C7" w:rsidR="00EA5386" w:rsidRPr="000B315F" w:rsidRDefault="00EA5386" w:rsidP="00EA585B">
      <w:pPr>
        <w:spacing w:after="0"/>
        <w:rPr>
          <w:rFonts w:ascii="Times New Roman" w:hAnsi="Times New Roman"/>
          <w:sz w:val="24"/>
          <w:szCs w:val="24"/>
        </w:rPr>
      </w:pPr>
    </w:p>
    <w:p w14:paraId="3A28C322" w14:textId="67D4D5A9" w:rsidR="000B315F" w:rsidRPr="000B315F" w:rsidRDefault="000B315F" w:rsidP="000B315F">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The </w:t>
      </w:r>
      <w:r w:rsidRPr="000B315F">
        <w:rPr>
          <w:rFonts w:ascii="Times New Roman" w:hAnsi="Times New Roman"/>
          <w:color w:val="000000"/>
          <w:sz w:val="24"/>
          <w:szCs w:val="24"/>
        </w:rPr>
        <w:t xml:space="preserve">Estonian Court declared the bankruptcy of </w:t>
      </w:r>
      <w:r w:rsidRPr="000B315F">
        <w:rPr>
          <w:rFonts w:ascii="Times New Roman" w:hAnsi="Times New Roman"/>
          <w:sz w:val="24"/>
          <w:szCs w:val="24"/>
        </w:rPr>
        <w:t>Aktsiaselts METUS-EST</w:t>
      </w:r>
      <w:r w:rsidRPr="000B315F">
        <w:rPr>
          <w:rFonts w:ascii="Times New Roman" w:hAnsi="Times New Roman"/>
          <w:color w:val="000000"/>
          <w:sz w:val="24"/>
          <w:szCs w:val="24"/>
        </w:rPr>
        <w:t xml:space="preserve"> (register code 10195826) on 5</w:t>
      </w:r>
      <w:r>
        <w:rPr>
          <w:rFonts w:ascii="Times New Roman" w:hAnsi="Times New Roman"/>
          <w:color w:val="000000"/>
          <w:sz w:val="24"/>
          <w:szCs w:val="24"/>
          <w:vertAlign w:val="superscript"/>
        </w:rPr>
        <w:t xml:space="preserve"> </w:t>
      </w:r>
      <w:r w:rsidRPr="000B315F">
        <w:rPr>
          <w:rFonts w:ascii="Times New Roman" w:hAnsi="Times New Roman"/>
          <w:color w:val="000000"/>
          <w:sz w:val="24"/>
          <w:szCs w:val="24"/>
        </w:rPr>
        <w:t xml:space="preserve">July 2023. </w:t>
      </w:r>
      <w:r>
        <w:rPr>
          <w:rFonts w:ascii="Times New Roman" w:hAnsi="Times New Roman"/>
          <w:color w:val="000000"/>
          <w:sz w:val="24"/>
          <w:szCs w:val="24"/>
        </w:rPr>
        <w:t xml:space="preserve">The </w:t>
      </w:r>
      <w:r w:rsidRPr="000B315F">
        <w:rPr>
          <w:rFonts w:ascii="Times New Roman" w:hAnsi="Times New Roman"/>
          <w:color w:val="000000"/>
          <w:sz w:val="24"/>
          <w:szCs w:val="24"/>
        </w:rPr>
        <w:t xml:space="preserve">Swedish court declared the bankruptcy of </w:t>
      </w:r>
      <w:r w:rsidRPr="000B315F">
        <w:rPr>
          <w:rFonts w:ascii="Times New Roman" w:hAnsi="Times New Roman"/>
          <w:sz w:val="24"/>
          <w:szCs w:val="24"/>
        </w:rPr>
        <w:t xml:space="preserve">MetuSweden </w:t>
      </w:r>
      <w:r w:rsidRPr="000B315F">
        <w:rPr>
          <w:rFonts w:ascii="Times New Roman" w:hAnsi="Times New Roman"/>
          <w:color w:val="000000"/>
          <w:sz w:val="24"/>
          <w:szCs w:val="24"/>
        </w:rPr>
        <w:t>AB (register code 556843-1281) on 2</w:t>
      </w:r>
      <w:r>
        <w:rPr>
          <w:rFonts w:ascii="Times New Roman" w:hAnsi="Times New Roman"/>
          <w:color w:val="000000"/>
          <w:sz w:val="24"/>
          <w:szCs w:val="24"/>
          <w:vertAlign w:val="superscript"/>
        </w:rPr>
        <w:t xml:space="preserve"> </w:t>
      </w:r>
      <w:r w:rsidRPr="000B315F">
        <w:rPr>
          <w:rFonts w:ascii="Times New Roman" w:hAnsi="Times New Roman"/>
          <w:color w:val="000000"/>
          <w:sz w:val="24"/>
          <w:szCs w:val="24"/>
        </w:rPr>
        <w:t xml:space="preserve">August 2023. </w:t>
      </w:r>
      <w:r w:rsidRPr="000B315F">
        <w:rPr>
          <w:rFonts w:ascii="Times New Roman" w:hAnsi="Times New Roman"/>
          <w:sz w:val="24"/>
          <w:szCs w:val="24"/>
        </w:rPr>
        <w:t xml:space="preserve">MetuSweden </w:t>
      </w:r>
      <w:r w:rsidRPr="000B315F">
        <w:rPr>
          <w:rFonts w:ascii="Times New Roman" w:hAnsi="Times New Roman"/>
          <w:color w:val="000000"/>
          <w:sz w:val="24"/>
          <w:szCs w:val="24"/>
        </w:rPr>
        <w:t xml:space="preserve">AB is 100% </w:t>
      </w:r>
      <w:r w:rsidRPr="000B315F">
        <w:rPr>
          <w:rFonts w:ascii="Times New Roman" w:hAnsi="Times New Roman"/>
          <w:sz w:val="24"/>
          <w:szCs w:val="24"/>
        </w:rPr>
        <w:t>Aktsiaselts METUS-EST</w:t>
      </w:r>
      <w:r w:rsidRPr="000B315F">
        <w:rPr>
          <w:rFonts w:ascii="Times New Roman" w:hAnsi="Times New Roman"/>
          <w:color w:val="000000"/>
          <w:sz w:val="24"/>
          <w:szCs w:val="24"/>
        </w:rPr>
        <w:t xml:space="preserve"> daughter company. </w:t>
      </w:r>
    </w:p>
    <w:p w14:paraId="48D2B0C4" w14:textId="77777777" w:rsidR="000B315F" w:rsidRPr="000B315F" w:rsidRDefault="000B315F" w:rsidP="000B315F">
      <w:pPr>
        <w:autoSpaceDE w:val="0"/>
        <w:autoSpaceDN w:val="0"/>
        <w:adjustRightInd w:val="0"/>
        <w:spacing w:after="0"/>
        <w:rPr>
          <w:rFonts w:ascii="Times New Roman" w:hAnsi="Times New Roman"/>
          <w:color w:val="000000"/>
          <w:sz w:val="24"/>
          <w:szCs w:val="24"/>
        </w:rPr>
      </w:pPr>
    </w:p>
    <w:p w14:paraId="55D418A2" w14:textId="1923183D" w:rsidR="000B315F" w:rsidRPr="000B315F" w:rsidRDefault="000B315F" w:rsidP="000B315F">
      <w:pPr>
        <w:autoSpaceDE w:val="0"/>
        <w:autoSpaceDN w:val="0"/>
        <w:adjustRightInd w:val="0"/>
        <w:spacing w:after="0"/>
        <w:rPr>
          <w:rFonts w:ascii="Times New Roman" w:hAnsi="Times New Roman"/>
          <w:sz w:val="24"/>
          <w:szCs w:val="24"/>
        </w:rPr>
      </w:pPr>
      <w:r>
        <w:rPr>
          <w:rFonts w:ascii="Times New Roman" w:hAnsi="Times New Roman"/>
          <w:color w:val="000000"/>
          <w:sz w:val="24"/>
          <w:szCs w:val="24"/>
        </w:rPr>
        <w:t xml:space="preserve">The </w:t>
      </w:r>
      <w:r w:rsidRPr="000B315F">
        <w:rPr>
          <w:rFonts w:ascii="Times New Roman" w:hAnsi="Times New Roman"/>
          <w:color w:val="000000"/>
          <w:sz w:val="24"/>
          <w:szCs w:val="24"/>
        </w:rPr>
        <w:t xml:space="preserve">Swedish </w:t>
      </w:r>
      <w:r w:rsidRPr="000B315F">
        <w:rPr>
          <w:rFonts w:ascii="Times New Roman" w:hAnsi="Times New Roman"/>
          <w:sz w:val="24"/>
          <w:szCs w:val="24"/>
        </w:rPr>
        <w:t xml:space="preserve">bankruptcy trustee of MetuSweden AB </w:t>
      </w:r>
      <w:r>
        <w:rPr>
          <w:rFonts w:ascii="Times New Roman" w:hAnsi="Times New Roman"/>
          <w:sz w:val="24"/>
          <w:szCs w:val="24"/>
        </w:rPr>
        <w:t>wa</w:t>
      </w:r>
      <w:r w:rsidR="00770ABF">
        <w:rPr>
          <w:rFonts w:ascii="Times New Roman" w:hAnsi="Times New Roman"/>
          <w:sz w:val="24"/>
          <w:szCs w:val="24"/>
        </w:rPr>
        <w:t>s</w:t>
      </w:r>
      <w:r w:rsidRPr="000B315F">
        <w:rPr>
          <w:rFonts w:ascii="Times New Roman" w:hAnsi="Times New Roman"/>
          <w:sz w:val="24"/>
          <w:szCs w:val="24"/>
        </w:rPr>
        <w:t xml:space="preserve"> </w:t>
      </w:r>
      <w:r w:rsidR="00770ABF">
        <w:rPr>
          <w:rFonts w:ascii="Times New Roman" w:hAnsi="Times New Roman"/>
          <w:sz w:val="24"/>
          <w:szCs w:val="24"/>
        </w:rPr>
        <w:t>of the</w:t>
      </w:r>
      <w:r w:rsidRPr="000B315F">
        <w:rPr>
          <w:rFonts w:ascii="Times New Roman" w:hAnsi="Times New Roman"/>
          <w:sz w:val="24"/>
          <w:szCs w:val="24"/>
        </w:rPr>
        <w:t xml:space="preserve"> opinion that payments made to the Estonian mother company Aktsiaselts METUS-EST</w:t>
      </w:r>
      <w:r w:rsidRPr="000B315F">
        <w:rPr>
          <w:rFonts w:ascii="Times New Roman" w:hAnsi="Times New Roman"/>
          <w:color w:val="000000"/>
          <w:sz w:val="24"/>
          <w:szCs w:val="24"/>
        </w:rPr>
        <w:t xml:space="preserve"> before the declaration of the bankruptcy </w:t>
      </w:r>
      <w:r w:rsidRPr="000B315F">
        <w:rPr>
          <w:rFonts w:ascii="Times New Roman" w:hAnsi="Times New Roman"/>
          <w:sz w:val="24"/>
          <w:szCs w:val="24"/>
        </w:rPr>
        <w:t xml:space="preserve">in </w:t>
      </w:r>
      <w:r>
        <w:rPr>
          <w:rFonts w:ascii="Times New Roman" w:hAnsi="Times New Roman"/>
          <w:sz w:val="24"/>
          <w:szCs w:val="24"/>
        </w:rPr>
        <w:t xml:space="preserve">the </w:t>
      </w:r>
      <w:r w:rsidRPr="000B315F">
        <w:rPr>
          <w:rFonts w:ascii="Times New Roman" w:hAnsi="Times New Roman"/>
          <w:sz w:val="24"/>
          <w:szCs w:val="24"/>
        </w:rPr>
        <w:t xml:space="preserve">total sum of </w:t>
      </w:r>
      <w:r>
        <w:rPr>
          <w:rFonts w:ascii="Times New Roman" w:hAnsi="Times New Roman"/>
          <w:sz w:val="24"/>
          <w:szCs w:val="24"/>
        </w:rPr>
        <w:t xml:space="preserve">SEK </w:t>
      </w:r>
      <w:r w:rsidRPr="000B315F">
        <w:rPr>
          <w:rFonts w:ascii="Times New Roman" w:hAnsi="Times New Roman"/>
          <w:sz w:val="24"/>
          <w:szCs w:val="24"/>
        </w:rPr>
        <w:t>18</w:t>
      </w:r>
      <w:r>
        <w:rPr>
          <w:rFonts w:ascii="Times New Roman" w:hAnsi="Times New Roman"/>
          <w:sz w:val="24"/>
          <w:szCs w:val="24"/>
        </w:rPr>
        <w:t>,</w:t>
      </w:r>
      <w:r w:rsidRPr="000B315F">
        <w:rPr>
          <w:rFonts w:ascii="Times New Roman" w:hAnsi="Times New Roman"/>
          <w:sz w:val="24"/>
          <w:szCs w:val="24"/>
        </w:rPr>
        <w:t>044</w:t>
      </w:r>
      <w:r>
        <w:rPr>
          <w:rFonts w:ascii="Times New Roman" w:hAnsi="Times New Roman"/>
          <w:sz w:val="24"/>
          <w:szCs w:val="24"/>
        </w:rPr>
        <w:t>,</w:t>
      </w:r>
      <w:r w:rsidRPr="000B315F">
        <w:rPr>
          <w:rFonts w:ascii="Times New Roman" w:hAnsi="Times New Roman"/>
          <w:sz w:val="24"/>
          <w:szCs w:val="24"/>
        </w:rPr>
        <w:t xml:space="preserve">311 are subject to transaction avoidance rules according to Swedish bankruptcy law. </w:t>
      </w:r>
    </w:p>
    <w:p w14:paraId="44C1D8FE" w14:textId="77777777" w:rsidR="000B315F" w:rsidRPr="000B315F" w:rsidRDefault="000B315F" w:rsidP="000B315F">
      <w:pPr>
        <w:autoSpaceDE w:val="0"/>
        <w:autoSpaceDN w:val="0"/>
        <w:adjustRightInd w:val="0"/>
        <w:spacing w:after="0"/>
        <w:rPr>
          <w:rFonts w:ascii="Times New Roman" w:hAnsi="Times New Roman"/>
          <w:sz w:val="24"/>
          <w:szCs w:val="24"/>
        </w:rPr>
      </w:pPr>
    </w:p>
    <w:p w14:paraId="5BAE4F74" w14:textId="093A8241" w:rsidR="000B315F" w:rsidRPr="000B315F" w:rsidRDefault="000B315F" w:rsidP="000B315F">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The </w:t>
      </w:r>
      <w:r w:rsidRPr="000B315F">
        <w:rPr>
          <w:rFonts w:ascii="Times New Roman" w:hAnsi="Times New Roman"/>
          <w:sz w:val="24"/>
          <w:szCs w:val="24"/>
        </w:rPr>
        <w:t xml:space="preserve">Estonian bankruptcy trustee of Aktsiaselts METUS-EST </w:t>
      </w:r>
      <w:r>
        <w:rPr>
          <w:rFonts w:ascii="Times New Roman" w:hAnsi="Times New Roman"/>
          <w:sz w:val="24"/>
          <w:szCs w:val="24"/>
        </w:rPr>
        <w:t>wa</w:t>
      </w:r>
      <w:r w:rsidRPr="000B315F">
        <w:rPr>
          <w:rFonts w:ascii="Times New Roman" w:hAnsi="Times New Roman"/>
          <w:sz w:val="24"/>
          <w:szCs w:val="24"/>
        </w:rPr>
        <w:t xml:space="preserve">s </w:t>
      </w:r>
      <w:r>
        <w:rPr>
          <w:rFonts w:ascii="Times New Roman" w:hAnsi="Times New Roman"/>
          <w:sz w:val="24"/>
          <w:szCs w:val="24"/>
        </w:rPr>
        <w:t xml:space="preserve">of the </w:t>
      </w:r>
      <w:r w:rsidRPr="000B315F">
        <w:rPr>
          <w:rFonts w:ascii="Times New Roman" w:hAnsi="Times New Roman"/>
          <w:sz w:val="24"/>
          <w:szCs w:val="24"/>
        </w:rPr>
        <w:t>opinion that</w:t>
      </w:r>
      <w:r>
        <w:rPr>
          <w:rFonts w:ascii="Times New Roman" w:hAnsi="Times New Roman"/>
          <w:sz w:val="24"/>
          <w:szCs w:val="24"/>
        </w:rPr>
        <w:t>,</w:t>
      </w:r>
      <w:r w:rsidRPr="000B315F">
        <w:rPr>
          <w:rFonts w:ascii="Times New Roman" w:hAnsi="Times New Roman"/>
          <w:sz w:val="24"/>
          <w:szCs w:val="24"/>
        </w:rPr>
        <w:t xml:space="preserve"> even if these payments are subject to the Swedish transaction avoidance rules, the same payments are not avoidable under Estonian transaction avoidance rules.</w:t>
      </w:r>
    </w:p>
    <w:p w14:paraId="492B0469" w14:textId="77777777" w:rsidR="000B315F" w:rsidRPr="000B315F" w:rsidRDefault="000B315F" w:rsidP="000B315F">
      <w:pPr>
        <w:autoSpaceDE w:val="0"/>
        <w:autoSpaceDN w:val="0"/>
        <w:adjustRightInd w:val="0"/>
        <w:spacing w:after="0"/>
        <w:rPr>
          <w:rFonts w:ascii="Times New Roman" w:hAnsi="Times New Roman"/>
          <w:sz w:val="24"/>
          <w:szCs w:val="24"/>
        </w:rPr>
      </w:pPr>
    </w:p>
    <w:p w14:paraId="1254FFDF" w14:textId="6070E8DC" w:rsidR="000B315F"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sz w:val="24"/>
          <w:szCs w:val="24"/>
        </w:rPr>
        <w:t xml:space="preserve">Nevertheless, </w:t>
      </w:r>
      <w:r>
        <w:rPr>
          <w:rFonts w:ascii="Times New Roman" w:hAnsi="Times New Roman"/>
          <w:sz w:val="24"/>
          <w:szCs w:val="24"/>
        </w:rPr>
        <w:t>as the Recast European Insolvency Regulation 2015 (</w:t>
      </w:r>
      <w:r w:rsidRPr="000B315F">
        <w:rPr>
          <w:rFonts w:ascii="Times New Roman" w:hAnsi="Times New Roman"/>
          <w:sz w:val="24"/>
          <w:szCs w:val="24"/>
        </w:rPr>
        <w:t xml:space="preserve">EIR </w:t>
      </w:r>
      <w:r>
        <w:rPr>
          <w:rFonts w:ascii="Times New Roman" w:hAnsi="Times New Roman"/>
          <w:sz w:val="24"/>
          <w:szCs w:val="24"/>
        </w:rPr>
        <w:t xml:space="preserve">Recast) </w:t>
      </w:r>
      <w:r w:rsidRPr="000B315F">
        <w:rPr>
          <w:rFonts w:ascii="Times New Roman" w:hAnsi="Times New Roman"/>
          <w:sz w:val="24"/>
          <w:szCs w:val="24"/>
        </w:rPr>
        <w:t>appl</w:t>
      </w:r>
      <w:r>
        <w:rPr>
          <w:rFonts w:ascii="Times New Roman" w:hAnsi="Times New Roman"/>
          <w:sz w:val="24"/>
          <w:szCs w:val="24"/>
        </w:rPr>
        <w:t>ies,</w:t>
      </w:r>
      <w:r w:rsidRPr="000B315F">
        <w:rPr>
          <w:rFonts w:ascii="Times New Roman" w:hAnsi="Times New Roman"/>
          <w:sz w:val="24"/>
          <w:szCs w:val="24"/>
        </w:rPr>
        <w:t xml:space="preserve"> </w:t>
      </w:r>
      <w:r>
        <w:rPr>
          <w:rFonts w:ascii="Times New Roman" w:hAnsi="Times New Roman"/>
          <w:sz w:val="24"/>
          <w:szCs w:val="24"/>
        </w:rPr>
        <w:t xml:space="preserve">the </w:t>
      </w:r>
      <w:r w:rsidRPr="000B315F">
        <w:rPr>
          <w:rFonts w:ascii="Times New Roman" w:hAnsi="Times New Roman"/>
          <w:sz w:val="24"/>
          <w:szCs w:val="24"/>
        </w:rPr>
        <w:t>outcome of the case may be fascinating</w:t>
      </w:r>
      <w:r>
        <w:rPr>
          <w:rFonts w:ascii="Times New Roman" w:hAnsi="Times New Roman"/>
          <w:sz w:val="24"/>
          <w:szCs w:val="24"/>
        </w:rPr>
        <w:t xml:space="preserve">, albeit an </w:t>
      </w:r>
      <w:r w:rsidRPr="000B315F">
        <w:rPr>
          <w:rFonts w:ascii="Times New Roman" w:hAnsi="Times New Roman"/>
          <w:sz w:val="24"/>
          <w:szCs w:val="24"/>
        </w:rPr>
        <w:t xml:space="preserve">interesting fact that </w:t>
      </w:r>
      <w:r w:rsidRPr="000B315F">
        <w:rPr>
          <w:rFonts w:ascii="Times New Roman" w:hAnsi="Times New Roman"/>
          <w:sz w:val="24"/>
          <w:szCs w:val="24"/>
        </w:rPr>
        <w:t xml:space="preserve">the </w:t>
      </w:r>
      <w:r w:rsidRPr="000B315F">
        <w:rPr>
          <w:rFonts w:ascii="Times New Roman" w:hAnsi="Times New Roman"/>
          <w:sz w:val="24"/>
          <w:szCs w:val="24"/>
        </w:rPr>
        <w:t>Estonian and Swedish transaction avoidance rules are very similar</w:t>
      </w:r>
      <w:r w:rsidRPr="000B315F">
        <w:rPr>
          <w:rFonts w:ascii="Times New Roman" w:hAnsi="Times New Roman"/>
          <w:sz w:val="24"/>
          <w:szCs w:val="24"/>
        </w:rPr>
        <w:t>,</w:t>
      </w:r>
      <w:r w:rsidRPr="000B315F">
        <w:rPr>
          <w:rFonts w:ascii="Times New Roman" w:hAnsi="Times New Roman"/>
          <w:sz w:val="24"/>
          <w:szCs w:val="24"/>
        </w:rPr>
        <w:t xml:space="preserve"> not to say identical</w:t>
      </w:r>
      <w:r w:rsidRPr="000B315F">
        <w:rPr>
          <w:rFonts w:ascii="Times New Roman" w:hAnsi="Times New Roman"/>
          <w:sz w:val="24"/>
          <w:szCs w:val="24"/>
        </w:rPr>
        <w:t>, as</w:t>
      </w:r>
      <w:r w:rsidRPr="000B315F">
        <w:rPr>
          <w:rFonts w:ascii="Times New Roman" w:hAnsi="Times New Roman"/>
          <w:sz w:val="24"/>
          <w:szCs w:val="24"/>
        </w:rPr>
        <w:t xml:space="preserve"> </w:t>
      </w:r>
      <w:r w:rsidRPr="000B315F">
        <w:rPr>
          <w:rFonts w:ascii="Times New Roman" w:hAnsi="Times New Roman"/>
          <w:sz w:val="24"/>
          <w:szCs w:val="24"/>
        </w:rPr>
        <w:t>t</w:t>
      </w:r>
      <w:r w:rsidRPr="000B315F">
        <w:rPr>
          <w:rFonts w:ascii="Times New Roman" w:hAnsi="Times New Roman"/>
          <w:sz w:val="24"/>
          <w:szCs w:val="24"/>
        </w:rPr>
        <w:t xml:space="preserve">he </w:t>
      </w:r>
      <w:r w:rsidRPr="000B315F">
        <w:rPr>
          <w:rFonts w:ascii="Times New Roman" w:hAnsi="Times New Roman"/>
          <w:sz w:val="24"/>
          <w:szCs w:val="24"/>
        </w:rPr>
        <w:t xml:space="preserve">law used as the </w:t>
      </w:r>
      <w:r w:rsidRPr="000B315F">
        <w:rPr>
          <w:rFonts w:ascii="Times New Roman" w:hAnsi="Times New Roman"/>
          <w:sz w:val="24"/>
          <w:szCs w:val="24"/>
        </w:rPr>
        <w:t>model for Estonian transaction avoidance rules w</w:t>
      </w:r>
      <w:r w:rsidRPr="000B315F">
        <w:rPr>
          <w:rFonts w:ascii="Times New Roman" w:hAnsi="Times New Roman"/>
          <w:sz w:val="24"/>
          <w:szCs w:val="24"/>
        </w:rPr>
        <w:t>as</w:t>
      </w:r>
      <w:r w:rsidRPr="000B315F">
        <w:rPr>
          <w:rFonts w:ascii="Times New Roman" w:hAnsi="Times New Roman"/>
          <w:sz w:val="24"/>
          <w:szCs w:val="24"/>
        </w:rPr>
        <w:t xml:space="preserve"> Swedish law. </w:t>
      </w:r>
    </w:p>
    <w:p w14:paraId="61E8CBAD" w14:textId="77777777" w:rsidR="000B315F" w:rsidRPr="000B315F" w:rsidRDefault="000B315F" w:rsidP="000B315F">
      <w:pPr>
        <w:autoSpaceDE w:val="0"/>
        <w:autoSpaceDN w:val="0"/>
        <w:adjustRightInd w:val="0"/>
        <w:spacing w:after="0"/>
        <w:rPr>
          <w:rFonts w:ascii="Times New Roman" w:hAnsi="Times New Roman"/>
          <w:sz w:val="24"/>
          <w:szCs w:val="24"/>
        </w:rPr>
      </w:pPr>
    </w:p>
    <w:p w14:paraId="3ADA987F" w14:textId="7DA08364" w:rsidR="000B315F" w:rsidRPr="000B315F" w:rsidRDefault="000B315F" w:rsidP="000B315F">
      <w:pPr>
        <w:autoSpaceDE w:val="0"/>
        <w:autoSpaceDN w:val="0"/>
        <w:adjustRightInd w:val="0"/>
        <w:spacing w:after="0"/>
        <w:rPr>
          <w:rFonts w:ascii="Times New Roman" w:hAnsi="Times New Roman"/>
          <w:i/>
          <w:iCs/>
          <w:color w:val="000000"/>
          <w:sz w:val="24"/>
          <w:szCs w:val="24"/>
        </w:rPr>
      </w:pPr>
      <w:r w:rsidRPr="000B315F">
        <w:rPr>
          <w:rFonts w:ascii="Times New Roman" w:hAnsi="Times New Roman"/>
          <w:i/>
          <w:iCs/>
          <w:sz w:val="24"/>
          <w:szCs w:val="24"/>
        </w:rPr>
        <w:t>Ascertain</w:t>
      </w:r>
      <w:r w:rsidRPr="000B315F">
        <w:rPr>
          <w:rFonts w:ascii="Times New Roman" w:hAnsi="Times New Roman"/>
          <w:i/>
          <w:iCs/>
          <w:sz w:val="24"/>
          <w:szCs w:val="24"/>
        </w:rPr>
        <w:t>ment</w:t>
      </w:r>
      <w:r w:rsidRPr="000B315F">
        <w:rPr>
          <w:rFonts w:ascii="Times New Roman" w:hAnsi="Times New Roman"/>
          <w:i/>
          <w:iCs/>
          <w:sz w:val="24"/>
          <w:szCs w:val="24"/>
        </w:rPr>
        <w:t xml:space="preserve"> of proceedings</w:t>
      </w:r>
    </w:p>
    <w:p w14:paraId="6F190225" w14:textId="77777777" w:rsidR="000B315F" w:rsidRPr="000B315F" w:rsidRDefault="000B315F" w:rsidP="000B315F">
      <w:pPr>
        <w:autoSpaceDE w:val="0"/>
        <w:autoSpaceDN w:val="0"/>
        <w:adjustRightInd w:val="0"/>
        <w:spacing w:after="0"/>
        <w:rPr>
          <w:rFonts w:ascii="Times New Roman" w:hAnsi="Times New Roman"/>
          <w:bCs/>
          <w:color w:val="000000" w:themeColor="text1"/>
          <w:sz w:val="24"/>
          <w:szCs w:val="24"/>
        </w:rPr>
      </w:pPr>
    </w:p>
    <w:p w14:paraId="2D74469F" w14:textId="6C3B3EE1" w:rsidR="000B315F" w:rsidRPr="000B315F" w:rsidRDefault="000B315F" w:rsidP="000B315F">
      <w:pPr>
        <w:spacing w:after="0"/>
        <w:rPr>
          <w:rFonts w:ascii="Times New Roman" w:hAnsi="Times New Roman"/>
          <w:sz w:val="24"/>
          <w:szCs w:val="24"/>
        </w:rPr>
      </w:pPr>
      <w:r w:rsidRPr="000B315F">
        <w:rPr>
          <w:rFonts w:ascii="Times New Roman" w:hAnsi="Times New Roman"/>
          <w:sz w:val="24"/>
          <w:szCs w:val="24"/>
        </w:rPr>
        <w:t>In this case</w:t>
      </w:r>
      <w:r>
        <w:rPr>
          <w:rFonts w:ascii="Times New Roman" w:hAnsi="Times New Roman"/>
          <w:sz w:val="24"/>
          <w:szCs w:val="24"/>
        </w:rPr>
        <w:t>,</w:t>
      </w:r>
      <w:r w:rsidRPr="000B315F">
        <w:rPr>
          <w:rFonts w:ascii="Times New Roman" w:hAnsi="Times New Roman"/>
          <w:sz w:val="24"/>
          <w:szCs w:val="24"/>
        </w:rPr>
        <w:t xml:space="preserve"> both insolvency proceedings involve foreign elements, making them cross-border insolvencies under the EIR</w:t>
      </w:r>
      <w:r>
        <w:rPr>
          <w:rFonts w:ascii="Times New Roman" w:hAnsi="Times New Roman"/>
          <w:sz w:val="24"/>
          <w:szCs w:val="24"/>
        </w:rPr>
        <w:t xml:space="preserve"> Recast</w:t>
      </w:r>
      <w:r w:rsidRPr="000B315F">
        <w:rPr>
          <w:rFonts w:ascii="Times New Roman" w:hAnsi="Times New Roman"/>
          <w:sz w:val="24"/>
          <w:szCs w:val="24"/>
        </w:rPr>
        <w:t>. According to Article 7(1) of the EIR</w:t>
      </w:r>
      <w:r>
        <w:rPr>
          <w:rFonts w:ascii="Times New Roman" w:hAnsi="Times New Roman"/>
          <w:sz w:val="24"/>
          <w:szCs w:val="24"/>
        </w:rPr>
        <w:t xml:space="preserve"> Recast</w:t>
      </w:r>
      <w:r w:rsidRPr="000B315F">
        <w:rPr>
          <w:rFonts w:ascii="Times New Roman" w:hAnsi="Times New Roman"/>
          <w:sz w:val="24"/>
          <w:szCs w:val="24"/>
        </w:rPr>
        <w:t>,</w:t>
      </w:r>
      <w:r>
        <w:rPr>
          <w:rFonts w:ascii="Times New Roman" w:hAnsi="Times New Roman"/>
          <w:sz w:val="24"/>
          <w:szCs w:val="24"/>
        </w:rPr>
        <w:t xml:space="preserve"> the</w:t>
      </w:r>
      <w:r w:rsidRPr="000B315F">
        <w:rPr>
          <w:rFonts w:ascii="Times New Roman" w:hAnsi="Times New Roman"/>
          <w:sz w:val="24"/>
          <w:szCs w:val="24"/>
        </w:rPr>
        <w:t xml:space="preserve"> </w:t>
      </w:r>
      <w:r w:rsidRPr="000B315F">
        <w:rPr>
          <w:rFonts w:ascii="Times New Roman" w:hAnsi="Times New Roman"/>
          <w:i/>
          <w:sz w:val="24"/>
          <w:szCs w:val="24"/>
        </w:rPr>
        <w:t>lex fori</w:t>
      </w:r>
      <w:r w:rsidRPr="000B315F">
        <w:rPr>
          <w:rFonts w:ascii="Times New Roman" w:hAnsi="Times New Roman"/>
          <w:sz w:val="24"/>
          <w:szCs w:val="24"/>
        </w:rPr>
        <w:t xml:space="preserve"> appl</w:t>
      </w:r>
      <w:r>
        <w:rPr>
          <w:rFonts w:ascii="Times New Roman" w:hAnsi="Times New Roman"/>
          <w:sz w:val="24"/>
          <w:szCs w:val="24"/>
        </w:rPr>
        <w:t>ies</w:t>
      </w:r>
      <w:r w:rsidRPr="000B315F">
        <w:rPr>
          <w:rFonts w:ascii="Times New Roman" w:hAnsi="Times New Roman"/>
          <w:sz w:val="24"/>
          <w:szCs w:val="24"/>
        </w:rPr>
        <w:t xml:space="preserve"> to both parallel insolvency proceedings. This means that </w:t>
      </w:r>
      <w:r>
        <w:rPr>
          <w:rFonts w:ascii="Times New Roman" w:hAnsi="Times New Roman"/>
          <w:sz w:val="24"/>
          <w:szCs w:val="24"/>
        </w:rPr>
        <w:t xml:space="preserve">the </w:t>
      </w:r>
      <w:r w:rsidRPr="000B315F">
        <w:rPr>
          <w:rFonts w:ascii="Times New Roman" w:hAnsi="Times New Roman"/>
          <w:sz w:val="24"/>
          <w:szCs w:val="24"/>
        </w:rPr>
        <w:t>insolvency proceeding</w:t>
      </w:r>
      <w:r>
        <w:rPr>
          <w:rFonts w:ascii="Times New Roman" w:hAnsi="Times New Roman"/>
          <w:sz w:val="24"/>
          <w:szCs w:val="24"/>
        </w:rPr>
        <w:t>s over</w:t>
      </w:r>
      <w:r w:rsidRPr="000B315F">
        <w:rPr>
          <w:rFonts w:ascii="Times New Roman" w:hAnsi="Times New Roman"/>
          <w:sz w:val="24"/>
          <w:szCs w:val="24"/>
        </w:rPr>
        <w:t xml:space="preserve"> </w:t>
      </w:r>
      <w:r>
        <w:rPr>
          <w:rFonts w:ascii="Times New Roman" w:hAnsi="Times New Roman"/>
          <w:color w:val="000000"/>
          <w:sz w:val="24"/>
          <w:szCs w:val="24"/>
        </w:rPr>
        <w:t xml:space="preserve">the </w:t>
      </w:r>
      <w:r w:rsidRPr="000B315F">
        <w:rPr>
          <w:rFonts w:ascii="Times New Roman" w:hAnsi="Times New Roman"/>
          <w:color w:val="000000"/>
          <w:sz w:val="24"/>
          <w:szCs w:val="24"/>
        </w:rPr>
        <w:t xml:space="preserve">Estonian company </w:t>
      </w:r>
      <w:r w:rsidRPr="000B315F">
        <w:rPr>
          <w:rFonts w:ascii="Times New Roman" w:hAnsi="Times New Roman"/>
          <w:sz w:val="24"/>
          <w:szCs w:val="24"/>
        </w:rPr>
        <w:t xml:space="preserve">Aktsiaselts METUS-EST </w:t>
      </w:r>
      <w:r>
        <w:rPr>
          <w:rFonts w:ascii="Times New Roman" w:hAnsi="Times New Roman"/>
          <w:sz w:val="24"/>
          <w:szCs w:val="24"/>
        </w:rPr>
        <w:t xml:space="preserve">are </w:t>
      </w:r>
      <w:r w:rsidRPr="000B315F">
        <w:rPr>
          <w:rFonts w:ascii="Times New Roman" w:hAnsi="Times New Roman"/>
          <w:sz w:val="24"/>
          <w:szCs w:val="24"/>
        </w:rPr>
        <w:t xml:space="preserve">governed by Estonian law, while </w:t>
      </w:r>
      <w:r>
        <w:rPr>
          <w:rFonts w:ascii="Times New Roman" w:hAnsi="Times New Roman"/>
          <w:sz w:val="24"/>
          <w:szCs w:val="24"/>
        </w:rPr>
        <w:t xml:space="preserve">the </w:t>
      </w:r>
      <w:r w:rsidRPr="000B315F">
        <w:rPr>
          <w:rFonts w:ascii="Times New Roman" w:hAnsi="Times New Roman"/>
          <w:sz w:val="24"/>
          <w:szCs w:val="24"/>
        </w:rPr>
        <w:t>insolvency proceeding</w:t>
      </w:r>
      <w:r>
        <w:rPr>
          <w:rFonts w:ascii="Times New Roman" w:hAnsi="Times New Roman"/>
          <w:sz w:val="24"/>
          <w:szCs w:val="24"/>
        </w:rPr>
        <w:t>s in respect of</w:t>
      </w:r>
      <w:r w:rsidRPr="000B315F">
        <w:rPr>
          <w:rFonts w:ascii="Times New Roman" w:hAnsi="Times New Roman"/>
          <w:sz w:val="24"/>
          <w:szCs w:val="24"/>
        </w:rPr>
        <w:t xml:space="preserve"> </w:t>
      </w:r>
      <w:r>
        <w:rPr>
          <w:rFonts w:ascii="Times New Roman" w:hAnsi="Times New Roman"/>
          <w:color w:val="000000"/>
          <w:sz w:val="24"/>
          <w:szCs w:val="24"/>
        </w:rPr>
        <w:t xml:space="preserve">the </w:t>
      </w:r>
      <w:r w:rsidRPr="000B315F">
        <w:rPr>
          <w:rFonts w:ascii="Times New Roman" w:hAnsi="Times New Roman"/>
          <w:color w:val="000000"/>
          <w:sz w:val="24"/>
          <w:szCs w:val="24"/>
        </w:rPr>
        <w:t xml:space="preserve">Swedish company MetuSweden AB </w:t>
      </w:r>
      <w:r>
        <w:rPr>
          <w:rFonts w:ascii="Times New Roman" w:hAnsi="Times New Roman"/>
          <w:sz w:val="24"/>
          <w:szCs w:val="24"/>
        </w:rPr>
        <w:t xml:space="preserve">are </w:t>
      </w:r>
      <w:r w:rsidRPr="000B315F">
        <w:rPr>
          <w:rFonts w:ascii="Times New Roman" w:hAnsi="Times New Roman"/>
          <w:sz w:val="24"/>
          <w:szCs w:val="24"/>
        </w:rPr>
        <w:t>governed by Swedish law. Therefore, we have two main insolvency proceedings, first</w:t>
      </w:r>
      <w:r w:rsidR="00BA7B09">
        <w:rPr>
          <w:rFonts w:ascii="Times New Roman" w:hAnsi="Times New Roman"/>
          <w:sz w:val="24"/>
          <w:szCs w:val="24"/>
        </w:rPr>
        <w:t>,</w:t>
      </w:r>
      <w:r w:rsidRPr="000B315F">
        <w:rPr>
          <w:rFonts w:ascii="Times New Roman" w:hAnsi="Times New Roman"/>
          <w:sz w:val="24"/>
          <w:szCs w:val="24"/>
        </w:rPr>
        <w:t xml:space="preserve"> </w:t>
      </w:r>
      <w:r>
        <w:rPr>
          <w:rFonts w:ascii="Times New Roman" w:hAnsi="Times New Roman"/>
          <w:sz w:val="24"/>
          <w:szCs w:val="24"/>
        </w:rPr>
        <w:t xml:space="preserve">the </w:t>
      </w:r>
      <w:r w:rsidRPr="000B315F">
        <w:rPr>
          <w:rFonts w:ascii="Times New Roman" w:hAnsi="Times New Roman"/>
          <w:sz w:val="24"/>
          <w:szCs w:val="24"/>
        </w:rPr>
        <w:t xml:space="preserve">main insolvency </w:t>
      </w:r>
      <w:r w:rsidRPr="000B315F">
        <w:rPr>
          <w:rFonts w:ascii="Times New Roman" w:hAnsi="Times New Roman"/>
          <w:sz w:val="24"/>
          <w:szCs w:val="24"/>
        </w:rPr>
        <w:lastRenderedPageBreak/>
        <w:t>proceeding</w:t>
      </w:r>
      <w:r>
        <w:rPr>
          <w:rFonts w:ascii="Times New Roman" w:hAnsi="Times New Roman"/>
          <w:sz w:val="24"/>
          <w:szCs w:val="24"/>
        </w:rPr>
        <w:t xml:space="preserve">s in respect of </w:t>
      </w:r>
      <w:r w:rsidRPr="000B315F">
        <w:rPr>
          <w:rFonts w:ascii="Times New Roman" w:hAnsi="Times New Roman"/>
          <w:sz w:val="24"/>
          <w:szCs w:val="24"/>
        </w:rPr>
        <w:t>Aktsiaselts METUS-EST opened under Estonian law and</w:t>
      </w:r>
      <w:r>
        <w:rPr>
          <w:rFonts w:ascii="Times New Roman" w:hAnsi="Times New Roman"/>
          <w:sz w:val="24"/>
          <w:szCs w:val="24"/>
        </w:rPr>
        <w:t>,</w:t>
      </w:r>
      <w:r w:rsidRPr="000B315F">
        <w:rPr>
          <w:rFonts w:ascii="Times New Roman" w:hAnsi="Times New Roman"/>
          <w:sz w:val="24"/>
          <w:szCs w:val="24"/>
        </w:rPr>
        <w:t xml:space="preserve"> second</w:t>
      </w:r>
      <w:r>
        <w:rPr>
          <w:rFonts w:ascii="Times New Roman" w:hAnsi="Times New Roman"/>
          <w:sz w:val="24"/>
          <w:szCs w:val="24"/>
        </w:rPr>
        <w:t>,  the</w:t>
      </w:r>
      <w:r w:rsidRPr="000B315F">
        <w:rPr>
          <w:rFonts w:ascii="Times New Roman" w:hAnsi="Times New Roman"/>
          <w:sz w:val="24"/>
          <w:szCs w:val="24"/>
        </w:rPr>
        <w:t xml:space="preserve"> main insolvency proceeding</w:t>
      </w:r>
      <w:r>
        <w:rPr>
          <w:rFonts w:ascii="Times New Roman" w:hAnsi="Times New Roman"/>
          <w:sz w:val="24"/>
          <w:szCs w:val="24"/>
        </w:rPr>
        <w:t>s</w:t>
      </w:r>
      <w:r w:rsidRPr="000B315F">
        <w:rPr>
          <w:rFonts w:ascii="Times New Roman" w:hAnsi="Times New Roman"/>
          <w:sz w:val="24"/>
          <w:szCs w:val="24"/>
        </w:rPr>
        <w:t xml:space="preserve"> </w:t>
      </w:r>
      <w:r>
        <w:rPr>
          <w:rFonts w:ascii="Times New Roman" w:hAnsi="Times New Roman"/>
          <w:sz w:val="24"/>
          <w:szCs w:val="24"/>
        </w:rPr>
        <w:t xml:space="preserve">over </w:t>
      </w:r>
      <w:r w:rsidRPr="000B315F">
        <w:rPr>
          <w:rFonts w:ascii="Times New Roman" w:hAnsi="Times New Roman"/>
          <w:color w:val="000000"/>
          <w:sz w:val="24"/>
          <w:szCs w:val="24"/>
        </w:rPr>
        <w:t>MetuSweden AB opened under Swedish law.</w:t>
      </w:r>
    </w:p>
    <w:p w14:paraId="60C5FAEE" w14:textId="77777777" w:rsidR="000B315F" w:rsidRPr="000B315F" w:rsidRDefault="000B315F" w:rsidP="000B315F">
      <w:pPr>
        <w:pStyle w:val="oj-normal"/>
        <w:spacing w:before="0" w:beforeAutospacing="0" w:after="0" w:afterAutospacing="0"/>
        <w:jc w:val="both"/>
        <w:rPr>
          <w:lang w:val="en-GB"/>
        </w:rPr>
      </w:pPr>
    </w:p>
    <w:p w14:paraId="26386D01" w14:textId="77777777" w:rsidR="000B315F" w:rsidRPr="000B315F" w:rsidRDefault="000B315F" w:rsidP="000B315F">
      <w:pPr>
        <w:pStyle w:val="oj-normal"/>
        <w:spacing w:before="0" w:beforeAutospacing="0" w:after="0" w:afterAutospacing="0"/>
        <w:jc w:val="both"/>
        <w:rPr>
          <w:b/>
          <w:bCs/>
          <w:lang w:val="en-GB"/>
        </w:rPr>
      </w:pPr>
      <w:r w:rsidRPr="000B315F">
        <w:rPr>
          <w:i/>
          <w:iCs/>
          <w:lang w:val="en-GB"/>
        </w:rPr>
        <w:t>Jurisdiction</w:t>
      </w:r>
    </w:p>
    <w:p w14:paraId="5DBA9275" w14:textId="77777777" w:rsidR="000B315F" w:rsidRPr="000B315F" w:rsidRDefault="000B315F" w:rsidP="000B315F">
      <w:pPr>
        <w:pStyle w:val="oj-normal"/>
        <w:spacing w:before="0" w:beforeAutospacing="0" w:after="0" w:afterAutospacing="0"/>
        <w:jc w:val="both"/>
        <w:rPr>
          <w:lang w:val="en-GB"/>
        </w:rPr>
      </w:pPr>
    </w:p>
    <w:p w14:paraId="59917D33" w14:textId="7E3D2FBE" w:rsidR="000B315F"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sz w:val="24"/>
          <w:szCs w:val="24"/>
        </w:rPr>
        <w:t xml:space="preserve">Article 6 (1) of </w:t>
      </w:r>
      <w:r w:rsidR="00BA7B09">
        <w:rPr>
          <w:rFonts w:ascii="Times New Roman" w:hAnsi="Times New Roman"/>
          <w:sz w:val="24"/>
          <w:szCs w:val="24"/>
        </w:rPr>
        <w:t xml:space="preserve">the </w:t>
      </w:r>
      <w:r w:rsidRPr="000B315F">
        <w:rPr>
          <w:rFonts w:ascii="Times New Roman" w:hAnsi="Times New Roman"/>
          <w:sz w:val="24"/>
          <w:szCs w:val="24"/>
        </w:rPr>
        <w:t xml:space="preserve">EIR </w:t>
      </w:r>
      <w:r w:rsidR="00BA7B09">
        <w:rPr>
          <w:rFonts w:ascii="Times New Roman" w:hAnsi="Times New Roman"/>
          <w:sz w:val="24"/>
          <w:szCs w:val="24"/>
        </w:rPr>
        <w:t xml:space="preserve">Recast provides </w:t>
      </w:r>
      <w:r w:rsidRPr="000B315F">
        <w:rPr>
          <w:rFonts w:ascii="Times New Roman" w:hAnsi="Times New Roman"/>
          <w:sz w:val="24"/>
          <w:szCs w:val="24"/>
        </w:rPr>
        <w:t>that</w:t>
      </w:r>
      <w:r w:rsidR="00BA7B09">
        <w:rPr>
          <w:rFonts w:ascii="Times New Roman" w:hAnsi="Times New Roman"/>
          <w:sz w:val="24"/>
          <w:szCs w:val="24"/>
        </w:rPr>
        <w:t>:</w:t>
      </w:r>
      <w:r w:rsidRPr="000B315F">
        <w:rPr>
          <w:rFonts w:ascii="Times New Roman" w:hAnsi="Times New Roman"/>
          <w:sz w:val="24"/>
          <w:szCs w:val="24"/>
        </w:rPr>
        <w:t xml:space="preserve"> “</w:t>
      </w:r>
      <w:r w:rsidRPr="000B315F">
        <w:rPr>
          <w:rFonts w:ascii="Times New Roman" w:hAnsi="Times New Roman"/>
          <w:i/>
          <w:iCs/>
          <w:color w:val="000000"/>
          <w:sz w:val="24"/>
          <w:szCs w:val="24"/>
          <w:shd w:val="clear" w:color="auto" w:fill="FFFFFF"/>
        </w:rPr>
        <w:t>the courts of the Member State within the territory of which insolvency proceedings have been opened in accordance with Article 3 shall have jurisdiction for any action which derives directly from the insolvency proceedings and is closely linked with them, such as avoidance actions</w:t>
      </w:r>
      <w:r w:rsidR="00BA7B09">
        <w:rPr>
          <w:rFonts w:ascii="Times New Roman" w:hAnsi="Times New Roman"/>
          <w:i/>
          <w:iCs/>
          <w:color w:val="000000"/>
          <w:sz w:val="24"/>
          <w:szCs w:val="24"/>
          <w:shd w:val="clear" w:color="auto" w:fill="FFFFFF"/>
        </w:rPr>
        <w:t>.</w:t>
      </w:r>
      <w:r w:rsidRPr="000B315F">
        <w:rPr>
          <w:rFonts w:ascii="Times New Roman" w:hAnsi="Times New Roman"/>
          <w:color w:val="000000"/>
          <w:sz w:val="24"/>
          <w:szCs w:val="24"/>
          <w:shd w:val="clear" w:color="auto" w:fill="FFFFFF"/>
        </w:rPr>
        <w:t xml:space="preserve">” Taking into consideration that Article 6(1) is not optional, </w:t>
      </w:r>
      <w:r w:rsidRPr="000B315F">
        <w:rPr>
          <w:rFonts w:ascii="Times New Roman" w:hAnsi="Times New Roman"/>
          <w:sz w:val="24"/>
          <w:szCs w:val="24"/>
        </w:rPr>
        <w:t xml:space="preserve">all transaction avoidance claims filed by </w:t>
      </w:r>
      <w:r w:rsidR="00BA7B09">
        <w:rPr>
          <w:rFonts w:ascii="Times New Roman" w:hAnsi="Times New Roman"/>
          <w:sz w:val="24"/>
          <w:szCs w:val="24"/>
        </w:rPr>
        <w:t xml:space="preserve">the </w:t>
      </w:r>
      <w:r w:rsidRPr="000B315F">
        <w:rPr>
          <w:rFonts w:ascii="Times New Roman" w:hAnsi="Times New Roman"/>
          <w:sz w:val="24"/>
          <w:szCs w:val="24"/>
        </w:rPr>
        <w:t xml:space="preserve">Swedish company MetuSweden AB </w:t>
      </w:r>
      <w:r w:rsidR="00BA7B09">
        <w:rPr>
          <w:rFonts w:ascii="Times New Roman" w:hAnsi="Times New Roman"/>
          <w:sz w:val="24"/>
          <w:szCs w:val="24"/>
        </w:rPr>
        <w:t xml:space="preserve">are to </w:t>
      </w:r>
      <w:r w:rsidRPr="000B315F">
        <w:rPr>
          <w:rFonts w:ascii="Times New Roman" w:hAnsi="Times New Roman"/>
          <w:sz w:val="24"/>
          <w:szCs w:val="24"/>
        </w:rPr>
        <w:t xml:space="preserve">be filed in the Swedish court under </w:t>
      </w:r>
      <w:r w:rsidR="00BA7B09">
        <w:rPr>
          <w:rFonts w:ascii="Times New Roman" w:hAnsi="Times New Roman"/>
          <w:sz w:val="24"/>
          <w:szCs w:val="24"/>
        </w:rPr>
        <w:t xml:space="preserve">that provision </w:t>
      </w:r>
      <w:r w:rsidRPr="000B315F">
        <w:rPr>
          <w:rFonts w:ascii="Times New Roman" w:hAnsi="Times New Roman"/>
          <w:sz w:val="24"/>
          <w:szCs w:val="24"/>
        </w:rPr>
        <w:t>of the EIR</w:t>
      </w:r>
      <w:r w:rsidR="00BA7B09">
        <w:rPr>
          <w:rFonts w:ascii="Times New Roman" w:hAnsi="Times New Roman"/>
          <w:sz w:val="24"/>
          <w:szCs w:val="24"/>
        </w:rPr>
        <w:t xml:space="preserve"> Recast</w:t>
      </w:r>
      <w:r w:rsidRPr="000B315F">
        <w:rPr>
          <w:rFonts w:ascii="Times New Roman" w:hAnsi="Times New Roman"/>
          <w:sz w:val="24"/>
          <w:szCs w:val="24"/>
        </w:rPr>
        <w:t xml:space="preserve">. </w:t>
      </w:r>
    </w:p>
    <w:p w14:paraId="3D7D008B" w14:textId="77777777" w:rsidR="000B315F" w:rsidRPr="000B315F" w:rsidRDefault="000B315F" w:rsidP="000B315F">
      <w:pPr>
        <w:autoSpaceDE w:val="0"/>
        <w:autoSpaceDN w:val="0"/>
        <w:adjustRightInd w:val="0"/>
        <w:spacing w:after="0"/>
        <w:rPr>
          <w:rFonts w:ascii="Times New Roman" w:hAnsi="Times New Roman"/>
          <w:sz w:val="24"/>
          <w:szCs w:val="24"/>
        </w:rPr>
      </w:pPr>
    </w:p>
    <w:p w14:paraId="7F8AA75D" w14:textId="77777777" w:rsidR="000B315F" w:rsidRPr="00BA7B09" w:rsidRDefault="000B315F" w:rsidP="000B315F">
      <w:pPr>
        <w:autoSpaceDE w:val="0"/>
        <w:autoSpaceDN w:val="0"/>
        <w:adjustRightInd w:val="0"/>
        <w:spacing w:after="0"/>
        <w:rPr>
          <w:rFonts w:ascii="Times New Roman" w:hAnsi="Times New Roman"/>
          <w:i/>
          <w:iCs/>
          <w:sz w:val="24"/>
          <w:szCs w:val="24"/>
        </w:rPr>
      </w:pPr>
      <w:r w:rsidRPr="00BA7B09">
        <w:rPr>
          <w:rFonts w:ascii="Times New Roman" w:hAnsi="Times New Roman"/>
          <w:i/>
          <w:iCs/>
          <w:sz w:val="24"/>
          <w:szCs w:val="24"/>
        </w:rPr>
        <w:t>Applicable law</w:t>
      </w:r>
    </w:p>
    <w:p w14:paraId="054396F2" w14:textId="77777777" w:rsidR="000B315F" w:rsidRPr="000B315F" w:rsidRDefault="000B315F" w:rsidP="000B315F">
      <w:pPr>
        <w:autoSpaceDE w:val="0"/>
        <w:autoSpaceDN w:val="0"/>
        <w:adjustRightInd w:val="0"/>
        <w:spacing w:after="0"/>
        <w:rPr>
          <w:rFonts w:ascii="Times New Roman" w:hAnsi="Times New Roman"/>
          <w:sz w:val="24"/>
          <w:szCs w:val="24"/>
        </w:rPr>
      </w:pPr>
    </w:p>
    <w:p w14:paraId="0D0274A5" w14:textId="79EB687F" w:rsidR="000B315F"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sz w:val="24"/>
          <w:szCs w:val="24"/>
        </w:rPr>
        <w:t>Article 7(2)</w:t>
      </w:r>
      <w:r w:rsidR="00BA7B09">
        <w:rPr>
          <w:rFonts w:ascii="Times New Roman" w:hAnsi="Times New Roman"/>
          <w:sz w:val="24"/>
          <w:szCs w:val="24"/>
        </w:rPr>
        <w:t>(</w:t>
      </w:r>
      <w:r w:rsidRPr="000B315F">
        <w:rPr>
          <w:rFonts w:ascii="Times New Roman" w:hAnsi="Times New Roman"/>
          <w:sz w:val="24"/>
          <w:szCs w:val="24"/>
        </w:rPr>
        <w:t>m</w:t>
      </w:r>
      <w:r w:rsidR="00BA7B09">
        <w:rPr>
          <w:rFonts w:ascii="Times New Roman" w:hAnsi="Times New Roman"/>
          <w:sz w:val="24"/>
          <w:szCs w:val="24"/>
        </w:rPr>
        <w:t>)</w:t>
      </w:r>
      <w:r w:rsidRPr="000B315F">
        <w:rPr>
          <w:rFonts w:ascii="Times New Roman" w:hAnsi="Times New Roman"/>
          <w:sz w:val="24"/>
          <w:szCs w:val="24"/>
        </w:rPr>
        <w:t xml:space="preserve"> stipulates that</w:t>
      </w:r>
      <w:r w:rsidR="00BA7B09">
        <w:rPr>
          <w:rFonts w:ascii="Times New Roman" w:hAnsi="Times New Roman"/>
          <w:sz w:val="24"/>
          <w:szCs w:val="24"/>
        </w:rPr>
        <w:t>:</w:t>
      </w:r>
      <w:r w:rsidRPr="000B315F">
        <w:rPr>
          <w:rFonts w:ascii="Times New Roman" w:hAnsi="Times New Roman"/>
          <w:sz w:val="24"/>
          <w:szCs w:val="24"/>
        </w:rPr>
        <w:t xml:space="preserve"> “</w:t>
      </w:r>
      <w:r w:rsidR="00BA7B09">
        <w:rPr>
          <w:rFonts w:ascii="Times New Roman" w:hAnsi="Times New Roman"/>
          <w:sz w:val="24"/>
          <w:szCs w:val="24"/>
        </w:rPr>
        <w:t xml:space="preserve">[the] </w:t>
      </w:r>
      <w:r w:rsidRPr="000B315F">
        <w:rPr>
          <w:rFonts w:ascii="Times New Roman" w:hAnsi="Times New Roman"/>
          <w:i/>
          <w:iCs/>
          <w:sz w:val="24"/>
          <w:szCs w:val="24"/>
        </w:rPr>
        <w:t>lex fori</w:t>
      </w:r>
      <w:r w:rsidRPr="000B315F">
        <w:rPr>
          <w:rFonts w:ascii="Times New Roman" w:hAnsi="Times New Roman"/>
          <w:sz w:val="24"/>
          <w:szCs w:val="24"/>
        </w:rPr>
        <w:t xml:space="preserve"> </w:t>
      </w:r>
      <w:r w:rsidRPr="000B315F">
        <w:rPr>
          <w:rFonts w:ascii="Times New Roman" w:hAnsi="Times New Roman"/>
          <w:i/>
          <w:iCs/>
          <w:sz w:val="24"/>
          <w:szCs w:val="24"/>
        </w:rPr>
        <w:t xml:space="preserve">shall apply to </w:t>
      </w:r>
      <w:r w:rsidRPr="000B315F">
        <w:rPr>
          <w:rFonts w:ascii="Times New Roman" w:hAnsi="Times New Roman"/>
          <w:i/>
          <w:iCs/>
          <w:color w:val="000000"/>
          <w:sz w:val="24"/>
          <w:szCs w:val="24"/>
          <w:shd w:val="clear" w:color="auto" w:fill="FFFFFF"/>
        </w:rPr>
        <w:t>the rules relating to the voidness, voidability or unenforceability of legal acts detrimental to the general body of creditors</w:t>
      </w:r>
      <w:r w:rsidR="00BA7B09">
        <w:rPr>
          <w:rFonts w:ascii="Times New Roman" w:hAnsi="Times New Roman"/>
          <w:i/>
          <w:iCs/>
          <w:color w:val="000000"/>
          <w:sz w:val="24"/>
          <w:szCs w:val="24"/>
          <w:shd w:val="clear" w:color="auto" w:fill="FFFFFF"/>
        </w:rPr>
        <w:t>.</w:t>
      </w:r>
      <w:r w:rsidRPr="000B315F">
        <w:rPr>
          <w:rFonts w:ascii="Times New Roman" w:hAnsi="Times New Roman"/>
          <w:color w:val="000000"/>
          <w:sz w:val="24"/>
          <w:szCs w:val="24"/>
          <w:shd w:val="clear" w:color="auto" w:fill="FFFFFF"/>
        </w:rPr>
        <w:t>”</w:t>
      </w:r>
      <w:r w:rsidRPr="000B315F">
        <w:rPr>
          <w:rFonts w:ascii="Times New Roman" w:hAnsi="Times New Roman"/>
          <w:sz w:val="24"/>
          <w:szCs w:val="24"/>
        </w:rPr>
        <w:t xml:space="preserve"> So, according to the Article</w:t>
      </w:r>
      <w:r w:rsidR="00BA7B09">
        <w:rPr>
          <w:rFonts w:ascii="Times New Roman" w:hAnsi="Times New Roman"/>
          <w:sz w:val="24"/>
          <w:szCs w:val="24"/>
        </w:rPr>
        <w:t xml:space="preserve"> </w:t>
      </w:r>
      <w:r w:rsidRPr="000B315F">
        <w:rPr>
          <w:rFonts w:ascii="Times New Roman" w:hAnsi="Times New Roman"/>
          <w:sz w:val="24"/>
          <w:szCs w:val="24"/>
        </w:rPr>
        <w:t>7(2)</w:t>
      </w:r>
      <w:r w:rsidR="00BA7B09">
        <w:rPr>
          <w:rFonts w:ascii="Times New Roman" w:hAnsi="Times New Roman"/>
          <w:sz w:val="24"/>
          <w:szCs w:val="24"/>
        </w:rPr>
        <w:t>(</w:t>
      </w:r>
      <w:r w:rsidRPr="000B315F">
        <w:rPr>
          <w:rFonts w:ascii="Times New Roman" w:hAnsi="Times New Roman"/>
          <w:sz w:val="24"/>
          <w:szCs w:val="24"/>
        </w:rPr>
        <w:t>m</w:t>
      </w:r>
      <w:r w:rsidR="00BA7B09">
        <w:rPr>
          <w:rFonts w:ascii="Times New Roman" w:hAnsi="Times New Roman"/>
          <w:sz w:val="24"/>
          <w:szCs w:val="24"/>
        </w:rPr>
        <w:t>),</w:t>
      </w:r>
      <w:r w:rsidRPr="000B315F">
        <w:rPr>
          <w:rFonts w:ascii="Times New Roman" w:hAnsi="Times New Roman"/>
          <w:sz w:val="24"/>
          <w:szCs w:val="24"/>
        </w:rPr>
        <w:t xml:space="preserve"> the transaction avoidance claims filed by </w:t>
      </w:r>
      <w:r w:rsidR="00BA7B09">
        <w:rPr>
          <w:rFonts w:ascii="Times New Roman" w:hAnsi="Times New Roman"/>
          <w:sz w:val="24"/>
          <w:szCs w:val="24"/>
        </w:rPr>
        <w:t xml:space="preserve">the </w:t>
      </w:r>
      <w:r w:rsidRPr="000B315F">
        <w:rPr>
          <w:rFonts w:ascii="Times New Roman" w:hAnsi="Times New Roman"/>
          <w:sz w:val="24"/>
          <w:szCs w:val="24"/>
        </w:rPr>
        <w:t xml:space="preserve">Swedish company MetuSweden AB </w:t>
      </w:r>
      <w:r w:rsidR="00BA7B09">
        <w:rPr>
          <w:rFonts w:ascii="Times New Roman" w:hAnsi="Times New Roman"/>
          <w:sz w:val="24"/>
          <w:szCs w:val="24"/>
        </w:rPr>
        <w:t xml:space="preserve">with the </w:t>
      </w:r>
      <w:r w:rsidRPr="000B315F">
        <w:rPr>
          <w:rFonts w:ascii="Times New Roman" w:hAnsi="Times New Roman"/>
          <w:sz w:val="24"/>
          <w:szCs w:val="24"/>
        </w:rPr>
        <w:t xml:space="preserve">Swedish court under Article 6(1) </w:t>
      </w:r>
      <w:r w:rsidR="00BA7B09">
        <w:rPr>
          <w:rFonts w:ascii="Times New Roman" w:hAnsi="Times New Roman"/>
          <w:sz w:val="24"/>
          <w:szCs w:val="24"/>
        </w:rPr>
        <w:t xml:space="preserve">are to </w:t>
      </w:r>
      <w:r w:rsidRPr="000B315F">
        <w:rPr>
          <w:rFonts w:ascii="Times New Roman" w:hAnsi="Times New Roman"/>
          <w:sz w:val="24"/>
          <w:szCs w:val="24"/>
        </w:rPr>
        <w:t xml:space="preserve">be governed by Swedish law. </w:t>
      </w:r>
    </w:p>
    <w:p w14:paraId="3241904B" w14:textId="77777777" w:rsidR="000B315F" w:rsidRPr="000B315F" w:rsidRDefault="000B315F" w:rsidP="000B315F">
      <w:pPr>
        <w:autoSpaceDE w:val="0"/>
        <w:autoSpaceDN w:val="0"/>
        <w:adjustRightInd w:val="0"/>
        <w:spacing w:after="0"/>
        <w:rPr>
          <w:rFonts w:ascii="Times New Roman" w:hAnsi="Times New Roman"/>
          <w:sz w:val="24"/>
          <w:szCs w:val="24"/>
        </w:rPr>
      </w:pPr>
    </w:p>
    <w:p w14:paraId="1849697C" w14:textId="4EDBFCC3" w:rsidR="000B315F"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sz w:val="24"/>
          <w:szCs w:val="24"/>
        </w:rPr>
        <w:t xml:space="preserve">However, Article 16 of </w:t>
      </w:r>
      <w:r w:rsidR="00BA7B09">
        <w:rPr>
          <w:rFonts w:ascii="Times New Roman" w:hAnsi="Times New Roman"/>
          <w:sz w:val="24"/>
          <w:szCs w:val="24"/>
        </w:rPr>
        <w:t xml:space="preserve">the </w:t>
      </w:r>
      <w:r w:rsidRPr="000B315F">
        <w:rPr>
          <w:rFonts w:ascii="Times New Roman" w:hAnsi="Times New Roman"/>
          <w:sz w:val="24"/>
          <w:szCs w:val="24"/>
        </w:rPr>
        <w:t xml:space="preserve">EIR </w:t>
      </w:r>
      <w:r w:rsidR="00BA7B09">
        <w:rPr>
          <w:rFonts w:ascii="Times New Roman" w:hAnsi="Times New Roman"/>
          <w:sz w:val="24"/>
          <w:szCs w:val="24"/>
        </w:rPr>
        <w:t xml:space="preserve">Recast also provides </w:t>
      </w:r>
      <w:r w:rsidRPr="000B315F">
        <w:rPr>
          <w:rFonts w:ascii="Times New Roman" w:hAnsi="Times New Roman"/>
          <w:sz w:val="24"/>
          <w:szCs w:val="24"/>
        </w:rPr>
        <w:t>that</w:t>
      </w:r>
      <w:r w:rsidR="00BA7B09">
        <w:rPr>
          <w:rFonts w:ascii="Times New Roman" w:hAnsi="Times New Roman"/>
          <w:sz w:val="24"/>
          <w:szCs w:val="24"/>
        </w:rPr>
        <w:t>:</w:t>
      </w:r>
      <w:r w:rsidRPr="000B315F">
        <w:rPr>
          <w:rFonts w:ascii="Times New Roman" w:hAnsi="Times New Roman"/>
          <w:sz w:val="24"/>
          <w:szCs w:val="24"/>
        </w:rPr>
        <w:t xml:space="preserve"> “</w:t>
      </w:r>
      <w:r w:rsidRPr="000B315F">
        <w:rPr>
          <w:rFonts w:ascii="Times New Roman" w:hAnsi="Times New Roman"/>
          <w:i/>
          <w:iCs/>
          <w:sz w:val="24"/>
          <w:szCs w:val="24"/>
        </w:rPr>
        <w:t>Article 7 (2) m shall not apply where the person who benefited from an act detrimental to all the creditors provides proof that the act is subject to the law of a Member State other than of the State of the opening of proceeding and the law of the Member State does not allow any means of challenging that act in the relevant case</w:t>
      </w:r>
      <w:r w:rsidR="00BA7B09">
        <w:rPr>
          <w:rFonts w:ascii="Times New Roman" w:hAnsi="Times New Roman"/>
          <w:i/>
          <w:iCs/>
          <w:sz w:val="24"/>
          <w:szCs w:val="24"/>
        </w:rPr>
        <w:t>.</w:t>
      </w:r>
      <w:r w:rsidRPr="000B315F">
        <w:rPr>
          <w:rFonts w:ascii="Times New Roman" w:hAnsi="Times New Roman"/>
          <w:i/>
          <w:iCs/>
          <w:sz w:val="24"/>
          <w:szCs w:val="24"/>
        </w:rPr>
        <w:t>”</w:t>
      </w:r>
      <w:r w:rsidRPr="000B315F">
        <w:rPr>
          <w:rFonts w:ascii="Times New Roman" w:hAnsi="Times New Roman"/>
          <w:sz w:val="24"/>
          <w:szCs w:val="24"/>
        </w:rPr>
        <w:t xml:space="preserve">  </w:t>
      </w:r>
    </w:p>
    <w:p w14:paraId="53608486" w14:textId="77777777" w:rsidR="000B315F" w:rsidRPr="000B315F" w:rsidRDefault="000B315F" w:rsidP="000B315F">
      <w:pPr>
        <w:autoSpaceDE w:val="0"/>
        <w:autoSpaceDN w:val="0"/>
        <w:adjustRightInd w:val="0"/>
        <w:spacing w:after="0"/>
        <w:rPr>
          <w:rFonts w:ascii="Times New Roman" w:hAnsi="Times New Roman"/>
          <w:sz w:val="24"/>
          <w:szCs w:val="24"/>
        </w:rPr>
      </w:pPr>
    </w:p>
    <w:p w14:paraId="38C8F7A6" w14:textId="7796B858" w:rsidR="000B315F" w:rsidRPr="000B315F" w:rsidRDefault="00BA7B09" w:rsidP="000B315F">
      <w:pPr>
        <w:autoSpaceDE w:val="0"/>
        <w:autoSpaceDN w:val="0"/>
        <w:adjustRightInd w:val="0"/>
        <w:spacing w:after="0"/>
        <w:rPr>
          <w:rFonts w:ascii="Times New Roman" w:hAnsi="Times New Roman"/>
          <w:sz w:val="24"/>
          <w:szCs w:val="24"/>
        </w:rPr>
      </w:pPr>
      <w:r>
        <w:rPr>
          <w:rFonts w:ascii="Times New Roman" w:hAnsi="Times New Roman"/>
          <w:bCs/>
          <w:color w:val="000000" w:themeColor="text1"/>
          <w:sz w:val="24"/>
          <w:szCs w:val="24"/>
        </w:rPr>
        <w:t>Since</w:t>
      </w:r>
      <w:r w:rsidR="000B315F" w:rsidRPr="000B315F">
        <w:rPr>
          <w:rFonts w:ascii="Times New Roman" w:hAnsi="Times New Roman"/>
          <w:bCs/>
          <w:color w:val="000000" w:themeColor="text1"/>
          <w:sz w:val="24"/>
          <w:szCs w:val="24"/>
        </w:rPr>
        <w:t xml:space="preserve"> payments </w:t>
      </w:r>
      <w:r>
        <w:rPr>
          <w:rFonts w:ascii="Times New Roman" w:hAnsi="Times New Roman"/>
          <w:bCs/>
          <w:color w:val="000000" w:themeColor="text1"/>
          <w:sz w:val="24"/>
          <w:szCs w:val="24"/>
        </w:rPr>
        <w:t xml:space="preserve">that </w:t>
      </w:r>
      <w:r w:rsidR="000B315F" w:rsidRPr="000B315F">
        <w:rPr>
          <w:rFonts w:ascii="Times New Roman" w:hAnsi="Times New Roman"/>
          <w:bCs/>
          <w:color w:val="000000" w:themeColor="text1"/>
          <w:sz w:val="24"/>
          <w:szCs w:val="24"/>
        </w:rPr>
        <w:t xml:space="preserve">were </w:t>
      </w:r>
      <w:r>
        <w:rPr>
          <w:rFonts w:ascii="Times New Roman" w:hAnsi="Times New Roman"/>
          <w:bCs/>
          <w:color w:val="000000" w:themeColor="text1"/>
          <w:sz w:val="24"/>
          <w:szCs w:val="24"/>
        </w:rPr>
        <w:t xml:space="preserve">made </w:t>
      </w:r>
      <w:r w:rsidR="000B315F" w:rsidRPr="000B315F">
        <w:rPr>
          <w:rFonts w:ascii="Times New Roman" w:hAnsi="Times New Roman"/>
          <w:bCs/>
          <w:color w:val="000000" w:themeColor="text1"/>
          <w:sz w:val="24"/>
          <w:szCs w:val="24"/>
        </w:rPr>
        <w:t xml:space="preserve">to the Estonian Company </w:t>
      </w:r>
      <w:r>
        <w:rPr>
          <w:rFonts w:ascii="Times New Roman" w:hAnsi="Times New Roman"/>
          <w:bCs/>
          <w:color w:val="000000" w:themeColor="text1"/>
          <w:sz w:val="24"/>
          <w:szCs w:val="24"/>
        </w:rPr>
        <w:t xml:space="preserve">went via an </w:t>
      </w:r>
      <w:r w:rsidR="000B315F" w:rsidRPr="000B315F">
        <w:rPr>
          <w:rFonts w:ascii="Times New Roman" w:hAnsi="Times New Roman"/>
          <w:bCs/>
          <w:color w:val="000000" w:themeColor="text1"/>
          <w:sz w:val="24"/>
          <w:szCs w:val="24"/>
        </w:rPr>
        <w:t>Estonian bank,</w:t>
      </w:r>
      <w:r>
        <w:rPr>
          <w:rFonts w:ascii="Times New Roman" w:hAnsi="Times New Roman"/>
          <w:bCs/>
          <w:color w:val="000000" w:themeColor="text1"/>
          <w:sz w:val="24"/>
          <w:szCs w:val="24"/>
        </w:rPr>
        <w:t xml:space="preserve"> the</w:t>
      </w:r>
      <w:r w:rsidR="000B315F" w:rsidRPr="000B315F">
        <w:rPr>
          <w:rFonts w:ascii="Times New Roman" w:hAnsi="Times New Roman"/>
          <w:bCs/>
          <w:color w:val="000000" w:themeColor="text1"/>
          <w:sz w:val="24"/>
          <w:szCs w:val="24"/>
        </w:rPr>
        <w:t xml:space="preserve"> </w:t>
      </w:r>
      <w:r w:rsidR="000B315F" w:rsidRPr="000B315F">
        <w:rPr>
          <w:rFonts w:ascii="Times New Roman" w:hAnsi="Times New Roman"/>
          <w:bCs/>
          <w:i/>
          <w:iCs/>
          <w:color w:val="000000" w:themeColor="text1"/>
          <w:sz w:val="24"/>
          <w:szCs w:val="24"/>
        </w:rPr>
        <w:t>lex causae</w:t>
      </w:r>
      <w:r w:rsidR="000B315F" w:rsidRPr="000B315F">
        <w:rPr>
          <w:rFonts w:ascii="Times New Roman" w:hAnsi="Times New Roman"/>
          <w:bCs/>
          <w:color w:val="000000" w:themeColor="text1"/>
          <w:sz w:val="24"/>
          <w:szCs w:val="24"/>
        </w:rPr>
        <w:t xml:space="preserve"> might be in this case Estonian law. If the </w:t>
      </w:r>
      <w:r w:rsidR="000B315F" w:rsidRPr="000B315F">
        <w:rPr>
          <w:rFonts w:ascii="Times New Roman" w:hAnsi="Times New Roman"/>
          <w:bCs/>
          <w:i/>
          <w:iCs/>
          <w:color w:val="000000" w:themeColor="text1"/>
          <w:sz w:val="24"/>
          <w:szCs w:val="24"/>
        </w:rPr>
        <w:t xml:space="preserve">lex causae </w:t>
      </w:r>
      <w:r w:rsidR="000B315F" w:rsidRPr="000B315F">
        <w:rPr>
          <w:rFonts w:ascii="Times New Roman" w:hAnsi="Times New Roman"/>
          <w:bCs/>
          <w:color w:val="000000" w:themeColor="text1"/>
          <w:sz w:val="24"/>
          <w:szCs w:val="24"/>
        </w:rPr>
        <w:t xml:space="preserve">is Estonian law, payments made by the Swedish daughter company </w:t>
      </w:r>
      <w:r w:rsidR="000B315F" w:rsidRPr="000B315F">
        <w:rPr>
          <w:rFonts w:ascii="Times New Roman" w:hAnsi="Times New Roman"/>
          <w:sz w:val="24"/>
          <w:szCs w:val="24"/>
        </w:rPr>
        <w:t xml:space="preserve">MetuSweden AB to the Estonian mother company Aktsiaselts METUS-EST are not avoidable under Article 16 of </w:t>
      </w:r>
      <w:r>
        <w:rPr>
          <w:rFonts w:ascii="Times New Roman" w:hAnsi="Times New Roman"/>
          <w:sz w:val="24"/>
          <w:szCs w:val="24"/>
        </w:rPr>
        <w:t xml:space="preserve">the </w:t>
      </w:r>
      <w:r w:rsidR="000B315F" w:rsidRPr="000B315F">
        <w:rPr>
          <w:rFonts w:ascii="Times New Roman" w:hAnsi="Times New Roman"/>
          <w:sz w:val="24"/>
          <w:szCs w:val="24"/>
        </w:rPr>
        <w:t>EIR</w:t>
      </w:r>
      <w:r>
        <w:rPr>
          <w:rFonts w:ascii="Times New Roman" w:hAnsi="Times New Roman"/>
          <w:sz w:val="24"/>
          <w:szCs w:val="24"/>
        </w:rPr>
        <w:t xml:space="preserve"> Recast</w:t>
      </w:r>
      <w:r w:rsidR="000B315F" w:rsidRPr="000B315F">
        <w:rPr>
          <w:rFonts w:ascii="Times New Roman" w:hAnsi="Times New Roman"/>
          <w:sz w:val="24"/>
          <w:szCs w:val="24"/>
        </w:rPr>
        <w:t xml:space="preserve">, </w:t>
      </w:r>
      <w:r>
        <w:rPr>
          <w:rFonts w:ascii="Times New Roman" w:hAnsi="Times New Roman"/>
          <w:sz w:val="24"/>
          <w:szCs w:val="24"/>
        </w:rPr>
        <w:t xml:space="preserve">especially </w:t>
      </w:r>
      <w:r w:rsidR="000B315F" w:rsidRPr="000B315F">
        <w:rPr>
          <w:rFonts w:ascii="Times New Roman" w:hAnsi="Times New Roman"/>
          <w:sz w:val="24"/>
          <w:szCs w:val="24"/>
        </w:rPr>
        <w:t>if these payments are not avoidable under Estonian transaction avoidance rules.</w:t>
      </w:r>
    </w:p>
    <w:p w14:paraId="10D17586" w14:textId="77777777" w:rsidR="000B315F" w:rsidRPr="000B315F" w:rsidRDefault="000B315F" w:rsidP="000B315F">
      <w:pPr>
        <w:autoSpaceDE w:val="0"/>
        <w:autoSpaceDN w:val="0"/>
        <w:adjustRightInd w:val="0"/>
        <w:spacing w:after="0"/>
        <w:rPr>
          <w:rFonts w:ascii="Times New Roman" w:hAnsi="Times New Roman"/>
          <w:sz w:val="24"/>
          <w:szCs w:val="24"/>
        </w:rPr>
      </w:pPr>
    </w:p>
    <w:p w14:paraId="4E963D77" w14:textId="77777777" w:rsidR="000B315F" w:rsidRPr="000B315F" w:rsidRDefault="000B315F" w:rsidP="000B315F">
      <w:pPr>
        <w:spacing w:after="0"/>
        <w:rPr>
          <w:rFonts w:ascii="Times New Roman" w:hAnsi="Times New Roman"/>
          <w:b/>
          <w:color w:val="000000" w:themeColor="text1"/>
          <w:sz w:val="24"/>
          <w:szCs w:val="24"/>
        </w:rPr>
      </w:pPr>
      <w:r w:rsidRPr="00BA7B09">
        <w:rPr>
          <w:rFonts w:ascii="Times New Roman" w:hAnsi="Times New Roman"/>
          <w:bCs/>
          <w:i/>
          <w:iCs/>
          <w:color w:val="000000" w:themeColor="text1"/>
          <w:sz w:val="24"/>
          <w:szCs w:val="24"/>
        </w:rPr>
        <w:t>Conclusion</w:t>
      </w:r>
    </w:p>
    <w:p w14:paraId="74C0E960" w14:textId="77777777" w:rsidR="000B315F" w:rsidRPr="000B315F" w:rsidRDefault="000B315F" w:rsidP="000B315F">
      <w:pPr>
        <w:autoSpaceDE w:val="0"/>
        <w:autoSpaceDN w:val="0"/>
        <w:adjustRightInd w:val="0"/>
        <w:spacing w:after="0"/>
        <w:rPr>
          <w:rFonts w:ascii="Times New Roman" w:hAnsi="Times New Roman"/>
          <w:sz w:val="24"/>
          <w:szCs w:val="24"/>
        </w:rPr>
      </w:pPr>
    </w:p>
    <w:p w14:paraId="27C5FE57" w14:textId="7B564AD5" w:rsidR="000B315F"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sz w:val="24"/>
          <w:szCs w:val="24"/>
        </w:rPr>
        <w:t xml:space="preserve">In </w:t>
      </w:r>
      <w:r w:rsidR="00BA7B09">
        <w:rPr>
          <w:rFonts w:ascii="Times New Roman" w:hAnsi="Times New Roman"/>
          <w:sz w:val="24"/>
          <w:szCs w:val="24"/>
        </w:rPr>
        <w:t xml:space="preserve">the </w:t>
      </w:r>
      <w:r w:rsidRPr="000B315F">
        <w:rPr>
          <w:rFonts w:ascii="Times New Roman" w:hAnsi="Times New Roman"/>
          <w:sz w:val="24"/>
          <w:szCs w:val="24"/>
        </w:rPr>
        <w:t xml:space="preserve">opinion of the Estonian bankruptcy trustee of Aktsiaselts METUS-EST and in </w:t>
      </w:r>
      <w:r w:rsidR="00BA7B09">
        <w:rPr>
          <w:rFonts w:ascii="Times New Roman" w:hAnsi="Times New Roman"/>
          <w:sz w:val="24"/>
          <w:szCs w:val="24"/>
        </w:rPr>
        <w:t>that of the author (</w:t>
      </w:r>
      <w:r w:rsidRPr="000B315F">
        <w:rPr>
          <w:rFonts w:ascii="Times New Roman" w:hAnsi="Times New Roman"/>
          <w:sz w:val="24"/>
          <w:szCs w:val="24"/>
        </w:rPr>
        <w:t>as far as familiar with all the facts of this case</w:t>
      </w:r>
      <w:r w:rsidR="00BA7B09">
        <w:rPr>
          <w:rFonts w:ascii="Times New Roman" w:hAnsi="Times New Roman"/>
          <w:sz w:val="24"/>
          <w:szCs w:val="24"/>
        </w:rPr>
        <w:t>)</w:t>
      </w:r>
      <w:r w:rsidRPr="000B315F">
        <w:rPr>
          <w:rFonts w:ascii="Times New Roman" w:hAnsi="Times New Roman"/>
          <w:sz w:val="24"/>
          <w:szCs w:val="24"/>
        </w:rPr>
        <w:t xml:space="preserve">, the payments made by MetuSweden AB to Aktsiaselts METUS-EST are not subject to Estonian transaction avoidance rules, because these payments </w:t>
      </w:r>
      <w:r w:rsidR="00BA7B09">
        <w:rPr>
          <w:rFonts w:ascii="Times New Roman" w:hAnsi="Times New Roman"/>
          <w:sz w:val="24"/>
          <w:szCs w:val="24"/>
        </w:rPr>
        <w:t xml:space="preserve">were not made to the </w:t>
      </w:r>
      <w:r w:rsidRPr="000B315F">
        <w:rPr>
          <w:rFonts w:ascii="Times New Roman" w:hAnsi="Times New Roman"/>
          <w:sz w:val="24"/>
          <w:szCs w:val="24"/>
        </w:rPr>
        <w:t xml:space="preserve">detriment </w:t>
      </w:r>
      <w:r w:rsidR="00BA7B09">
        <w:rPr>
          <w:rFonts w:ascii="Times New Roman" w:hAnsi="Times New Roman"/>
          <w:sz w:val="24"/>
          <w:szCs w:val="24"/>
        </w:rPr>
        <w:t xml:space="preserve">of </w:t>
      </w:r>
      <w:r w:rsidRPr="000B315F">
        <w:rPr>
          <w:rFonts w:ascii="Times New Roman" w:hAnsi="Times New Roman"/>
          <w:sz w:val="24"/>
          <w:szCs w:val="24"/>
        </w:rPr>
        <w:t xml:space="preserve">the general body of creditors under Estonian law and Supreme Court practice. </w:t>
      </w:r>
      <w:r w:rsidR="00BA7B09">
        <w:rPr>
          <w:rFonts w:ascii="Times New Roman" w:hAnsi="Times New Roman"/>
          <w:sz w:val="24"/>
          <w:szCs w:val="24"/>
        </w:rPr>
        <w:t xml:space="preserve">Since </w:t>
      </w:r>
      <w:r w:rsidRPr="000B315F">
        <w:rPr>
          <w:rFonts w:ascii="Times New Roman" w:hAnsi="Times New Roman"/>
          <w:sz w:val="24"/>
          <w:szCs w:val="24"/>
        </w:rPr>
        <w:t>the transaction avoidance rules in Estonia and Sweden are similar</w:t>
      </w:r>
      <w:r w:rsidR="00BA7B09">
        <w:rPr>
          <w:rFonts w:ascii="Times New Roman" w:hAnsi="Times New Roman"/>
          <w:sz w:val="24"/>
          <w:szCs w:val="24"/>
        </w:rPr>
        <w:t>,</w:t>
      </w:r>
      <w:r w:rsidRPr="000B315F">
        <w:rPr>
          <w:rFonts w:ascii="Times New Roman" w:hAnsi="Times New Roman"/>
          <w:sz w:val="24"/>
          <w:szCs w:val="24"/>
        </w:rPr>
        <w:t xml:space="preserve"> not to say identical, the Estonian Supreme Court practice is very clear about the assumption of transaction avoidance </w:t>
      </w:r>
      <w:r w:rsidR="00BA7B09">
        <w:rPr>
          <w:rFonts w:ascii="Times New Roman" w:hAnsi="Times New Roman"/>
          <w:sz w:val="24"/>
          <w:szCs w:val="24"/>
        </w:rPr>
        <w:t xml:space="preserve">that </w:t>
      </w:r>
      <w:r w:rsidRPr="000B315F">
        <w:rPr>
          <w:rFonts w:ascii="Times New Roman" w:hAnsi="Times New Roman"/>
          <w:sz w:val="24"/>
          <w:szCs w:val="24"/>
        </w:rPr>
        <w:t xml:space="preserve">is </w:t>
      </w:r>
      <w:r w:rsidR="00BA7B09">
        <w:rPr>
          <w:rFonts w:ascii="Times New Roman" w:hAnsi="Times New Roman"/>
          <w:sz w:val="24"/>
          <w:szCs w:val="24"/>
        </w:rPr>
        <w:t xml:space="preserve">to </w:t>
      </w:r>
      <w:r w:rsidRPr="000B315F">
        <w:rPr>
          <w:rFonts w:ascii="Times New Roman" w:hAnsi="Times New Roman"/>
          <w:sz w:val="24"/>
          <w:szCs w:val="24"/>
        </w:rPr>
        <w:t xml:space="preserve">the detriment of the general body of creditors. </w:t>
      </w:r>
    </w:p>
    <w:p w14:paraId="71BB09D2" w14:textId="77777777" w:rsidR="000B315F" w:rsidRPr="000B315F" w:rsidRDefault="000B315F" w:rsidP="000B315F">
      <w:pPr>
        <w:autoSpaceDE w:val="0"/>
        <w:autoSpaceDN w:val="0"/>
        <w:adjustRightInd w:val="0"/>
        <w:spacing w:after="0"/>
        <w:rPr>
          <w:rFonts w:ascii="Times New Roman" w:hAnsi="Times New Roman"/>
          <w:sz w:val="24"/>
          <w:szCs w:val="24"/>
        </w:rPr>
      </w:pPr>
    </w:p>
    <w:p w14:paraId="2F74C2AA" w14:textId="5B16B7A3" w:rsidR="000B315F" w:rsidRPr="000B315F" w:rsidRDefault="00BA7B09" w:rsidP="000B315F">
      <w:pPr>
        <w:pStyle w:val="oj-normal"/>
        <w:spacing w:before="0" w:beforeAutospacing="0" w:after="0" w:afterAutospacing="0"/>
        <w:jc w:val="both"/>
      </w:pPr>
      <w:r>
        <w:t>D</w:t>
      </w:r>
      <w:r w:rsidR="000B315F" w:rsidRPr="000B315F">
        <w:t xml:space="preserve">espite </w:t>
      </w:r>
      <w:r>
        <w:t xml:space="preserve">this </w:t>
      </w:r>
      <w:r w:rsidR="000B315F" w:rsidRPr="000B315F">
        <w:t>opinion</w:t>
      </w:r>
      <w:r>
        <w:t>,</w:t>
      </w:r>
      <w:r w:rsidR="000B315F" w:rsidRPr="000B315F">
        <w:t xml:space="preserve"> this is a most interesting case for </w:t>
      </w:r>
      <w:r>
        <w:t xml:space="preserve">the </w:t>
      </w:r>
      <w:r w:rsidR="000B315F" w:rsidRPr="000B315F">
        <w:t>Swedish court to solve, because</w:t>
      </w:r>
      <w:r>
        <w:t>,</w:t>
      </w:r>
      <w:r w:rsidR="000B315F" w:rsidRPr="000B315F">
        <w:t xml:space="preserve"> even </w:t>
      </w:r>
      <w:r>
        <w:t xml:space="preserve">if </w:t>
      </w:r>
      <w:r w:rsidR="000B315F" w:rsidRPr="000B315F">
        <w:t xml:space="preserve">Estonian and Swedish laws are similar, the Supreme Court practice might be different. If the </w:t>
      </w:r>
      <w:r w:rsidR="000B315F" w:rsidRPr="000B315F">
        <w:rPr>
          <w:i/>
          <w:iCs/>
        </w:rPr>
        <w:t>lex causae</w:t>
      </w:r>
      <w:r w:rsidR="000B315F" w:rsidRPr="000B315F">
        <w:t xml:space="preserve"> is Estonian law, the Swedish court </w:t>
      </w:r>
      <w:r w:rsidR="00770ABF">
        <w:t xml:space="preserve">has </w:t>
      </w:r>
      <w:r w:rsidR="000B315F" w:rsidRPr="000B315F">
        <w:t>to take into account</w:t>
      </w:r>
      <w:r w:rsidR="00770ABF">
        <w:t>,</w:t>
      </w:r>
      <w:r w:rsidR="000B315F" w:rsidRPr="000B315F">
        <w:t xml:space="preserve"> not only Estonian law, but also Estonian Supreme Court practice.</w:t>
      </w:r>
    </w:p>
    <w:p w14:paraId="2D5CB386" w14:textId="77777777" w:rsidR="000B315F" w:rsidRPr="000B315F" w:rsidRDefault="000B315F" w:rsidP="000B315F">
      <w:pPr>
        <w:pStyle w:val="oj-normal"/>
        <w:spacing w:before="0" w:beforeAutospacing="0" w:after="0" w:afterAutospacing="0"/>
        <w:jc w:val="both"/>
      </w:pPr>
    </w:p>
    <w:p w14:paraId="780888F6" w14:textId="77777777" w:rsidR="00770ABF" w:rsidRDefault="000B315F" w:rsidP="000B315F">
      <w:pPr>
        <w:pStyle w:val="oj-normal"/>
        <w:spacing w:before="0" w:beforeAutospacing="0" w:after="0" w:afterAutospacing="0"/>
        <w:jc w:val="both"/>
        <w:rPr>
          <w:lang w:val="en-GB"/>
        </w:rPr>
      </w:pPr>
      <w:r w:rsidRPr="000B315F">
        <w:t xml:space="preserve">On the other hand, if </w:t>
      </w:r>
      <w:r w:rsidR="00770ABF">
        <w:t xml:space="preserve">the </w:t>
      </w:r>
      <w:r w:rsidRPr="000B315F">
        <w:t xml:space="preserve">Swedish court </w:t>
      </w:r>
      <w:r w:rsidR="00770ABF">
        <w:t>grants satisfaction to</w:t>
      </w:r>
      <w:r w:rsidRPr="000B315F">
        <w:t xml:space="preserve"> the claim of </w:t>
      </w:r>
      <w:r w:rsidRPr="000B315F">
        <w:rPr>
          <w:lang w:val="en-GB"/>
        </w:rPr>
        <w:t>MetuSweden AB</w:t>
      </w:r>
      <w:r w:rsidRPr="000B315F">
        <w:t xml:space="preserve"> </w:t>
      </w:r>
      <w:r w:rsidR="00770ABF">
        <w:t>against</w:t>
      </w:r>
      <w:r w:rsidRPr="000B315F">
        <w:t xml:space="preserve"> Aktsiaselts </w:t>
      </w:r>
      <w:r w:rsidRPr="000B315F">
        <w:rPr>
          <w:lang w:val="en-GB"/>
        </w:rPr>
        <w:t>METUS-EST</w:t>
      </w:r>
      <w:r w:rsidRPr="000B315F">
        <w:t xml:space="preserve">, it is still a claim in </w:t>
      </w:r>
      <w:r w:rsidR="00770ABF">
        <w:t xml:space="preserve">the </w:t>
      </w:r>
      <w:r w:rsidRPr="000B315F">
        <w:t xml:space="preserve">Estonian main insolvency </w:t>
      </w:r>
      <w:r w:rsidRPr="000B315F">
        <w:lastRenderedPageBreak/>
        <w:t>proceeding</w:t>
      </w:r>
      <w:r w:rsidR="00770ABF">
        <w:t>s</w:t>
      </w:r>
      <w:r w:rsidRPr="000B315F">
        <w:t xml:space="preserve"> </w:t>
      </w:r>
      <w:r w:rsidR="00770ABF">
        <w:t xml:space="preserve">involving </w:t>
      </w:r>
      <w:r w:rsidRPr="000B315F">
        <w:t xml:space="preserve">Aktsiaselts </w:t>
      </w:r>
      <w:r w:rsidRPr="000B315F">
        <w:rPr>
          <w:lang w:val="en-GB"/>
        </w:rPr>
        <w:t>METUS-EST</w:t>
      </w:r>
      <w:r w:rsidRPr="000B315F">
        <w:t xml:space="preserve">. </w:t>
      </w:r>
      <w:r w:rsidRPr="000B315F">
        <w:rPr>
          <w:lang w:val="en-GB"/>
        </w:rPr>
        <w:t>Article 7(2)(g) of the EIR</w:t>
      </w:r>
      <w:r w:rsidRPr="000B315F">
        <w:rPr>
          <w:rFonts w:eastAsiaTheme="majorEastAsia"/>
          <w:lang w:val="en-GB"/>
        </w:rPr>
        <w:t xml:space="preserve"> </w:t>
      </w:r>
      <w:r w:rsidR="00770ABF">
        <w:rPr>
          <w:rFonts w:eastAsiaTheme="majorEastAsia"/>
          <w:lang w:val="en-GB"/>
        </w:rPr>
        <w:t xml:space="preserve">Recast </w:t>
      </w:r>
      <w:r w:rsidRPr="000B315F">
        <w:rPr>
          <w:lang w:val="en-GB"/>
        </w:rPr>
        <w:t xml:space="preserve">stipulates that claims against the debtor's insolvency estate and the treatment of claims arising after the opening of insolvency proceedings shall be governed by </w:t>
      </w:r>
      <w:r w:rsidR="00770ABF">
        <w:rPr>
          <w:lang w:val="en-GB"/>
        </w:rPr>
        <w:t xml:space="preserve">the </w:t>
      </w:r>
      <w:r w:rsidRPr="000B315F">
        <w:rPr>
          <w:i/>
          <w:lang w:val="en-GB"/>
        </w:rPr>
        <w:t>lex fori</w:t>
      </w:r>
      <w:r w:rsidRPr="000B315F">
        <w:rPr>
          <w:lang w:val="en-GB"/>
        </w:rPr>
        <w:t>.</w:t>
      </w:r>
    </w:p>
    <w:p w14:paraId="64CFD34E" w14:textId="77777777" w:rsidR="00770ABF" w:rsidRDefault="00770ABF" w:rsidP="000B315F">
      <w:pPr>
        <w:pStyle w:val="oj-normal"/>
        <w:spacing w:before="0" w:beforeAutospacing="0" w:after="0" w:afterAutospacing="0"/>
        <w:jc w:val="both"/>
        <w:rPr>
          <w:lang w:val="en-GB"/>
        </w:rPr>
      </w:pPr>
    </w:p>
    <w:p w14:paraId="585FE542" w14:textId="7A7B3C93" w:rsidR="000B315F" w:rsidRPr="000B315F" w:rsidRDefault="00770ABF" w:rsidP="000B315F">
      <w:pPr>
        <w:pStyle w:val="oj-normal"/>
        <w:spacing w:before="0" w:beforeAutospacing="0" w:after="0" w:afterAutospacing="0"/>
        <w:jc w:val="both"/>
        <w:rPr>
          <w:lang w:val="en-GB"/>
        </w:rPr>
      </w:pPr>
      <w:r>
        <w:rPr>
          <w:lang w:val="en-GB"/>
        </w:rPr>
        <w:t xml:space="preserve">The </w:t>
      </w:r>
      <w:r>
        <w:rPr>
          <w:color w:val="000000"/>
          <w:lang w:val="en-GB"/>
        </w:rPr>
        <w:t>i</w:t>
      </w:r>
      <w:r w:rsidR="000B315F" w:rsidRPr="000B315F">
        <w:rPr>
          <w:color w:val="000000"/>
          <w:lang w:val="en-GB"/>
        </w:rPr>
        <w:t xml:space="preserve">nterpretation of this article means </w:t>
      </w:r>
      <w:r w:rsidR="000B315F" w:rsidRPr="000B315F">
        <w:rPr>
          <w:lang w:val="en-GB"/>
        </w:rPr>
        <w:t xml:space="preserve">that the treatment of claims in the </w:t>
      </w:r>
      <w:r w:rsidR="000B315F" w:rsidRPr="000B315F">
        <w:t xml:space="preserve">Aktsiaselts </w:t>
      </w:r>
      <w:r w:rsidR="000B315F" w:rsidRPr="000B315F">
        <w:rPr>
          <w:lang w:val="en-GB"/>
        </w:rPr>
        <w:t xml:space="preserve">METUS-EST insolvency proceeding </w:t>
      </w:r>
      <w:r>
        <w:rPr>
          <w:lang w:val="en-GB"/>
        </w:rPr>
        <w:t xml:space="preserve">are </w:t>
      </w:r>
      <w:r w:rsidR="000B315F" w:rsidRPr="000B315F">
        <w:rPr>
          <w:lang w:val="en-GB"/>
        </w:rPr>
        <w:t xml:space="preserve">governed by Estonian law. Therefore, all claims lodged against METUS-EST, including the potential claim from MetuSweden AB, </w:t>
      </w:r>
      <w:r>
        <w:rPr>
          <w:lang w:val="en-GB"/>
        </w:rPr>
        <w:t xml:space="preserve">will </w:t>
      </w:r>
      <w:r w:rsidR="000B315F" w:rsidRPr="000B315F">
        <w:rPr>
          <w:lang w:val="en-GB"/>
        </w:rPr>
        <w:t xml:space="preserve">be governed by Estonian law. According to </w:t>
      </w:r>
      <w:r>
        <w:rPr>
          <w:lang w:val="en-GB"/>
        </w:rPr>
        <w:t xml:space="preserve">the </w:t>
      </w:r>
      <w:r w:rsidR="000B315F" w:rsidRPr="000B315F">
        <w:rPr>
          <w:lang w:val="en-GB"/>
        </w:rPr>
        <w:t xml:space="preserve">Estonian Bankruptcy Act, if MetuSweden AB wins the transaction avoidance case, they will </w:t>
      </w:r>
      <w:r>
        <w:rPr>
          <w:lang w:val="en-GB"/>
        </w:rPr>
        <w:t xml:space="preserve">still </w:t>
      </w:r>
      <w:r w:rsidR="000B315F" w:rsidRPr="000B315F">
        <w:rPr>
          <w:lang w:val="en-GB"/>
        </w:rPr>
        <w:t xml:space="preserve">be </w:t>
      </w:r>
      <w:r>
        <w:rPr>
          <w:lang w:val="en-GB"/>
        </w:rPr>
        <w:t xml:space="preserve">ordinary </w:t>
      </w:r>
      <w:r w:rsidR="000B315F" w:rsidRPr="000B315F">
        <w:rPr>
          <w:lang w:val="en-GB"/>
        </w:rPr>
        <w:t xml:space="preserve">creditors without </w:t>
      </w:r>
      <w:r>
        <w:rPr>
          <w:lang w:val="en-GB"/>
        </w:rPr>
        <w:t xml:space="preserve">any </w:t>
      </w:r>
      <w:r w:rsidR="000B315F" w:rsidRPr="000B315F">
        <w:rPr>
          <w:lang w:val="en-GB"/>
        </w:rPr>
        <w:t>prefer</w:t>
      </w:r>
      <w:r>
        <w:rPr>
          <w:lang w:val="en-GB"/>
        </w:rPr>
        <w:t>e</w:t>
      </w:r>
      <w:r w:rsidR="000B315F" w:rsidRPr="000B315F">
        <w:rPr>
          <w:lang w:val="en-GB"/>
        </w:rPr>
        <w:t>nce</w:t>
      </w:r>
      <w:r>
        <w:rPr>
          <w:lang w:val="en-GB"/>
        </w:rPr>
        <w:t xml:space="preserve"> whatsoever</w:t>
      </w:r>
      <w:r w:rsidR="000B315F" w:rsidRPr="000B315F">
        <w:rPr>
          <w:lang w:val="en-GB"/>
        </w:rPr>
        <w:t>.</w:t>
      </w:r>
    </w:p>
    <w:p w14:paraId="71EAFD0D" w14:textId="77777777" w:rsidR="000B315F" w:rsidRPr="000B315F" w:rsidRDefault="000B315F" w:rsidP="000B315F">
      <w:pPr>
        <w:autoSpaceDE w:val="0"/>
        <w:autoSpaceDN w:val="0"/>
        <w:adjustRightInd w:val="0"/>
        <w:spacing w:after="0"/>
        <w:rPr>
          <w:rFonts w:ascii="Times New Roman" w:hAnsi="Times New Roman"/>
          <w:bCs/>
          <w:color w:val="000000" w:themeColor="text1"/>
          <w:sz w:val="24"/>
          <w:szCs w:val="24"/>
        </w:rPr>
      </w:pPr>
    </w:p>
    <w:p w14:paraId="58C07665" w14:textId="73D39EEF" w:rsidR="00EA585B" w:rsidRPr="000B315F" w:rsidRDefault="000B315F" w:rsidP="000B315F">
      <w:pPr>
        <w:autoSpaceDE w:val="0"/>
        <w:autoSpaceDN w:val="0"/>
        <w:adjustRightInd w:val="0"/>
        <w:spacing w:after="0"/>
        <w:rPr>
          <w:rFonts w:ascii="Times New Roman" w:hAnsi="Times New Roman"/>
          <w:sz w:val="24"/>
          <w:szCs w:val="24"/>
        </w:rPr>
      </w:pPr>
      <w:r w:rsidRPr="000B315F">
        <w:rPr>
          <w:rFonts w:ascii="Times New Roman" w:hAnsi="Times New Roman"/>
          <w:bCs/>
          <w:color w:val="000000" w:themeColor="text1"/>
          <w:sz w:val="24"/>
          <w:szCs w:val="24"/>
        </w:rPr>
        <w:t>Overall</w:t>
      </w:r>
      <w:r w:rsidR="00770ABF">
        <w:rPr>
          <w:rFonts w:ascii="Times New Roman" w:hAnsi="Times New Roman"/>
          <w:bCs/>
          <w:color w:val="000000" w:themeColor="text1"/>
          <w:sz w:val="24"/>
          <w:szCs w:val="24"/>
        </w:rPr>
        <w:t>,</w:t>
      </w:r>
      <w:r w:rsidRPr="000B315F">
        <w:rPr>
          <w:rFonts w:ascii="Times New Roman" w:hAnsi="Times New Roman"/>
          <w:bCs/>
          <w:color w:val="000000" w:themeColor="text1"/>
          <w:sz w:val="24"/>
          <w:szCs w:val="24"/>
        </w:rPr>
        <w:t xml:space="preserve"> this case will be no doubt </w:t>
      </w:r>
      <w:r w:rsidR="00770ABF">
        <w:rPr>
          <w:rFonts w:ascii="Times New Roman" w:hAnsi="Times New Roman"/>
          <w:bCs/>
          <w:color w:val="000000" w:themeColor="text1"/>
          <w:sz w:val="24"/>
          <w:szCs w:val="24"/>
        </w:rPr>
        <w:t xml:space="preserve">provide </w:t>
      </w:r>
      <w:r w:rsidRPr="000B315F">
        <w:rPr>
          <w:rFonts w:ascii="Times New Roman" w:hAnsi="Times New Roman"/>
          <w:bCs/>
          <w:color w:val="000000" w:themeColor="text1"/>
          <w:sz w:val="24"/>
          <w:szCs w:val="24"/>
        </w:rPr>
        <w:t>a challenge for both Swedish and Estonian courts.</w:t>
      </w:r>
    </w:p>
    <w:sectPr w:rsidR="00EA585B" w:rsidRPr="000B315F"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E952" w14:textId="77777777" w:rsidR="00E60318" w:rsidRDefault="00E60318">
      <w:r>
        <w:separator/>
      </w:r>
    </w:p>
  </w:endnote>
  <w:endnote w:type="continuationSeparator" w:id="0">
    <w:p w14:paraId="18CD8C9A" w14:textId="77777777" w:rsidR="00E60318" w:rsidRDefault="00E6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A670" w14:textId="77777777" w:rsidR="00E60318" w:rsidRDefault="00E60318">
      <w:r>
        <w:separator/>
      </w:r>
    </w:p>
  </w:footnote>
  <w:footnote w:type="continuationSeparator" w:id="0">
    <w:p w14:paraId="063BEE59" w14:textId="77777777" w:rsidR="00E60318" w:rsidRDefault="00E6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0E7B" w14:textId="09CF34F8" w:rsidR="00BF3D3E" w:rsidRPr="00FD0D6F" w:rsidRDefault="00BF3D3E" w:rsidP="00C2522B">
    <w:pPr>
      <w:pStyle w:val="Header"/>
      <w:spacing w:after="0"/>
      <w:rPr>
        <w:rFonts w:ascii="Arial" w:hAnsi="Arial" w:cs="Arial"/>
        <w:b/>
      </w:rPr>
    </w:pPr>
    <w:r w:rsidRPr="00FD0D6F">
      <w:rPr>
        <w:rFonts w:ascii="Arial" w:hAnsi="Arial" w:cs="Arial"/>
        <w:b/>
      </w:rPr>
      <w:t>Inside Story (</w:t>
    </w:r>
    <w:r w:rsidR="000B315F">
      <w:rPr>
        <w:rFonts w:ascii="Arial" w:hAnsi="Arial" w:cs="Arial"/>
        <w:b/>
      </w:rPr>
      <w:t>September</w:t>
    </w:r>
    <w:r w:rsidR="002A5779" w:rsidRPr="00FD0D6F">
      <w:rPr>
        <w:rFonts w:ascii="Arial" w:hAnsi="Arial" w:cs="Arial"/>
        <w:b/>
      </w:rPr>
      <w:t xml:space="preserve"> 20</w:t>
    </w:r>
    <w:r w:rsidR="00087612">
      <w:rPr>
        <w:rFonts w:ascii="Arial" w:hAnsi="Arial" w:cs="Arial"/>
        <w:b/>
      </w:rPr>
      <w:t>2</w:t>
    </w:r>
    <w:r w:rsidR="000B315F">
      <w:rPr>
        <w:rFonts w:ascii="Arial" w:hAnsi="Arial" w:cs="Arial"/>
        <w:b/>
      </w:rPr>
      <w:t>4</w:t>
    </w:r>
    <w:r w:rsidRPr="00FD0D6F">
      <w:rPr>
        <w:rFonts w:ascii="Arial" w:hAnsi="Arial" w:cs="Arial"/>
        <w:b/>
      </w:rPr>
      <w:t>)</w:t>
    </w:r>
  </w:p>
  <w:p w14:paraId="0F2C5C5A" w14:textId="2EB5BB10" w:rsidR="00BF3D3E" w:rsidRPr="00FD0D6F" w:rsidRDefault="000B315F" w:rsidP="00C2522B">
    <w:pPr>
      <w:pStyle w:val="Header"/>
      <w:spacing w:after="0"/>
      <w:rPr>
        <w:rFonts w:ascii="Arial" w:hAnsi="Arial" w:cs="Arial"/>
        <w:b/>
      </w:rPr>
    </w:pPr>
    <w:r>
      <w:rPr>
        <w:rFonts w:ascii="Arial" w:hAnsi="Arial" w:cs="Arial"/>
        <w:b/>
        <w:color w:val="000000"/>
      </w:rPr>
      <w:t xml:space="preserve">Anto Kasak </w:t>
    </w:r>
    <w:r w:rsidR="00BF3D3E" w:rsidRPr="00FD0D6F">
      <w:rPr>
        <w:rFonts w:ascii="Arial" w:hAnsi="Arial" w:cs="Arial"/>
        <w:b/>
      </w:rPr>
      <w:t>(</w:t>
    </w:r>
    <w:r w:rsidR="00EA585B">
      <w:rPr>
        <w:rFonts w:ascii="Arial" w:hAnsi="Arial" w:cs="Arial"/>
        <w:b/>
      </w:rPr>
      <w:t>Estonia</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1"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0"/>
  </w:num>
  <w:num w:numId="2">
    <w:abstractNumId w:val="6"/>
  </w:num>
  <w:num w:numId="3">
    <w:abstractNumId w:val="24"/>
  </w:num>
  <w:num w:numId="4">
    <w:abstractNumId w:val="12"/>
  </w:num>
  <w:num w:numId="5">
    <w:abstractNumId w:val="13"/>
  </w:num>
  <w:num w:numId="6">
    <w:abstractNumId w:val="25"/>
  </w:num>
  <w:num w:numId="7">
    <w:abstractNumId w:val="0"/>
  </w:num>
  <w:num w:numId="8">
    <w:abstractNumId w:val="9"/>
  </w:num>
  <w:num w:numId="9">
    <w:abstractNumId w:val="2"/>
  </w:num>
  <w:num w:numId="10">
    <w:abstractNumId w:val="1"/>
  </w:num>
  <w:num w:numId="11">
    <w:abstractNumId w:val="21"/>
  </w:num>
  <w:num w:numId="12">
    <w:abstractNumId w:val="8"/>
  </w:num>
  <w:num w:numId="13">
    <w:abstractNumId w:val="19"/>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6"/>
  </w:num>
  <w:num w:numId="21">
    <w:abstractNumId w:val="24"/>
  </w:num>
  <w:num w:numId="22">
    <w:abstractNumId w:val="13"/>
  </w:num>
  <w:num w:numId="23">
    <w:abstractNumId w:val="12"/>
  </w:num>
  <w:num w:numId="24">
    <w:abstractNumId w:val="22"/>
  </w:num>
  <w:num w:numId="25">
    <w:abstractNumId w:val="15"/>
  </w:num>
  <w:num w:numId="26">
    <w:abstractNumId w:val="18"/>
  </w:num>
  <w:num w:numId="27">
    <w:abstractNumId w:val="14"/>
  </w:num>
  <w:num w:numId="28">
    <w:abstractNumId w:val="16"/>
  </w:num>
  <w:num w:numId="29">
    <w:abstractNumId w:val="5"/>
  </w:num>
  <w:num w:numId="30">
    <w:abstractNumId w:val="11"/>
  </w:num>
  <w:num w:numId="31">
    <w:abstractNumId w:val="4"/>
  </w:num>
  <w:num w:numId="32">
    <w:abstractNumId w:val="3"/>
  </w:num>
  <w:num w:numId="33">
    <w:abstractNumId w:val="23"/>
  </w:num>
  <w:num w:numId="34">
    <w:abstractNumId w:val="17"/>
  </w:num>
  <w:num w:numId="35">
    <w:abstractNumId w:val="20"/>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B315F"/>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22353"/>
    <w:rsid w:val="00247BAC"/>
    <w:rsid w:val="00276632"/>
    <w:rsid w:val="00280030"/>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92065"/>
    <w:rsid w:val="004B3FED"/>
    <w:rsid w:val="004D1D7E"/>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D0A86"/>
    <w:rsid w:val="006E7E8D"/>
    <w:rsid w:val="00703D03"/>
    <w:rsid w:val="00707113"/>
    <w:rsid w:val="00740F50"/>
    <w:rsid w:val="00752792"/>
    <w:rsid w:val="00770ABF"/>
    <w:rsid w:val="00772427"/>
    <w:rsid w:val="00772DFE"/>
    <w:rsid w:val="00782731"/>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6BCC"/>
    <w:rsid w:val="00B53B8D"/>
    <w:rsid w:val="00B64744"/>
    <w:rsid w:val="00BA1EF1"/>
    <w:rsid w:val="00BA7B09"/>
    <w:rsid w:val="00BC4C0D"/>
    <w:rsid w:val="00BD0697"/>
    <w:rsid w:val="00BE2B07"/>
    <w:rsid w:val="00BF3D3E"/>
    <w:rsid w:val="00C16DFA"/>
    <w:rsid w:val="00C2522B"/>
    <w:rsid w:val="00C96534"/>
    <w:rsid w:val="00CA53BB"/>
    <w:rsid w:val="00CE09C4"/>
    <w:rsid w:val="00D03DC1"/>
    <w:rsid w:val="00D2584B"/>
    <w:rsid w:val="00D31877"/>
    <w:rsid w:val="00D32C99"/>
    <w:rsid w:val="00D5309A"/>
    <w:rsid w:val="00D6291C"/>
    <w:rsid w:val="00D74A36"/>
    <w:rsid w:val="00DE5F99"/>
    <w:rsid w:val="00E007BF"/>
    <w:rsid w:val="00E0090D"/>
    <w:rsid w:val="00E2501C"/>
    <w:rsid w:val="00E37A5D"/>
    <w:rsid w:val="00E53ABF"/>
    <w:rsid w:val="00E60318"/>
    <w:rsid w:val="00EA5386"/>
    <w:rsid w:val="00EA585B"/>
    <w:rsid w:val="00EB6116"/>
    <w:rsid w:val="00EF6269"/>
    <w:rsid w:val="00F07427"/>
    <w:rsid w:val="00F20AC6"/>
    <w:rsid w:val="00F36532"/>
    <w:rsid w:val="00F55F2D"/>
    <w:rsid w:val="00F77372"/>
    <w:rsid w:val="00F90C0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oj-normal">
    <w:name w:val="oj-normal"/>
    <w:basedOn w:val="Normal"/>
    <w:rsid w:val="000B315F"/>
    <w:pPr>
      <w:spacing w:before="100" w:beforeAutospacing="1" w:after="100" w:afterAutospacing="1"/>
      <w:jc w:val="left"/>
    </w:pPr>
    <w:rPr>
      <w:rFonts w:ascii="Times New Roman" w:hAnsi="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887</Words>
  <Characters>5060</Characters>
  <Application>Microsoft Office Word</Application>
  <DocSecurity>0</DocSecurity>
  <PresentationFormat/>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26</cp:revision>
  <cp:lastPrinted>2017-11-20T20:14:00Z</cp:lastPrinted>
  <dcterms:created xsi:type="dcterms:W3CDTF">2019-03-06T11:14:00Z</dcterms:created>
  <dcterms:modified xsi:type="dcterms:W3CDTF">2024-08-03T15:21:00Z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