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5C71F" w14:textId="767A4048" w:rsidR="00DF4BE7" w:rsidRPr="008B33B9" w:rsidRDefault="00DF4BE7" w:rsidP="008B33B9">
      <w:pPr>
        <w:jc w:val="center"/>
        <w:rPr>
          <w:rFonts w:ascii="Baskerville Old Face" w:hAnsi="Baskerville Old Face"/>
          <w:b/>
          <w:bCs/>
          <w:sz w:val="28"/>
          <w:szCs w:val="28"/>
        </w:rPr>
      </w:pPr>
      <w:r w:rsidRPr="008B33B9">
        <w:rPr>
          <w:rFonts w:ascii="Garamond" w:hAnsi="Garamond"/>
          <w:b/>
          <w:bCs/>
          <w:sz w:val="28"/>
          <w:szCs w:val="28"/>
        </w:rPr>
        <w:t xml:space="preserve">The scope </w:t>
      </w:r>
      <w:proofErr w:type="spellStart"/>
      <w:r w:rsidRPr="008B33B9">
        <w:rPr>
          <w:rFonts w:ascii="Garamond" w:hAnsi="Garamond"/>
          <w:b/>
          <w:bCs/>
          <w:i/>
          <w:iCs/>
          <w:sz w:val="28"/>
          <w:szCs w:val="28"/>
        </w:rPr>
        <w:t>rationae</w:t>
      </w:r>
      <w:proofErr w:type="spellEnd"/>
      <w:r w:rsidRPr="008B33B9">
        <w:rPr>
          <w:rFonts w:ascii="Garamond" w:hAnsi="Garamond"/>
          <w:b/>
          <w:bCs/>
          <w:i/>
          <w:iCs/>
          <w:sz w:val="28"/>
          <w:szCs w:val="28"/>
        </w:rPr>
        <w:t xml:space="preserve"> </w:t>
      </w:r>
      <w:proofErr w:type="spellStart"/>
      <w:r w:rsidRPr="008B33B9">
        <w:rPr>
          <w:rFonts w:ascii="Garamond" w:hAnsi="Garamond"/>
          <w:b/>
          <w:bCs/>
          <w:i/>
          <w:iCs/>
          <w:sz w:val="28"/>
          <w:szCs w:val="28"/>
        </w:rPr>
        <w:t>materiae</w:t>
      </w:r>
      <w:proofErr w:type="spellEnd"/>
      <w:r w:rsidRPr="008B33B9">
        <w:rPr>
          <w:rFonts w:ascii="Garamond" w:hAnsi="Garamond"/>
          <w:b/>
          <w:bCs/>
          <w:i/>
          <w:iCs/>
          <w:sz w:val="28"/>
          <w:szCs w:val="28"/>
        </w:rPr>
        <w:t xml:space="preserve"> </w:t>
      </w:r>
      <w:r w:rsidRPr="008B33B9">
        <w:rPr>
          <w:rFonts w:ascii="Garamond" w:hAnsi="Garamond"/>
          <w:b/>
          <w:bCs/>
          <w:sz w:val="28"/>
          <w:szCs w:val="28"/>
        </w:rPr>
        <w:t xml:space="preserve">of the </w:t>
      </w:r>
      <w:r w:rsidR="00542A82" w:rsidRPr="008B33B9">
        <w:rPr>
          <w:rFonts w:ascii="Garamond" w:hAnsi="Garamond"/>
          <w:b/>
          <w:bCs/>
          <w:i/>
          <w:iCs/>
          <w:sz w:val="28"/>
          <w:szCs w:val="28"/>
        </w:rPr>
        <w:t>forum concursus</w:t>
      </w:r>
    </w:p>
    <w:p w14:paraId="244C8645" w14:textId="77777777" w:rsidR="008B33B9" w:rsidRPr="008B33B9" w:rsidRDefault="008B33B9" w:rsidP="008B33B9">
      <w:pPr>
        <w:pStyle w:val="Paragraphedeliste"/>
        <w:ind w:left="360"/>
        <w:jc w:val="left"/>
        <w:rPr>
          <w:rFonts w:ascii="Baskerville Old Face" w:hAnsi="Baskerville Old Face"/>
          <w:sz w:val="24"/>
          <w:szCs w:val="24"/>
        </w:rPr>
      </w:pPr>
      <w:r w:rsidRPr="008B33B9">
        <w:rPr>
          <w:rFonts w:ascii="Baskerville Old Face" w:hAnsi="Baskerville Old Face"/>
          <w:sz w:val="24"/>
          <w:szCs w:val="24"/>
        </w:rPr>
        <w:t>Dr. Augustin GRIDEL</w:t>
      </w:r>
    </w:p>
    <w:p w14:paraId="2B82AD10" w14:textId="2897E963" w:rsidR="00DF4BE7" w:rsidRPr="008B33B9" w:rsidRDefault="008B33B9" w:rsidP="008B33B9">
      <w:pPr>
        <w:pStyle w:val="Paragraphedeliste"/>
        <w:ind w:left="360"/>
        <w:jc w:val="left"/>
        <w:rPr>
          <w:rFonts w:ascii="Baskerville Old Face" w:hAnsi="Baskerville Old Face"/>
          <w:sz w:val="24"/>
          <w:szCs w:val="24"/>
        </w:rPr>
      </w:pPr>
      <w:r w:rsidRPr="008B33B9">
        <w:rPr>
          <w:rFonts w:ascii="Baskerville Old Face" w:hAnsi="Baskerville Old Face"/>
          <w:sz w:val="24"/>
          <w:szCs w:val="24"/>
        </w:rPr>
        <w:t>Associate professor (Maître de conferences) at the Faculty of Law of Nancy (Université de Lorraine, France)</w:t>
      </w:r>
    </w:p>
    <w:p w14:paraId="0E92401A" w14:textId="220810C0" w:rsidR="00554C6A" w:rsidRDefault="00554C6A" w:rsidP="00DF4BE7">
      <w:pPr>
        <w:rPr>
          <w:rFonts w:ascii="Garamond" w:hAnsi="Garamond"/>
        </w:rPr>
      </w:pPr>
      <w:r w:rsidRPr="00554C6A">
        <w:rPr>
          <w:rFonts w:ascii="Garamond" w:hAnsi="Garamond"/>
        </w:rPr>
        <w:t xml:space="preserve">After having been questioned as to the </w:t>
      </w:r>
      <w:proofErr w:type="spellStart"/>
      <w:r w:rsidRPr="00554C6A">
        <w:rPr>
          <w:rFonts w:ascii="Garamond" w:hAnsi="Garamond"/>
        </w:rPr>
        <w:t>characterisation</w:t>
      </w:r>
      <w:proofErr w:type="spellEnd"/>
      <w:r w:rsidRPr="00554C6A">
        <w:rPr>
          <w:rFonts w:ascii="Garamond" w:hAnsi="Garamond"/>
        </w:rPr>
        <w:t xml:space="preserve"> of the </w:t>
      </w:r>
      <w:proofErr w:type="spellStart"/>
      <w:r w:rsidRPr="00554C6A">
        <w:rPr>
          <w:rFonts w:ascii="Garamond" w:hAnsi="Garamond"/>
        </w:rPr>
        <w:t>centre</w:t>
      </w:r>
      <w:proofErr w:type="spellEnd"/>
      <w:r w:rsidRPr="00554C6A">
        <w:rPr>
          <w:rFonts w:ascii="Garamond" w:hAnsi="Garamond"/>
        </w:rPr>
        <w:t xml:space="preserve"> of main interests within the meaning of the Insolvency Regulation,</w:t>
      </w:r>
      <w:r w:rsidR="00101F0B">
        <w:rPr>
          <w:rFonts w:ascii="Garamond" w:hAnsi="Garamond"/>
        </w:rPr>
        <w:t xml:space="preserve"> the court that has jurisdiction to contest this characterization,</w:t>
      </w:r>
      <w:r w:rsidRPr="00554C6A">
        <w:rPr>
          <w:rFonts w:ascii="Garamond" w:hAnsi="Garamond"/>
        </w:rPr>
        <w:t xml:space="preserve"> and then the relationship between main and secondary proceedings, the Court of Justice is now being increasingly questioned as to the applicability of the Insolvency Regulation itself.</w:t>
      </w:r>
    </w:p>
    <w:p w14:paraId="3C2E427D" w14:textId="7F5C21B3" w:rsidR="00101F0B" w:rsidRDefault="00554C6A" w:rsidP="00DF4BE7">
      <w:pPr>
        <w:rPr>
          <w:rFonts w:ascii="Garamond" w:hAnsi="Garamond"/>
        </w:rPr>
      </w:pPr>
      <w:r>
        <w:rPr>
          <w:rFonts w:ascii="Garamond" w:hAnsi="Garamond"/>
        </w:rPr>
        <w:t xml:space="preserve">Why does litigation today </w:t>
      </w:r>
      <w:proofErr w:type="gramStart"/>
      <w:r>
        <w:rPr>
          <w:rFonts w:ascii="Garamond" w:hAnsi="Garamond"/>
        </w:rPr>
        <w:t>focuses</w:t>
      </w:r>
      <w:proofErr w:type="gramEnd"/>
      <w:r>
        <w:rPr>
          <w:rFonts w:ascii="Garamond" w:hAnsi="Garamond"/>
        </w:rPr>
        <w:t xml:space="preserve"> on the interaction between </w:t>
      </w:r>
      <w:r w:rsidR="00DF4BE7">
        <w:rPr>
          <w:rFonts w:ascii="Garamond" w:hAnsi="Garamond"/>
        </w:rPr>
        <w:t>the Brussel I bis regulation and the Insolvency regulation</w:t>
      </w:r>
      <w:r>
        <w:rPr>
          <w:rFonts w:ascii="Garamond" w:hAnsi="Garamond"/>
        </w:rPr>
        <w:t xml:space="preserve">? </w:t>
      </w:r>
      <w:r w:rsidR="00101F0B">
        <w:rPr>
          <w:rFonts w:ascii="Garamond" w:hAnsi="Garamond"/>
        </w:rPr>
        <w:t>The main difficulty lies in</w:t>
      </w:r>
      <w:r>
        <w:rPr>
          <w:rFonts w:ascii="Garamond" w:hAnsi="Garamond"/>
        </w:rPr>
        <w:t xml:space="preserve"> the criterion</w:t>
      </w:r>
      <w:r w:rsidR="00C408B6">
        <w:rPr>
          <w:rFonts w:ascii="Garamond" w:hAnsi="Garamond"/>
        </w:rPr>
        <w:t xml:space="preserve"> given by the Insolvency Regulation, according to which its applicability </w:t>
      </w:r>
      <w:proofErr w:type="gramStart"/>
      <w:r w:rsidR="00C408B6">
        <w:rPr>
          <w:rFonts w:ascii="Garamond" w:hAnsi="Garamond"/>
        </w:rPr>
        <w:t>depend</w:t>
      </w:r>
      <w:proofErr w:type="gramEnd"/>
      <w:r w:rsidR="00C408B6">
        <w:rPr>
          <w:rFonts w:ascii="Garamond" w:hAnsi="Garamond"/>
        </w:rPr>
        <w:t xml:space="preserve"> whether the actions “derive directly from insolvency proceedings and are closely connected with them”</w:t>
      </w:r>
      <w:r w:rsidR="00101F0B">
        <w:rPr>
          <w:rFonts w:ascii="Garamond" w:hAnsi="Garamond"/>
        </w:rPr>
        <w:t xml:space="preserve">. Those words, that originated from the rapport Jenard, do not allow predictability of solutions. Another difficulty comes from the interpretation of the Court of Justice does not give clear evidence either of the relevant criterion. </w:t>
      </w:r>
    </w:p>
    <w:p w14:paraId="6602C3C7" w14:textId="77777777" w:rsidR="00C751BC" w:rsidRDefault="00DF4BE7" w:rsidP="00DF4BE7">
      <w:pPr>
        <w:rPr>
          <w:rFonts w:ascii="Garamond" w:hAnsi="Garamond"/>
        </w:rPr>
      </w:pPr>
      <w:r>
        <w:rPr>
          <w:rFonts w:ascii="Garamond" w:hAnsi="Garamond"/>
        </w:rPr>
        <w:t xml:space="preserve">The present paper intends to shed light on the reasons that should, </w:t>
      </w:r>
      <w:r>
        <w:rPr>
          <w:rFonts w:ascii="Garamond" w:hAnsi="Garamond"/>
          <w:i/>
          <w:iCs/>
        </w:rPr>
        <w:t xml:space="preserve">de </w:t>
      </w:r>
      <w:proofErr w:type="spellStart"/>
      <w:r>
        <w:rPr>
          <w:rFonts w:ascii="Garamond" w:hAnsi="Garamond"/>
          <w:i/>
          <w:iCs/>
        </w:rPr>
        <w:t>lege</w:t>
      </w:r>
      <w:proofErr w:type="spellEnd"/>
      <w:r>
        <w:rPr>
          <w:rFonts w:ascii="Garamond" w:hAnsi="Garamond"/>
          <w:i/>
          <w:iCs/>
        </w:rPr>
        <w:t xml:space="preserve"> </w:t>
      </w:r>
      <w:proofErr w:type="spellStart"/>
      <w:r>
        <w:rPr>
          <w:rFonts w:ascii="Garamond" w:hAnsi="Garamond"/>
          <w:i/>
          <w:iCs/>
        </w:rPr>
        <w:t>feranda</w:t>
      </w:r>
      <w:proofErr w:type="spellEnd"/>
      <w:r>
        <w:rPr>
          <w:rFonts w:ascii="Garamond" w:hAnsi="Garamond"/>
        </w:rPr>
        <w:t xml:space="preserve">, delimit the scope, </w:t>
      </w:r>
      <w:proofErr w:type="spellStart"/>
      <w:r>
        <w:rPr>
          <w:rFonts w:ascii="Garamond" w:hAnsi="Garamond"/>
          <w:i/>
          <w:iCs/>
        </w:rPr>
        <w:t>rationae</w:t>
      </w:r>
      <w:proofErr w:type="spellEnd"/>
      <w:r>
        <w:rPr>
          <w:rFonts w:ascii="Garamond" w:hAnsi="Garamond"/>
          <w:i/>
          <w:iCs/>
        </w:rPr>
        <w:t xml:space="preserve"> </w:t>
      </w:r>
      <w:proofErr w:type="spellStart"/>
      <w:r>
        <w:rPr>
          <w:rFonts w:ascii="Garamond" w:hAnsi="Garamond"/>
          <w:i/>
          <w:iCs/>
        </w:rPr>
        <w:t>materiae</w:t>
      </w:r>
      <w:proofErr w:type="spellEnd"/>
      <w:r>
        <w:rPr>
          <w:rFonts w:ascii="Garamond" w:hAnsi="Garamond"/>
        </w:rPr>
        <w:t>, of the insolvency’s tribunal</w:t>
      </w:r>
      <w:r w:rsidR="00A21FC3">
        <w:rPr>
          <w:rFonts w:ascii="Garamond" w:hAnsi="Garamond"/>
        </w:rPr>
        <w:t xml:space="preserve"> by investing the </w:t>
      </w:r>
      <w:r w:rsidR="00A21FC3">
        <w:rPr>
          <w:rFonts w:ascii="Garamond" w:hAnsi="Garamond"/>
          <w:i/>
          <w:iCs/>
        </w:rPr>
        <w:t xml:space="preserve">ratio </w:t>
      </w:r>
      <w:proofErr w:type="spellStart"/>
      <w:r w:rsidR="00A21FC3">
        <w:rPr>
          <w:rFonts w:ascii="Garamond" w:hAnsi="Garamond"/>
          <w:i/>
          <w:iCs/>
        </w:rPr>
        <w:t>legis</w:t>
      </w:r>
      <w:proofErr w:type="spellEnd"/>
      <w:r w:rsidR="00A21FC3">
        <w:rPr>
          <w:rFonts w:ascii="Garamond" w:hAnsi="Garamond"/>
        </w:rPr>
        <w:t xml:space="preserve"> for instituting a bankruptcy court</w:t>
      </w:r>
      <w:r w:rsidR="00101F0B">
        <w:rPr>
          <w:rFonts w:ascii="Garamond" w:hAnsi="Garamond"/>
        </w:rPr>
        <w:t>. First and foremost, this court should have exclusive jurisdiction to ju</w:t>
      </w:r>
      <w:r w:rsidR="00A21FC3">
        <w:rPr>
          <w:rFonts w:ascii="Garamond" w:hAnsi="Garamond"/>
        </w:rPr>
        <w:t>d</w:t>
      </w:r>
      <w:r w:rsidR="00101F0B">
        <w:rPr>
          <w:rFonts w:ascii="Garamond" w:hAnsi="Garamond"/>
        </w:rPr>
        <w:t>ge the legal issues raised by</w:t>
      </w:r>
      <w:r w:rsidR="00A21FC3">
        <w:rPr>
          <w:rFonts w:ascii="Garamond" w:hAnsi="Garamond"/>
        </w:rPr>
        <w:t xml:space="preserve"> the “internal order” of the procedure, i.e.</w:t>
      </w:r>
      <w:r w:rsidR="00101F0B">
        <w:rPr>
          <w:rFonts w:ascii="Garamond" w:hAnsi="Garamond"/>
        </w:rPr>
        <w:t xml:space="preserve"> the organs instituted for the purpose of the procedure</w:t>
      </w:r>
      <w:r w:rsidR="00A21FC3">
        <w:rPr>
          <w:rFonts w:ascii="Garamond" w:hAnsi="Garamond"/>
        </w:rPr>
        <w:t>.</w:t>
      </w:r>
      <w:r w:rsidR="00C751BC">
        <w:rPr>
          <w:rFonts w:ascii="Garamond" w:hAnsi="Garamond"/>
        </w:rPr>
        <w:t xml:space="preserve"> Here, the basis of the jurisdiction is the fact that the insolvency necessitates to create an organization to treat it; the bankruptcy court should concentrate all decisions relating to this </w:t>
      </w:r>
      <w:proofErr w:type="spellStart"/>
      <w:r w:rsidR="00C751BC">
        <w:rPr>
          <w:rFonts w:ascii="Garamond" w:hAnsi="Garamond"/>
        </w:rPr>
        <w:t>organisation</w:t>
      </w:r>
      <w:proofErr w:type="spellEnd"/>
      <w:r w:rsidR="00C751BC">
        <w:rPr>
          <w:rFonts w:ascii="Garamond" w:hAnsi="Garamond"/>
        </w:rPr>
        <w:t>.</w:t>
      </w:r>
      <w:r w:rsidR="00A21FC3">
        <w:rPr>
          <w:rFonts w:ascii="Garamond" w:hAnsi="Garamond"/>
        </w:rPr>
        <w:t xml:space="preserve"> </w:t>
      </w:r>
    </w:p>
    <w:p w14:paraId="734CE6B2" w14:textId="7A7E7803" w:rsidR="00C751BC" w:rsidRDefault="00101F0B" w:rsidP="00DF4BE7">
      <w:pPr>
        <w:rPr>
          <w:rFonts w:ascii="Garamond" w:hAnsi="Garamond"/>
        </w:rPr>
      </w:pPr>
      <w:r>
        <w:rPr>
          <w:rFonts w:ascii="Garamond" w:hAnsi="Garamond"/>
        </w:rPr>
        <w:t>Second</w:t>
      </w:r>
      <w:r w:rsidR="00A21FC3">
        <w:rPr>
          <w:rFonts w:ascii="Garamond" w:hAnsi="Garamond"/>
        </w:rPr>
        <w:t>, when</w:t>
      </w:r>
      <w:r w:rsidR="00C751BC">
        <w:rPr>
          <w:rFonts w:ascii="Garamond" w:hAnsi="Garamond"/>
        </w:rPr>
        <w:t xml:space="preserve"> the organs instituted by the bankruptcy court are</w:t>
      </w:r>
      <w:r w:rsidR="00A21FC3">
        <w:rPr>
          <w:rFonts w:ascii="Garamond" w:hAnsi="Garamond"/>
        </w:rPr>
        <w:t xml:space="preserve"> confronted to the external order of the procedure, a distinction has to be made. On the one hand, the bankruptcy court should be the only one competent as to the actions against the organs of the company; here, </w:t>
      </w:r>
      <w:r w:rsidR="00542A82">
        <w:rPr>
          <w:rFonts w:ascii="Garamond" w:hAnsi="Garamond"/>
        </w:rPr>
        <w:t xml:space="preserve">the </w:t>
      </w:r>
      <w:r w:rsidR="00542A82">
        <w:rPr>
          <w:rFonts w:ascii="Garamond" w:hAnsi="Garamond"/>
          <w:i/>
          <w:iCs/>
        </w:rPr>
        <w:t>forum concursus</w:t>
      </w:r>
      <w:r w:rsidR="00A21FC3">
        <w:rPr>
          <w:rFonts w:ascii="Garamond" w:hAnsi="Garamond"/>
        </w:rPr>
        <w:t xml:space="preserve"> exercise the exclusive jurisdiction given, under the Brussel I Regulation, to the tribunal of the seat of the company when it is </w:t>
      </w:r>
      <w:r w:rsidR="00A21FC3" w:rsidRPr="00A21FC3">
        <w:rPr>
          <w:rFonts w:ascii="Garamond" w:hAnsi="Garamond"/>
          <w:i/>
          <w:iCs/>
        </w:rPr>
        <w:t xml:space="preserve">in </w:t>
      </w:r>
      <w:proofErr w:type="spellStart"/>
      <w:r w:rsidR="00A21FC3" w:rsidRPr="00A21FC3">
        <w:rPr>
          <w:rFonts w:ascii="Garamond" w:hAnsi="Garamond"/>
          <w:i/>
          <w:iCs/>
        </w:rPr>
        <w:t>bonis</w:t>
      </w:r>
      <w:proofErr w:type="spellEnd"/>
      <w:r w:rsidR="00A21FC3">
        <w:rPr>
          <w:rFonts w:ascii="Garamond" w:hAnsi="Garamond"/>
        </w:rPr>
        <w:t xml:space="preserve">. </w:t>
      </w:r>
      <w:r w:rsidR="00C751BC">
        <w:rPr>
          <w:rFonts w:ascii="Garamond" w:hAnsi="Garamond"/>
        </w:rPr>
        <w:t xml:space="preserve">Here, the reasons that allowed the creation of legal personality ceased to exist, and the bankruptcy court is the only one that should decide over the destiny of the persons that used to be protected by the veil of legal personality. </w:t>
      </w:r>
      <w:r w:rsidR="00542A82">
        <w:rPr>
          <w:rFonts w:ascii="Garamond" w:hAnsi="Garamond"/>
        </w:rPr>
        <w:t>T</w:t>
      </w:r>
      <w:r w:rsidR="00C751BC">
        <w:rPr>
          <w:rFonts w:ascii="Garamond" w:hAnsi="Garamond"/>
        </w:rPr>
        <w:t xml:space="preserve">his reveals the logical and chronological link between company law and insolvency law. </w:t>
      </w:r>
    </w:p>
    <w:p w14:paraId="55CF387F" w14:textId="7CD09496" w:rsidR="0085275A" w:rsidRPr="008B33B9" w:rsidRDefault="00A21FC3" w:rsidP="008B33B9">
      <w:pPr>
        <w:rPr>
          <w:rFonts w:ascii="Garamond" w:hAnsi="Garamond"/>
        </w:rPr>
      </w:pPr>
      <w:r>
        <w:rPr>
          <w:rFonts w:ascii="Garamond" w:hAnsi="Garamond"/>
        </w:rPr>
        <w:t xml:space="preserve">On the other hand, when confronted with the </w:t>
      </w:r>
      <w:r w:rsidR="00C751BC">
        <w:rPr>
          <w:rFonts w:ascii="Garamond" w:hAnsi="Garamond"/>
        </w:rPr>
        <w:t xml:space="preserve">creditors, the bankruptcy court should </w:t>
      </w:r>
      <w:proofErr w:type="gramStart"/>
      <w:r w:rsidR="00C751BC">
        <w:rPr>
          <w:rFonts w:ascii="Garamond" w:hAnsi="Garamond"/>
        </w:rPr>
        <w:t>has</w:t>
      </w:r>
      <w:proofErr w:type="gramEnd"/>
      <w:r w:rsidR="00C751BC">
        <w:rPr>
          <w:rFonts w:ascii="Garamond" w:hAnsi="Garamond"/>
        </w:rPr>
        <w:t xml:space="preserve"> exclusive jurisdiction only if the provision</w:t>
      </w:r>
      <w:r w:rsidR="00542A82">
        <w:rPr>
          <w:rFonts w:ascii="Garamond" w:hAnsi="Garamond"/>
        </w:rPr>
        <w:t>s</w:t>
      </w:r>
      <w:r w:rsidR="00C751BC">
        <w:rPr>
          <w:rFonts w:ascii="Garamond" w:hAnsi="Garamond"/>
        </w:rPr>
        <w:t xml:space="preserve"> </w:t>
      </w:r>
      <w:r w:rsidR="00542A82">
        <w:rPr>
          <w:rFonts w:ascii="Garamond" w:hAnsi="Garamond"/>
        </w:rPr>
        <w:t>are truly</w:t>
      </w:r>
      <w:r w:rsidR="00C751BC">
        <w:rPr>
          <w:rFonts w:ascii="Garamond" w:hAnsi="Garamond"/>
        </w:rPr>
        <w:t xml:space="preserve"> part of the </w:t>
      </w:r>
      <w:proofErr w:type="spellStart"/>
      <w:r w:rsidR="00C751BC">
        <w:rPr>
          <w:rFonts w:ascii="Garamond" w:hAnsi="Garamond"/>
        </w:rPr>
        <w:t>organisation</w:t>
      </w:r>
      <w:proofErr w:type="spellEnd"/>
      <w:r w:rsidR="00C751BC">
        <w:rPr>
          <w:rFonts w:ascii="Garamond" w:hAnsi="Garamond"/>
        </w:rPr>
        <w:t xml:space="preserve"> of the procedure. </w:t>
      </w:r>
      <w:proofErr w:type="gramStart"/>
      <w:r w:rsidR="00542A82" w:rsidRPr="00542A82">
        <w:rPr>
          <w:rFonts w:ascii="Garamond" w:hAnsi="Garamond"/>
        </w:rPr>
        <w:t>Thus</w:t>
      </w:r>
      <w:proofErr w:type="gramEnd"/>
      <w:r w:rsidR="00542A82" w:rsidRPr="00542A82">
        <w:rPr>
          <w:rFonts w:ascii="Garamond" w:hAnsi="Garamond"/>
        </w:rPr>
        <w:t xml:space="preserve"> the type of revocatory action</w:t>
      </w:r>
      <w:r w:rsidR="00542A82">
        <w:rPr>
          <w:rFonts w:ascii="Garamond" w:hAnsi="Garamond"/>
        </w:rPr>
        <w:t xml:space="preserve"> </w:t>
      </w:r>
      <w:r w:rsidR="00542A82" w:rsidRPr="00542A82">
        <w:rPr>
          <w:rFonts w:ascii="Garamond" w:hAnsi="Garamond"/>
        </w:rPr>
        <w:t xml:space="preserve">must be dealt with exclusively by the </w:t>
      </w:r>
      <w:r w:rsidR="00542A82" w:rsidRPr="00542A82">
        <w:rPr>
          <w:rFonts w:ascii="Garamond" w:hAnsi="Garamond"/>
          <w:i/>
          <w:iCs/>
        </w:rPr>
        <w:t>forum concursus</w:t>
      </w:r>
      <w:r w:rsidR="00542A82" w:rsidRPr="00542A82">
        <w:rPr>
          <w:rFonts w:ascii="Garamond" w:hAnsi="Garamond"/>
        </w:rPr>
        <w:t xml:space="preserve">. The debtor's creditors, who are the beneficiaries of the </w:t>
      </w:r>
      <w:r w:rsidR="00542A82">
        <w:rPr>
          <w:rFonts w:ascii="Garamond" w:hAnsi="Garamond"/>
        </w:rPr>
        <w:t>suspicious</w:t>
      </w:r>
      <w:r w:rsidR="00542A82" w:rsidRPr="00542A82">
        <w:rPr>
          <w:rFonts w:ascii="Garamond" w:hAnsi="Garamond"/>
        </w:rPr>
        <w:t xml:space="preserve"> act, are fully </w:t>
      </w:r>
      <w:r w:rsidR="00542A82" w:rsidRPr="00542A82">
        <w:rPr>
          <w:rFonts w:ascii="Garamond" w:hAnsi="Garamond"/>
        </w:rPr>
        <w:lastRenderedPageBreak/>
        <w:t xml:space="preserve">involved in the insolvency proceedings, which were set up precisely in order to </w:t>
      </w:r>
      <w:proofErr w:type="spellStart"/>
      <w:r w:rsidR="00542A82" w:rsidRPr="00542A82">
        <w:rPr>
          <w:rFonts w:ascii="Garamond" w:hAnsi="Garamond"/>
        </w:rPr>
        <w:t>organise</w:t>
      </w:r>
      <w:proofErr w:type="spellEnd"/>
      <w:r w:rsidR="00542A82" w:rsidRPr="00542A82">
        <w:rPr>
          <w:rFonts w:ascii="Garamond" w:hAnsi="Garamond"/>
        </w:rPr>
        <w:t xml:space="preserve"> their cooperation. Consequently, the relationship between the organs of the proceedings and the creditors in respect of the proper </w:t>
      </w:r>
      <w:proofErr w:type="spellStart"/>
      <w:r w:rsidR="00542A82" w:rsidRPr="00542A82">
        <w:rPr>
          <w:rFonts w:ascii="Garamond" w:hAnsi="Garamond"/>
        </w:rPr>
        <w:t>organisation</w:t>
      </w:r>
      <w:proofErr w:type="spellEnd"/>
      <w:r w:rsidR="00542A82" w:rsidRPr="00542A82">
        <w:rPr>
          <w:rFonts w:ascii="Garamond" w:hAnsi="Garamond"/>
        </w:rPr>
        <w:t xml:space="preserve"> of the </w:t>
      </w:r>
      <w:r w:rsidR="00542A82">
        <w:rPr>
          <w:rFonts w:ascii="Garamond" w:hAnsi="Garamond"/>
        </w:rPr>
        <w:t>creditors’ contribution</w:t>
      </w:r>
      <w:r w:rsidR="00542A82" w:rsidRPr="00542A82">
        <w:rPr>
          <w:rFonts w:ascii="Garamond" w:hAnsi="Garamond"/>
        </w:rPr>
        <w:t xml:space="preserve"> can only be described as internal to the </w:t>
      </w:r>
      <w:proofErr w:type="spellStart"/>
      <w:r w:rsidR="00542A82" w:rsidRPr="00542A82">
        <w:rPr>
          <w:rFonts w:ascii="Garamond" w:hAnsi="Garamond"/>
        </w:rPr>
        <w:t>organisation</w:t>
      </w:r>
      <w:proofErr w:type="spellEnd"/>
      <w:r w:rsidR="00542A82" w:rsidRPr="00542A82">
        <w:rPr>
          <w:rFonts w:ascii="Garamond" w:hAnsi="Garamond"/>
        </w:rPr>
        <w:t xml:space="preserve"> of the bankruptcy, unless the action in question is not intended to reconstitute the debtor's assets, but constitutes the ordinary exercise of an action for payment.</w:t>
      </w:r>
    </w:p>
    <w:sectPr w:rsidR="0085275A" w:rsidRPr="008B33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D03AC" w14:textId="77777777" w:rsidR="007D35EF" w:rsidRDefault="007D35EF" w:rsidP="00FA09B5">
      <w:pPr>
        <w:spacing w:after="0" w:line="240" w:lineRule="auto"/>
      </w:pPr>
      <w:r>
        <w:separator/>
      </w:r>
    </w:p>
  </w:endnote>
  <w:endnote w:type="continuationSeparator" w:id="0">
    <w:p w14:paraId="68ED892B" w14:textId="77777777" w:rsidR="007D35EF" w:rsidRDefault="007D35EF" w:rsidP="00FA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089F" w14:textId="77777777" w:rsidR="00FA09B5" w:rsidRDefault="00FA09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826DD" w14:textId="77777777" w:rsidR="00FA09B5" w:rsidRDefault="00FA09B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F5399" w14:textId="77777777" w:rsidR="00FA09B5" w:rsidRDefault="00FA09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0B6ED" w14:textId="77777777" w:rsidR="007D35EF" w:rsidRDefault="007D35EF" w:rsidP="00FA09B5">
      <w:pPr>
        <w:spacing w:after="0" w:line="240" w:lineRule="auto"/>
      </w:pPr>
      <w:r>
        <w:separator/>
      </w:r>
    </w:p>
  </w:footnote>
  <w:footnote w:type="continuationSeparator" w:id="0">
    <w:p w14:paraId="1ADFE5C2" w14:textId="77777777" w:rsidR="007D35EF" w:rsidRDefault="007D35EF" w:rsidP="00FA0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9A6B0" w14:textId="77777777" w:rsidR="00FA09B5" w:rsidRDefault="00FA09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1A490" w14:textId="77777777" w:rsidR="00FA09B5" w:rsidRDefault="00FA09B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3F714" w14:textId="77777777" w:rsidR="00FA09B5" w:rsidRDefault="00FA09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B789C"/>
    <w:multiLevelType w:val="hybridMultilevel"/>
    <w:tmpl w:val="00620156"/>
    <w:lvl w:ilvl="0" w:tplc="6A221B2C">
      <w:start w:val="1"/>
      <w:numFmt w:val="decimal"/>
      <w:lvlText w:val="%1."/>
      <w:lvlJc w:val="left"/>
      <w:pPr>
        <w:ind w:left="360" w:hanging="360"/>
      </w:pPr>
      <w:rPr>
        <w:rFonts w:hint="default"/>
        <w:b w:val="0"/>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525251A1"/>
    <w:multiLevelType w:val="hybridMultilevel"/>
    <w:tmpl w:val="46D844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63758640">
    <w:abstractNumId w:val="0"/>
  </w:num>
  <w:num w:numId="2" w16cid:durableId="139646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80"/>
    <w:rsid w:val="00006D9D"/>
    <w:rsid w:val="000523D2"/>
    <w:rsid w:val="0006079C"/>
    <w:rsid w:val="00061BE9"/>
    <w:rsid w:val="00101F0B"/>
    <w:rsid w:val="001534AC"/>
    <w:rsid w:val="0016280C"/>
    <w:rsid w:val="001C7D80"/>
    <w:rsid w:val="00203800"/>
    <w:rsid w:val="00256C33"/>
    <w:rsid w:val="003A3611"/>
    <w:rsid w:val="003D4BE8"/>
    <w:rsid w:val="00442D01"/>
    <w:rsid w:val="004C5954"/>
    <w:rsid w:val="004F0D7F"/>
    <w:rsid w:val="004F0F1C"/>
    <w:rsid w:val="00523368"/>
    <w:rsid w:val="00542A82"/>
    <w:rsid w:val="00554C6A"/>
    <w:rsid w:val="005A3FC4"/>
    <w:rsid w:val="005B39CE"/>
    <w:rsid w:val="00675323"/>
    <w:rsid w:val="00681A10"/>
    <w:rsid w:val="0068389B"/>
    <w:rsid w:val="006C5267"/>
    <w:rsid w:val="006C7374"/>
    <w:rsid w:val="006E0881"/>
    <w:rsid w:val="006E0FB1"/>
    <w:rsid w:val="007C5F21"/>
    <w:rsid w:val="007D35EF"/>
    <w:rsid w:val="007E3B4C"/>
    <w:rsid w:val="00810806"/>
    <w:rsid w:val="0085275A"/>
    <w:rsid w:val="00893DE3"/>
    <w:rsid w:val="008B33B9"/>
    <w:rsid w:val="008B743F"/>
    <w:rsid w:val="00911937"/>
    <w:rsid w:val="009721E8"/>
    <w:rsid w:val="0098565F"/>
    <w:rsid w:val="009E76EB"/>
    <w:rsid w:val="009F4491"/>
    <w:rsid w:val="00A21FC3"/>
    <w:rsid w:val="00A65EB9"/>
    <w:rsid w:val="00AB3EFA"/>
    <w:rsid w:val="00AF318E"/>
    <w:rsid w:val="00BC0EC2"/>
    <w:rsid w:val="00C408B6"/>
    <w:rsid w:val="00C477B9"/>
    <w:rsid w:val="00C55DD1"/>
    <w:rsid w:val="00C7237C"/>
    <w:rsid w:val="00C751BC"/>
    <w:rsid w:val="00C77280"/>
    <w:rsid w:val="00C94C29"/>
    <w:rsid w:val="00CE7FDE"/>
    <w:rsid w:val="00D13AFF"/>
    <w:rsid w:val="00D2064F"/>
    <w:rsid w:val="00D63045"/>
    <w:rsid w:val="00D8530B"/>
    <w:rsid w:val="00DB76B6"/>
    <w:rsid w:val="00DE0379"/>
    <w:rsid w:val="00DF4BE7"/>
    <w:rsid w:val="00E266A1"/>
    <w:rsid w:val="00E36B73"/>
    <w:rsid w:val="00EE2BAA"/>
    <w:rsid w:val="00F14AB2"/>
    <w:rsid w:val="00F158ED"/>
    <w:rsid w:val="00F7573D"/>
    <w:rsid w:val="00F968C5"/>
    <w:rsid w:val="00FA09B5"/>
    <w:rsid w:val="00FE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C432"/>
  <w15:chartTrackingRefBased/>
  <w15:docId w15:val="{D3F0B6C1-3E11-47FB-AE0D-BCD6C048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565F"/>
    <w:pPr>
      <w:jc w:val="both"/>
    </w:pPr>
    <w:rPr>
      <w:rFonts w:ascii="Times New Roman" w:hAnsi="Times New Roman"/>
      <w:sz w:val="27"/>
    </w:rPr>
  </w:style>
  <w:style w:type="paragraph" w:styleId="Titre3">
    <w:name w:val="heading 3"/>
    <w:basedOn w:val="Normal"/>
    <w:next w:val="Normal"/>
    <w:link w:val="Titre3Car"/>
    <w:uiPriority w:val="9"/>
    <w:semiHidden/>
    <w:unhideWhenUsed/>
    <w:qFormat/>
    <w:rsid w:val="00F14A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Sektionoverskrift"/>
    <w:basedOn w:val="Titre3"/>
    <w:autoRedefine/>
    <w:uiPriority w:val="1"/>
    <w:qFormat/>
    <w:rsid w:val="00F14AB2"/>
    <w:pPr>
      <w:spacing w:line="240" w:lineRule="auto"/>
    </w:pPr>
    <w:rPr>
      <w:rFonts w:ascii="Times New Roman" w:hAnsi="Times New Roman"/>
      <w:color w:val="000000" w:themeColor="text1"/>
      <w:sz w:val="32"/>
    </w:rPr>
  </w:style>
  <w:style w:type="character" w:customStyle="1" w:styleId="Titre3Car">
    <w:name w:val="Titre 3 Car"/>
    <w:basedOn w:val="Policepardfaut"/>
    <w:link w:val="Titre3"/>
    <w:uiPriority w:val="9"/>
    <w:semiHidden/>
    <w:rsid w:val="00F14AB2"/>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C77280"/>
    <w:pPr>
      <w:ind w:left="720"/>
      <w:contextualSpacing/>
    </w:pPr>
  </w:style>
  <w:style w:type="paragraph" w:styleId="En-tte">
    <w:name w:val="header"/>
    <w:basedOn w:val="Normal"/>
    <w:link w:val="En-tteCar"/>
    <w:rsid w:val="0068389B"/>
    <w:pPr>
      <w:tabs>
        <w:tab w:val="center" w:pos="4153"/>
        <w:tab w:val="right" w:pos="8306"/>
      </w:tabs>
      <w:spacing w:after="0" w:line="240" w:lineRule="auto"/>
      <w:jc w:val="left"/>
    </w:pPr>
    <w:rPr>
      <w:rFonts w:eastAsia="SimSun" w:cs="Times New Roman"/>
      <w:sz w:val="24"/>
      <w:szCs w:val="24"/>
      <w:lang w:val="en-GB" w:eastAsia="zh-CN" w:bidi="he-IL"/>
    </w:rPr>
  </w:style>
  <w:style w:type="character" w:customStyle="1" w:styleId="En-tteCar">
    <w:name w:val="En-tête Car"/>
    <w:basedOn w:val="Policepardfaut"/>
    <w:link w:val="En-tte"/>
    <w:rsid w:val="0068389B"/>
    <w:rPr>
      <w:rFonts w:ascii="Times New Roman" w:eastAsia="SimSun" w:hAnsi="Times New Roman" w:cs="Times New Roman"/>
      <w:sz w:val="24"/>
      <w:szCs w:val="24"/>
      <w:lang w:val="en-GB" w:eastAsia="zh-CN" w:bidi="he-IL"/>
    </w:rPr>
  </w:style>
  <w:style w:type="character" w:styleId="Lienhypertexte">
    <w:name w:val="Hyperlink"/>
    <w:basedOn w:val="Policepardfaut"/>
    <w:uiPriority w:val="99"/>
    <w:unhideWhenUsed/>
    <w:rsid w:val="00681A10"/>
    <w:rPr>
      <w:color w:val="0563C1" w:themeColor="hyperlink"/>
      <w:u w:val="single"/>
    </w:rPr>
  </w:style>
  <w:style w:type="paragraph" w:styleId="Pieddepage">
    <w:name w:val="footer"/>
    <w:basedOn w:val="Normal"/>
    <w:link w:val="PieddepageCar"/>
    <w:uiPriority w:val="99"/>
    <w:unhideWhenUsed/>
    <w:rsid w:val="00FA09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09B5"/>
    <w:rPr>
      <w:rFonts w:ascii="Times New Roman" w:hAnsi="Times New Roman"/>
      <w:sz w:val="27"/>
    </w:rPr>
  </w:style>
  <w:style w:type="paragraph" w:styleId="Textedebulles">
    <w:name w:val="Balloon Text"/>
    <w:basedOn w:val="Normal"/>
    <w:link w:val="TextedebullesCar"/>
    <w:uiPriority w:val="99"/>
    <w:semiHidden/>
    <w:unhideWhenUsed/>
    <w:rsid w:val="00E266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66A1"/>
    <w:rPr>
      <w:rFonts w:ascii="Segoe UI" w:hAnsi="Segoe UI" w:cs="Segoe UI"/>
      <w:sz w:val="18"/>
      <w:szCs w:val="18"/>
    </w:rPr>
  </w:style>
  <w:style w:type="character" w:styleId="Mentionnonrsolue">
    <w:name w:val="Unresolved Mention"/>
    <w:basedOn w:val="Policepardfaut"/>
    <w:uiPriority w:val="99"/>
    <w:rsid w:val="008B743F"/>
    <w:rPr>
      <w:color w:val="605E5C"/>
      <w:shd w:val="clear" w:color="auto" w:fill="E1DFDD"/>
    </w:rPr>
  </w:style>
  <w:style w:type="character" w:styleId="Lienhypertextesuivivisit">
    <w:name w:val="FollowedHyperlink"/>
    <w:basedOn w:val="Policepardfaut"/>
    <w:uiPriority w:val="99"/>
    <w:semiHidden/>
    <w:unhideWhenUsed/>
    <w:rsid w:val="00972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2852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Herman Langkjær</dc:creator>
  <cp:keywords/>
  <cp:lastModifiedBy>Myriam Mailly</cp:lastModifiedBy>
  <cp:revision>3</cp:revision>
  <dcterms:created xsi:type="dcterms:W3CDTF">2024-02-29T17:41:00Z</dcterms:created>
  <dcterms:modified xsi:type="dcterms:W3CDTF">2024-09-26T11:09:00Z</dcterms:modified>
</cp:coreProperties>
</file>