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903D8" w14:textId="38A79237" w:rsidR="00391F42" w:rsidRDefault="00BD5A25" w:rsidP="00671938">
      <w:pPr>
        <w:spacing w:after="0" w:line="240" w:lineRule="auto"/>
        <w:contextualSpacing/>
        <w:jc w:val="center"/>
        <w:rPr>
          <w:b/>
          <w:bCs/>
          <w:lang w:val="en-GB"/>
        </w:rPr>
      </w:pPr>
      <w:r w:rsidRPr="00116415">
        <w:rPr>
          <w:b/>
          <w:bCs/>
          <w:lang w:val="en-GB"/>
        </w:rPr>
        <w:t xml:space="preserve">Distributions to shareholders and </w:t>
      </w:r>
      <w:r w:rsidR="00F605B6" w:rsidRPr="00116415">
        <w:rPr>
          <w:b/>
          <w:bCs/>
          <w:lang w:val="en-GB"/>
        </w:rPr>
        <w:t xml:space="preserve">the proposed EU rules on </w:t>
      </w:r>
      <w:r w:rsidR="00EE0ED5" w:rsidRPr="00116415">
        <w:rPr>
          <w:b/>
          <w:bCs/>
          <w:lang w:val="en-GB"/>
        </w:rPr>
        <w:t>avoidance</w:t>
      </w:r>
      <w:r w:rsidR="00F605B6" w:rsidRPr="00116415">
        <w:rPr>
          <w:b/>
          <w:bCs/>
          <w:lang w:val="en-GB"/>
        </w:rPr>
        <w:t xml:space="preserve"> actions in bankruptcy</w:t>
      </w:r>
    </w:p>
    <w:p w14:paraId="2A570F8E" w14:textId="77777777" w:rsidR="002D206F" w:rsidRDefault="002D206F" w:rsidP="00671938">
      <w:pPr>
        <w:spacing w:after="0" w:line="240" w:lineRule="auto"/>
        <w:contextualSpacing/>
        <w:jc w:val="center"/>
        <w:rPr>
          <w:b/>
          <w:bCs/>
          <w:lang w:val="en-GB"/>
        </w:rPr>
      </w:pPr>
    </w:p>
    <w:p w14:paraId="3CE82A7E" w14:textId="0FEB9306" w:rsidR="002D206F" w:rsidRPr="00671938" w:rsidRDefault="002D206F" w:rsidP="00671938">
      <w:pPr>
        <w:spacing w:after="0" w:line="240" w:lineRule="auto"/>
        <w:contextualSpacing/>
        <w:jc w:val="center"/>
        <w:rPr>
          <w:i/>
          <w:iCs/>
          <w:lang w:val="en-GB"/>
        </w:rPr>
      </w:pPr>
      <w:r w:rsidRPr="00671938">
        <w:rPr>
          <w:i/>
          <w:iCs/>
          <w:lang w:val="en-GB"/>
        </w:rPr>
        <w:t xml:space="preserve">Prof. </w:t>
      </w:r>
      <w:proofErr w:type="spellStart"/>
      <w:r w:rsidRPr="00671938">
        <w:rPr>
          <w:i/>
          <w:iCs/>
          <w:lang w:val="en-GB"/>
        </w:rPr>
        <w:t>dr.</w:t>
      </w:r>
      <w:proofErr w:type="spellEnd"/>
      <w:r w:rsidRPr="00671938">
        <w:rPr>
          <w:i/>
          <w:iCs/>
          <w:lang w:val="en-GB"/>
        </w:rPr>
        <w:t xml:space="preserve"> Diederik BRULOOT</w:t>
      </w:r>
    </w:p>
    <w:p w14:paraId="0C66BD6A" w14:textId="047A27FA" w:rsidR="002D206F" w:rsidRPr="00671938" w:rsidRDefault="009718B8" w:rsidP="00671938">
      <w:pPr>
        <w:spacing w:after="0" w:line="240" w:lineRule="auto"/>
        <w:contextualSpacing/>
        <w:jc w:val="center"/>
        <w:rPr>
          <w:i/>
          <w:iCs/>
          <w:lang w:val="en-GB"/>
        </w:rPr>
      </w:pPr>
      <w:r w:rsidRPr="00671938">
        <w:rPr>
          <w:i/>
          <w:iCs/>
          <w:lang w:val="en-GB"/>
        </w:rPr>
        <w:t>Associate professor</w:t>
      </w:r>
      <w:r w:rsidR="00671938" w:rsidRPr="00671938">
        <w:rPr>
          <w:i/>
          <w:iCs/>
          <w:lang w:val="en-GB"/>
        </w:rPr>
        <w:t xml:space="preserve">, </w:t>
      </w:r>
      <w:r w:rsidRPr="00671938">
        <w:rPr>
          <w:i/>
          <w:iCs/>
          <w:lang w:val="en-GB"/>
        </w:rPr>
        <w:t xml:space="preserve"> Financial Law Institute</w:t>
      </w:r>
      <w:r w:rsidR="00671938" w:rsidRPr="00671938">
        <w:rPr>
          <w:i/>
          <w:iCs/>
          <w:lang w:val="en-GB"/>
        </w:rPr>
        <w:t>,</w:t>
      </w:r>
      <w:r w:rsidRPr="00671938">
        <w:rPr>
          <w:i/>
          <w:iCs/>
          <w:lang w:val="en-GB"/>
        </w:rPr>
        <w:t xml:space="preserve"> </w:t>
      </w:r>
      <w:r w:rsidR="002D206F" w:rsidRPr="00671938">
        <w:rPr>
          <w:i/>
          <w:iCs/>
          <w:lang w:val="en-GB"/>
        </w:rPr>
        <w:t>Ghent</w:t>
      </w:r>
      <w:r w:rsidRPr="00671938">
        <w:rPr>
          <w:i/>
          <w:iCs/>
          <w:lang w:val="en-GB"/>
        </w:rPr>
        <w:t xml:space="preserve"> University</w:t>
      </w:r>
    </w:p>
    <w:p w14:paraId="6FBE7516" w14:textId="4CA36662" w:rsidR="009718B8" w:rsidRPr="00671938" w:rsidRDefault="00671938" w:rsidP="00671938">
      <w:pPr>
        <w:spacing w:after="0" w:line="240" w:lineRule="auto"/>
        <w:contextualSpacing/>
        <w:jc w:val="center"/>
        <w:rPr>
          <w:i/>
          <w:iCs/>
          <w:lang w:val="en-GB"/>
        </w:rPr>
      </w:pPr>
      <w:r w:rsidRPr="00671938">
        <w:rPr>
          <w:i/>
          <w:iCs/>
          <w:lang w:val="en-GB"/>
        </w:rPr>
        <w:t xml:space="preserve">Counsel, </w:t>
      </w:r>
      <w:r w:rsidR="009718B8" w:rsidRPr="00671938">
        <w:rPr>
          <w:i/>
          <w:iCs/>
          <w:lang w:val="en-GB"/>
        </w:rPr>
        <w:t>DLA P</w:t>
      </w:r>
      <w:r w:rsidRPr="00671938">
        <w:rPr>
          <w:i/>
          <w:iCs/>
          <w:lang w:val="en-GB"/>
        </w:rPr>
        <w:t xml:space="preserve">iper </w:t>
      </w:r>
    </w:p>
    <w:p w14:paraId="162473A0" w14:textId="77777777" w:rsidR="00BE5B63" w:rsidRPr="00F5548D" w:rsidRDefault="00BE5B63" w:rsidP="00BE5B63">
      <w:pPr>
        <w:spacing w:after="0" w:line="240" w:lineRule="auto"/>
        <w:contextualSpacing/>
        <w:rPr>
          <w:lang w:val="en-GB"/>
        </w:rPr>
      </w:pPr>
    </w:p>
    <w:p w14:paraId="05E898BC" w14:textId="21F6FC78" w:rsidR="00BE5B63" w:rsidRDefault="00BE5B63" w:rsidP="00434702">
      <w:pPr>
        <w:spacing w:after="0" w:line="240" w:lineRule="auto"/>
        <w:contextualSpacing/>
        <w:jc w:val="both"/>
        <w:rPr>
          <w:lang w:val="en-GB"/>
        </w:rPr>
      </w:pPr>
      <w:r w:rsidRPr="00BE5B63">
        <w:rPr>
          <w:lang w:val="en-GB"/>
        </w:rPr>
        <w:t xml:space="preserve">Direct and indirect </w:t>
      </w:r>
      <w:r w:rsidR="00C64211">
        <w:rPr>
          <w:lang w:val="en-GB"/>
        </w:rPr>
        <w:t>(</w:t>
      </w:r>
      <w:r w:rsidRPr="00BE5B63">
        <w:rPr>
          <w:lang w:val="en-GB"/>
        </w:rPr>
        <w:t>profit</w:t>
      </w:r>
      <w:r w:rsidR="00C64211">
        <w:rPr>
          <w:lang w:val="en-GB"/>
        </w:rPr>
        <w:t>)</w:t>
      </w:r>
      <w:r w:rsidRPr="00BE5B63">
        <w:rPr>
          <w:lang w:val="en-GB"/>
        </w:rPr>
        <w:t xml:space="preserve"> distributions </w:t>
      </w:r>
      <w:r>
        <w:rPr>
          <w:lang w:val="en-GB"/>
        </w:rPr>
        <w:t>to shareholders (like share buybacks and financial assistance</w:t>
      </w:r>
      <w:r w:rsidR="00F5548D">
        <w:rPr>
          <w:lang w:val="en-GB"/>
        </w:rPr>
        <w:t xml:space="preserve"> tra</w:t>
      </w:r>
      <w:r w:rsidR="008C4BC7">
        <w:rPr>
          <w:lang w:val="en-GB"/>
        </w:rPr>
        <w:t>nsactions</w:t>
      </w:r>
      <w:r>
        <w:rPr>
          <w:lang w:val="en-GB"/>
        </w:rPr>
        <w:t xml:space="preserve">) do get </w:t>
      </w:r>
      <w:r w:rsidR="00630CB0">
        <w:rPr>
          <w:lang w:val="en-GB"/>
        </w:rPr>
        <w:t>large</w:t>
      </w:r>
      <w:r>
        <w:rPr>
          <w:lang w:val="en-GB"/>
        </w:rPr>
        <w:t xml:space="preserve"> attention within traditional corporate law and within legal research in that respect.</w:t>
      </w:r>
      <w:r w:rsidR="00630CB0">
        <w:rPr>
          <w:lang w:val="en-GB"/>
        </w:rPr>
        <w:t xml:space="preserve"> </w:t>
      </w:r>
      <w:r w:rsidR="004E7AB3">
        <w:rPr>
          <w:lang w:val="en-GB"/>
        </w:rPr>
        <w:t>On</w:t>
      </w:r>
      <w:r w:rsidR="00F61C5F">
        <w:rPr>
          <w:lang w:val="en-GB"/>
        </w:rPr>
        <w:t xml:space="preserve"> the contrary, a</w:t>
      </w:r>
      <w:r w:rsidR="00630CB0">
        <w:rPr>
          <w:lang w:val="en-GB"/>
        </w:rPr>
        <w:t>lthough it is clear that</w:t>
      </w:r>
      <w:r w:rsidR="00F61C5F">
        <w:rPr>
          <w:lang w:val="en-GB"/>
        </w:rPr>
        <w:t xml:space="preserve"> such</w:t>
      </w:r>
      <w:r w:rsidR="00630CB0">
        <w:rPr>
          <w:lang w:val="en-GB"/>
        </w:rPr>
        <w:t xml:space="preserve"> </w:t>
      </w:r>
      <w:r w:rsidR="00C64211">
        <w:rPr>
          <w:lang w:val="en-GB"/>
        </w:rPr>
        <w:t>distributions to shareholders are highly detrimental to</w:t>
      </w:r>
      <w:r w:rsidR="00330578">
        <w:rPr>
          <w:lang w:val="en-GB"/>
        </w:rPr>
        <w:t xml:space="preserve"> creditors and directly interfere </w:t>
      </w:r>
      <w:r w:rsidR="009F3AA5">
        <w:rPr>
          <w:lang w:val="en-GB"/>
        </w:rPr>
        <w:t xml:space="preserve">with the priority </w:t>
      </w:r>
      <w:r w:rsidR="008C5474">
        <w:rPr>
          <w:lang w:val="en-GB"/>
        </w:rPr>
        <w:t xml:space="preserve">ranking </w:t>
      </w:r>
      <w:r w:rsidR="00330578">
        <w:rPr>
          <w:lang w:val="en-GB"/>
        </w:rPr>
        <w:t xml:space="preserve">between </w:t>
      </w:r>
      <w:r w:rsidR="009F3AA5">
        <w:rPr>
          <w:lang w:val="en-GB"/>
        </w:rPr>
        <w:t>shareholder</w:t>
      </w:r>
      <w:r w:rsidR="008C5474">
        <w:rPr>
          <w:lang w:val="en-GB"/>
        </w:rPr>
        <w:t>s</w:t>
      </w:r>
      <w:r w:rsidR="009F3AA5">
        <w:rPr>
          <w:lang w:val="en-GB"/>
        </w:rPr>
        <w:t xml:space="preserve"> and creditors, </w:t>
      </w:r>
      <w:r w:rsidR="003B6D83">
        <w:rPr>
          <w:lang w:val="en-GB"/>
        </w:rPr>
        <w:t>only modest attention is being paid to this phenomenon from the perspective of insol</w:t>
      </w:r>
      <w:r w:rsidR="00631B69">
        <w:rPr>
          <w:lang w:val="en-GB"/>
        </w:rPr>
        <w:t xml:space="preserve">vency law. </w:t>
      </w:r>
      <w:r w:rsidR="0042547E">
        <w:rPr>
          <w:lang w:val="en-GB"/>
        </w:rPr>
        <w:t xml:space="preserve">This is particularly the fact in </w:t>
      </w:r>
      <w:r w:rsidR="000037E7">
        <w:rPr>
          <w:lang w:val="en-GB"/>
        </w:rPr>
        <w:t xml:space="preserve">most </w:t>
      </w:r>
      <w:r w:rsidR="00FB25DA">
        <w:rPr>
          <w:lang w:val="en-GB"/>
        </w:rPr>
        <w:t>continental</w:t>
      </w:r>
      <w:r w:rsidR="000037E7">
        <w:rPr>
          <w:lang w:val="en-GB"/>
        </w:rPr>
        <w:t xml:space="preserve"> European countries</w:t>
      </w:r>
      <w:r w:rsidR="00115DBD">
        <w:rPr>
          <w:lang w:val="en-GB"/>
        </w:rPr>
        <w:t>; the uncertainty that exists around the topic within Belgian law</w:t>
      </w:r>
      <w:r w:rsidR="006611B8">
        <w:rPr>
          <w:lang w:val="en-GB"/>
        </w:rPr>
        <w:t>, serve</w:t>
      </w:r>
      <w:r w:rsidR="00563D5C">
        <w:rPr>
          <w:lang w:val="en-GB"/>
        </w:rPr>
        <w:t>s</w:t>
      </w:r>
      <w:r w:rsidR="006611B8">
        <w:rPr>
          <w:lang w:val="en-GB"/>
        </w:rPr>
        <w:t xml:space="preserve"> as </w:t>
      </w:r>
      <w:r w:rsidR="00563D5C">
        <w:rPr>
          <w:lang w:val="en-GB"/>
        </w:rPr>
        <w:t xml:space="preserve">the </w:t>
      </w:r>
      <w:r w:rsidR="006611B8">
        <w:rPr>
          <w:lang w:val="en-GB"/>
        </w:rPr>
        <w:t xml:space="preserve">starting point for </w:t>
      </w:r>
      <w:r w:rsidR="00DF010F">
        <w:rPr>
          <w:lang w:val="en-GB"/>
        </w:rPr>
        <w:t xml:space="preserve">this </w:t>
      </w:r>
      <w:r w:rsidR="006611B8">
        <w:rPr>
          <w:lang w:val="en-GB"/>
        </w:rPr>
        <w:t>analysis.</w:t>
      </w:r>
    </w:p>
    <w:p w14:paraId="06B888B9" w14:textId="77777777" w:rsidR="00FB25DA" w:rsidRDefault="00FB25DA" w:rsidP="00434702">
      <w:pPr>
        <w:spacing w:after="0" w:line="240" w:lineRule="auto"/>
        <w:contextualSpacing/>
        <w:jc w:val="both"/>
        <w:rPr>
          <w:lang w:val="en-GB"/>
        </w:rPr>
      </w:pPr>
    </w:p>
    <w:p w14:paraId="02F51C97" w14:textId="08D8B936" w:rsidR="00A347F5" w:rsidRDefault="00A810A0" w:rsidP="00434702">
      <w:pPr>
        <w:spacing w:after="0" w:line="240" w:lineRule="auto"/>
        <w:contextualSpacing/>
        <w:jc w:val="both"/>
        <w:rPr>
          <w:lang w:val="en-GB"/>
        </w:rPr>
      </w:pPr>
      <w:r>
        <w:rPr>
          <w:lang w:val="en-GB"/>
        </w:rPr>
        <w:t>The basic question is whether distribution</w:t>
      </w:r>
      <w:r w:rsidR="009B5C7F">
        <w:rPr>
          <w:lang w:val="en-GB"/>
        </w:rPr>
        <w:t>s</w:t>
      </w:r>
      <w:r>
        <w:rPr>
          <w:lang w:val="en-GB"/>
        </w:rPr>
        <w:t xml:space="preserve"> to shareholders</w:t>
      </w:r>
      <w:r w:rsidR="00A347F5">
        <w:rPr>
          <w:lang w:val="en-GB"/>
        </w:rPr>
        <w:t>,</w:t>
      </w:r>
      <w:r>
        <w:rPr>
          <w:lang w:val="en-GB"/>
        </w:rPr>
        <w:t xml:space="preserve"> </w:t>
      </w:r>
      <w:r w:rsidR="009B5C7F">
        <w:rPr>
          <w:lang w:val="en-GB"/>
        </w:rPr>
        <w:t xml:space="preserve">at first sight lawfully </w:t>
      </w:r>
      <w:r>
        <w:rPr>
          <w:lang w:val="en-GB"/>
        </w:rPr>
        <w:t>made</w:t>
      </w:r>
      <w:r w:rsidR="009B5C7F">
        <w:rPr>
          <w:lang w:val="en-GB"/>
        </w:rPr>
        <w:t xml:space="preserve"> in a pre-bankruptcy setting, can be </w:t>
      </w:r>
      <w:r w:rsidR="00A347F5">
        <w:rPr>
          <w:lang w:val="en-GB"/>
        </w:rPr>
        <w:t>questioned</w:t>
      </w:r>
      <w:r w:rsidR="0079283A">
        <w:rPr>
          <w:lang w:val="en-GB"/>
        </w:rPr>
        <w:t xml:space="preserve"> </w:t>
      </w:r>
      <w:r w:rsidR="00A347F5">
        <w:rPr>
          <w:lang w:val="en-GB"/>
        </w:rPr>
        <w:t xml:space="preserve">after </w:t>
      </w:r>
      <w:r w:rsidR="007B1741">
        <w:rPr>
          <w:lang w:val="en-GB"/>
        </w:rPr>
        <w:t xml:space="preserve">the company has been declared bankrupt based on the rules on </w:t>
      </w:r>
      <w:r w:rsidR="00A81069">
        <w:rPr>
          <w:lang w:val="en-GB"/>
        </w:rPr>
        <w:t>transaction avoidance</w:t>
      </w:r>
      <w:r w:rsidR="00087414">
        <w:rPr>
          <w:lang w:val="en-GB"/>
        </w:rPr>
        <w:t xml:space="preserve"> (claw-back rules)</w:t>
      </w:r>
      <w:r w:rsidR="00A81069">
        <w:rPr>
          <w:lang w:val="en-GB"/>
        </w:rPr>
        <w:t xml:space="preserve">. </w:t>
      </w:r>
      <w:r w:rsidR="007633FF">
        <w:rPr>
          <w:lang w:val="en-GB"/>
        </w:rPr>
        <w:t xml:space="preserve">The answer to this question proves </w:t>
      </w:r>
      <w:r w:rsidR="00961193">
        <w:rPr>
          <w:lang w:val="en-GB"/>
        </w:rPr>
        <w:t xml:space="preserve">to be unclear according to the laws of many jurisdictions. </w:t>
      </w:r>
    </w:p>
    <w:p w14:paraId="37EADD9E" w14:textId="77777777" w:rsidR="005B4620" w:rsidRDefault="005B4620" w:rsidP="00434702">
      <w:pPr>
        <w:spacing w:after="0" w:line="240" w:lineRule="auto"/>
        <w:contextualSpacing/>
        <w:jc w:val="both"/>
        <w:rPr>
          <w:lang w:val="en-GB"/>
        </w:rPr>
      </w:pPr>
    </w:p>
    <w:p w14:paraId="50CDB2D0" w14:textId="77777777" w:rsidR="00E663D3" w:rsidRDefault="00A13484" w:rsidP="00434702">
      <w:pPr>
        <w:spacing w:after="0" w:line="240" w:lineRule="auto"/>
        <w:contextualSpacing/>
        <w:jc w:val="both"/>
        <w:rPr>
          <w:lang w:val="en-GB"/>
        </w:rPr>
      </w:pPr>
      <w:r>
        <w:rPr>
          <w:lang w:val="en-GB"/>
        </w:rPr>
        <w:t xml:space="preserve">Now that the European Commission published its proposal for </w:t>
      </w:r>
      <w:r w:rsidR="00FB002C">
        <w:rPr>
          <w:lang w:val="en-GB"/>
        </w:rPr>
        <w:t xml:space="preserve">a </w:t>
      </w:r>
      <w:r w:rsidR="00FB002C" w:rsidRPr="00FB002C">
        <w:rPr>
          <w:lang w:val="en-GB"/>
        </w:rPr>
        <w:t>directive harmonising certain aspects of insolvency law</w:t>
      </w:r>
      <w:r w:rsidR="00FB002C">
        <w:rPr>
          <w:lang w:val="en-GB"/>
        </w:rPr>
        <w:t xml:space="preserve"> (</w:t>
      </w:r>
      <w:r w:rsidR="003D3462" w:rsidRPr="003D3462">
        <w:rPr>
          <w:rFonts w:ascii="Roboto" w:hAnsi="Roboto"/>
          <w:color w:val="333333"/>
          <w:sz w:val="21"/>
          <w:szCs w:val="21"/>
          <w:shd w:val="clear" w:color="auto" w:fill="FFFFFF"/>
          <w:lang w:val="en-GB"/>
        </w:rPr>
        <w:t>COM/2022/702</w:t>
      </w:r>
      <w:r w:rsidR="003D3462">
        <w:rPr>
          <w:rFonts w:ascii="Roboto" w:hAnsi="Roboto"/>
          <w:color w:val="333333"/>
          <w:sz w:val="21"/>
          <w:szCs w:val="21"/>
          <w:shd w:val="clear" w:color="auto" w:fill="FFFFFF"/>
          <w:lang w:val="en-GB"/>
        </w:rPr>
        <w:t>)</w:t>
      </w:r>
      <w:r w:rsidR="00FB6C34">
        <w:rPr>
          <w:rFonts w:ascii="Roboto" w:hAnsi="Roboto"/>
          <w:color w:val="333333"/>
          <w:sz w:val="21"/>
          <w:szCs w:val="21"/>
          <w:shd w:val="clear" w:color="auto" w:fill="FFFFFF"/>
          <w:lang w:val="en-GB"/>
        </w:rPr>
        <w:t>, t</w:t>
      </w:r>
      <w:r>
        <w:rPr>
          <w:lang w:val="en-GB"/>
        </w:rPr>
        <w:t xml:space="preserve">he overall goal of this paper is to assess whether </w:t>
      </w:r>
      <w:r w:rsidR="00FB6C34">
        <w:rPr>
          <w:lang w:val="en-GB"/>
        </w:rPr>
        <w:t xml:space="preserve">the proposed </w:t>
      </w:r>
      <w:r w:rsidR="00321D06">
        <w:rPr>
          <w:lang w:val="en-GB"/>
        </w:rPr>
        <w:t xml:space="preserve">European </w:t>
      </w:r>
      <w:r w:rsidR="00FB6C34">
        <w:rPr>
          <w:lang w:val="en-GB"/>
        </w:rPr>
        <w:t xml:space="preserve">rules on </w:t>
      </w:r>
      <w:r w:rsidR="00116415">
        <w:rPr>
          <w:lang w:val="en-GB"/>
        </w:rPr>
        <w:t>avoidance actions</w:t>
      </w:r>
      <w:r w:rsidR="00321D06">
        <w:rPr>
          <w:lang w:val="en-GB"/>
        </w:rPr>
        <w:t xml:space="preserve">, would and should </w:t>
      </w:r>
      <w:r w:rsidR="00FC7BEA">
        <w:rPr>
          <w:lang w:val="en-GB"/>
        </w:rPr>
        <w:t xml:space="preserve">encompass distributions made </w:t>
      </w:r>
      <w:r w:rsidR="00FA4EA5">
        <w:rPr>
          <w:lang w:val="en-GB"/>
        </w:rPr>
        <w:t xml:space="preserve">to shareholders before bankruptcy. </w:t>
      </w:r>
    </w:p>
    <w:p w14:paraId="2226ED09" w14:textId="77777777" w:rsidR="00E663D3" w:rsidRDefault="00E663D3" w:rsidP="00434702">
      <w:pPr>
        <w:spacing w:after="0" w:line="240" w:lineRule="auto"/>
        <w:contextualSpacing/>
        <w:jc w:val="both"/>
        <w:rPr>
          <w:lang w:val="en-GB"/>
        </w:rPr>
      </w:pPr>
    </w:p>
    <w:p w14:paraId="6EBF8058" w14:textId="3FADA45E" w:rsidR="00B1110C" w:rsidRDefault="00E663D3" w:rsidP="00434702">
      <w:pPr>
        <w:spacing w:after="0" w:line="240" w:lineRule="auto"/>
        <w:contextualSpacing/>
        <w:jc w:val="both"/>
        <w:rPr>
          <w:lang w:val="en-GB"/>
        </w:rPr>
      </w:pPr>
      <w:r>
        <w:rPr>
          <w:lang w:val="en-GB"/>
        </w:rPr>
        <w:t xml:space="preserve">The answer to this question needs an analysis on two levels. First, </w:t>
      </w:r>
      <w:r w:rsidR="00F56C10">
        <w:rPr>
          <w:lang w:val="en-GB"/>
        </w:rPr>
        <w:t xml:space="preserve">the question </w:t>
      </w:r>
      <w:r w:rsidR="009B73E7">
        <w:rPr>
          <w:lang w:val="en-GB"/>
        </w:rPr>
        <w:t>must</w:t>
      </w:r>
      <w:r w:rsidR="00F56C10">
        <w:rPr>
          <w:lang w:val="en-GB"/>
        </w:rPr>
        <w:t xml:space="preserve"> be addressed from a traditional legal perspective, taking into account the </w:t>
      </w:r>
      <w:r w:rsidR="002776A5">
        <w:rPr>
          <w:lang w:val="en-GB"/>
        </w:rPr>
        <w:t xml:space="preserve">proposed rules of the directive and the </w:t>
      </w:r>
      <w:r w:rsidR="00B1110C">
        <w:rPr>
          <w:lang w:val="en-GB"/>
        </w:rPr>
        <w:t xml:space="preserve">law as it </w:t>
      </w:r>
      <w:r w:rsidR="004A31E9">
        <w:rPr>
          <w:lang w:val="en-GB"/>
        </w:rPr>
        <w:t xml:space="preserve">currently </w:t>
      </w:r>
      <w:r w:rsidR="00B1110C">
        <w:rPr>
          <w:lang w:val="en-GB"/>
        </w:rPr>
        <w:t xml:space="preserve">exists </w:t>
      </w:r>
      <w:r w:rsidR="004A31E9">
        <w:rPr>
          <w:lang w:val="en-GB"/>
        </w:rPr>
        <w:t>in certain member states</w:t>
      </w:r>
      <w:r w:rsidR="001554E4">
        <w:rPr>
          <w:lang w:val="en-GB"/>
        </w:rPr>
        <w:t>. On a second</w:t>
      </w:r>
      <w:r w:rsidR="00CD0190">
        <w:rPr>
          <w:lang w:val="en-GB"/>
        </w:rPr>
        <w:t xml:space="preserve"> </w:t>
      </w:r>
      <w:r w:rsidR="001554E4">
        <w:rPr>
          <w:lang w:val="en-GB"/>
        </w:rPr>
        <w:t>level</w:t>
      </w:r>
      <w:r w:rsidR="00CD0190">
        <w:rPr>
          <w:lang w:val="en-GB"/>
        </w:rPr>
        <w:t>,</w:t>
      </w:r>
      <w:r w:rsidR="001554E4">
        <w:rPr>
          <w:lang w:val="en-GB"/>
        </w:rPr>
        <w:t xml:space="preserve"> the issue </w:t>
      </w:r>
      <w:r w:rsidR="00F947EB">
        <w:rPr>
          <w:lang w:val="en-GB"/>
        </w:rPr>
        <w:t>must</w:t>
      </w:r>
      <w:r w:rsidR="001554E4">
        <w:rPr>
          <w:lang w:val="en-GB"/>
        </w:rPr>
        <w:t xml:space="preserve"> be analysed from </w:t>
      </w:r>
      <w:r w:rsidR="000817F9">
        <w:rPr>
          <w:lang w:val="en-GB"/>
        </w:rPr>
        <w:t>a policy perspective</w:t>
      </w:r>
      <w:r w:rsidR="00146150">
        <w:rPr>
          <w:lang w:val="en-GB"/>
        </w:rPr>
        <w:t xml:space="preserve">, taking into account the potential </w:t>
      </w:r>
      <w:r w:rsidR="00363C46">
        <w:rPr>
          <w:lang w:val="en-GB"/>
        </w:rPr>
        <w:t xml:space="preserve">(economic) </w:t>
      </w:r>
      <w:r w:rsidR="0040017C">
        <w:rPr>
          <w:lang w:val="en-GB"/>
        </w:rPr>
        <w:t xml:space="preserve">effects of </w:t>
      </w:r>
      <w:r w:rsidR="00C84D73">
        <w:rPr>
          <w:lang w:val="en-GB"/>
        </w:rPr>
        <w:t xml:space="preserve">making </w:t>
      </w:r>
      <w:r w:rsidR="0040017C">
        <w:rPr>
          <w:lang w:val="en-GB"/>
        </w:rPr>
        <w:t xml:space="preserve">lawfully made </w:t>
      </w:r>
      <w:r w:rsidR="00E43244">
        <w:rPr>
          <w:lang w:val="en-GB"/>
        </w:rPr>
        <w:t xml:space="preserve">distributions </w:t>
      </w:r>
      <w:r w:rsidR="00C84D73">
        <w:rPr>
          <w:lang w:val="en-GB"/>
        </w:rPr>
        <w:t xml:space="preserve">subject to transaction avoidance rules. </w:t>
      </w:r>
    </w:p>
    <w:sectPr w:rsidR="00B1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63"/>
    <w:rsid w:val="000037E7"/>
    <w:rsid w:val="000817F9"/>
    <w:rsid w:val="00087414"/>
    <w:rsid w:val="000D6FDC"/>
    <w:rsid w:val="000E170D"/>
    <w:rsid w:val="00115DBD"/>
    <w:rsid w:val="00116415"/>
    <w:rsid w:val="00146150"/>
    <w:rsid w:val="001554E4"/>
    <w:rsid w:val="001839E6"/>
    <w:rsid w:val="002776A5"/>
    <w:rsid w:val="002D206F"/>
    <w:rsid w:val="00321D06"/>
    <w:rsid w:val="00330578"/>
    <w:rsid w:val="00363C46"/>
    <w:rsid w:val="00391F42"/>
    <w:rsid w:val="003B6D83"/>
    <w:rsid w:val="003D3462"/>
    <w:rsid w:val="0040017C"/>
    <w:rsid w:val="0042547E"/>
    <w:rsid w:val="00434702"/>
    <w:rsid w:val="004A31E9"/>
    <w:rsid w:val="004E7AB3"/>
    <w:rsid w:val="00544049"/>
    <w:rsid w:val="00563D5C"/>
    <w:rsid w:val="005B4620"/>
    <w:rsid w:val="006036C2"/>
    <w:rsid w:val="00630CB0"/>
    <w:rsid w:val="00630E0E"/>
    <w:rsid w:val="00631B69"/>
    <w:rsid w:val="006611B8"/>
    <w:rsid w:val="00671938"/>
    <w:rsid w:val="0068390F"/>
    <w:rsid w:val="006A52FD"/>
    <w:rsid w:val="007135B6"/>
    <w:rsid w:val="007633FF"/>
    <w:rsid w:val="0079283A"/>
    <w:rsid w:val="007B1741"/>
    <w:rsid w:val="008C4BC7"/>
    <w:rsid w:val="008C5474"/>
    <w:rsid w:val="008F26E2"/>
    <w:rsid w:val="00961193"/>
    <w:rsid w:val="009718B8"/>
    <w:rsid w:val="009A2A7B"/>
    <w:rsid w:val="009B5C7F"/>
    <w:rsid w:val="009B73E7"/>
    <w:rsid w:val="009C0B00"/>
    <w:rsid w:val="009F3AA5"/>
    <w:rsid w:val="009F70F6"/>
    <w:rsid w:val="00A13484"/>
    <w:rsid w:val="00A347F5"/>
    <w:rsid w:val="00A81069"/>
    <w:rsid w:val="00A810A0"/>
    <w:rsid w:val="00AE4080"/>
    <w:rsid w:val="00B1110C"/>
    <w:rsid w:val="00BC54F7"/>
    <w:rsid w:val="00BD5A25"/>
    <w:rsid w:val="00BE5B63"/>
    <w:rsid w:val="00C64211"/>
    <w:rsid w:val="00C84D73"/>
    <w:rsid w:val="00CD0190"/>
    <w:rsid w:val="00DB7F5B"/>
    <w:rsid w:val="00DC16EF"/>
    <w:rsid w:val="00DF010F"/>
    <w:rsid w:val="00E04D1C"/>
    <w:rsid w:val="00E43244"/>
    <w:rsid w:val="00E663D3"/>
    <w:rsid w:val="00EE0ED5"/>
    <w:rsid w:val="00EE4322"/>
    <w:rsid w:val="00F5548D"/>
    <w:rsid w:val="00F56C10"/>
    <w:rsid w:val="00F605B6"/>
    <w:rsid w:val="00F61C5F"/>
    <w:rsid w:val="00F947EB"/>
    <w:rsid w:val="00FA4EA5"/>
    <w:rsid w:val="00FB002C"/>
    <w:rsid w:val="00FB25DA"/>
    <w:rsid w:val="00FB6C34"/>
    <w:rsid w:val="00FC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AAAD"/>
  <w15:chartTrackingRefBased/>
  <w15:docId w15:val="{63F290BE-F65C-41AE-B169-DB443E01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5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5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5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5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5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5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5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5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5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5B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5B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5B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5B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5B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5B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5B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5B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5B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5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5B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5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66</cp:revision>
  <dcterms:created xsi:type="dcterms:W3CDTF">2024-02-29T16:02:00Z</dcterms:created>
  <dcterms:modified xsi:type="dcterms:W3CDTF">2024-09-20T13:20:00Z</dcterms:modified>
</cp:coreProperties>
</file>