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466BB" w14:textId="55ADB9AC" w:rsidR="00712F6A" w:rsidRPr="00712F6A" w:rsidRDefault="00712F6A" w:rsidP="00712F6A">
      <w:pPr>
        <w:jc w:val="center"/>
        <w:rPr>
          <w:b/>
          <w:bCs/>
          <w:sz w:val="24"/>
          <w:szCs w:val="24"/>
        </w:rPr>
      </w:pPr>
      <w:r w:rsidRPr="00712F6A">
        <w:rPr>
          <w:b/>
          <w:bCs/>
          <w:sz w:val="24"/>
          <w:szCs w:val="24"/>
        </w:rPr>
        <w:t>The Fallacies of Pre-pack Sales under the Proposed Harmonizing Insolvency Directive</w:t>
      </w:r>
    </w:p>
    <w:p w14:paraId="59C25345" w14:textId="32AFC14A" w:rsidR="00712F6A" w:rsidRPr="00712F6A" w:rsidRDefault="00712F6A" w:rsidP="00712F6A">
      <w:pPr>
        <w:jc w:val="center"/>
        <w:rPr>
          <w:i/>
          <w:iCs/>
        </w:rPr>
      </w:pPr>
      <w:proofErr w:type="spellStart"/>
      <w:r w:rsidRPr="00712F6A">
        <w:rPr>
          <w:i/>
          <w:iCs/>
        </w:rPr>
        <w:t>Dr.</w:t>
      </w:r>
      <w:proofErr w:type="spellEnd"/>
      <w:r w:rsidRPr="00712F6A">
        <w:rPr>
          <w:i/>
          <w:iCs/>
        </w:rPr>
        <w:t xml:space="preserve"> Yiannis Bazinas</w:t>
      </w:r>
    </w:p>
    <w:p w14:paraId="1286802D" w14:textId="1617017C" w:rsidR="00712F6A" w:rsidRDefault="00B73752" w:rsidP="00B73752">
      <w:pPr>
        <w:ind w:firstLine="720"/>
        <w:jc w:val="both"/>
      </w:pPr>
      <w:r>
        <w:t xml:space="preserve">One of the most important recent developments in the field of European insolvency law is the Commission’s proposal, published in 2022, for a new directive harmonising certain aspects of insolvency law (the ‘Proposal’). The Proposal intends to harmonise the legal framework of Member States on several key aspects of insolvency proceedings </w:t>
      </w:r>
      <w:r w:rsidR="009C6566">
        <w:t>with the objective of</w:t>
      </w:r>
      <w:r>
        <w:t xml:space="preserve"> improving creditor recoveries across the EU, facilitating cross-border investment and improving access to finance for European firms.</w:t>
      </w:r>
      <w:r w:rsidRPr="00B73752">
        <w:t xml:space="preserve"> </w:t>
      </w:r>
      <w:r>
        <w:t>One of the elements that have proven to be the most noteworthy in the Proposal are the provisions relating to the new pre-pack procedure. The pre-pack is envisaged as a fast-track liquidation proceeding, where the sale</w:t>
      </w:r>
      <w:r w:rsidR="009C6566">
        <w:t xml:space="preserve"> </w:t>
      </w:r>
      <w:r>
        <w:t xml:space="preserve">of the debtor’s business </w:t>
      </w:r>
      <w:r w:rsidR="009C6566">
        <w:t xml:space="preserve">as a going concern </w:t>
      </w:r>
      <w:r>
        <w:t xml:space="preserve">is negotiated and concluded before the formal opening of the insolvency proceedings and is then executed, in a speedy and streamlined manner, following the formal opening of proceedings, under the supervision of the court. In the view of the Commission, the Proposal’s provisions on pre-packs </w:t>
      </w:r>
      <w:r w:rsidR="0051405E">
        <w:t xml:space="preserve">respond to </w:t>
      </w:r>
      <w:r>
        <w:t xml:space="preserve">the ECJ’s judgment in </w:t>
      </w:r>
      <w:proofErr w:type="spellStart"/>
      <w:r>
        <w:rPr>
          <w:i/>
          <w:iCs/>
        </w:rPr>
        <w:t>Heiploeg</w:t>
      </w:r>
      <w:proofErr w:type="spellEnd"/>
      <w:r>
        <w:rPr>
          <w:i/>
          <w:iCs/>
        </w:rPr>
        <w:t xml:space="preserve">, </w:t>
      </w:r>
      <w:r>
        <w:t xml:space="preserve">while at the same time </w:t>
      </w:r>
      <w:r w:rsidR="009C6566">
        <w:t>ensur</w:t>
      </w:r>
      <w:r w:rsidR="00193741">
        <w:t>ing</w:t>
      </w:r>
      <w:r w:rsidR="009C6566">
        <w:t xml:space="preserve"> that an efficient</w:t>
      </w:r>
      <w:r w:rsidR="00BB48E7">
        <w:t>, fair an</w:t>
      </w:r>
      <w:r w:rsidR="006E5273">
        <w:t>d transparent</w:t>
      </w:r>
      <w:r w:rsidR="009C6566">
        <w:t xml:space="preserve"> procedure for the sale of distressed businesses is available in every Member State. </w:t>
      </w:r>
      <w:r>
        <w:t xml:space="preserve">Perhaps unsurprisingly however, the pre-pack procedure has already elicited various responses and has engendered a </w:t>
      </w:r>
      <w:r w:rsidR="00712F6A">
        <w:t>debate</w:t>
      </w:r>
      <w:r>
        <w:t xml:space="preserve"> on </w:t>
      </w:r>
      <w:r w:rsidR="00712F6A">
        <w:t>the merits of its provision</w:t>
      </w:r>
      <w:r>
        <w:t xml:space="preserve">. </w:t>
      </w:r>
    </w:p>
    <w:p w14:paraId="217D04FF" w14:textId="1C59FF73" w:rsidR="00712F6A" w:rsidRDefault="00EF45C3" w:rsidP="00B73752">
      <w:pPr>
        <w:ind w:firstLine="720"/>
        <w:jc w:val="both"/>
      </w:pPr>
      <w:r>
        <w:t xml:space="preserve">Although the discourse has so far focused primarily on the benefits of the </w:t>
      </w:r>
      <w:r w:rsidR="00712F6A">
        <w:t>proposed framework on prepacks</w:t>
      </w:r>
      <w:r>
        <w:t xml:space="preserve">, </w:t>
      </w:r>
      <w:r w:rsidR="00193741">
        <w:t>there appear to be several fallacies with the</w:t>
      </w:r>
      <w:r w:rsidRPr="00EF45C3">
        <w:t xml:space="preserve"> </w:t>
      </w:r>
      <w:r>
        <w:t>Commission’s approach</w:t>
      </w:r>
      <w:r w:rsidR="0051405E">
        <w:t xml:space="preserve">. First, it seems highly doubtful that the goals expressed in the Proposal’s Preamble, especially the increase in creditor recoveries and the improvement of procedural efficiencies, can reasonably be </w:t>
      </w:r>
      <w:r>
        <w:t>achieved</w:t>
      </w:r>
      <w:r w:rsidR="0051405E">
        <w:t xml:space="preserve"> under the current form</w:t>
      </w:r>
      <w:r>
        <w:t>u</w:t>
      </w:r>
      <w:r w:rsidR="0051405E">
        <w:t>lation of the prepack</w:t>
      </w:r>
      <w:r w:rsidR="00FE0908">
        <w:t>.</w:t>
      </w:r>
      <w:r w:rsidR="0051405E">
        <w:t xml:space="preserve"> As a matter of fact, the entire process suffers from several inefficiencies, </w:t>
      </w:r>
      <w:r>
        <w:t>including</w:t>
      </w:r>
      <w:r w:rsidR="0051405E">
        <w:t xml:space="preserve"> the increased but counterproductive formalization of the preparation phase, the diminished role of the court in sanctioning the sale, the rather confusing application of the best-interests-of-creditors test</w:t>
      </w:r>
      <w:r>
        <w:t xml:space="preserve"> to the auction </w:t>
      </w:r>
      <w:r w:rsidR="0051405E">
        <w:t>and the unwarranted limitations that are placed on credit-bidding. In addition to these inefficiencies however, the necessity of a harmonized prepack procedure in the EU, even if properly structured, should also be questioned.</w:t>
      </w:r>
      <w:r>
        <w:t xml:space="preserve"> The </w:t>
      </w:r>
      <w:proofErr w:type="spellStart"/>
      <w:r w:rsidRPr="00EF45C3">
        <w:rPr>
          <w:i/>
          <w:iCs/>
        </w:rPr>
        <w:t>Heiploeg</w:t>
      </w:r>
      <w:proofErr w:type="spellEnd"/>
      <w:r>
        <w:rPr>
          <w:i/>
          <w:iCs/>
        </w:rPr>
        <w:t xml:space="preserve"> </w:t>
      </w:r>
      <w:r>
        <w:t>judgment</w:t>
      </w:r>
      <w:r>
        <w:rPr>
          <w:i/>
          <w:iCs/>
        </w:rPr>
        <w:t xml:space="preserve">, </w:t>
      </w:r>
      <w:r>
        <w:t xml:space="preserve">whose effect has been </w:t>
      </w:r>
      <w:r w:rsidR="00712F6A">
        <w:t xml:space="preserve">highlighted </w:t>
      </w:r>
      <w:r>
        <w:t xml:space="preserve">as one of the main drivers of the proposal, seems to call, first and foremost, for a consideration of the </w:t>
      </w:r>
      <w:r w:rsidR="00F6636F">
        <w:t xml:space="preserve">divide between </w:t>
      </w:r>
      <w:r w:rsidR="00D45606">
        <w:t xml:space="preserve">the existing </w:t>
      </w:r>
      <w:r w:rsidR="00AB1E99">
        <w:t>European</w:t>
      </w:r>
      <w:r>
        <w:t xml:space="preserve"> insolvency architecture</w:t>
      </w:r>
      <w:r w:rsidR="00D45606">
        <w:t xml:space="preserve"> and </w:t>
      </w:r>
      <w:r w:rsidR="004A4ACA">
        <w:t>restructuring practice,</w:t>
      </w:r>
      <w:r>
        <w:t xml:space="preserve"> as opposed to the introduction of a</w:t>
      </w:r>
      <w:r w:rsidR="00712F6A">
        <w:t xml:space="preserve"> new</w:t>
      </w:r>
      <w:r>
        <w:t xml:space="preserve"> harmonized procedure across Member States. In addition, </w:t>
      </w:r>
      <w:r w:rsidR="00712F6A">
        <w:t>many</w:t>
      </w:r>
      <w:r>
        <w:t xml:space="preserve"> of the problems that the Proposal appears keen to tackle, such as the </w:t>
      </w:r>
      <w:r w:rsidR="00712F6A">
        <w:t>apparent absence</w:t>
      </w:r>
      <w:r>
        <w:t xml:space="preserve"> of going concern sales for distressed SMEs</w:t>
      </w:r>
      <w:r w:rsidR="00712F6A">
        <w:t>,</w:t>
      </w:r>
      <w:r>
        <w:t xml:space="preserve"> can more convincingly be attributed to prevailing macroeconomic and institutional conditions </w:t>
      </w:r>
      <w:r w:rsidR="00712F6A">
        <w:t>rather than</w:t>
      </w:r>
      <w:r>
        <w:t xml:space="preserve"> the absence of available legal tools</w:t>
      </w:r>
      <w:r w:rsidR="00712F6A">
        <w:t xml:space="preserve">. The above observations can not only provide insight into the issues presented in the context of prepackaged sales but also </w:t>
      </w:r>
      <w:r w:rsidR="00A74DF5">
        <w:t>invite</w:t>
      </w:r>
      <w:r w:rsidR="00712F6A">
        <w:t xml:space="preserve"> a more conceptual</w:t>
      </w:r>
      <w:r w:rsidR="003A3920">
        <w:t xml:space="preserve"> and policy-based discussion</w:t>
      </w:r>
      <w:r w:rsidR="00712F6A">
        <w:t xml:space="preserve"> on the merits of the recent initiatives undertaken by the European Commission.</w:t>
      </w:r>
    </w:p>
    <w:sectPr w:rsidR="00712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478BA" w14:textId="77777777" w:rsidR="00EE5F08" w:rsidRDefault="00EE5F08" w:rsidP="00712F6A">
      <w:pPr>
        <w:spacing w:after="0" w:line="240" w:lineRule="auto"/>
      </w:pPr>
      <w:r>
        <w:separator/>
      </w:r>
    </w:p>
  </w:endnote>
  <w:endnote w:type="continuationSeparator" w:id="0">
    <w:p w14:paraId="5C99B66B" w14:textId="77777777" w:rsidR="00EE5F08" w:rsidRDefault="00EE5F08" w:rsidP="0071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1FB51" w14:textId="77777777" w:rsidR="00EE5F08" w:rsidRDefault="00EE5F08" w:rsidP="00712F6A">
      <w:pPr>
        <w:spacing w:after="0" w:line="240" w:lineRule="auto"/>
      </w:pPr>
      <w:r>
        <w:separator/>
      </w:r>
    </w:p>
  </w:footnote>
  <w:footnote w:type="continuationSeparator" w:id="0">
    <w:p w14:paraId="3D76E255" w14:textId="77777777" w:rsidR="00EE5F08" w:rsidRDefault="00EE5F08" w:rsidP="00712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52"/>
    <w:rsid w:val="00193741"/>
    <w:rsid w:val="001F5F52"/>
    <w:rsid w:val="002B58DA"/>
    <w:rsid w:val="003A3920"/>
    <w:rsid w:val="003A6889"/>
    <w:rsid w:val="004A4ACA"/>
    <w:rsid w:val="00505AE0"/>
    <w:rsid w:val="0051405E"/>
    <w:rsid w:val="006E5273"/>
    <w:rsid w:val="00712F6A"/>
    <w:rsid w:val="008612AF"/>
    <w:rsid w:val="009C6566"/>
    <w:rsid w:val="00A74DF5"/>
    <w:rsid w:val="00AB1E99"/>
    <w:rsid w:val="00B47F80"/>
    <w:rsid w:val="00B73752"/>
    <w:rsid w:val="00BB48E7"/>
    <w:rsid w:val="00C61515"/>
    <w:rsid w:val="00D45606"/>
    <w:rsid w:val="00DB725A"/>
    <w:rsid w:val="00E534EE"/>
    <w:rsid w:val="00EE5F08"/>
    <w:rsid w:val="00EF45C3"/>
    <w:rsid w:val="00F07B35"/>
    <w:rsid w:val="00F6636F"/>
    <w:rsid w:val="00FD44AD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05DE"/>
  <w15:chartTrackingRefBased/>
  <w15:docId w15:val="{7D8FE2D6-E22A-4733-93CD-FE108B2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2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6A"/>
  </w:style>
  <w:style w:type="paragraph" w:styleId="Footer">
    <w:name w:val="footer"/>
    <w:basedOn w:val="Normal"/>
    <w:link w:val="FooterChar"/>
    <w:uiPriority w:val="99"/>
    <w:unhideWhenUsed/>
    <w:rsid w:val="00712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Yiannis Bazinas</dc:creator>
  <cp:keywords/>
  <dc:description/>
  <cp:lastModifiedBy>Yiannis Bazinas</cp:lastModifiedBy>
  <cp:revision>12</cp:revision>
  <dcterms:created xsi:type="dcterms:W3CDTF">2024-09-09T11:47:00Z</dcterms:created>
  <dcterms:modified xsi:type="dcterms:W3CDTF">2024-09-16T07:19:00Z</dcterms:modified>
</cp:coreProperties>
</file>