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B278A9" w14:textId="696DFE6B" w:rsidR="00C77280" w:rsidRPr="001239C0" w:rsidRDefault="00751F2D" w:rsidP="009C0EA7">
      <w:pPr>
        <w:pStyle w:val="Paragraphedeliste"/>
        <w:ind w:left="360"/>
        <w:jc w:val="left"/>
        <w:rPr>
          <w:rFonts w:ascii="Baskerville Old Face" w:hAnsi="Baskerville Old Face"/>
          <w:b/>
          <w:bCs/>
        </w:rPr>
      </w:pPr>
      <w:r w:rsidRPr="001239C0">
        <w:rPr>
          <w:rFonts w:ascii="Baskerville Old Face" w:hAnsi="Baskerville Old Face"/>
          <w:b/>
          <w:bCs/>
        </w:rPr>
        <w:t>E</w:t>
      </w:r>
      <w:r w:rsidR="00CC21E5" w:rsidRPr="001239C0">
        <w:rPr>
          <w:rFonts w:ascii="Baskerville Old Face" w:hAnsi="Baskerville Old Face"/>
          <w:b/>
          <w:bCs/>
        </w:rPr>
        <w:t>nvironmental Claims</w:t>
      </w:r>
      <w:r w:rsidRPr="001239C0">
        <w:rPr>
          <w:rFonts w:ascii="Baskerville Old Face" w:hAnsi="Baskerville Old Face"/>
          <w:b/>
          <w:bCs/>
        </w:rPr>
        <w:t xml:space="preserve">: </w:t>
      </w:r>
      <w:proofErr w:type="gramStart"/>
      <w:r w:rsidRPr="001239C0">
        <w:rPr>
          <w:rFonts w:ascii="Baskerville Old Face" w:hAnsi="Baskerville Old Face"/>
          <w:b/>
          <w:bCs/>
        </w:rPr>
        <w:t>a</w:t>
      </w:r>
      <w:proofErr w:type="gramEnd"/>
      <w:r w:rsidRPr="001239C0">
        <w:rPr>
          <w:rFonts w:ascii="Baskerville Old Face" w:hAnsi="Baskerville Old Face"/>
          <w:b/>
          <w:bCs/>
        </w:rPr>
        <w:t xml:space="preserve"> Missing Piece in the Insolvency Harmonization Puzzle</w:t>
      </w:r>
    </w:p>
    <w:p w14:paraId="45CBC4A2" w14:textId="77777777" w:rsidR="006E0881" w:rsidRDefault="006E0881" w:rsidP="006E0881">
      <w:pPr>
        <w:pStyle w:val="Paragraphedeliste"/>
        <w:ind w:left="360"/>
        <w:jc w:val="left"/>
        <w:rPr>
          <w:rFonts w:ascii="Baskerville Old Face" w:hAnsi="Baskerville Old Face"/>
        </w:rPr>
      </w:pPr>
    </w:p>
    <w:p w14:paraId="29FB7AC8" w14:textId="77F7C97B" w:rsidR="001239C0" w:rsidRPr="001239C0" w:rsidRDefault="001239C0" w:rsidP="006E0881">
      <w:pPr>
        <w:pStyle w:val="Paragraphedeliste"/>
        <w:ind w:left="360"/>
        <w:jc w:val="left"/>
        <w:rPr>
          <w:rFonts w:ascii="Baskerville Old Face" w:hAnsi="Baskerville Old Face"/>
          <w:lang w:val="fr-FR"/>
        </w:rPr>
      </w:pPr>
      <w:proofErr w:type="spellStart"/>
      <w:r w:rsidRPr="001239C0">
        <w:rPr>
          <w:rFonts w:ascii="Baskerville Old Face" w:hAnsi="Baskerville Old Face"/>
          <w:lang w:val="fr-FR"/>
        </w:rPr>
        <w:t>Andreea</w:t>
      </w:r>
      <w:proofErr w:type="spellEnd"/>
      <w:r w:rsidRPr="001239C0">
        <w:rPr>
          <w:rFonts w:ascii="Baskerville Old Face" w:hAnsi="Baskerville Old Face"/>
          <w:lang w:val="fr-FR"/>
        </w:rPr>
        <w:t xml:space="preserve"> Deli-</w:t>
      </w:r>
      <w:proofErr w:type="spellStart"/>
      <w:r w:rsidRPr="001239C0">
        <w:rPr>
          <w:rFonts w:ascii="Baskerville Old Face" w:hAnsi="Baskerville Old Face"/>
          <w:lang w:val="fr-FR"/>
        </w:rPr>
        <w:t>Diaconescu</w:t>
      </w:r>
      <w:proofErr w:type="spellEnd"/>
      <w:r w:rsidRPr="001239C0">
        <w:rPr>
          <w:rFonts w:ascii="Baskerville Old Face" w:hAnsi="Baskerville Old Face"/>
          <w:lang w:val="fr-FR"/>
        </w:rPr>
        <w:t xml:space="preserve"> &amp; Flavius-</w:t>
      </w:r>
      <w:proofErr w:type="spellStart"/>
      <w:r w:rsidRPr="001239C0">
        <w:rPr>
          <w:rFonts w:ascii="Baskerville Old Face" w:hAnsi="Baskerville Old Face"/>
          <w:lang w:val="fr-FR"/>
        </w:rPr>
        <w:t>Iancu</w:t>
      </w:r>
      <w:proofErr w:type="spellEnd"/>
      <w:r w:rsidRPr="001239C0">
        <w:rPr>
          <w:rFonts w:ascii="Baskerville Old Face" w:hAnsi="Baskerville Old Face"/>
          <w:lang w:val="fr-FR"/>
        </w:rPr>
        <w:t xml:space="preserve"> </w:t>
      </w:r>
      <w:proofErr w:type="spellStart"/>
      <w:r w:rsidRPr="001239C0">
        <w:rPr>
          <w:rFonts w:ascii="Baskerville Old Face" w:hAnsi="Baskerville Old Face"/>
          <w:lang w:val="fr-FR"/>
        </w:rPr>
        <w:t>Mo</w:t>
      </w:r>
      <w:r w:rsidRPr="001239C0">
        <w:rPr>
          <w:rFonts w:ascii="Cambria" w:hAnsi="Cambria" w:cs="Cambria"/>
          <w:lang w:val="fr-FR"/>
        </w:rPr>
        <w:t>ț</w:t>
      </w:r>
      <w:r w:rsidRPr="001239C0">
        <w:rPr>
          <w:rFonts w:ascii="Baskerville Old Face" w:hAnsi="Baskerville Old Face"/>
          <w:lang w:val="fr-FR"/>
        </w:rPr>
        <w:t>u</w:t>
      </w:r>
      <w:proofErr w:type="spellEnd"/>
    </w:p>
    <w:p w14:paraId="135BC4EC" w14:textId="77777777" w:rsidR="00D51DE0" w:rsidRDefault="00E03E3C" w:rsidP="0044554B">
      <w:pPr>
        <w:ind w:left="360" w:firstLine="360"/>
        <w:rPr>
          <w:rFonts w:ascii="Baskerville Old Face" w:hAnsi="Baskerville Old Face"/>
          <w:i/>
        </w:rPr>
      </w:pPr>
      <w:r>
        <w:rPr>
          <w:rFonts w:ascii="Baskerville Old Face" w:hAnsi="Baskerville Old Face"/>
        </w:rPr>
        <w:t>In its introductory ‘context’, t</w:t>
      </w:r>
      <w:r w:rsidR="00751F2D" w:rsidRPr="00751F2D">
        <w:rPr>
          <w:rFonts w:ascii="Baskerville Old Face" w:hAnsi="Baskerville Old Face"/>
        </w:rPr>
        <w:t>he</w:t>
      </w:r>
      <w:r w:rsidR="00751F2D">
        <w:rPr>
          <w:rFonts w:ascii="Baskerville Old Face" w:hAnsi="Baskerville Old Face"/>
        </w:rPr>
        <w:t xml:space="preserve"> </w:t>
      </w:r>
      <w:r w:rsidRPr="00E03E3C">
        <w:rPr>
          <w:rFonts w:ascii="Baskerville Old Face" w:hAnsi="Baskerville Old Face"/>
        </w:rPr>
        <w:t>Proposal for a</w:t>
      </w:r>
      <w:r>
        <w:rPr>
          <w:rFonts w:ascii="Baskerville Old Face" w:hAnsi="Baskerville Old Face"/>
        </w:rPr>
        <w:t xml:space="preserve"> </w:t>
      </w:r>
      <w:r w:rsidRPr="00E03E3C">
        <w:rPr>
          <w:rFonts w:ascii="Baskerville Old Face" w:hAnsi="Baskerville Old Face"/>
        </w:rPr>
        <w:t>D</w:t>
      </w:r>
      <w:r>
        <w:rPr>
          <w:rFonts w:ascii="Baskerville Old Face" w:hAnsi="Baskerville Old Face"/>
        </w:rPr>
        <w:t>irective</w:t>
      </w:r>
      <w:r w:rsidRPr="00E03E3C">
        <w:rPr>
          <w:rFonts w:ascii="Baskerville Old Face" w:hAnsi="Baskerville Old Face"/>
        </w:rPr>
        <w:t xml:space="preserve"> </w:t>
      </w:r>
      <w:r>
        <w:rPr>
          <w:rFonts w:ascii="Baskerville Old Face" w:hAnsi="Baskerville Old Face"/>
        </w:rPr>
        <w:t>of</w:t>
      </w:r>
      <w:r w:rsidRPr="00E03E3C">
        <w:rPr>
          <w:rFonts w:ascii="Baskerville Old Face" w:hAnsi="Baskerville Old Face"/>
        </w:rPr>
        <w:t xml:space="preserve"> </w:t>
      </w:r>
      <w:r>
        <w:rPr>
          <w:rFonts w:ascii="Baskerville Old Face" w:hAnsi="Baskerville Old Face"/>
        </w:rPr>
        <w:t>the</w:t>
      </w:r>
      <w:r w:rsidRPr="00E03E3C">
        <w:rPr>
          <w:rFonts w:ascii="Baskerville Old Face" w:hAnsi="Baskerville Old Face"/>
        </w:rPr>
        <w:t xml:space="preserve"> E</w:t>
      </w:r>
      <w:r>
        <w:rPr>
          <w:rFonts w:ascii="Baskerville Old Face" w:hAnsi="Baskerville Old Face"/>
        </w:rPr>
        <w:t>uropean</w:t>
      </w:r>
      <w:r w:rsidRPr="00E03E3C">
        <w:rPr>
          <w:rFonts w:ascii="Baskerville Old Face" w:hAnsi="Baskerville Old Face"/>
        </w:rPr>
        <w:t xml:space="preserve"> P</w:t>
      </w:r>
      <w:r>
        <w:rPr>
          <w:rFonts w:ascii="Baskerville Old Face" w:hAnsi="Baskerville Old Face"/>
        </w:rPr>
        <w:t>arliament</w:t>
      </w:r>
      <w:r w:rsidRPr="00E03E3C">
        <w:rPr>
          <w:rFonts w:ascii="Baskerville Old Face" w:hAnsi="Baskerville Old Face"/>
        </w:rPr>
        <w:t xml:space="preserve"> </w:t>
      </w:r>
      <w:r>
        <w:rPr>
          <w:rFonts w:ascii="Baskerville Old Face" w:hAnsi="Baskerville Old Face"/>
        </w:rPr>
        <w:t>and of the</w:t>
      </w:r>
      <w:r w:rsidRPr="00E03E3C">
        <w:rPr>
          <w:rFonts w:ascii="Baskerville Old Face" w:hAnsi="Baskerville Old Face"/>
        </w:rPr>
        <w:t xml:space="preserve"> C</w:t>
      </w:r>
      <w:r>
        <w:rPr>
          <w:rFonts w:ascii="Baskerville Old Face" w:hAnsi="Baskerville Old Face"/>
        </w:rPr>
        <w:t xml:space="preserve">ouncil </w:t>
      </w:r>
      <w:proofErr w:type="spellStart"/>
      <w:r w:rsidRPr="00E03E3C">
        <w:rPr>
          <w:rFonts w:ascii="Baskerville Old Face" w:hAnsi="Baskerville Old Face"/>
        </w:rPr>
        <w:t>harmonising</w:t>
      </w:r>
      <w:proofErr w:type="spellEnd"/>
      <w:r w:rsidRPr="00E03E3C">
        <w:rPr>
          <w:rFonts w:ascii="Baskerville Old Face" w:hAnsi="Baskerville Old Face"/>
        </w:rPr>
        <w:t xml:space="preserve"> certain aspects of insolvency law</w:t>
      </w:r>
      <w:r>
        <w:rPr>
          <w:rFonts w:ascii="Baskerville Old Face" w:hAnsi="Baskerville Old Face"/>
        </w:rPr>
        <w:t xml:space="preserve"> claims to be </w:t>
      </w:r>
      <w:r w:rsidRPr="0032754A">
        <w:rPr>
          <w:rFonts w:ascii="Baskerville Old Face" w:hAnsi="Baskerville Old Face"/>
          <w:i/>
        </w:rPr>
        <w:t>‘coherent with the Directive 2004/35/EC …, which aims to limit the accumulation of environmental liabilities and to ensure compliance with the ‘polluter pays’ principle.’</w:t>
      </w:r>
      <w:r w:rsidRPr="00E03E3C">
        <w:rPr>
          <w:rFonts w:ascii="Baskerville Old Face" w:hAnsi="Baskerville Old Face"/>
        </w:rPr>
        <w:t xml:space="preserve"> </w:t>
      </w:r>
      <w:r>
        <w:rPr>
          <w:rFonts w:ascii="Baskerville Old Face" w:hAnsi="Baskerville Old Face"/>
        </w:rPr>
        <w:t>It</w:t>
      </w:r>
      <w:r w:rsidR="0032754A">
        <w:rPr>
          <w:rFonts w:ascii="Baskerville Old Face" w:hAnsi="Baskerville Old Face"/>
        </w:rPr>
        <w:t xml:space="preserve"> also asserts that</w:t>
      </w:r>
      <w:r w:rsidRPr="00E03E3C">
        <w:rPr>
          <w:rFonts w:ascii="Baskerville Old Face" w:hAnsi="Baskerville Old Face"/>
        </w:rPr>
        <w:t xml:space="preserve"> </w:t>
      </w:r>
      <w:r w:rsidR="0032754A" w:rsidRPr="0032754A">
        <w:rPr>
          <w:rFonts w:ascii="Baskerville Old Face" w:hAnsi="Baskerville Old Face"/>
          <w:i/>
        </w:rPr>
        <w:t>‘</w:t>
      </w:r>
      <w:r w:rsidRPr="0032754A">
        <w:rPr>
          <w:rFonts w:ascii="Baskerville Old Face" w:hAnsi="Baskerville Old Face"/>
          <w:i/>
        </w:rPr>
        <w:t>a more efficient insolvency framework would support a speedier and more effective recovery of asset value overall and hence would facilitate the compensation for environmental claims against an insolvent company even without having recourse to financial security instruments, in full consistence with the aims of Directive 2004/35/EC.</w:t>
      </w:r>
      <w:r w:rsidR="0032754A" w:rsidRPr="0032754A">
        <w:rPr>
          <w:rFonts w:ascii="Baskerville Old Face" w:hAnsi="Baskerville Old Face"/>
          <w:i/>
        </w:rPr>
        <w:t>’</w:t>
      </w:r>
    </w:p>
    <w:p w14:paraId="19B68523" w14:textId="6E564996" w:rsidR="00425F5B" w:rsidRDefault="00D51DE0" w:rsidP="0044554B">
      <w:pPr>
        <w:ind w:left="360" w:firstLine="360"/>
        <w:rPr>
          <w:rFonts w:ascii="Baskerville Old Face" w:hAnsi="Baskerville Old Face"/>
        </w:rPr>
      </w:pPr>
      <w:r>
        <w:rPr>
          <w:rFonts w:ascii="Baskerville Old Face" w:hAnsi="Baskerville Old Face"/>
        </w:rPr>
        <w:t xml:space="preserve">Our analysis focuses on the unliquidated environmental claims that </w:t>
      </w:r>
      <w:r w:rsidR="00434B32">
        <w:rPr>
          <w:rFonts w:ascii="Baskerville Old Face" w:hAnsi="Baskerville Old Face"/>
        </w:rPr>
        <w:t>are not covered by any potential</w:t>
      </w:r>
      <w:r>
        <w:rPr>
          <w:rFonts w:ascii="Baskerville Old Face" w:hAnsi="Baskerville Old Face"/>
        </w:rPr>
        <w:t xml:space="preserve"> securities</w:t>
      </w:r>
      <w:r w:rsidR="00434B32">
        <w:rPr>
          <w:rFonts w:ascii="Baskerville Old Face" w:hAnsi="Baskerville Old Face"/>
        </w:rPr>
        <w:t xml:space="preserve"> (such as the financial securities</w:t>
      </w:r>
      <w:r>
        <w:rPr>
          <w:rFonts w:ascii="Baskerville Old Face" w:hAnsi="Baskerville Old Face"/>
        </w:rPr>
        <w:t xml:space="preserve"> provided according to </w:t>
      </w:r>
      <w:r w:rsidR="00434B32" w:rsidRPr="00434B32">
        <w:rPr>
          <w:rFonts w:ascii="Baskerville Old Face" w:hAnsi="Baskerville Old Face"/>
        </w:rPr>
        <w:t>Directive 2004/35/EC, Article 14, par. 1</w:t>
      </w:r>
      <w:r w:rsidR="00434B32">
        <w:rPr>
          <w:rFonts w:ascii="Baskerville Old Face" w:hAnsi="Baskerville Old Face"/>
        </w:rPr>
        <w:t xml:space="preserve">). They seem to be the most difficult to recover, as they are </w:t>
      </w:r>
      <w:proofErr w:type="spellStart"/>
      <w:r w:rsidR="00434B32">
        <w:rPr>
          <w:rFonts w:ascii="Baskerville Old Face" w:hAnsi="Baskerville Old Face"/>
          <w:i/>
        </w:rPr>
        <w:t>facere</w:t>
      </w:r>
      <w:proofErr w:type="spellEnd"/>
      <w:r w:rsidR="00434B32">
        <w:rPr>
          <w:rFonts w:ascii="Baskerville Old Face" w:hAnsi="Baskerville Old Face"/>
          <w:i/>
        </w:rPr>
        <w:t xml:space="preserve"> </w:t>
      </w:r>
      <w:r w:rsidR="007C6157">
        <w:rPr>
          <w:rFonts w:ascii="Baskerville Old Face" w:hAnsi="Baskerville Old Face"/>
        </w:rPr>
        <w:t xml:space="preserve">obligations, </w:t>
      </w:r>
      <w:r w:rsidR="00434B32">
        <w:rPr>
          <w:rFonts w:ascii="Baskerville Old Face" w:hAnsi="Baskerville Old Face"/>
        </w:rPr>
        <w:t>they require</w:t>
      </w:r>
      <w:r w:rsidR="0044554B">
        <w:rPr>
          <w:rFonts w:ascii="Baskerville Old Face" w:hAnsi="Baskerville Old Face"/>
        </w:rPr>
        <w:t xml:space="preserve"> the debtor’s</w:t>
      </w:r>
      <w:r w:rsidR="00434B32">
        <w:rPr>
          <w:rFonts w:ascii="Baskerville Old Face" w:hAnsi="Baskerville Old Face"/>
        </w:rPr>
        <w:t xml:space="preserve"> positive intervention </w:t>
      </w:r>
      <w:r w:rsidR="007C6157">
        <w:rPr>
          <w:rFonts w:ascii="Baskerville Old Face" w:hAnsi="Baskerville Old Face"/>
        </w:rPr>
        <w:t>and they cannot undergo a ‘haircut’</w:t>
      </w:r>
      <w:r w:rsidR="00434B32">
        <w:rPr>
          <w:rFonts w:ascii="Baskerville Old Face" w:hAnsi="Baskerville Old Face"/>
        </w:rPr>
        <w:t>.</w:t>
      </w:r>
      <w:r w:rsidR="007C6157">
        <w:rPr>
          <w:rFonts w:ascii="Baskerville Old Face" w:hAnsi="Baskerville Old Face"/>
        </w:rPr>
        <w:t xml:space="preserve"> </w:t>
      </w:r>
    </w:p>
    <w:p w14:paraId="35846237" w14:textId="2361D711" w:rsidR="00434B32" w:rsidRDefault="007C6157" w:rsidP="0044554B">
      <w:pPr>
        <w:ind w:left="360" w:firstLine="360"/>
        <w:rPr>
          <w:rFonts w:ascii="Baskerville Old Face" w:hAnsi="Baskerville Old Face"/>
        </w:rPr>
      </w:pPr>
      <w:r>
        <w:rPr>
          <w:rFonts w:ascii="Baskerville Old Face" w:hAnsi="Baskerville Old Face"/>
        </w:rPr>
        <w:t>W</w:t>
      </w:r>
      <w:r w:rsidR="00434B32">
        <w:rPr>
          <w:rFonts w:ascii="Baskerville Old Face" w:hAnsi="Baskerville Old Face"/>
        </w:rPr>
        <w:t>e have found the debtor’s ability to perform such obligations</w:t>
      </w:r>
      <w:r>
        <w:rPr>
          <w:rFonts w:ascii="Baskerville Old Face" w:hAnsi="Baskerville Old Face"/>
        </w:rPr>
        <w:t xml:space="preserve"> is depend</w:t>
      </w:r>
      <w:r w:rsidR="003D4032">
        <w:rPr>
          <w:rFonts w:ascii="Baskerville Old Face" w:hAnsi="Baskerville Old Face"/>
        </w:rPr>
        <w:t>e</w:t>
      </w:r>
      <w:r>
        <w:rPr>
          <w:rFonts w:ascii="Baskerville Old Face" w:hAnsi="Baskerville Old Face"/>
        </w:rPr>
        <w:t xml:space="preserve">nt on the debtor’s business being carried on, either by the debtor itself (in the reorganization proceedings) or by </w:t>
      </w:r>
      <w:r w:rsidR="00D75E4E">
        <w:rPr>
          <w:rFonts w:ascii="Baskerville Old Face" w:hAnsi="Baskerville Old Face"/>
        </w:rPr>
        <w:t xml:space="preserve">the </w:t>
      </w:r>
      <w:r>
        <w:rPr>
          <w:rFonts w:ascii="Baskerville Old Face" w:hAnsi="Baskerville Old Face"/>
        </w:rPr>
        <w:t>purchaser of the debtor’s business (in the pre-pack proceedings).</w:t>
      </w:r>
      <w:r w:rsidR="00425F5B">
        <w:rPr>
          <w:rFonts w:ascii="Baskerville Old Face" w:hAnsi="Baskerville Old Face"/>
        </w:rPr>
        <w:t xml:space="preserve"> S</w:t>
      </w:r>
      <w:r>
        <w:rPr>
          <w:rFonts w:ascii="Baskerville Old Face" w:hAnsi="Baskerville Old Face"/>
        </w:rPr>
        <w:t xml:space="preserve">hould the debtor be the subject of liquidation proceedings, there is </w:t>
      </w:r>
      <w:r w:rsidR="005714EF">
        <w:rPr>
          <w:rFonts w:ascii="Baskerville Old Face" w:hAnsi="Baskerville Old Face"/>
        </w:rPr>
        <w:t xml:space="preserve">a </w:t>
      </w:r>
      <w:r>
        <w:rPr>
          <w:rFonts w:ascii="Baskerville Old Face" w:hAnsi="Baskerville Old Face"/>
        </w:rPr>
        <w:t>high (if not 100%) chance that such environmental unliquidated claims remain uncovered.</w:t>
      </w:r>
    </w:p>
    <w:p w14:paraId="36852379" w14:textId="494244F8" w:rsidR="00425F5B" w:rsidRDefault="007C6157" w:rsidP="0044554B">
      <w:pPr>
        <w:ind w:left="360" w:firstLine="360"/>
        <w:rPr>
          <w:rFonts w:ascii="Baskerville Old Face" w:hAnsi="Baskerville Old Face"/>
        </w:rPr>
      </w:pPr>
      <w:r>
        <w:rPr>
          <w:rFonts w:ascii="Baskerville Old Face" w:hAnsi="Baskerville Old Face"/>
        </w:rPr>
        <w:t>We pro</w:t>
      </w:r>
      <w:r w:rsidR="00425F5B">
        <w:rPr>
          <w:rFonts w:ascii="Baskerville Old Face" w:hAnsi="Baskerville Old Face"/>
        </w:rPr>
        <w:t>pose t</w:t>
      </w:r>
      <w:r w:rsidR="0044554B">
        <w:rPr>
          <w:rFonts w:ascii="Baskerville Old Face" w:hAnsi="Baskerville Old Face"/>
        </w:rPr>
        <w:t>hree</w:t>
      </w:r>
      <w:r w:rsidR="00425F5B">
        <w:rPr>
          <w:rFonts w:ascii="Baskerville Old Face" w:hAnsi="Baskerville Old Face"/>
        </w:rPr>
        <w:t xml:space="preserve"> remedies:</w:t>
      </w:r>
    </w:p>
    <w:p w14:paraId="7FE7F88B" w14:textId="6E5F4D0A" w:rsidR="00425F5B" w:rsidRPr="00434B32" w:rsidRDefault="00425F5B" w:rsidP="0044554B">
      <w:pPr>
        <w:ind w:left="360" w:firstLine="360"/>
        <w:rPr>
          <w:rFonts w:ascii="Baskerville Old Face" w:hAnsi="Baskerville Old Face"/>
        </w:rPr>
      </w:pPr>
      <w:r>
        <w:rPr>
          <w:rFonts w:ascii="Baskerville Old Face" w:hAnsi="Baskerville Old Face"/>
        </w:rPr>
        <w:t>1. claim-related (by way of analogy with the recovery of the state aid):</w:t>
      </w:r>
    </w:p>
    <w:p w14:paraId="2638BECC" w14:textId="77777777" w:rsidR="00E86260" w:rsidRDefault="00425F5B" w:rsidP="0044554B">
      <w:pPr>
        <w:ind w:left="360" w:firstLine="360"/>
        <w:rPr>
          <w:rFonts w:ascii="Baskerville Old Face" w:hAnsi="Baskerville Old Face"/>
        </w:rPr>
      </w:pPr>
      <w:r>
        <w:rPr>
          <w:rFonts w:ascii="Baskerville Old Face" w:hAnsi="Baskerville Old Face"/>
        </w:rPr>
        <w:t xml:space="preserve">i) the national environment protection agency </w:t>
      </w:r>
      <w:r w:rsidR="00E86260">
        <w:rPr>
          <w:rFonts w:ascii="Baskerville Old Face" w:hAnsi="Baskerville Old Face"/>
        </w:rPr>
        <w:t>should have the obligation to liquidate the claim and lodge it / update it during the insolvency proceedings, and</w:t>
      </w:r>
    </w:p>
    <w:p w14:paraId="1D8A39BD" w14:textId="0C64ED64" w:rsidR="00434B32" w:rsidRDefault="00E86260" w:rsidP="0044554B">
      <w:pPr>
        <w:ind w:left="360" w:firstLine="360"/>
        <w:rPr>
          <w:rFonts w:ascii="Baskerville Old Face" w:hAnsi="Baskerville Old Face"/>
        </w:rPr>
      </w:pPr>
      <w:r>
        <w:rPr>
          <w:rFonts w:ascii="Baskerville Old Face" w:hAnsi="Baskerville Old Face"/>
        </w:rPr>
        <w:t>ii) the environmental claim should be ranked</w:t>
      </w:r>
      <w:r w:rsidR="00425F5B">
        <w:rPr>
          <w:rFonts w:ascii="Baskerville Old Face" w:hAnsi="Baskerville Old Face"/>
        </w:rPr>
        <w:t xml:space="preserve"> </w:t>
      </w:r>
      <w:r>
        <w:rPr>
          <w:rFonts w:ascii="Baskerville Old Face" w:hAnsi="Baskerville Old Face"/>
        </w:rPr>
        <w:t xml:space="preserve">higher than the </w:t>
      </w:r>
      <w:r w:rsidRPr="00E86260">
        <w:rPr>
          <w:rFonts w:ascii="Baskerville Old Face" w:hAnsi="Baskerville Old Face"/>
        </w:rPr>
        <w:t>claims of ordinary unsecured creditors</w:t>
      </w:r>
      <w:r w:rsidR="0044554B">
        <w:rPr>
          <w:rFonts w:ascii="Baskerville Old Face" w:hAnsi="Baskerville Old Face"/>
        </w:rPr>
        <w:t>;</w:t>
      </w:r>
    </w:p>
    <w:p w14:paraId="08F6ED7B" w14:textId="591B5851" w:rsidR="00E86260" w:rsidRDefault="00E86260" w:rsidP="0044554B">
      <w:pPr>
        <w:ind w:left="360" w:firstLine="360"/>
        <w:rPr>
          <w:rFonts w:ascii="Baskerville Old Face" w:hAnsi="Baskerville Old Face"/>
        </w:rPr>
      </w:pPr>
      <w:r>
        <w:rPr>
          <w:rFonts w:ascii="Baskerville Old Face" w:hAnsi="Baskerville Old Face"/>
        </w:rPr>
        <w:t>2. liability-related:</w:t>
      </w:r>
    </w:p>
    <w:p w14:paraId="1F340478" w14:textId="24829B96" w:rsidR="00E86260" w:rsidRDefault="007066C9" w:rsidP="0044554B">
      <w:pPr>
        <w:ind w:left="360" w:firstLine="360"/>
        <w:rPr>
          <w:rFonts w:ascii="Baskerville Old Face" w:hAnsi="Baskerville Old Face"/>
        </w:rPr>
      </w:pPr>
      <w:r>
        <w:rPr>
          <w:rFonts w:ascii="Baskerville Old Face" w:hAnsi="Baskerville Old Face"/>
        </w:rPr>
        <w:t>During the restructuring / pre-</w:t>
      </w:r>
      <w:proofErr w:type="gramStart"/>
      <w:r>
        <w:rPr>
          <w:rFonts w:ascii="Baskerville Old Face" w:hAnsi="Baskerville Old Face"/>
        </w:rPr>
        <w:t>pack  /</w:t>
      </w:r>
      <w:proofErr w:type="gramEnd"/>
      <w:r>
        <w:rPr>
          <w:rFonts w:ascii="Baskerville Old Face" w:hAnsi="Baskerville Old Face"/>
        </w:rPr>
        <w:t xml:space="preserve"> reorganization proceedings: whoever manages the</w:t>
      </w:r>
      <w:r w:rsidR="00E86260">
        <w:rPr>
          <w:rFonts w:ascii="Baskerville Old Face" w:hAnsi="Baskerville Old Face"/>
        </w:rPr>
        <w:t xml:space="preserve"> debtor’s business</w:t>
      </w:r>
      <w:r>
        <w:rPr>
          <w:rFonts w:ascii="Baskerville Old Face" w:hAnsi="Baskerville Old Face"/>
        </w:rPr>
        <w:t xml:space="preserve"> is also responsible for the debtor’s compliance with </w:t>
      </w:r>
      <w:r w:rsidR="00D75E4E">
        <w:rPr>
          <w:rFonts w:ascii="Baskerville Old Face" w:hAnsi="Baskerville Old Face"/>
        </w:rPr>
        <w:t>its</w:t>
      </w:r>
      <w:r>
        <w:rPr>
          <w:rFonts w:ascii="Baskerville Old Face" w:hAnsi="Baskerville Old Face"/>
        </w:rPr>
        <w:t xml:space="preserve"> environmental obligations</w:t>
      </w:r>
      <w:r w:rsidR="00E86260">
        <w:rPr>
          <w:rFonts w:ascii="Baskerville Old Face" w:hAnsi="Baskerville Old Face"/>
        </w:rPr>
        <w:t>.</w:t>
      </w:r>
      <w:r>
        <w:rPr>
          <w:rFonts w:ascii="Baskerville Old Face" w:hAnsi="Baskerville Old Face"/>
        </w:rPr>
        <w:t xml:space="preserve"> Also, should an asset encumbered by such obligations </w:t>
      </w:r>
      <w:r>
        <w:rPr>
          <w:rFonts w:ascii="Baskerville Old Face" w:hAnsi="Baskerville Old Face"/>
        </w:rPr>
        <w:lastRenderedPageBreak/>
        <w:t xml:space="preserve">(usually </w:t>
      </w:r>
      <w:r>
        <w:rPr>
          <w:rFonts w:ascii="Baskerville Old Face" w:hAnsi="Baskerville Old Face"/>
          <w:i/>
        </w:rPr>
        <w:t>propter rem</w:t>
      </w:r>
      <w:r>
        <w:rPr>
          <w:rFonts w:ascii="Baskerville Old Face" w:hAnsi="Baskerville Old Face"/>
        </w:rPr>
        <w:t>) be transferred t</w:t>
      </w:r>
      <w:r w:rsidR="009A7E00">
        <w:rPr>
          <w:rFonts w:ascii="Baskerville Old Face" w:hAnsi="Baskerville Old Face"/>
        </w:rPr>
        <w:t>o a third party, the transferee’s liability in this respect is triggered.</w:t>
      </w:r>
    </w:p>
    <w:p w14:paraId="494EBA29" w14:textId="58DE248B" w:rsidR="007066C9" w:rsidRDefault="007066C9" w:rsidP="0044554B">
      <w:pPr>
        <w:ind w:left="360" w:firstLine="360"/>
        <w:rPr>
          <w:rFonts w:ascii="Baskerville Old Face" w:hAnsi="Baskerville Old Face"/>
        </w:rPr>
      </w:pPr>
      <w:r>
        <w:rPr>
          <w:rFonts w:ascii="Baskerville Old Face" w:hAnsi="Baskerville Old Face"/>
        </w:rPr>
        <w:t xml:space="preserve">Yet, the creditors and the insolvency practitioner have a strong say in the debtor’s </w:t>
      </w:r>
      <w:r w:rsidR="009A7E00">
        <w:rPr>
          <w:rFonts w:ascii="Baskerville Old Face" w:hAnsi="Baskerville Old Face"/>
        </w:rPr>
        <w:t>out</w:t>
      </w:r>
      <w:r w:rsidR="003D4032">
        <w:rPr>
          <w:rFonts w:ascii="Baskerville Old Face" w:hAnsi="Baskerville Old Face"/>
        </w:rPr>
        <w:t>-</w:t>
      </w:r>
      <w:r w:rsidR="009A7E00">
        <w:rPr>
          <w:rFonts w:ascii="Baskerville Old Face" w:hAnsi="Baskerville Old Face"/>
        </w:rPr>
        <w:t>of</w:t>
      </w:r>
      <w:r w:rsidR="003D4032">
        <w:rPr>
          <w:rFonts w:ascii="Baskerville Old Face" w:hAnsi="Baskerville Old Face"/>
        </w:rPr>
        <w:t>-</w:t>
      </w:r>
      <w:r w:rsidR="009A7E00">
        <w:rPr>
          <w:rFonts w:ascii="Baskerville Old Face" w:hAnsi="Baskerville Old Face"/>
        </w:rPr>
        <w:t xml:space="preserve">ordinary </w:t>
      </w:r>
      <w:r>
        <w:rPr>
          <w:rFonts w:ascii="Baskerville Old Face" w:hAnsi="Baskerville Old Face"/>
        </w:rPr>
        <w:t>business decisions</w:t>
      </w:r>
      <w:r w:rsidR="009A7E00">
        <w:rPr>
          <w:rFonts w:ascii="Baskerville Old Face" w:hAnsi="Baskerville Old Face"/>
        </w:rPr>
        <w:t>. T</w:t>
      </w:r>
      <w:r>
        <w:rPr>
          <w:rFonts w:ascii="Baskerville Old Face" w:hAnsi="Baskerville Old Face"/>
        </w:rPr>
        <w:t xml:space="preserve">hus, </w:t>
      </w:r>
      <w:r w:rsidR="009A7E00">
        <w:rPr>
          <w:rFonts w:ascii="Baskerville Old Face" w:hAnsi="Baskerville Old Face"/>
        </w:rPr>
        <w:t>according to the ‘polluter pays’ principle, should the</w:t>
      </w:r>
      <w:r w:rsidR="00D75E4E">
        <w:rPr>
          <w:rFonts w:ascii="Baskerville Old Face" w:hAnsi="Baskerville Old Face"/>
        </w:rPr>
        <w:t xml:space="preserve"> creditors’</w:t>
      </w:r>
      <w:r w:rsidR="009A7E00">
        <w:rPr>
          <w:rFonts w:ascii="Baskerville Old Face" w:hAnsi="Baskerville Old Face"/>
        </w:rPr>
        <w:t xml:space="preserve"> vote</w:t>
      </w:r>
      <w:r w:rsidR="00D75E4E">
        <w:rPr>
          <w:rFonts w:ascii="Baskerville Old Face" w:hAnsi="Baskerville Old Face"/>
        </w:rPr>
        <w:t xml:space="preserve"> / the IP’s decision</w:t>
      </w:r>
      <w:r w:rsidR="009A7E00">
        <w:rPr>
          <w:rFonts w:ascii="Baskerville Old Face" w:hAnsi="Baskerville Old Face"/>
        </w:rPr>
        <w:t xml:space="preserve"> enhance the debtor’s environmental liability, </w:t>
      </w:r>
      <w:r>
        <w:rPr>
          <w:rFonts w:ascii="Baskerville Old Face" w:hAnsi="Baskerville Old Face"/>
        </w:rPr>
        <w:t xml:space="preserve">they </w:t>
      </w:r>
      <w:r w:rsidR="00D75E4E">
        <w:rPr>
          <w:rFonts w:ascii="Baskerville Old Face" w:hAnsi="Baskerville Old Face"/>
        </w:rPr>
        <w:t xml:space="preserve">/ </w:t>
      </w:r>
      <w:r w:rsidR="0044554B">
        <w:rPr>
          <w:rFonts w:ascii="Baskerville Old Face" w:hAnsi="Baskerville Old Face"/>
        </w:rPr>
        <w:t>the IP</w:t>
      </w:r>
      <w:r w:rsidR="00D75E4E">
        <w:rPr>
          <w:rFonts w:ascii="Baskerville Old Face" w:hAnsi="Baskerville Old Face"/>
        </w:rPr>
        <w:t xml:space="preserve"> </w:t>
      </w:r>
      <w:r>
        <w:rPr>
          <w:rFonts w:ascii="Baskerville Old Face" w:hAnsi="Baskerville Old Face"/>
        </w:rPr>
        <w:t>should share</w:t>
      </w:r>
      <w:r w:rsidR="009A7E00">
        <w:rPr>
          <w:rFonts w:ascii="Baskerville Old Face" w:hAnsi="Baskerville Old Face"/>
        </w:rPr>
        <w:t xml:space="preserve"> it with the debtor’s management.</w:t>
      </w:r>
    </w:p>
    <w:p w14:paraId="6C378ADD" w14:textId="1042901E" w:rsidR="00D51DE0" w:rsidRDefault="009A7E00" w:rsidP="0044554B">
      <w:pPr>
        <w:ind w:left="360" w:firstLine="360"/>
        <w:rPr>
          <w:rFonts w:ascii="Baskerville Old Face" w:hAnsi="Baskerville Old Face"/>
        </w:rPr>
      </w:pPr>
      <w:r>
        <w:rPr>
          <w:rFonts w:ascii="Baskerville Old Face" w:hAnsi="Baskerville Old Face"/>
        </w:rPr>
        <w:t xml:space="preserve">Moreover, the creditors and the potential </w:t>
      </w:r>
      <w:r w:rsidR="0025490A">
        <w:rPr>
          <w:rFonts w:ascii="Baskerville Old Face" w:hAnsi="Baskerville Old Face"/>
        </w:rPr>
        <w:t>lenders of fresh money</w:t>
      </w:r>
      <w:r>
        <w:rPr>
          <w:rFonts w:ascii="Baskerville Old Face" w:hAnsi="Baskerville Old Face"/>
        </w:rPr>
        <w:t xml:space="preserve"> should develop strict corporate social responsibility rules </w:t>
      </w:r>
      <w:r w:rsidR="003D4032">
        <w:rPr>
          <w:rFonts w:ascii="Baskerville Old Face" w:hAnsi="Baskerville Old Face"/>
        </w:rPr>
        <w:t xml:space="preserve">so </w:t>
      </w:r>
      <w:r>
        <w:rPr>
          <w:rFonts w:ascii="Baskerville Old Face" w:hAnsi="Baskerville Old Face"/>
        </w:rPr>
        <w:t>as not to cast votes</w:t>
      </w:r>
      <w:r w:rsidR="00D75E4E">
        <w:rPr>
          <w:rFonts w:ascii="Baskerville Old Face" w:hAnsi="Baskerville Old Face"/>
        </w:rPr>
        <w:t xml:space="preserve"> / lend fresh money that would support business decisions detrimental to the environment</w:t>
      </w:r>
      <w:r>
        <w:rPr>
          <w:rFonts w:ascii="Baskerville Old Face" w:hAnsi="Baskerville Old Face"/>
        </w:rPr>
        <w:t>.</w:t>
      </w:r>
    </w:p>
    <w:p w14:paraId="40E8AB13" w14:textId="1F5085F8" w:rsidR="009C0EA7" w:rsidRDefault="005714EF" w:rsidP="0044554B">
      <w:pPr>
        <w:ind w:left="360" w:firstLine="360"/>
        <w:rPr>
          <w:rFonts w:ascii="Baskerville Old Face" w:hAnsi="Baskerville Old Face"/>
        </w:rPr>
      </w:pPr>
      <w:r>
        <w:rPr>
          <w:rFonts w:ascii="Baskerville Old Face" w:hAnsi="Baskerville Old Face"/>
        </w:rPr>
        <w:t>3.</w:t>
      </w:r>
      <w:r w:rsidR="00D75E4E">
        <w:rPr>
          <w:rFonts w:ascii="Baskerville Old Face" w:hAnsi="Baskerville Old Face"/>
        </w:rPr>
        <w:t xml:space="preserve"> </w:t>
      </w:r>
      <w:r w:rsidR="0044554B">
        <w:rPr>
          <w:rFonts w:ascii="Baskerville Old Face" w:hAnsi="Baskerville Old Face"/>
        </w:rPr>
        <w:t>priori</w:t>
      </w:r>
      <w:r w:rsidR="009C0EA7">
        <w:rPr>
          <w:rFonts w:ascii="Baskerville Old Face" w:hAnsi="Baskerville Old Face"/>
        </w:rPr>
        <w:t>ty</w:t>
      </w:r>
      <w:r w:rsidR="00F816F2">
        <w:rPr>
          <w:rFonts w:ascii="Baskerville Old Face" w:hAnsi="Baskerville Old Face"/>
        </w:rPr>
        <w:t>-</w:t>
      </w:r>
      <w:r w:rsidR="009C0EA7">
        <w:rPr>
          <w:rFonts w:ascii="Baskerville Old Face" w:hAnsi="Baskerville Old Face"/>
        </w:rPr>
        <w:t>related:</w:t>
      </w:r>
    </w:p>
    <w:p w14:paraId="4A4BAC85" w14:textId="77777777" w:rsidR="009C0EA7" w:rsidRDefault="0025490A" w:rsidP="009C0EA7">
      <w:pPr>
        <w:ind w:left="360" w:firstLine="360"/>
        <w:rPr>
          <w:rFonts w:ascii="Baskerville Old Face" w:hAnsi="Baskerville Old Face"/>
        </w:rPr>
      </w:pPr>
      <w:r>
        <w:rPr>
          <w:rFonts w:ascii="Baskerville Old Face" w:hAnsi="Baskerville Old Face"/>
        </w:rPr>
        <w:t xml:space="preserve">Changing </w:t>
      </w:r>
      <w:r w:rsidR="00D75E4E">
        <w:rPr>
          <w:rFonts w:ascii="Baskerville Old Face" w:hAnsi="Baskerville Old Face"/>
        </w:rPr>
        <w:t>the perspective</w:t>
      </w:r>
      <w:r w:rsidR="009A7E00">
        <w:rPr>
          <w:rFonts w:ascii="Baskerville Old Face" w:hAnsi="Baskerville Old Face"/>
        </w:rPr>
        <w:t xml:space="preserve">, </w:t>
      </w:r>
      <w:r>
        <w:rPr>
          <w:rFonts w:ascii="Baskerville Old Face" w:hAnsi="Baskerville Old Face"/>
        </w:rPr>
        <w:t xml:space="preserve">should the insolvent debtor be granted a </w:t>
      </w:r>
      <w:r w:rsidR="0044554B">
        <w:rPr>
          <w:rFonts w:ascii="Baskerville Old Face" w:hAnsi="Baskerville Old Face"/>
        </w:rPr>
        <w:t xml:space="preserve">specific-purpose </w:t>
      </w:r>
      <w:r>
        <w:rPr>
          <w:rFonts w:ascii="Baskerville Old Face" w:hAnsi="Baskerville Old Face"/>
        </w:rPr>
        <w:t xml:space="preserve">loan </w:t>
      </w:r>
      <w:r w:rsidR="0044554B">
        <w:rPr>
          <w:rFonts w:ascii="Baskerville Old Face" w:hAnsi="Baskerville Old Face"/>
        </w:rPr>
        <w:t xml:space="preserve">to fulfil its environmental obligations, </w:t>
      </w:r>
      <w:r w:rsidR="00D75E4E">
        <w:rPr>
          <w:rFonts w:ascii="Baskerville Old Face" w:hAnsi="Baskerville Old Face"/>
        </w:rPr>
        <w:t>the proposed directive could grant</w:t>
      </w:r>
      <w:r w:rsidR="009A7E00">
        <w:rPr>
          <w:rFonts w:ascii="Baskerville Old Face" w:hAnsi="Baskerville Old Face"/>
        </w:rPr>
        <w:t xml:space="preserve"> the</w:t>
      </w:r>
      <w:r w:rsidR="006A23DF">
        <w:rPr>
          <w:rFonts w:ascii="Baskerville Old Face" w:hAnsi="Baskerville Old Face"/>
        </w:rPr>
        <w:t xml:space="preserve"> </w:t>
      </w:r>
      <w:r>
        <w:rPr>
          <w:rFonts w:ascii="Baskerville Old Face" w:hAnsi="Baskerville Old Face"/>
        </w:rPr>
        <w:t xml:space="preserve">provider of </w:t>
      </w:r>
      <w:r w:rsidR="0044554B">
        <w:rPr>
          <w:rFonts w:ascii="Baskerville Old Face" w:hAnsi="Baskerville Old Face"/>
        </w:rPr>
        <w:t xml:space="preserve">such a loan </w:t>
      </w:r>
      <w:r w:rsidR="0044554B" w:rsidRPr="0044554B">
        <w:rPr>
          <w:rFonts w:ascii="Baskerville Old Face" w:hAnsi="Baskerville Old Face"/>
        </w:rPr>
        <w:t xml:space="preserve">priority at least over </w:t>
      </w:r>
      <w:r w:rsidR="0044554B">
        <w:rPr>
          <w:rFonts w:ascii="Baskerville Old Face" w:hAnsi="Baskerville Old Face"/>
        </w:rPr>
        <w:t xml:space="preserve">the </w:t>
      </w:r>
      <w:r w:rsidR="0044554B" w:rsidRPr="00E86260">
        <w:rPr>
          <w:rFonts w:ascii="Baskerville Old Face" w:hAnsi="Baskerville Old Face"/>
        </w:rPr>
        <w:t>claims of ordinary unsecured creditors</w:t>
      </w:r>
      <w:r w:rsidR="0044554B">
        <w:rPr>
          <w:rFonts w:ascii="Baskerville Old Face" w:hAnsi="Baskerville Old Face"/>
        </w:rPr>
        <w:t>.</w:t>
      </w:r>
      <w:r>
        <w:rPr>
          <w:rFonts w:ascii="Baskerville Old Face" w:hAnsi="Baskerville Old Face"/>
        </w:rPr>
        <w:t xml:space="preserve"> </w:t>
      </w:r>
      <w:r w:rsidR="009A7E00">
        <w:rPr>
          <w:rFonts w:ascii="Baskerville Old Face" w:hAnsi="Baskerville Old Face"/>
        </w:rPr>
        <w:t xml:space="preserve"> </w:t>
      </w:r>
    </w:p>
    <w:p w14:paraId="55CF387F" w14:textId="5B995CD8" w:rsidR="0085275A" w:rsidRPr="001239C0" w:rsidRDefault="009C0EA7" w:rsidP="001239C0">
      <w:pPr>
        <w:ind w:left="360" w:firstLine="360"/>
        <w:rPr>
          <w:rFonts w:ascii="Baskerville Old Face" w:hAnsi="Baskerville Old Face"/>
        </w:rPr>
      </w:pPr>
      <w:r>
        <w:rPr>
          <w:rFonts w:ascii="Baskerville Old Face" w:hAnsi="Baskerville Old Face"/>
        </w:rPr>
        <w:t>C</w:t>
      </w:r>
      <w:r w:rsidR="0044554B">
        <w:rPr>
          <w:rFonts w:ascii="Baskerville Old Face" w:hAnsi="Baskerville Old Face"/>
        </w:rPr>
        <w:t>oncluding, t</w:t>
      </w:r>
      <w:r w:rsidR="00D51DE0">
        <w:rPr>
          <w:rFonts w:ascii="Baskerville Old Face" w:hAnsi="Baskerville Old Face"/>
        </w:rPr>
        <w:t>he quoted recital</w:t>
      </w:r>
      <w:r w:rsidR="0044554B">
        <w:rPr>
          <w:rFonts w:ascii="Baskerville Old Face" w:hAnsi="Baskerville Old Face"/>
        </w:rPr>
        <w:t xml:space="preserve"> in the proposed directive</w:t>
      </w:r>
      <w:r w:rsidR="00D51DE0">
        <w:rPr>
          <w:rFonts w:ascii="Baskerville Old Face" w:hAnsi="Baskerville Old Face"/>
        </w:rPr>
        <w:t xml:space="preserve"> is, at best, an overstatement, while the propos</w:t>
      </w:r>
      <w:r w:rsidR="0044554B">
        <w:rPr>
          <w:rFonts w:ascii="Baskerville Old Face" w:hAnsi="Baskerville Old Face"/>
        </w:rPr>
        <w:t>ed directive</w:t>
      </w:r>
      <w:r w:rsidR="00D51DE0">
        <w:rPr>
          <w:rFonts w:ascii="Baskerville Old Face" w:hAnsi="Baskerville Old Face"/>
        </w:rPr>
        <w:t xml:space="preserve"> misses the opportunity to harmonize, even at a minimal level, the legal treatment of the environmental claims in </w:t>
      </w:r>
      <w:r w:rsidR="0044554B">
        <w:rPr>
          <w:rFonts w:ascii="Baskerville Old Face" w:hAnsi="Baskerville Old Face"/>
        </w:rPr>
        <w:t xml:space="preserve">cross-border </w:t>
      </w:r>
      <w:r w:rsidR="00D51DE0">
        <w:rPr>
          <w:rFonts w:ascii="Baskerville Old Face" w:hAnsi="Baskerville Old Face"/>
        </w:rPr>
        <w:t>insolvency</w:t>
      </w:r>
      <w:r w:rsidR="0044554B">
        <w:rPr>
          <w:rFonts w:ascii="Baskerville Old Face" w:hAnsi="Baskerville Old Face"/>
        </w:rPr>
        <w:t xml:space="preserve"> proceedings</w:t>
      </w:r>
      <w:r w:rsidR="00D51DE0">
        <w:rPr>
          <w:rFonts w:ascii="Baskerville Old Face" w:hAnsi="Baskerville Old Face"/>
        </w:rPr>
        <w:t>.</w:t>
      </w:r>
    </w:p>
    <w:sectPr w:rsidR="0085275A" w:rsidRPr="001239C0">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6930E8" w14:textId="77777777" w:rsidR="00944937" w:rsidRDefault="00944937" w:rsidP="00FA09B5">
      <w:pPr>
        <w:spacing w:after="0" w:line="240" w:lineRule="auto"/>
      </w:pPr>
      <w:r>
        <w:separator/>
      </w:r>
    </w:p>
  </w:endnote>
  <w:endnote w:type="continuationSeparator" w:id="0">
    <w:p w14:paraId="08974976" w14:textId="77777777" w:rsidR="00944937" w:rsidRDefault="00944937" w:rsidP="00FA09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askerville Old Face">
    <w:panose1 w:val="02020602080505020303"/>
    <w:charset w:val="4D"/>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6764517"/>
      <w:docPartObj>
        <w:docPartGallery w:val="Page Numbers (Bottom of Page)"/>
        <w:docPartUnique/>
      </w:docPartObj>
    </w:sdtPr>
    <w:sdtEndPr>
      <w:rPr>
        <w:noProof/>
      </w:rPr>
    </w:sdtEndPr>
    <w:sdtContent>
      <w:p w14:paraId="3FEC7CCE" w14:textId="416FCB17" w:rsidR="00CC21E5" w:rsidRDefault="00CC21E5">
        <w:pPr>
          <w:pStyle w:val="Pieddepage"/>
          <w:jc w:val="center"/>
        </w:pPr>
        <w:r>
          <w:fldChar w:fldCharType="begin"/>
        </w:r>
        <w:r>
          <w:instrText xml:space="preserve"> PAGE   \* MERGEFORMAT </w:instrText>
        </w:r>
        <w:r>
          <w:fldChar w:fldCharType="separate"/>
        </w:r>
        <w:r w:rsidR="005714EF">
          <w:rPr>
            <w:noProof/>
          </w:rPr>
          <w:t>2</w:t>
        </w:r>
        <w:r>
          <w:rPr>
            <w:noProof/>
          </w:rPr>
          <w:fldChar w:fldCharType="end"/>
        </w:r>
      </w:p>
    </w:sdtContent>
  </w:sdt>
  <w:p w14:paraId="214826DD" w14:textId="77777777" w:rsidR="00FA09B5" w:rsidRDefault="00FA09B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21BBC5" w14:textId="77777777" w:rsidR="00944937" w:rsidRDefault="00944937" w:rsidP="00FA09B5">
      <w:pPr>
        <w:spacing w:after="0" w:line="240" w:lineRule="auto"/>
      </w:pPr>
      <w:r>
        <w:separator/>
      </w:r>
    </w:p>
  </w:footnote>
  <w:footnote w:type="continuationSeparator" w:id="0">
    <w:p w14:paraId="0C90F239" w14:textId="77777777" w:rsidR="00944937" w:rsidRDefault="00944937" w:rsidP="00FA09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975066"/>
    <w:multiLevelType w:val="hybridMultilevel"/>
    <w:tmpl w:val="597E9E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67B789C"/>
    <w:multiLevelType w:val="hybridMultilevel"/>
    <w:tmpl w:val="00620156"/>
    <w:lvl w:ilvl="0" w:tplc="6A221B2C">
      <w:start w:val="1"/>
      <w:numFmt w:val="decimal"/>
      <w:lvlText w:val="%1."/>
      <w:lvlJc w:val="left"/>
      <w:pPr>
        <w:ind w:left="360" w:hanging="360"/>
      </w:pPr>
      <w:rPr>
        <w:rFonts w:hint="default"/>
        <w:b w:val="0"/>
      </w:rPr>
    </w:lvl>
    <w:lvl w:ilvl="1" w:tplc="04060019">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 w15:restartNumberingAfterBreak="0">
    <w:nsid w:val="67050147"/>
    <w:multiLevelType w:val="hybridMultilevel"/>
    <w:tmpl w:val="94305BEA"/>
    <w:lvl w:ilvl="0" w:tplc="BC9C31CA">
      <w:start w:val="1"/>
      <w:numFmt w:val="bullet"/>
      <w:lvlText w:val="-"/>
      <w:lvlJc w:val="left"/>
      <w:pPr>
        <w:ind w:left="720" w:hanging="360"/>
      </w:pPr>
      <w:rPr>
        <w:rFonts w:ascii="Baskerville Old Face" w:eastAsiaTheme="minorHAnsi" w:hAnsi="Baskerville Old Fac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874070">
    <w:abstractNumId w:val="1"/>
  </w:num>
  <w:num w:numId="2" w16cid:durableId="1879465803">
    <w:abstractNumId w:val="2"/>
  </w:num>
  <w:num w:numId="3" w16cid:durableId="1413158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280"/>
    <w:rsid w:val="00006D9D"/>
    <w:rsid w:val="000523D2"/>
    <w:rsid w:val="00060D17"/>
    <w:rsid w:val="00061BE9"/>
    <w:rsid w:val="00090D0D"/>
    <w:rsid w:val="000E393E"/>
    <w:rsid w:val="001239C0"/>
    <w:rsid w:val="001534AC"/>
    <w:rsid w:val="0016280C"/>
    <w:rsid w:val="001C7D80"/>
    <w:rsid w:val="00203800"/>
    <w:rsid w:val="0025490A"/>
    <w:rsid w:val="00256C33"/>
    <w:rsid w:val="00323363"/>
    <w:rsid w:val="0032754A"/>
    <w:rsid w:val="003A3611"/>
    <w:rsid w:val="003D4032"/>
    <w:rsid w:val="003D4BE8"/>
    <w:rsid w:val="00425F5B"/>
    <w:rsid w:val="00434B32"/>
    <w:rsid w:val="00442D01"/>
    <w:rsid w:val="0044554B"/>
    <w:rsid w:val="004C5954"/>
    <w:rsid w:val="004F0D7F"/>
    <w:rsid w:val="004F0F1C"/>
    <w:rsid w:val="00523368"/>
    <w:rsid w:val="005714EF"/>
    <w:rsid w:val="005A3FC4"/>
    <w:rsid w:val="005B39CE"/>
    <w:rsid w:val="00675323"/>
    <w:rsid w:val="00681A10"/>
    <w:rsid w:val="0068389B"/>
    <w:rsid w:val="006A23DF"/>
    <w:rsid w:val="006C5267"/>
    <w:rsid w:val="006C7374"/>
    <w:rsid w:val="006E0881"/>
    <w:rsid w:val="006E0FB1"/>
    <w:rsid w:val="007066C9"/>
    <w:rsid w:val="00751F2D"/>
    <w:rsid w:val="007C5F21"/>
    <w:rsid w:val="007C6157"/>
    <w:rsid w:val="007E3B4C"/>
    <w:rsid w:val="00810806"/>
    <w:rsid w:val="0085275A"/>
    <w:rsid w:val="00893DE3"/>
    <w:rsid w:val="008B743F"/>
    <w:rsid w:val="009008CF"/>
    <w:rsid w:val="00911937"/>
    <w:rsid w:val="00944937"/>
    <w:rsid w:val="009721E8"/>
    <w:rsid w:val="0098565F"/>
    <w:rsid w:val="009A7E00"/>
    <w:rsid w:val="009C0EA7"/>
    <w:rsid w:val="009D6C33"/>
    <w:rsid w:val="009E76EB"/>
    <w:rsid w:val="009F4491"/>
    <w:rsid w:val="00A65EB9"/>
    <w:rsid w:val="00AB3EFA"/>
    <w:rsid w:val="00AC067B"/>
    <w:rsid w:val="00AF318E"/>
    <w:rsid w:val="00BC0EC2"/>
    <w:rsid w:val="00BC6B3E"/>
    <w:rsid w:val="00C477B9"/>
    <w:rsid w:val="00C55DD1"/>
    <w:rsid w:val="00C7237C"/>
    <w:rsid w:val="00C77280"/>
    <w:rsid w:val="00C94C29"/>
    <w:rsid w:val="00CC21E5"/>
    <w:rsid w:val="00CE7FDE"/>
    <w:rsid w:val="00D13AFF"/>
    <w:rsid w:val="00D2064F"/>
    <w:rsid w:val="00D51DE0"/>
    <w:rsid w:val="00D63045"/>
    <w:rsid w:val="00D75E4E"/>
    <w:rsid w:val="00D8530B"/>
    <w:rsid w:val="00DB76B6"/>
    <w:rsid w:val="00DE0379"/>
    <w:rsid w:val="00E03E3C"/>
    <w:rsid w:val="00E266A1"/>
    <w:rsid w:val="00E86260"/>
    <w:rsid w:val="00EE2BAA"/>
    <w:rsid w:val="00F14AB2"/>
    <w:rsid w:val="00F158ED"/>
    <w:rsid w:val="00F7573D"/>
    <w:rsid w:val="00F816F2"/>
    <w:rsid w:val="00F968C5"/>
    <w:rsid w:val="00FA09B5"/>
    <w:rsid w:val="00FE49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9C432"/>
  <w15:docId w15:val="{5A0D882F-C8AE-4BEE-9846-D968CC4EE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65F"/>
    <w:pPr>
      <w:jc w:val="both"/>
    </w:pPr>
    <w:rPr>
      <w:rFonts w:ascii="Times New Roman" w:hAnsi="Times New Roman"/>
      <w:sz w:val="27"/>
    </w:rPr>
  </w:style>
  <w:style w:type="paragraph" w:styleId="Titre3">
    <w:name w:val="heading 3"/>
    <w:basedOn w:val="Normal"/>
    <w:next w:val="Normal"/>
    <w:link w:val="Titre3Car"/>
    <w:uiPriority w:val="9"/>
    <w:semiHidden/>
    <w:unhideWhenUsed/>
    <w:qFormat/>
    <w:rsid w:val="00F14AB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aliases w:val="Sektionoverskrift"/>
    <w:basedOn w:val="Titre3"/>
    <w:autoRedefine/>
    <w:uiPriority w:val="1"/>
    <w:qFormat/>
    <w:rsid w:val="00F14AB2"/>
    <w:pPr>
      <w:spacing w:line="240" w:lineRule="auto"/>
    </w:pPr>
    <w:rPr>
      <w:rFonts w:ascii="Times New Roman" w:hAnsi="Times New Roman"/>
      <w:color w:val="000000" w:themeColor="text1"/>
      <w:sz w:val="32"/>
    </w:rPr>
  </w:style>
  <w:style w:type="character" w:customStyle="1" w:styleId="Titre3Car">
    <w:name w:val="Titre 3 Car"/>
    <w:basedOn w:val="Policepardfaut"/>
    <w:link w:val="Titre3"/>
    <w:uiPriority w:val="9"/>
    <w:semiHidden/>
    <w:rsid w:val="00F14AB2"/>
    <w:rPr>
      <w:rFonts w:asciiTheme="majorHAnsi" w:eastAsiaTheme="majorEastAsia" w:hAnsiTheme="majorHAnsi" w:cstheme="majorBidi"/>
      <w:color w:val="1F4D78" w:themeColor="accent1" w:themeShade="7F"/>
      <w:sz w:val="24"/>
      <w:szCs w:val="24"/>
    </w:rPr>
  </w:style>
  <w:style w:type="paragraph" w:styleId="Paragraphedeliste">
    <w:name w:val="List Paragraph"/>
    <w:basedOn w:val="Normal"/>
    <w:uiPriority w:val="34"/>
    <w:qFormat/>
    <w:rsid w:val="00C77280"/>
    <w:pPr>
      <w:ind w:left="720"/>
      <w:contextualSpacing/>
    </w:pPr>
  </w:style>
  <w:style w:type="paragraph" w:styleId="En-tte">
    <w:name w:val="header"/>
    <w:basedOn w:val="Normal"/>
    <w:link w:val="En-tteCar"/>
    <w:rsid w:val="0068389B"/>
    <w:pPr>
      <w:tabs>
        <w:tab w:val="center" w:pos="4153"/>
        <w:tab w:val="right" w:pos="8306"/>
      </w:tabs>
      <w:spacing w:after="0" w:line="240" w:lineRule="auto"/>
      <w:jc w:val="left"/>
    </w:pPr>
    <w:rPr>
      <w:rFonts w:eastAsia="SimSun" w:cs="Times New Roman"/>
      <w:sz w:val="24"/>
      <w:szCs w:val="24"/>
      <w:lang w:val="en-GB" w:eastAsia="zh-CN" w:bidi="he-IL"/>
    </w:rPr>
  </w:style>
  <w:style w:type="character" w:customStyle="1" w:styleId="En-tteCar">
    <w:name w:val="En-tête Car"/>
    <w:basedOn w:val="Policepardfaut"/>
    <w:link w:val="En-tte"/>
    <w:rsid w:val="0068389B"/>
    <w:rPr>
      <w:rFonts w:ascii="Times New Roman" w:eastAsia="SimSun" w:hAnsi="Times New Roman" w:cs="Times New Roman"/>
      <w:sz w:val="24"/>
      <w:szCs w:val="24"/>
      <w:lang w:val="en-GB" w:eastAsia="zh-CN" w:bidi="he-IL"/>
    </w:rPr>
  </w:style>
  <w:style w:type="character" w:styleId="Lienhypertexte">
    <w:name w:val="Hyperlink"/>
    <w:basedOn w:val="Policepardfaut"/>
    <w:uiPriority w:val="99"/>
    <w:unhideWhenUsed/>
    <w:rsid w:val="00681A10"/>
    <w:rPr>
      <w:color w:val="0563C1" w:themeColor="hyperlink"/>
      <w:u w:val="single"/>
    </w:rPr>
  </w:style>
  <w:style w:type="paragraph" w:styleId="Pieddepage">
    <w:name w:val="footer"/>
    <w:basedOn w:val="Normal"/>
    <w:link w:val="PieddepageCar"/>
    <w:uiPriority w:val="99"/>
    <w:unhideWhenUsed/>
    <w:rsid w:val="00FA09B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A09B5"/>
    <w:rPr>
      <w:rFonts w:ascii="Times New Roman" w:hAnsi="Times New Roman"/>
      <w:sz w:val="27"/>
    </w:rPr>
  </w:style>
  <w:style w:type="paragraph" w:styleId="Textedebulles">
    <w:name w:val="Balloon Text"/>
    <w:basedOn w:val="Normal"/>
    <w:link w:val="TextedebullesCar"/>
    <w:uiPriority w:val="99"/>
    <w:semiHidden/>
    <w:unhideWhenUsed/>
    <w:rsid w:val="00E266A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266A1"/>
    <w:rPr>
      <w:rFonts w:ascii="Segoe UI" w:hAnsi="Segoe UI" w:cs="Segoe UI"/>
      <w:sz w:val="18"/>
      <w:szCs w:val="18"/>
    </w:rPr>
  </w:style>
  <w:style w:type="character" w:customStyle="1" w:styleId="UnresolvedMention1">
    <w:name w:val="Unresolved Mention1"/>
    <w:basedOn w:val="Policepardfaut"/>
    <w:uiPriority w:val="99"/>
    <w:rsid w:val="008B743F"/>
    <w:rPr>
      <w:color w:val="605E5C"/>
      <w:shd w:val="clear" w:color="auto" w:fill="E1DFDD"/>
    </w:rPr>
  </w:style>
  <w:style w:type="character" w:styleId="Lienhypertextesuivivisit">
    <w:name w:val="FollowedHyperlink"/>
    <w:basedOn w:val="Policepardfaut"/>
    <w:uiPriority w:val="99"/>
    <w:semiHidden/>
    <w:unhideWhenUsed/>
    <w:rsid w:val="009721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532</Words>
  <Characters>2928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Line Herman Langkjær</dc:creator>
  <cp:keywords/>
  <cp:lastModifiedBy>Myriam Mailly</cp:lastModifiedBy>
  <cp:revision>3</cp:revision>
  <dcterms:created xsi:type="dcterms:W3CDTF">2024-09-26T10:44:00Z</dcterms:created>
  <dcterms:modified xsi:type="dcterms:W3CDTF">2024-09-26T10:46:00Z</dcterms:modified>
</cp:coreProperties>
</file>