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C2547" w14:textId="77777777" w:rsidR="00C1133F" w:rsidRPr="00C1133F" w:rsidRDefault="00C1133F" w:rsidP="00C1133F">
      <w:pPr>
        <w:jc w:val="center"/>
        <w:rPr>
          <w:rFonts w:ascii="Baskerville Old Face" w:hAnsi="Baskerville Old Face"/>
          <w:b/>
          <w:bCs/>
        </w:rPr>
      </w:pPr>
      <w:r w:rsidRPr="00C1133F">
        <w:rPr>
          <w:rFonts w:ascii="Baskerville Old Face" w:hAnsi="Baskerville Old Face"/>
          <w:b/>
          <w:bCs/>
        </w:rPr>
        <w:t>COMI, forum shopping, and the adequate protection of creditors against mid-stream changes in the applicable law – a European perspective</w:t>
      </w:r>
    </w:p>
    <w:p w14:paraId="59BA5743" w14:textId="4E5A3D81" w:rsidR="006E0881" w:rsidRPr="00C1133F" w:rsidRDefault="00773BE4" w:rsidP="00C1133F">
      <w:pPr>
        <w:rPr>
          <w:rFonts w:ascii="Baskerville Old Face" w:hAnsi="Baskerville Old Face"/>
          <w:i/>
          <w:iCs/>
        </w:rPr>
      </w:pPr>
      <w:r w:rsidRPr="00C1133F">
        <w:rPr>
          <w:rFonts w:ascii="Baskerville Old Face" w:hAnsi="Baskerville Old Face"/>
          <w:i/>
          <w:iCs/>
        </w:rPr>
        <w:t>Dr. Fabian Kratzlmeier, LL.M. (Chicago), Senior Research Fellow at the Department for Business and Tax Law at the Max-Planck-Institute for Tax Law and Public Finance</w:t>
      </w:r>
      <w:r w:rsidR="001D1243" w:rsidRPr="00C1133F">
        <w:rPr>
          <w:rFonts w:ascii="Baskerville Old Face" w:hAnsi="Baskerville Old Face"/>
          <w:i/>
          <w:iCs/>
        </w:rPr>
        <w:t>,</w:t>
      </w:r>
      <w:r w:rsidRPr="00C1133F">
        <w:rPr>
          <w:rFonts w:ascii="Baskerville Old Face" w:hAnsi="Baskerville Old Face"/>
          <w:i/>
          <w:iCs/>
        </w:rPr>
        <w:t xml:space="preserve"> and Lecturer for corporate law at the University of Regensburg, Germany</w:t>
      </w:r>
    </w:p>
    <w:p w14:paraId="1E0AE22A" w14:textId="77777777" w:rsidR="00032469" w:rsidRPr="00032469" w:rsidRDefault="00032469" w:rsidP="00F00D1E">
      <w:pPr>
        <w:rPr>
          <w:rFonts w:ascii="Baskerville Old Face" w:hAnsi="Baskerville Old Face"/>
        </w:rPr>
      </w:pPr>
      <w:r w:rsidRPr="00032469">
        <w:rPr>
          <w:rFonts w:ascii="Baskerville Old Face" w:hAnsi="Baskerville Old Face"/>
        </w:rPr>
        <w:t xml:space="preserve">For decades, the COMI-principle has been representing a paramount pillar of the global international insolvency law framework (i.e. the UNCITRAL model law), identifying the (most) adequate connecting factor in cross-border insolvency. Recently, however, it has been increasingly criticized for provoking opportunistic forum shopping while subjecting efficient forum choices to substantial costs associated with a COMI transfer. In an effort to promote efficiency-driven forum shopping, it has been proposed to abandon </w:t>
      </w:r>
      <w:proofErr w:type="gramStart"/>
      <w:r w:rsidRPr="00032469">
        <w:rPr>
          <w:rFonts w:ascii="Baskerville Old Face" w:hAnsi="Baskerville Old Face"/>
        </w:rPr>
        <w:t>COMI, and</w:t>
      </w:r>
      <w:proofErr w:type="gramEnd"/>
      <w:r w:rsidRPr="00032469">
        <w:rPr>
          <w:rFonts w:ascii="Baskerville Old Face" w:hAnsi="Baskerville Old Face"/>
        </w:rPr>
        <w:t xml:space="preserve"> facilitate credible self-commitment (in the debtor’s charter), or installing a collective worse-off-test instead.</w:t>
      </w:r>
    </w:p>
    <w:p w14:paraId="2293379B" w14:textId="77777777" w:rsidR="00032469" w:rsidRPr="00032469" w:rsidRDefault="00032469" w:rsidP="00F00D1E">
      <w:pPr>
        <w:rPr>
          <w:rFonts w:ascii="Baskerville Old Face" w:hAnsi="Baskerville Old Face"/>
        </w:rPr>
      </w:pPr>
      <w:r w:rsidRPr="00032469">
        <w:rPr>
          <w:rFonts w:ascii="Baskerville Old Face" w:hAnsi="Baskerville Old Face"/>
        </w:rPr>
        <w:t xml:space="preserve">COMI, however, is not unique to the UNCITRAL model law, but is also enshrined into the EIR, where it serves not only as the decisive factor determining the scope of cross-border recognition, but limits the power of national courts to open (main) proceedings in the first place. Although this anticipates potential litigation over the debtor’s COMI in an early stage and, thus, reduces legal uncertainty (and associated costs), many of the arguments put forward against COMI are equally valid in the intra-EU context. </w:t>
      </w:r>
    </w:p>
    <w:p w14:paraId="04C900B1" w14:textId="398C181D" w:rsidR="00032469" w:rsidRPr="00032469" w:rsidRDefault="00032469" w:rsidP="00F00D1E">
      <w:pPr>
        <w:rPr>
          <w:rFonts w:ascii="Baskerville Old Face" w:hAnsi="Baskerville Old Face"/>
        </w:rPr>
      </w:pPr>
      <w:r w:rsidRPr="00032469">
        <w:rPr>
          <w:rFonts w:ascii="Baskerville Old Face" w:hAnsi="Baskerville Old Face"/>
        </w:rPr>
        <w:t xml:space="preserve">This holds true especially for </w:t>
      </w:r>
      <w:proofErr w:type="gramStart"/>
      <w:r w:rsidRPr="00032469">
        <w:rPr>
          <w:rFonts w:ascii="Baskerville Old Face" w:hAnsi="Baskerville Old Face"/>
        </w:rPr>
        <w:t>managements’</w:t>
      </w:r>
      <w:proofErr w:type="gramEnd"/>
      <w:r w:rsidRPr="00032469">
        <w:rPr>
          <w:rFonts w:ascii="Baskerville Old Face" w:hAnsi="Baskerville Old Face"/>
        </w:rPr>
        <w:t xml:space="preserve"> and shareholders’ incentive</w:t>
      </w:r>
      <w:r w:rsidR="00F00D1E">
        <w:rPr>
          <w:rFonts w:ascii="Baskerville Old Face" w:hAnsi="Baskerville Old Face"/>
        </w:rPr>
        <w:t>s to unilaterally change the ap</w:t>
      </w:r>
      <w:r w:rsidRPr="00032469">
        <w:rPr>
          <w:rFonts w:ascii="Baskerville Old Face" w:hAnsi="Baskerville Old Face"/>
        </w:rPr>
        <w:t xml:space="preserve">plicable law governing the distribution of assets. Regarding mid-stream substitutions of the corporate structure, including creditor protection instruments featured therein, the EU has recently harmonized cross border conversions. Since 2023, Directive 2019/2121 subjects intra-EU </w:t>
      </w:r>
      <w:proofErr w:type="spellStart"/>
      <w:r w:rsidRPr="00032469">
        <w:rPr>
          <w:rFonts w:ascii="Baskerville Old Face" w:hAnsi="Baskerville Old Face"/>
        </w:rPr>
        <w:t>reincorporations</w:t>
      </w:r>
      <w:proofErr w:type="spellEnd"/>
      <w:r w:rsidRPr="00032469">
        <w:rPr>
          <w:rFonts w:ascii="Baskerville Old Face" w:hAnsi="Baskerville Old Face"/>
        </w:rPr>
        <w:t xml:space="preserve"> to certain safeguards, including guarantees and warrants for pre-existing claims, a</w:t>
      </w:r>
      <w:r w:rsidR="00F00D1E">
        <w:rPr>
          <w:rFonts w:ascii="Baskerville Old Face" w:hAnsi="Baskerville Old Face"/>
        </w:rPr>
        <w:t>nd preserving their original fo</w:t>
      </w:r>
      <w:r w:rsidRPr="00032469">
        <w:rPr>
          <w:rFonts w:ascii="Baskerville Old Face" w:hAnsi="Baskerville Old Face"/>
        </w:rPr>
        <w:t xml:space="preserve">rum. As an additional means to honor creditors’ ex-ante expectations, it allows member states to </w:t>
      </w:r>
      <w:r w:rsidR="00F00D1E">
        <w:rPr>
          <w:rFonts w:ascii="Baskerville Old Face" w:hAnsi="Baskerville Old Face"/>
        </w:rPr>
        <w:t>de</w:t>
      </w:r>
      <w:r w:rsidRPr="00032469">
        <w:rPr>
          <w:rFonts w:ascii="Baskerville Old Face" w:hAnsi="Baskerville Old Face"/>
        </w:rPr>
        <w:t>mand solvency declarations from the company’s management. Given t</w:t>
      </w:r>
      <w:r w:rsidR="00F00D1E">
        <w:rPr>
          <w:rFonts w:ascii="Baskerville Old Face" w:hAnsi="Baskerville Old Face"/>
        </w:rPr>
        <w:t>hese EU-level safeguards govern</w:t>
      </w:r>
      <w:r w:rsidRPr="00032469">
        <w:rPr>
          <w:rFonts w:ascii="Baskerville Old Face" w:hAnsi="Baskerville Old Face"/>
        </w:rPr>
        <w:t>ing mid-stream corporate law shopping, coherence would demand, that equal measures be instituted to protect pre-existing creditors when it comes to mid-stream changes in the applicable insolvency law.</w:t>
      </w:r>
    </w:p>
    <w:p w14:paraId="55CF387F" w14:textId="33976965" w:rsidR="0085275A" w:rsidRPr="00C1133F" w:rsidRDefault="00032469" w:rsidP="00C1133F">
      <w:pPr>
        <w:rPr>
          <w:rFonts w:ascii="Baskerville Old Face" w:hAnsi="Baskerville Old Face"/>
        </w:rPr>
      </w:pPr>
      <w:r w:rsidRPr="00032469">
        <w:rPr>
          <w:rFonts w:ascii="Baskerville Old Face" w:hAnsi="Baskerville Old Face"/>
        </w:rPr>
        <w:t>Against this background, the article analysis possible regulatory amend</w:t>
      </w:r>
      <w:r w:rsidR="00F00D1E">
        <w:rPr>
          <w:rFonts w:ascii="Baskerville Old Face" w:hAnsi="Baskerville Old Face"/>
        </w:rPr>
        <w:t>ments aimed at developing a (Eu</w:t>
      </w:r>
      <w:r w:rsidRPr="00032469">
        <w:rPr>
          <w:rFonts w:ascii="Baskerville Old Face" w:hAnsi="Baskerville Old Face"/>
        </w:rPr>
        <w:t>ropean) international insolvency law that is both coherent with its cor</w:t>
      </w:r>
      <w:r w:rsidR="00F00D1E">
        <w:rPr>
          <w:rFonts w:ascii="Baskerville Old Face" w:hAnsi="Baskerville Old Face"/>
        </w:rPr>
        <w:t>porate counterpart, and economi</w:t>
      </w:r>
      <w:r w:rsidRPr="00032469">
        <w:rPr>
          <w:rFonts w:ascii="Baskerville Old Face" w:hAnsi="Baskerville Old Face"/>
        </w:rPr>
        <w:t>cally sound. Compared to the debate over the UNCITRAL model law, the European perspective reveals an even broader picture of the issue. With EU legislation containing both, rules on international jurisdiction (and applicable law) in insolvency matters, and a wide-reaching body</w:t>
      </w:r>
      <w:r w:rsidR="00F00D1E">
        <w:rPr>
          <w:rFonts w:ascii="Baskerville Old Face" w:hAnsi="Baskerville Old Face"/>
        </w:rPr>
        <w:t xml:space="preserve"> of harmonized corporate </w:t>
      </w:r>
      <w:r w:rsidR="00F00D1E">
        <w:rPr>
          <w:rFonts w:ascii="Baskerville Old Face" w:hAnsi="Baskerville Old Face"/>
        </w:rPr>
        <w:lastRenderedPageBreak/>
        <w:t>law ba</w:t>
      </w:r>
      <w:r w:rsidRPr="00032469">
        <w:rPr>
          <w:rFonts w:ascii="Baskerville Old Face" w:hAnsi="Baskerville Old Face"/>
        </w:rPr>
        <w:t xml:space="preserve">sics, it is particularly suited to discuss substantive rules regulating mid-stream changes to the connecting factor(s). Furthermore, </w:t>
      </w:r>
      <w:proofErr w:type="gramStart"/>
      <w:r w:rsidRPr="00032469">
        <w:rPr>
          <w:rFonts w:ascii="Baskerville Old Face" w:hAnsi="Baskerville Old Face"/>
        </w:rPr>
        <w:t>in light of</w:t>
      </w:r>
      <w:proofErr w:type="gramEnd"/>
      <w:r w:rsidRPr="00032469">
        <w:rPr>
          <w:rFonts w:ascii="Baskerville Old Face" w:hAnsi="Baskerville Old Face"/>
        </w:rPr>
        <w:t xml:space="preserve"> the newly added dimension of European pre-insolvency restructuring law introduced by Directive 2019/1023 the European perspective promises to be particularly fruitful: This is because the Directive offers member states the so-called relative priority rule option, which – if tra</w:t>
      </w:r>
      <w:r w:rsidR="00F00D1E">
        <w:rPr>
          <w:rFonts w:ascii="Baskerville Old Face" w:hAnsi="Baskerville Old Face"/>
        </w:rPr>
        <w:t>ns</w:t>
      </w:r>
      <w:r w:rsidRPr="00032469">
        <w:rPr>
          <w:rFonts w:ascii="Baskerville Old Face" w:hAnsi="Baskerville Old Face"/>
        </w:rPr>
        <w:t>posed into national law – allows distributions to junior classes (or shar</w:t>
      </w:r>
      <w:r w:rsidR="00F00D1E">
        <w:rPr>
          <w:rFonts w:ascii="Baskerville Old Face" w:hAnsi="Baskerville Old Face"/>
        </w:rPr>
        <w:t>eholders), creating enhanced in</w:t>
      </w:r>
      <w:r w:rsidRPr="00032469">
        <w:rPr>
          <w:rFonts w:ascii="Baskerville Old Face" w:hAnsi="Baskerville Old Face"/>
        </w:rPr>
        <w:t>centives for opportunistic forum (and law) shopping. With the predominant position being that COMI is not required to use a jurisdiction’s restructuring regime, this might trigger forum (and law) shopping at an unprecedented scale.</w:t>
      </w:r>
    </w:p>
    <w:sectPr w:rsidR="0085275A" w:rsidRPr="00C113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A247E" w14:textId="77777777" w:rsidR="001A55FB" w:rsidRDefault="001A55FB" w:rsidP="00FA09B5">
      <w:pPr>
        <w:spacing w:after="0" w:line="240" w:lineRule="auto"/>
      </w:pPr>
      <w:r>
        <w:separator/>
      </w:r>
    </w:p>
  </w:endnote>
  <w:endnote w:type="continuationSeparator" w:id="0">
    <w:p w14:paraId="17772609" w14:textId="77777777" w:rsidR="001A55FB" w:rsidRDefault="001A55FB" w:rsidP="00FA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089F" w14:textId="77777777" w:rsidR="00FA09B5" w:rsidRDefault="00FA09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826DD" w14:textId="77777777" w:rsidR="00FA09B5" w:rsidRDefault="00FA09B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F5399" w14:textId="77777777" w:rsidR="00FA09B5" w:rsidRDefault="00FA09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F4CCA" w14:textId="77777777" w:rsidR="001A55FB" w:rsidRDefault="001A55FB" w:rsidP="00FA09B5">
      <w:pPr>
        <w:spacing w:after="0" w:line="240" w:lineRule="auto"/>
      </w:pPr>
      <w:r>
        <w:separator/>
      </w:r>
    </w:p>
  </w:footnote>
  <w:footnote w:type="continuationSeparator" w:id="0">
    <w:p w14:paraId="7870D008" w14:textId="77777777" w:rsidR="001A55FB" w:rsidRDefault="001A55FB" w:rsidP="00FA0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9A6B0" w14:textId="77777777" w:rsidR="00FA09B5" w:rsidRDefault="00FA09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1A490" w14:textId="77777777" w:rsidR="00FA09B5" w:rsidRDefault="00FA09B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F714" w14:textId="77777777" w:rsidR="00FA09B5" w:rsidRDefault="00FA09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B789C"/>
    <w:multiLevelType w:val="hybridMultilevel"/>
    <w:tmpl w:val="00620156"/>
    <w:lvl w:ilvl="0" w:tplc="6A221B2C">
      <w:start w:val="1"/>
      <w:numFmt w:val="decimal"/>
      <w:lvlText w:val="%1."/>
      <w:lvlJc w:val="left"/>
      <w:pPr>
        <w:ind w:left="360" w:hanging="360"/>
      </w:pPr>
      <w:rPr>
        <w:rFonts w:hint="default"/>
        <w:b w:val="0"/>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53997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80"/>
    <w:rsid w:val="00006D9D"/>
    <w:rsid w:val="00032469"/>
    <w:rsid w:val="000523D2"/>
    <w:rsid w:val="00061BE9"/>
    <w:rsid w:val="001534AC"/>
    <w:rsid w:val="0016280C"/>
    <w:rsid w:val="001A55FB"/>
    <w:rsid w:val="001C7D80"/>
    <w:rsid w:val="001D1243"/>
    <w:rsid w:val="00203800"/>
    <w:rsid w:val="00256C33"/>
    <w:rsid w:val="003A3611"/>
    <w:rsid w:val="003D4BE8"/>
    <w:rsid w:val="00442D01"/>
    <w:rsid w:val="004C2755"/>
    <w:rsid w:val="004C5954"/>
    <w:rsid w:val="004F0D7F"/>
    <w:rsid w:val="004F0F1C"/>
    <w:rsid w:val="00510B5B"/>
    <w:rsid w:val="00523368"/>
    <w:rsid w:val="00572095"/>
    <w:rsid w:val="005A3FC4"/>
    <w:rsid w:val="005B39CE"/>
    <w:rsid w:val="005B3EDC"/>
    <w:rsid w:val="00675323"/>
    <w:rsid w:val="00681A10"/>
    <w:rsid w:val="0068389B"/>
    <w:rsid w:val="006C5267"/>
    <w:rsid w:val="006C7374"/>
    <w:rsid w:val="006E0881"/>
    <w:rsid w:val="006E0FB1"/>
    <w:rsid w:val="00773BE4"/>
    <w:rsid w:val="007C5F21"/>
    <w:rsid w:val="007E3B4C"/>
    <w:rsid w:val="00810806"/>
    <w:rsid w:val="0085275A"/>
    <w:rsid w:val="00877431"/>
    <w:rsid w:val="00893DE3"/>
    <w:rsid w:val="008B743F"/>
    <w:rsid w:val="00911937"/>
    <w:rsid w:val="009721E8"/>
    <w:rsid w:val="0098565F"/>
    <w:rsid w:val="009E76EB"/>
    <w:rsid w:val="009F4491"/>
    <w:rsid w:val="00A65EB9"/>
    <w:rsid w:val="00AB3EFA"/>
    <w:rsid w:val="00AF318E"/>
    <w:rsid w:val="00BC0EC2"/>
    <w:rsid w:val="00C1133F"/>
    <w:rsid w:val="00C477B9"/>
    <w:rsid w:val="00C55DD1"/>
    <w:rsid w:val="00C7237C"/>
    <w:rsid w:val="00C77280"/>
    <w:rsid w:val="00C94C29"/>
    <w:rsid w:val="00CE7FDE"/>
    <w:rsid w:val="00D13AFF"/>
    <w:rsid w:val="00D2064F"/>
    <w:rsid w:val="00D63045"/>
    <w:rsid w:val="00D8530B"/>
    <w:rsid w:val="00DB76B6"/>
    <w:rsid w:val="00DE0379"/>
    <w:rsid w:val="00E266A1"/>
    <w:rsid w:val="00E6243F"/>
    <w:rsid w:val="00EB415E"/>
    <w:rsid w:val="00EE2BAA"/>
    <w:rsid w:val="00F00D1E"/>
    <w:rsid w:val="00F14AB2"/>
    <w:rsid w:val="00F158ED"/>
    <w:rsid w:val="00F7573D"/>
    <w:rsid w:val="00F968C5"/>
    <w:rsid w:val="00FA09B5"/>
    <w:rsid w:val="00FE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C432"/>
  <w15:chartTrackingRefBased/>
  <w15:docId w15:val="{D3F0B6C1-3E11-47FB-AE0D-BCD6C048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5F"/>
    <w:pPr>
      <w:jc w:val="both"/>
    </w:pPr>
    <w:rPr>
      <w:rFonts w:ascii="Times New Roman" w:hAnsi="Times New Roman"/>
      <w:sz w:val="27"/>
    </w:rPr>
  </w:style>
  <w:style w:type="paragraph" w:styleId="Titre3">
    <w:name w:val="heading 3"/>
    <w:basedOn w:val="Normal"/>
    <w:next w:val="Normal"/>
    <w:link w:val="Titre3Car"/>
    <w:uiPriority w:val="9"/>
    <w:semiHidden/>
    <w:unhideWhenUsed/>
    <w:qFormat/>
    <w:rsid w:val="00F14A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Sektionoverskrift"/>
    <w:basedOn w:val="Titre3"/>
    <w:autoRedefine/>
    <w:uiPriority w:val="1"/>
    <w:qFormat/>
    <w:rsid w:val="00F14AB2"/>
    <w:pPr>
      <w:spacing w:line="240" w:lineRule="auto"/>
    </w:pPr>
    <w:rPr>
      <w:rFonts w:ascii="Times New Roman" w:hAnsi="Times New Roman"/>
      <w:color w:val="000000" w:themeColor="text1"/>
      <w:sz w:val="32"/>
    </w:rPr>
  </w:style>
  <w:style w:type="character" w:customStyle="1" w:styleId="Titre3Car">
    <w:name w:val="Titre 3 Car"/>
    <w:basedOn w:val="Policepardfaut"/>
    <w:link w:val="Titre3"/>
    <w:uiPriority w:val="9"/>
    <w:semiHidden/>
    <w:rsid w:val="00F14AB2"/>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C77280"/>
    <w:pPr>
      <w:ind w:left="720"/>
      <w:contextualSpacing/>
    </w:pPr>
  </w:style>
  <w:style w:type="paragraph" w:styleId="En-tte">
    <w:name w:val="header"/>
    <w:basedOn w:val="Normal"/>
    <w:link w:val="En-tteCar"/>
    <w:rsid w:val="0068389B"/>
    <w:pPr>
      <w:tabs>
        <w:tab w:val="center" w:pos="4153"/>
        <w:tab w:val="right" w:pos="8306"/>
      </w:tabs>
      <w:spacing w:after="0" w:line="240" w:lineRule="auto"/>
      <w:jc w:val="left"/>
    </w:pPr>
    <w:rPr>
      <w:rFonts w:eastAsia="SimSun" w:cs="Times New Roman"/>
      <w:sz w:val="24"/>
      <w:szCs w:val="24"/>
      <w:lang w:val="en-GB" w:eastAsia="zh-CN" w:bidi="he-IL"/>
    </w:rPr>
  </w:style>
  <w:style w:type="character" w:customStyle="1" w:styleId="En-tteCar">
    <w:name w:val="En-tête Car"/>
    <w:basedOn w:val="Policepardfaut"/>
    <w:link w:val="En-tte"/>
    <w:rsid w:val="0068389B"/>
    <w:rPr>
      <w:rFonts w:ascii="Times New Roman" w:eastAsia="SimSun" w:hAnsi="Times New Roman" w:cs="Times New Roman"/>
      <w:sz w:val="24"/>
      <w:szCs w:val="24"/>
      <w:lang w:val="en-GB" w:eastAsia="zh-CN" w:bidi="he-IL"/>
    </w:rPr>
  </w:style>
  <w:style w:type="character" w:styleId="Lienhypertexte">
    <w:name w:val="Hyperlink"/>
    <w:basedOn w:val="Policepardfaut"/>
    <w:uiPriority w:val="99"/>
    <w:unhideWhenUsed/>
    <w:rsid w:val="00681A10"/>
    <w:rPr>
      <w:color w:val="0563C1" w:themeColor="hyperlink"/>
      <w:u w:val="single"/>
    </w:rPr>
  </w:style>
  <w:style w:type="paragraph" w:styleId="Pieddepage">
    <w:name w:val="footer"/>
    <w:basedOn w:val="Normal"/>
    <w:link w:val="PieddepageCar"/>
    <w:uiPriority w:val="99"/>
    <w:unhideWhenUsed/>
    <w:rsid w:val="00FA09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09B5"/>
    <w:rPr>
      <w:rFonts w:ascii="Times New Roman" w:hAnsi="Times New Roman"/>
      <w:sz w:val="27"/>
    </w:rPr>
  </w:style>
  <w:style w:type="paragraph" w:styleId="Textedebulles">
    <w:name w:val="Balloon Text"/>
    <w:basedOn w:val="Normal"/>
    <w:link w:val="TextedebullesCar"/>
    <w:uiPriority w:val="99"/>
    <w:semiHidden/>
    <w:unhideWhenUsed/>
    <w:rsid w:val="00E266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66A1"/>
    <w:rPr>
      <w:rFonts w:ascii="Segoe UI" w:hAnsi="Segoe UI" w:cs="Segoe UI"/>
      <w:sz w:val="18"/>
      <w:szCs w:val="18"/>
    </w:rPr>
  </w:style>
  <w:style w:type="character" w:customStyle="1" w:styleId="UnresolvedMention1">
    <w:name w:val="Unresolved Mention1"/>
    <w:basedOn w:val="Policepardfaut"/>
    <w:uiPriority w:val="99"/>
    <w:rsid w:val="008B743F"/>
    <w:rPr>
      <w:color w:val="605E5C"/>
      <w:shd w:val="clear" w:color="auto" w:fill="E1DFDD"/>
    </w:rPr>
  </w:style>
  <w:style w:type="character" w:styleId="Lienhypertextesuivivisit">
    <w:name w:val="FollowedHyperlink"/>
    <w:basedOn w:val="Policepardfaut"/>
    <w:uiPriority w:val="99"/>
    <w:semiHidden/>
    <w:unhideWhenUsed/>
    <w:rsid w:val="00972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Herman Langkjær</dc:creator>
  <cp:keywords/>
  <cp:lastModifiedBy>Myriam Mailly</cp:lastModifiedBy>
  <cp:revision>3</cp:revision>
  <dcterms:created xsi:type="dcterms:W3CDTF">2024-03-11T18:08:00Z</dcterms:created>
  <dcterms:modified xsi:type="dcterms:W3CDTF">2024-09-26T11:13:00Z</dcterms:modified>
</cp:coreProperties>
</file>