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2936" w14:textId="3165BAD5" w:rsidR="00802727" w:rsidRPr="00A663B9" w:rsidRDefault="0097195B" w:rsidP="0097195B">
      <w:pPr>
        <w:spacing w:after="0" w:line="240" w:lineRule="auto"/>
        <w:jc w:val="both"/>
        <w:rPr>
          <w:rFonts w:ascii="Times New Roman" w:hAnsi="Times New Roman" w:cs="Times New Roman"/>
          <w:b/>
          <w:bCs/>
          <w:sz w:val="24"/>
          <w:szCs w:val="24"/>
        </w:rPr>
      </w:pPr>
      <w:r w:rsidRPr="00A663B9">
        <w:rPr>
          <w:rFonts w:ascii="Times New Roman" w:hAnsi="Times New Roman" w:cs="Times New Roman"/>
          <w:b/>
          <w:bCs/>
          <w:sz w:val="24"/>
          <w:szCs w:val="24"/>
        </w:rPr>
        <w:t>INSOL Europe Response to</w:t>
      </w:r>
      <w:r w:rsidR="00243F94" w:rsidRPr="00A663B9">
        <w:rPr>
          <w:rFonts w:ascii="Times New Roman" w:hAnsi="Times New Roman" w:cs="Times New Roman"/>
          <w:b/>
          <w:bCs/>
          <w:sz w:val="24"/>
          <w:szCs w:val="24"/>
        </w:rPr>
        <w:t xml:space="preserve"> the</w:t>
      </w:r>
      <w:r w:rsidRPr="00A663B9">
        <w:rPr>
          <w:rFonts w:ascii="Times New Roman" w:hAnsi="Times New Roman" w:cs="Times New Roman"/>
          <w:b/>
          <w:bCs/>
          <w:sz w:val="24"/>
          <w:szCs w:val="24"/>
        </w:rPr>
        <w:t xml:space="preserve"> UNIDROIT Consultation on a Bank Liquidation Legislative Guide</w:t>
      </w:r>
    </w:p>
    <w:p w14:paraId="0BD32AF6" w14:textId="3F23D65D" w:rsidR="0097195B" w:rsidRPr="00A663B9" w:rsidRDefault="0097195B" w:rsidP="0097195B">
      <w:pPr>
        <w:spacing w:after="0" w:line="240" w:lineRule="auto"/>
        <w:jc w:val="both"/>
        <w:rPr>
          <w:rFonts w:ascii="Times New Roman" w:hAnsi="Times New Roman" w:cs="Times New Roman"/>
          <w:sz w:val="24"/>
          <w:szCs w:val="24"/>
        </w:rPr>
      </w:pPr>
    </w:p>
    <w:p w14:paraId="5CE39410" w14:textId="5B55F76C" w:rsidR="0097195B" w:rsidRPr="00A663B9" w:rsidRDefault="0097195B"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Introduction</w:t>
      </w:r>
    </w:p>
    <w:p w14:paraId="11A3D35A" w14:textId="0C01E0C6" w:rsidR="0097195B" w:rsidRPr="00A663B9" w:rsidRDefault="0097195B" w:rsidP="0097195B">
      <w:pPr>
        <w:spacing w:after="0" w:line="240" w:lineRule="auto"/>
        <w:jc w:val="both"/>
        <w:rPr>
          <w:rFonts w:ascii="Times New Roman" w:hAnsi="Times New Roman" w:cs="Times New Roman"/>
          <w:sz w:val="24"/>
          <w:szCs w:val="24"/>
        </w:rPr>
      </w:pPr>
    </w:p>
    <w:p w14:paraId="3F18CD0B" w14:textId="5B9FB41C" w:rsidR="0097195B" w:rsidRPr="00A663B9" w:rsidRDefault="00A0419B"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Banks play an important role in our economy. When they fail, this may have significant impact on the economy. The regulation of systemically important financial institutions </w:t>
      </w:r>
      <w:r w:rsidR="00245CB4" w:rsidRPr="00A663B9">
        <w:rPr>
          <w:rFonts w:ascii="Times New Roman" w:hAnsi="Times New Roman" w:cs="Times New Roman"/>
          <w:sz w:val="24"/>
          <w:szCs w:val="24"/>
        </w:rPr>
        <w:t xml:space="preserve">(“SIFIs”) </w:t>
      </w:r>
      <w:r w:rsidRPr="00A663B9">
        <w:rPr>
          <w:rFonts w:ascii="Times New Roman" w:hAnsi="Times New Roman" w:cs="Times New Roman"/>
          <w:sz w:val="24"/>
          <w:szCs w:val="24"/>
        </w:rPr>
        <w:t>has received ample attention by legislators and standard-setting organisations over the last two decades. The Financial Stability Board</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s (</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FSB</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 2011 Key Attributes of Effective Resolution Regimes for Financial Institutions (</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Key Attributes</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 xml:space="preserve">), as </w:t>
      </w:r>
      <w:r w:rsidRPr="00A663B9">
        <w:rPr>
          <w:rFonts w:ascii="Times New Roman" w:hAnsi="Times New Roman" w:cs="Times New Roman"/>
          <w:sz w:val="24"/>
          <w:szCs w:val="24"/>
        </w:rPr>
        <w:t>amend</w:t>
      </w:r>
      <w:r w:rsidR="0045687B" w:rsidRPr="00A663B9">
        <w:rPr>
          <w:rFonts w:ascii="Times New Roman" w:hAnsi="Times New Roman" w:cs="Times New Roman"/>
          <w:sz w:val="24"/>
          <w:szCs w:val="24"/>
        </w:rPr>
        <w:t>ed</w:t>
      </w:r>
      <w:r w:rsidRPr="00A663B9">
        <w:rPr>
          <w:rFonts w:ascii="Times New Roman" w:hAnsi="Times New Roman" w:cs="Times New Roman"/>
          <w:sz w:val="24"/>
          <w:szCs w:val="24"/>
        </w:rPr>
        <w:t xml:space="preserve"> in 2014 and 2024</w:t>
      </w:r>
      <w:r w:rsidR="0045687B" w:rsidRPr="00A663B9">
        <w:rPr>
          <w:rFonts w:ascii="Times New Roman" w:hAnsi="Times New Roman" w:cs="Times New Roman"/>
          <w:sz w:val="24"/>
          <w:szCs w:val="24"/>
        </w:rPr>
        <w:t>, have</w:t>
      </w:r>
      <w:r w:rsidRPr="00A663B9">
        <w:rPr>
          <w:rFonts w:ascii="Times New Roman" w:hAnsi="Times New Roman" w:cs="Times New Roman"/>
          <w:sz w:val="24"/>
          <w:szCs w:val="24"/>
        </w:rPr>
        <w:t xml:space="preserve"> introduced global guidance for resolution of financial institutions. The Key Attributes </w:t>
      </w:r>
      <w:r w:rsidR="00F6583C" w:rsidRPr="00A663B9">
        <w:rPr>
          <w:rFonts w:ascii="Times New Roman" w:hAnsi="Times New Roman" w:cs="Times New Roman"/>
          <w:sz w:val="24"/>
          <w:szCs w:val="24"/>
        </w:rPr>
        <w:t>apply to SIFIs, regardless of their size, as long as the role the institution plays in the jurisdiction</w:t>
      </w:r>
      <w:r w:rsidR="00245CB4" w:rsidRPr="00A663B9">
        <w:rPr>
          <w:rFonts w:ascii="Times New Roman" w:hAnsi="Times New Roman" w:cs="Times New Roman"/>
          <w:sz w:val="24"/>
          <w:szCs w:val="24"/>
        </w:rPr>
        <w:t>’</w:t>
      </w:r>
      <w:r w:rsidR="00F6583C" w:rsidRPr="00A663B9">
        <w:rPr>
          <w:rFonts w:ascii="Times New Roman" w:hAnsi="Times New Roman" w:cs="Times New Roman"/>
          <w:sz w:val="24"/>
          <w:szCs w:val="24"/>
        </w:rPr>
        <w:t xml:space="preserve">s financial framework is regarded as being of systemic importance. This is provided the financial institution is not reliant on public funding. There is a facility </w:t>
      </w:r>
      <w:r w:rsidRPr="00A663B9">
        <w:rPr>
          <w:rFonts w:ascii="Times New Roman" w:hAnsi="Times New Roman" w:cs="Times New Roman"/>
          <w:sz w:val="24"/>
          <w:szCs w:val="24"/>
        </w:rPr>
        <w:t xml:space="preserve">in the Key Attributes to extend any domestic resolution regime to any financial institution in the event of its failure, albeit this may only be </w:t>
      </w:r>
      <w:r w:rsidR="00F6583C" w:rsidRPr="00A663B9">
        <w:rPr>
          <w:rFonts w:ascii="Times New Roman" w:hAnsi="Times New Roman" w:cs="Times New Roman"/>
          <w:sz w:val="24"/>
          <w:szCs w:val="24"/>
        </w:rPr>
        <w:t>available where the impact of that failure is regarded as systemically important. Alternatively, a jurisdiction may extend its resolution regime to any financial institution.</w:t>
      </w:r>
    </w:p>
    <w:p w14:paraId="6239E5A1" w14:textId="2F1DC117" w:rsidR="0097195B" w:rsidRPr="00A663B9" w:rsidRDefault="0097195B" w:rsidP="0097195B">
      <w:pPr>
        <w:spacing w:after="0" w:line="240" w:lineRule="auto"/>
        <w:jc w:val="both"/>
        <w:rPr>
          <w:rFonts w:ascii="Times New Roman" w:hAnsi="Times New Roman" w:cs="Times New Roman"/>
          <w:sz w:val="24"/>
          <w:szCs w:val="24"/>
        </w:rPr>
      </w:pPr>
    </w:p>
    <w:p w14:paraId="6F2451C9" w14:textId="401F4694" w:rsidR="00A0419B" w:rsidRPr="00A663B9" w:rsidRDefault="00A0419B" w:rsidP="00A0419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To cover those financial institutions that may fall outside the resolution regime of the Key Attributes or to which the resolution regime in any particular jurisdiction does not apply, UNIDROIT</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s Draft Legislative Guide on Bank Liquidation (</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Guide</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 has been formulated.</w:t>
      </w:r>
      <w:r w:rsidRPr="00A663B9">
        <w:rPr>
          <w:rStyle w:val="FootnoteReference"/>
          <w:rFonts w:ascii="Times New Roman" w:hAnsi="Times New Roman" w:cs="Times New Roman"/>
          <w:sz w:val="24"/>
          <w:szCs w:val="24"/>
        </w:rPr>
        <w:footnoteReference w:id="1"/>
      </w:r>
      <w:r w:rsidRPr="00A663B9">
        <w:rPr>
          <w:rFonts w:ascii="Times New Roman" w:hAnsi="Times New Roman" w:cs="Times New Roman"/>
          <w:sz w:val="24"/>
          <w:szCs w:val="24"/>
        </w:rPr>
        <w:t xml:space="preserve"> However, this is a situation that is not always covered by the 2011 Key Attributes, despite the facility it contains enabling an extension of its application. They are also intended to cover the situation where a resolution regime has been applied to a SIFI, subsequent to which a wind-down takes place and liquidation efforts are required for residual parts of the bank. </w:t>
      </w:r>
      <w:r w:rsidR="00245CB4" w:rsidRPr="00A663B9">
        <w:rPr>
          <w:rFonts w:ascii="Times New Roman" w:hAnsi="Times New Roman" w:cs="Times New Roman"/>
          <w:sz w:val="24"/>
          <w:szCs w:val="24"/>
        </w:rPr>
        <w:t>This is a</w:t>
      </w:r>
      <w:r w:rsidRPr="00A663B9">
        <w:rPr>
          <w:rFonts w:ascii="Times New Roman" w:hAnsi="Times New Roman" w:cs="Times New Roman"/>
          <w:sz w:val="24"/>
          <w:szCs w:val="24"/>
        </w:rPr>
        <w:t xml:space="preserve"> matter that has also been left largely unaddressed under the Key Attributes</w:t>
      </w:r>
      <w:r w:rsidR="00D45A09" w:rsidRPr="00A663B9">
        <w:rPr>
          <w:rFonts w:ascii="Times New Roman" w:hAnsi="Times New Roman" w:cs="Times New Roman"/>
          <w:sz w:val="24"/>
          <w:szCs w:val="24"/>
        </w:rPr>
        <w:t xml:space="preserve">. Overall, the Guide is aimed at facilitating the </w:t>
      </w:r>
      <w:r w:rsidR="00245CB4" w:rsidRPr="00A663B9">
        <w:rPr>
          <w:rFonts w:ascii="Times New Roman" w:hAnsi="Times New Roman" w:cs="Times New Roman"/>
          <w:sz w:val="24"/>
          <w:szCs w:val="24"/>
        </w:rPr>
        <w:t>“</w:t>
      </w:r>
      <w:r w:rsidR="00D45A09" w:rsidRPr="00A663B9">
        <w:rPr>
          <w:rFonts w:ascii="Times New Roman" w:hAnsi="Times New Roman" w:cs="Times New Roman"/>
          <w:sz w:val="24"/>
          <w:szCs w:val="24"/>
        </w:rPr>
        <w:t>orderly liquidation of non-systemic banks</w:t>
      </w:r>
      <w:r w:rsidR="00245CB4" w:rsidRPr="00A663B9">
        <w:rPr>
          <w:rFonts w:ascii="Times New Roman" w:hAnsi="Times New Roman" w:cs="Times New Roman"/>
          <w:sz w:val="24"/>
          <w:szCs w:val="24"/>
        </w:rPr>
        <w:t>”</w:t>
      </w:r>
      <w:r w:rsidR="00D45A09" w:rsidRPr="00A663B9">
        <w:rPr>
          <w:rFonts w:ascii="Times New Roman" w:hAnsi="Times New Roman" w:cs="Times New Roman"/>
          <w:sz w:val="24"/>
          <w:szCs w:val="24"/>
        </w:rPr>
        <w:t>, though its terms may also be of relevance to elements of the resolution regimes.</w:t>
      </w:r>
      <w:r w:rsidRPr="00A663B9">
        <w:rPr>
          <w:rFonts w:ascii="Times New Roman" w:hAnsi="Times New Roman" w:cs="Times New Roman"/>
          <w:sz w:val="24"/>
          <w:szCs w:val="24"/>
        </w:rPr>
        <w:t xml:space="preserve"> It does so by providing recommendations on the following topics:</w:t>
      </w:r>
    </w:p>
    <w:p w14:paraId="6C7D1ADA" w14:textId="77777777" w:rsidR="00A0419B" w:rsidRPr="00A663B9" w:rsidRDefault="00A0419B" w:rsidP="00A0419B">
      <w:pPr>
        <w:spacing w:after="0" w:line="240" w:lineRule="auto"/>
        <w:jc w:val="both"/>
        <w:rPr>
          <w:rFonts w:ascii="Times New Roman" w:hAnsi="Times New Roman" w:cs="Times New Roman"/>
          <w:sz w:val="24"/>
          <w:szCs w:val="24"/>
        </w:rPr>
      </w:pPr>
    </w:p>
    <w:p w14:paraId="49D30B39" w14:textId="77777777" w:rsidR="00A663B9" w:rsidRPr="00A663B9" w:rsidRDefault="00A663B9"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color w:val="1D2228"/>
          <w:sz w:val="24"/>
          <w:szCs w:val="24"/>
          <w:shd w:val="clear" w:color="auto" w:fill="FFFFFF"/>
        </w:rPr>
        <w:t>Key objectives of an effective bank liquidation framework</w:t>
      </w:r>
      <w:r w:rsidRPr="00A663B9">
        <w:rPr>
          <w:rFonts w:ascii="Times New Roman" w:hAnsi="Times New Roman" w:cs="Times New Roman"/>
          <w:color w:val="1D2228"/>
          <w:sz w:val="24"/>
          <w:szCs w:val="24"/>
          <w:shd w:val="clear" w:color="auto" w:fill="FFFFFF"/>
        </w:rPr>
        <w:t>;</w:t>
      </w:r>
    </w:p>
    <w:p w14:paraId="5F627764" w14:textId="18FD55D8"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Institutional Arrangements;</w:t>
      </w:r>
    </w:p>
    <w:p w14:paraId="5F8B1C68" w14:textId="2EC08EFF"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Procedural and Operational Aspects;</w:t>
      </w:r>
    </w:p>
    <w:p w14:paraId="76CD9CE4" w14:textId="2C3AA85A"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Preparation and Cooperation;</w:t>
      </w:r>
    </w:p>
    <w:p w14:paraId="4908D23C" w14:textId="615944C2"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Grounds for Opening Bank Liquidation Proceedings;</w:t>
      </w:r>
    </w:p>
    <w:p w14:paraId="727627ED" w14:textId="38AFABEE"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Liquidation Tools;</w:t>
      </w:r>
    </w:p>
    <w:p w14:paraId="39E6B106" w14:textId="4663A10D"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Funding;</w:t>
      </w:r>
    </w:p>
    <w:p w14:paraId="62220BD1" w14:textId="5F392E18"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Creditor Hierarchy;</w:t>
      </w:r>
    </w:p>
    <w:p w14:paraId="4F2C4C8F" w14:textId="4AC5C4D2"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Group Dimension; and</w:t>
      </w:r>
    </w:p>
    <w:p w14:paraId="7181D88C" w14:textId="201C932B" w:rsidR="00A0419B" w:rsidRPr="00A663B9" w:rsidRDefault="00A0419B" w:rsidP="00A0419B">
      <w:pPr>
        <w:numPr>
          <w:ilvl w:val="0"/>
          <w:numId w:val="1"/>
        </w:num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Cross-Border Aspects.</w:t>
      </w:r>
    </w:p>
    <w:p w14:paraId="48EFD473" w14:textId="77777777" w:rsidR="00731150" w:rsidRPr="00A663B9" w:rsidRDefault="00731150" w:rsidP="0097195B">
      <w:pPr>
        <w:spacing w:after="0" w:line="240" w:lineRule="auto"/>
        <w:jc w:val="both"/>
        <w:rPr>
          <w:rFonts w:ascii="Times New Roman" w:hAnsi="Times New Roman" w:cs="Times New Roman"/>
          <w:sz w:val="24"/>
          <w:szCs w:val="24"/>
        </w:rPr>
      </w:pPr>
    </w:p>
    <w:p w14:paraId="16491EC3" w14:textId="28AFB35E" w:rsidR="00D45A09" w:rsidRPr="00A663B9" w:rsidRDefault="00731150"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The recommendations in the Guide are not structured as model rules capable of assimilation into a legal framework directly, but as guidelines against which a domestic framework can be benchmarked or measured. </w:t>
      </w:r>
      <w:r w:rsidR="00D45A09" w:rsidRPr="00A663B9">
        <w:rPr>
          <w:rFonts w:ascii="Times New Roman" w:hAnsi="Times New Roman" w:cs="Times New Roman"/>
          <w:sz w:val="24"/>
          <w:szCs w:val="24"/>
        </w:rPr>
        <w:t>Consultation on the Guide</w:t>
      </w:r>
      <w:r w:rsidR="00EC36B8" w:rsidRPr="00A663B9">
        <w:rPr>
          <w:rFonts w:ascii="Times New Roman" w:hAnsi="Times New Roman" w:cs="Times New Roman"/>
          <w:sz w:val="24"/>
          <w:szCs w:val="24"/>
        </w:rPr>
        <w:t xml:space="preserve"> opened in June 2024 for just over 3 months. It is to this consultation that this Response is being provided by INSOL Europe, the Europe-wide practice body representing professionals in the restructuring and insolvency sectors, in which office-holders, judges, policy-makers and academics are represented.</w:t>
      </w:r>
    </w:p>
    <w:p w14:paraId="125137EA" w14:textId="533AB8BE" w:rsidR="00D45A09" w:rsidRPr="00A663B9" w:rsidRDefault="00D45A09" w:rsidP="0097195B">
      <w:pPr>
        <w:spacing w:after="0" w:line="240" w:lineRule="auto"/>
        <w:jc w:val="both"/>
        <w:rPr>
          <w:rFonts w:ascii="Times New Roman" w:hAnsi="Times New Roman" w:cs="Times New Roman"/>
          <w:sz w:val="24"/>
          <w:szCs w:val="24"/>
        </w:rPr>
      </w:pPr>
    </w:p>
    <w:p w14:paraId="0ECE3D39" w14:textId="46BB32C2" w:rsidR="00EC36B8" w:rsidRPr="00A663B9" w:rsidRDefault="00A0419B"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lastRenderedPageBreak/>
        <w:t xml:space="preserve">Recognising the importance of orderly resolution of failing banks, including non-SIFI or non-systemic banks, INSOL Europe acknowledges the relevance and timeliness of the Guide prepared by UNIDROIT. </w:t>
      </w:r>
      <w:r w:rsidR="00EC36B8" w:rsidRPr="00A663B9">
        <w:rPr>
          <w:rFonts w:ascii="Times New Roman" w:hAnsi="Times New Roman" w:cs="Times New Roman"/>
          <w:sz w:val="24"/>
          <w:szCs w:val="24"/>
        </w:rPr>
        <w:t>Key issues extracted from the Guide and the consultation framework are canvassed below.</w:t>
      </w:r>
    </w:p>
    <w:p w14:paraId="009FB49C" w14:textId="77777777" w:rsidR="00EC36B8" w:rsidRPr="00A663B9" w:rsidRDefault="00EC36B8" w:rsidP="0097195B">
      <w:pPr>
        <w:spacing w:after="0" w:line="240" w:lineRule="auto"/>
        <w:jc w:val="both"/>
        <w:rPr>
          <w:rFonts w:ascii="Times New Roman" w:hAnsi="Times New Roman" w:cs="Times New Roman"/>
          <w:sz w:val="24"/>
          <w:szCs w:val="24"/>
        </w:rPr>
      </w:pPr>
    </w:p>
    <w:p w14:paraId="21620B48" w14:textId="06849ADF" w:rsidR="0097195B" w:rsidRPr="00A663B9" w:rsidRDefault="0097195B"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Key Issues</w:t>
      </w:r>
    </w:p>
    <w:p w14:paraId="3CB9BFFF" w14:textId="28362399" w:rsidR="0097195B" w:rsidRPr="00A663B9" w:rsidRDefault="0097195B" w:rsidP="0097195B">
      <w:pPr>
        <w:spacing w:after="0" w:line="240" w:lineRule="auto"/>
        <w:jc w:val="both"/>
        <w:rPr>
          <w:rFonts w:ascii="Times New Roman" w:hAnsi="Times New Roman" w:cs="Times New Roman"/>
          <w:sz w:val="24"/>
          <w:szCs w:val="24"/>
        </w:rPr>
      </w:pPr>
    </w:p>
    <w:p w14:paraId="1EED0162" w14:textId="145D3337" w:rsidR="001C5D92" w:rsidRPr="00A663B9" w:rsidRDefault="001C5D92"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(i) </w:t>
      </w:r>
      <w:r w:rsidR="0045687B" w:rsidRPr="00A663B9">
        <w:rPr>
          <w:rFonts w:ascii="Times New Roman" w:hAnsi="Times New Roman" w:cs="Times New Roman"/>
          <w:sz w:val="24"/>
          <w:szCs w:val="24"/>
        </w:rPr>
        <w:t>Terminology</w:t>
      </w:r>
    </w:p>
    <w:p w14:paraId="2A85520E" w14:textId="5694F411" w:rsidR="001C5D92" w:rsidRPr="00A663B9" w:rsidRDefault="001C5D92" w:rsidP="0097195B">
      <w:pPr>
        <w:spacing w:after="0" w:line="240" w:lineRule="auto"/>
        <w:jc w:val="both"/>
        <w:rPr>
          <w:rFonts w:ascii="Times New Roman" w:hAnsi="Times New Roman" w:cs="Times New Roman"/>
          <w:sz w:val="24"/>
          <w:szCs w:val="24"/>
        </w:rPr>
      </w:pPr>
    </w:p>
    <w:p w14:paraId="7579BACA" w14:textId="27ED3EAF" w:rsidR="00245CB4" w:rsidRPr="00A663B9" w:rsidRDefault="00187CE6" w:rsidP="0097195B">
      <w:pPr>
        <w:spacing w:after="0" w:line="240" w:lineRule="auto"/>
        <w:jc w:val="both"/>
        <w:rPr>
          <w:rFonts w:ascii="Times New Roman" w:hAnsi="Times New Roman" w:cs="Times New Roman"/>
          <w:sz w:val="24"/>
          <w:szCs w:val="24"/>
          <w:lang w:eastAsia="zh-CN"/>
        </w:rPr>
      </w:pPr>
      <w:r w:rsidRPr="00A663B9">
        <w:rPr>
          <w:rFonts w:ascii="Times New Roman" w:hAnsi="Times New Roman" w:cs="Times New Roman"/>
          <w:sz w:val="24"/>
          <w:szCs w:val="24"/>
        </w:rPr>
        <w:t xml:space="preserve">The crucial definition is that of a </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non-systemic bank</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 referenced throughout the Guide.</w:t>
      </w:r>
      <w:r w:rsidR="00F63793" w:rsidRPr="00A663B9">
        <w:rPr>
          <w:rFonts w:ascii="Times New Roman" w:hAnsi="Times New Roman" w:cs="Times New Roman"/>
          <w:sz w:val="24"/>
          <w:szCs w:val="24"/>
        </w:rPr>
        <w:t xml:space="preserve"> </w:t>
      </w:r>
      <w:r w:rsidR="0045687B" w:rsidRPr="00A663B9">
        <w:rPr>
          <w:rFonts w:ascii="Times New Roman" w:hAnsi="Times New Roman" w:cs="Times New Roman"/>
          <w:sz w:val="24"/>
          <w:szCs w:val="24"/>
          <w:lang w:eastAsia="zh-CN"/>
        </w:rPr>
        <w:t xml:space="preserve">As stated in </w:t>
      </w:r>
      <w:r w:rsidR="0045687B" w:rsidRPr="00A663B9">
        <w:rPr>
          <w:rFonts w:ascii="Times New Roman" w:hAnsi="Times New Roman" w:cs="Times New Roman"/>
          <w:sz w:val="24"/>
          <w:szCs w:val="24"/>
        </w:rPr>
        <w:t xml:space="preserve">Chapter 1, paragraph 5 of </w:t>
      </w:r>
      <w:r w:rsidR="0045687B" w:rsidRPr="00A663B9">
        <w:rPr>
          <w:rFonts w:ascii="Times New Roman" w:hAnsi="Times New Roman" w:cs="Times New Roman"/>
          <w:sz w:val="24"/>
          <w:szCs w:val="24"/>
          <w:lang w:eastAsia="zh-CN"/>
        </w:rPr>
        <w:t>this</w:t>
      </w:r>
      <w:r w:rsidR="0045687B" w:rsidRPr="00A663B9">
        <w:rPr>
          <w:rFonts w:ascii="Times New Roman" w:hAnsi="Times New Roman" w:cs="Times New Roman"/>
          <w:sz w:val="24"/>
          <w:szCs w:val="24"/>
        </w:rPr>
        <w:t xml:space="preserve"> Guide</w:t>
      </w:r>
      <w:r w:rsidR="0045687B" w:rsidRPr="00A663B9">
        <w:rPr>
          <w:rFonts w:ascii="Times New Roman" w:hAnsi="Times New Roman" w:cs="Times New Roman"/>
          <w:sz w:val="24"/>
          <w:szCs w:val="24"/>
          <w:lang w:eastAsia="zh-CN"/>
        </w:rPr>
        <w:t>,</w:t>
      </w:r>
      <w:r w:rsidR="0045687B" w:rsidRPr="00A663B9">
        <w:rPr>
          <w:rFonts w:ascii="Times New Roman" w:hAnsi="Times New Roman" w:cs="Times New Roman"/>
          <w:sz w:val="24"/>
          <w:szCs w:val="24"/>
        </w:rPr>
        <w:t xml:space="preserve"> </w:t>
      </w:r>
      <w:r w:rsidR="0045687B" w:rsidRPr="00A663B9">
        <w:rPr>
          <w:rFonts w:ascii="Times New Roman" w:hAnsi="Times New Roman" w:cs="Times New Roman"/>
          <w:sz w:val="24"/>
          <w:szCs w:val="24"/>
          <w:lang w:eastAsia="zh-CN"/>
        </w:rPr>
        <w:t>the focus of the Guide is</w:t>
      </w:r>
      <w:r w:rsidR="0045687B" w:rsidRPr="00A663B9">
        <w:rPr>
          <w:rFonts w:ascii="Times New Roman" w:hAnsi="Times New Roman" w:cs="Times New Roman"/>
          <w:sz w:val="24"/>
          <w:szCs w:val="24"/>
        </w:rPr>
        <w:t xml:space="preserve"> on </w:t>
      </w:r>
      <w:r w:rsidR="00245CB4" w:rsidRPr="00A663B9">
        <w:rPr>
          <w:rFonts w:ascii="Times New Roman" w:hAnsi="Times New Roman" w:cs="Times New Roman"/>
          <w:sz w:val="24"/>
          <w:szCs w:val="24"/>
          <w:lang w:eastAsia="zh-CN"/>
        </w:rPr>
        <w:t>“</w:t>
      </w:r>
      <w:r w:rsidR="0045687B" w:rsidRPr="00A663B9">
        <w:rPr>
          <w:rFonts w:ascii="Times New Roman" w:hAnsi="Times New Roman" w:cs="Times New Roman"/>
          <w:sz w:val="24"/>
          <w:szCs w:val="24"/>
        </w:rPr>
        <w:t>banks that are not considered to be systemic at the point of failure for the purposes of the FSB Key Attributes</w:t>
      </w:r>
      <w:r w:rsidR="00245CB4" w:rsidRPr="00A663B9">
        <w:rPr>
          <w:rFonts w:ascii="Times New Roman" w:hAnsi="Times New Roman" w:cs="Times New Roman"/>
          <w:sz w:val="24"/>
          <w:szCs w:val="24"/>
        </w:rPr>
        <w:t>.</w:t>
      </w:r>
      <w:r w:rsidR="00245CB4" w:rsidRPr="00A663B9">
        <w:rPr>
          <w:rFonts w:ascii="Times New Roman" w:hAnsi="Times New Roman" w:cs="Times New Roman"/>
          <w:sz w:val="24"/>
          <w:szCs w:val="24"/>
          <w:lang w:eastAsia="zh-CN"/>
        </w:rPr>
        <w:t>”</w:t>
      </w:r>
      <w:r w:rsidR="0045687B" w:rsidRPr="00A663B9">
        <w:rPr>
          <w:rFonts w:ascii="Times New Roman" w:hAnsi="Times New Roman" w:cs="Times New Roman"/>
          <w:sz w:val="24"/>
          <w:szCs w:val="24"/>
          <w:lang w:eastAsia="zh-CN"/>
        </w:rPr>
        <w:t xml:space="preserve"> </w:t>
      </w:r>
      <w:r w:rsidR="00245CB4" w:rsidRPr="00A663B9">
        <w:rPr>
          <w:rFonts w:ascii="Times New Roman" w:hAnsi="Times New Roman" w:cs="Times New Roman"/>
          <w:sz w:val="24"/>
          <w:szCs w:val="24"/>
          <w:lang w:eastAsia="zh-CN"/>
        </w:rPr>
        <w:t>S</w:t>
      </w:r>
      <w:r w:rsidR="0045687B" w:rsidRPr="00A663B9">
        <w:rPr>
          <w:rFonts w:ascii="Times New Roman" w:hAnsi="Times New Roman" w:cs="Times New Roman"/>
          <w:sz w:val="24"/>
          <w:szCs w:val="24"/>
        </w:rPr>
        <w:t xml:space="preserve">uch banks are referred to as </w:t>
      </w:r>
      <w:r w:rsidR="00245CB4" w:rsidRPr="00A663B9">
        <w:rPr>
          <w:rFonts w:ascii="Times New Roman" w:hAnsi="Times New Roman" w:cs="Times New Roman"/>
          <w:sz w:val="24"/>
          <w:szCs w:val="24"/>
          <w:lang w:eastAsia="zh-CN"/>
        </w:rPr>
        <w:t>“</w:t>
      </w:r>
      <w:r w:rsidR="0045687B" w:rsidRPr="00A663B9">
        <w:rPr>
          <w:rFonts w:ascii="Times New Roman" w:hAnsi="Times New Roman" w:cs="Times New Roman"/>
          <w:sz w:val="24"/>
          <w:szCs w:val="24"/>
        </w:rPr>
        <w:t>non-systemic banks</w:t>
      </w:r>
      <w:r w:rsidR="00245CB4" w:rsidRPr="00A663B9">
        <w:rPr>
          <w:rFonts w:ascii="Times New Roman" w:hAnsi="Times New Roman" w:cs="Times New Roman"/>
          <w:sz w:val="24"/>
          <w:szCs w:val="24"/>
          <w:lang w:eastAsia="zh-CN"/>
        </w:rPr>
        <w:t>”</w:t>
      </w:r>
      <w:r w:rsidR="0045687B" w:rsidRPr="00A663B9">
        <w:rPr>
          <w:rFonts w:ascii="Times New Roman" w:hAnsi="Times New Roman" w:cs="Times New Roman"/>
          <w:sz w:val="24"/>
          <w:szCs w:val="24"/>
          <w:lang w:eastAsia="zh-CN"/>
        </w:rPr>
        <w:t xml:space="preserve"> in the Guide. </w:t>
      </w:r>
      <w:r w:rsidR="0045687B" w:rsidRPr="00A663B9">
        <w:rPr>
          <w:rFonts w:ascii="Times New Roman" w:hAnsi="Times New Roman" w:cs="Times New Roman"/>
          <w:sz w:val="24"/>
          <w:szCs w:val="24"/>
        </w:rPr>
        <w:t xml:space="preserve">However, a definition </w:t>
      </w:r>
      <w:r w:rsidR="0045687B" w:rsidRPr="00A663B9">
        <w:rPr>
          <w:rFonts w:ascii="Times New Roman" w:hAnsi="Times New Roman" w:cs="Times New Roman"/>
          <w:sz w:val="24"/>
          <w:szCs w:val="24"/>
          <w:lang w:eastAsia="zh-CN"/>
        </w:rPr>
        <w:t xml:space="preserve">of </w:t>
      </w:r>
      <w:r w:rsidR="00245CB4" w:rsidRPr="00A663B9">
        <w:rPr>
          <w:rFonts w:ascii="Times New Roman" w:hAnsi="Times New Roman" w:cs="Times New Roman"/>
          <w:sz w:val="24"/>
          <w:szCs w:val="24"/>
          <w:lang w:eastAsia="zh-CN"/>
        </w:rPr>
        <w:t>“</w:t>
      </w:r>
      <w:r w:rsidR="0045687B" w:rsidRPr="00A663B9">
        <w:rPr>
          <w:rFonts w:ascii="Times New Roman" w:hAnsi="Times New Roman" w:cs="Times New Roman"/>
          <w:sz w:val="24"/>
          <w:szCs w:val="24"/>
          <w:lang w:eastAsia="zh-CN"/>
        </w:rPr>
        <w:t>non-systemic banks</w:t>
      </w:r>
      <w:r w:rsidR="00245CB4" w:rsidRPr="00A663B9">
        <w:rPr>
          <w:rFonts w:ascii="Times New Roman" w:hAnsi="Times New Roman" w:cs="Times New Roman"/>
          <w:sz w:val="24"/>
          <w:szCs w:val="24"/>
          <w:lang w:eastAsia="zh-CN"/>
        </w:rPr>
        <w:t>”</w:t>
      </w:r>
      <w:r w:rsidR="0045687B" w:rsidRPr="00A663B9">
        <w:rPr>
          <w:rFonts w:ascii="Times New Roman" w:hAnsi="Times New Roman" w:cs="Times New Roman"/>
          <w:sz w:val="24"/>
          <w:szCs w:val="24"/>
          <w:lang w:eastAsia="zh-CN"/>
        </w:rPr>
        <w:t xml:space="preserve"> </w:t>
      </w:r>
      <w:r w:rsidR="005C0A58" w:rsidRPr="00A663B9">
        <w:rPr>
          <w:rFonts w:ascii="Times New Roman" w:hAnsi="Times New Roman" w:cs="Times New Roman"/>
          <w:sz w:val="24"/>
          <w:szCs w:val="24"/>
        </w:rPr>
        <w:t xml:space="preserve">does not appear in the section on terminology, the relevant term of </w:t>
      </w:r>
      <w:r w:rsidR="00245CB4" w:rsidRPr="00A663B9">
        <w:rPr>
          <w:rFonts w:ascii="Times New Roman" w:hAnsi="Times New Roman" w:cs="Times New Roman"/>
          <w:sz w:val="24"/>
          <w:szCs w:val="24"/>
        </w:rPr>
        <w:t>“</w:t>
      </w:r>
      <w:r w:rsidR="005C0A58" w:rsidRPr="00A663B9">
        <w:rPr>
          <w:rFonts w:ascii="Times New Roman" w:hAnsi="Times New Roman" w:cs="Times New Roman"/>
          <w:sz w:val="24"/>
          <w:szCs w:val="24"/>
        </w:rPr>
        <w:t>bank</w:t>
      </w:r>
      <w:r w:rsidR="00245CB4" w:rsidRPr="00A663B9">
        <w:rPr>
          <w:rFonts w:ascii="Times New Roman" w:hAnsi="Times New Roman" w:cs="Times New Roman"/>
          <w:sz w:val="24"/>
          <w:szCs w:val="24"/>
        </w:rPr>
        <w:t>”</w:t>
      </w:r>
      <w:r w:rsidR="005C0A58" w:rsidRPr="00A663B9">
        <w:rPr>
          <w:rFonts w:ascii="Times New Roman" w:hAnsi="Times New Roman" w:cs="Times New Roman"/>
          <w:sz w:val="24"/>
          <w:szCs w:val="24"/>
        </w:rPr>
        <w:t xml:space="preserve"> being used instead.</w:t>
      </w:r>
      <w:r w:rsidR="00A0419B" w:rsidRPr="00A663B9">
        <w:rPr>
          <w:rStyle w:val="FootnoteReference"/>
          <w:rFonts w:ascii="Times New Roman" w:hAnsi="Times New Roman" w:cs="Times New Roman"/>
          <w:sz w:val="24"/>
          <w:szCs w:val="24"/>
        </w:rPr>
        <w:footnoteReference w:id="2"/>
      </w:r>
      <w:r w:rsidR="00A0419B" w:rsidRPr="00A663B9">
        <w:rPr>
          <w:rFonts w:ascii="Times New Roman" w:hAnsi="Times New Roman" w:cs="Times New Roman"/>
          <w:sz w:val="24"/>
          <w:szCs w:val="24"/>
        </w:rPr>
        <w:t xml:space="preserve"> </w:t>
      </w:r>
      <w:r w:rsidR="005C0A58" w:rsidRPr="00A663B9">
        <w:rPr>
          <w:rFonts w:ascii="Times New Roman" w:hAnsi="Times New Roman" w:cs="Times New Roman"/>
          <w:sz w:val="24"/>
          <w:szCs w:val="24"/>
        </w:rPr>
        <w:t xml:space="preserve">Although defined very widely to include institutions regardless of entity status or function, the Guide has to be read in light of its intention to provide guidelines and recommendations for a </w:t>
      </w:r>
      <w:r w:rsidR="00245CB4" w:rsidRPr="00A663B9">
        <w:rPr>
          <w:rFonts w:ascii="Times New Roman" w:hAnsi="Times New Roman" w:cs="Times New Roman"/>
          <w:sz w:val="24"/>
          <w:szCs w:val="24"/>
        </w:rPr>
        <w:t>“</w:t>
      </w:r>
      <w:r w:rsidR="005C0A58" w:rsidRPr="00A663B9">
        <w:rPr>
          <w:rFonts w:ascii="Times New Roman" w:hAnsi="Times New Roman" w:cs="Times New Roman"/>
          <w:sz w:val="24"/>
          <w:szCs w:val="24"/>
        </w:rPr>
        <w:t>non-systemic bank</w:t>
      </w:r>
      <w:r w:rsidR="00245CB4" w:rsidRPr="00A663B9">
        <w:rPr>
          <w:rFonts w:ascii="Times New Roman" w:hAnsi="Times New Roman" w:cs="Times New Roman"/>
          <w:sz w:val="24"/>
          <w:szCs w:val="24"/>
        </w:rPr>
        <w:t>”</w:t>
      </w:r>
      <w:r w:rsidR="005C0A58" w:rsidRPr="00A663B9">
        <w:rPr>
          <w:rFonts w:ascii="Times New Roman" w:hAnsi="Times New Roman" w:cs="Times New Roman"/>
          <w:sz w:val="24"/>
          <w:szCs w:val="24"/>
        </w:rPr>
        <w:t>.</w:t>
      </w:r>
      <w:r w:rsidR="00186FD0" w:rsidRPr="00A663B9">
        <w:rPr>
          <w:rFonts w:ascii="Times New Roman" w:hAnsi="Times New Roman" w:cs="Times New Roman"/>
          <w:sz w:val="24"/>
          <w:szCs w:val="24"/>
        </w:rPr>
        <w:t xml:space="preserve"> </w:t>
      </w:r>
      <w:r w:rsidR="00667FE3" w:rsidRPr="00A663B9">
        <w:rPr>
          <w:rFonts w:ascii="Times New Roman" w:hAnsi="Times New Roman" w:cs="Times New Roman"/>
          <w:sz w:val="24"/>
          <w:szCs w:val="24"/>
          <w:lang w:eastAsia="zh-CN"/>
        </w:rPr>
        <w:t>While it has to be admitted that it</w:t>
      </w:r>
      <w:r w:rsidR="00667FE3" w:rsidRPr="00A663B9">
        <w:rPr>
          <w:rFonts w:ascii="Times New Roman" w:hAnsi="Times New Roman" w:cs="Times New Roman"/>
          <w:sz w:val="24"/>
          <w:szCs w:val="24"/>
        </w:rPr>
        <w:t xml:space="preserve"> </w:t>
      </w:r>
      <w:r w:rsidR="00667FE3" w:rsidRPr="00A663B9">
        <w:rPr>
          <w:rFonts w:ascii="Times New Roman" w:hAnsi="Times New Roman" w:cs="Times New Roman"/>
          <w:sz w:val="24"/>
          <w:szCs w:val="24"/>
          <w:lang w:eastAsia="zh-CN"/>
        </w:rPr>
        <w:t xml:space="preserve">is </w:t>
      </w:r>
      <w:r w:rsidR="00186FD0" w:rsidRPr="00A663B9">
        <w:rPr>
          <w:rFonts w:ascii="Times New Roman" w:hAnsi="Times New Roman" w:cs="Times New Roman"/>
          <w:sz w:val="24"/>
          <w:szCs w:val="24"/>
        </w:rPr>
        <w:t>difficult to create a definition in the negative, particularly if it works off the definition in the 2011 framework,</w:t>
      </w:r>
      <w:r w:rsidR="00774A5F" w:rsidRPr="00A663B9">
        <w:rPr>
          <w:rFonts w:ascii="Times New Roman" w:hAnsi="Times New Roman" w:cs="Times New Roman"/>
          <w:sz w:val="24"/>
          <w:szCs w:val="24"/>
        </w:rPr>
        <w:t xml:space="preserve"> which itself is quite wide</w:t>
      </w:r>
      <w:r w:rsidR="00731150" w:rsidRPr="00A663B9">
        <w:rPr>
          <w:rFonts w:ascii="Times New Roman" w:hAnsi="Times New Roman" w:cs="Times New Roman"/>
          <w:sz w:val="24"/>
          <w:szCs w:val="24"/>
        </w:rPr>
        <w:t xml:space="preserve"> and complex</w:t>
      </w:r>
      <w:r w:rsidR="00774A5F" w:rsidRPr="00A663B9">
        <w:rPr>
          <w:rFonts w:ascii="Times New Roman" w:hAnsi="Times New Roman" w:cs="Times New Roman"/>
          <w:sz w:val="24"/>
          <w:szCs w:val="24"/>
        </w:rPr>
        <w:t>,</w:t>
      </w:r>
      <w:r w:rsidR="00186FD0" w:rsidRPr="00A663B9">
        <w:rPr>
          <w:rFonts w:ascii="Times New Roman" w:hAnsi="Times New Roman" w:cs="Times New Roman"/>
          <w:sz w:val="24"/>
          <w:szCs w:val="24"/>
        </w:rPr>
        <w:t xml:space="preserve"> th</w:t>
      </w:r>
      <w:r w:rsidR="00774A5F" w:rsidRPr="00A663B9">
        <w:rPr>
          <w:rFonts w:ascii="Times New Roman" w:hAnsi="Times New Roman" w:cs="Times New Roman"/>
          <w:sz w:val="24"/>
          <w:szCs w:val="24"/>
        </w:rPr>
        <w:t>e</w:t>
      </w:r>
      <w:r w:rsidR="00186FD0" w:rsidRPr="00A663B9">
        <w:rPr>
          <w:rFonts w:ascii="Times New Roman" w:hAnsi="Times New Roman" w:cs="Times New Roman"/>
          <w:sz w:val="24"/>
          <w:szCs w:val="24"/>
        </w:rPr>
        <w:t xml:space="preserve">re is </w:t>
      </w:r>
      <w:r w:rsidR="00667FE3" w:rsidRPr="00A663B9">
        <w:rPr>
          <w:rFonts w:ascii="Times New Roman" w:hAnsi="Times New Roman" w:cs="Times New Roman"/>
          <w:sz w:val="24"/>
          <w:szCs w:val="24"/>
        </w:rPr>
        <w:t xml:space="preserve">still </w:t>
      </w:r>
      <w:r w:rsidR="00186FD0" w:rsidRPr="00A663B9">
        <w:rPr>
          <w:rFonts w:ascii="Times New Roman" w:hAnsi="Times New Roman" w:cs="Times New Roman"/>
          <w:sz w:val="24"/>
          <w:szCs w:val="24"/>
        </w:rPr>
        <w:t>a need to at least provide an indication of the institutions that are intended to be within the scope of the Guide.</w:t>
      </w:r>
      <w:r w:rsidR="00667FE3" w:rsidRPr="00A663B9">
        <w:rPr>
          <w:rFonts w:ascii="Times New Roman" w:hAnsi="Times New Roman" w:cs="Times New Roman"/>
          <w:sz w:val="24"/>
          <w:szCs w:val="24"/>
        </w:rPr>
        <w:t xml:space="preserve"> </w:t>
      </w:r>
      <w:r w:rsidR="00667FE3" w:rsidRPr="00A663B9">
        <w:rPr>
          <w:rFonts w:ascii="Times New Roman" w:hAnsi="Times New Roman" w:cs="Times New Roman"/>
          <w:sz w:val="24"/>
          <w:szCs w:val="24"/>
          <w:lang w:eastAsia="zh-CN"/>
        </w:rPr>
        <w:t>Actually, it can be inferred from the Guide that it is intended to apply to troubled banks not involved in systemic crises or not relevant to the public interest, including the residual parts of SIFIs following resolution actions.</w:t>
      </w:r>
    </w:p>
    <w:p w14:paraId="480F7B07" w14:textId="77777777" w:rsidR="00245CB4" w:rsidRPr="00A663B9" w:rsidRDefault="00245CB4" w:rsidP="0097195B">
      <w:pPr>
        <w:spacing w:after="0" w:line="240" w:lineRule="auto"/>
        <w:jc w:val="both"/>
        <w:rPr>
          <w:rFonts w:ascii="Times New Roman" w:hAnsi="Times New Roman" w:cs="Times New Roman"/>
          <w:sz w:val="24"/>
          <w:szCs w:val="24"/>
          <w:lang w:eastAsia="zh-CN"/>
        </w:rPr>
      </w:pPr>
    </w:p>
    <w:p w14:paraId="2B640E36" w14:textId="7A3D0298" w:rsidR="00187CE6" w:rsidRPr="00A663B9" w:rsidRDefault="00667FE3"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lang w:eastAsia="zh-CN"/>
        </w:rPr>
        <w:t xml:space="preserve">In addition, it is worth pointing out that the term </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bank failure</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 xml:space="preserve"> used throughout the Guide deserves to be reconsidered. As recognised in the Guide, the legal frameworks for managing </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bank failures</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 xml:space="preserve"> cover not only </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liquidation</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 xml:space="preserve"> but also the </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resolution</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 xml:space="preserve"> process.</w:t>
      </w:r>
      <w:r w:rsidRPr="00A663B9">
        <w:rPr>
          <w:rStyle w:val="FootnoteReference"/>
          <w:rFonts w:ascii="Times New Roman" w:hAnsi="Times New Roman" w:cs="Times New Roman"/>
          <w:sz w:val="24"/>
          <w:szCs w:val="24"/>
          <w:lang w:eastAsia="zh-CN"/>
        </w:rPr>
        <w:footnoteReference w:id="3"/>
      </w:r>
      <w:r w:rsidRPr="00A663B9">
        <w:rPr>
          <w:rFonts w:ascii="Times New Roman" w:hAnsi="Times New Roman" w:cs="Times New Roman"/>
          <w:sz w:val="24"/>
          <w:szCs w:val="24"/>
          <w:lang w:eastAsia="zh-CN"/>
        </w:rPr>
        <w:t xml:space="preserve"> As a matter of fact, many of the banks subject to the bank resolution regime do not actually </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fail</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 xml:space="preserve"> in the end, but merely experience a crisis. Therefore, it would be preferable to substitute the term </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bank failure</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 xml:space="preserve"> with </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bank crisis</w:t>
      </w:r>
      <w:r w:rsidR="00245CB4" w:rsidRPr="00A663B9">
        <w:rPr>
          <w:rFonts w:ascii="Times New Roman" w:hAnsi="Times New Roman" w:cs="Times New Roman"/>
          <w:sz w:val="24"/>
          <w:szCs w:val="24"/>
          <w:lang w:eastAsia="zh-CN"/>
        </w:rPr>
        <w:t>”</w:t>
      </w:r>
      <w:r w:rsidRPr="00A663B9">
        <w:rPr>
          <w:rFonts w:ascii="Times New Roman" w:hAnsi="Times New Roman" w:cs="Times New Roman"/>
          <w:sz w:val="24"/>
          <w:szCs w:val="24"/>
          <w:lang w:eastAsia="zh-CN"/>
        </w:rPr>
        <w:t xml:space="preserve"> in the Guide.</w:t>
      </w:r>
    </w:p>
    <w:p w14:paraId="6F2887E4" w14:textId="66EC52FA" w:rsidR="00187CE6" w:rsidRPr="00A663B9" w:rsidRDefault="00187CE6" w:rsidP="0097195B">
      <w:pPr>
        <w:spacing w:after="0" w:line="240" w:lineRule="auto"/>
        <w:jc w:val="both"/>
        <w:rPr>
          <w:rFonts w:ascii="Times New Roman" w:hAnsi="Times New Roman" w:cs="Times New Roman"/>
          <w:sz w:val="24"/>
          <w:szCs w:val="24"/>
        </w:rPr>
      </w:pPr>
    </w:p>
    <w:p w14:paraId="18E9282C" w14:textId="7CB08214" w:rsidR="00A0419B" w:rsidRPr="00A663B9" w:rsidRDefault="00186FD0" w:rsidP="00A0419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Recommendation</w:t>
      </w:r>
      <w:r w:rsidR="0084060E" w:rsidRPr="00A663B9">
        <w:rPr>
          <w:rFonts w:ascii="Times New Roman" w:hAnsi="Times New Roman" w:cs="Times New Roman"/>
          <w:i/>
          <w:iCs/>
          <w:sz w:val="24"/>
          <w:szCs w:val="24"/>
        </w:rPr>
        <w:t xml:space="preserve"> </w:t>
      </w:r>
      <w:r w:rsidR="00E21D96" w:rsidRPr="00A663B9">
        <w:rPr>
          <w:rFonts w:ascii="Times New Roman" w:hAnsi="Times New Roman" w:cs="Times New Roman"/>
          <w:i/>
          <w:iCs/>
          <w:sz w:val="24"/>
          <w:szCs w:val="24"/>
        </w:rPr>
        <w:t>1.</w:t>
      </w:r>
      <w:r w:rsidR="0084060E" w:rsidRPr="00A663B9">
        <w:rPr>
          <w:rFonts w:ascii="Times New Roman" w:hAnsi="Times New Roman" w:cs="Times New Roman"/>
          <w:i/>
          <w:iCs/>
          <w:sz w:val="24"/>
          <w:szCs w:val="24"/>
        </w:rPr>
        <w:t>1</w:t>
      </w:r>
      <w:r w:rsidRPr="00A663B9">
        <w:rPr>
          <w:rFonts w:ascii="Times New Roman" w:hAnsi="Times New Roman" w:cs="Times New Roman"/>
          <w:i/>
          <w:iCs/>
          <w:sz w:val="24"/>
          <w:szCs w:val="24"/>
        </w:rPr>
        <w:t xml:space="preserve">: Include a </w:t>
      </w:r>
      <w:r w:rsidR="0084060E" w:rsidRPr="00A663B9">
        <w:rPr>
          <w:rFonts w:ascii="Times New Roman" w:hAnsi="Times New Roman" w:cs="Times New Roman"/>
          <w:i/>
          <w:iCs/>
          <w:sz w:val="24"/>
          <w:szCs w:val="24"/>
        </w:rPr>
        <w:t xml:space="preserve">(wide) </w:t>
      </w:r>
      <w:r w:rsidRPr="00A663B9">
        <w:rPr>
          <w:rFonts w:ascii="Times New Roman" w:hAnsi="Times New Roman" w:cs="Times New Roman"/>
          <w:i/>
          <w:iCs/>
          <w:sz w:val="24"/>
          <w:szCs w:val="24"/>
        </w:rPr>
        <w:t xml:space="preserve">definition of </w:t>
      </w:r>
      <w:r w:rsidR="00245CB4" w:rsidRPr="00A663B9">
        <w:rPr>
          <w:rFonts w:ascii="Times New Roman" w:hAnsi="Times New Roman" w:cs="Times New Roman"/>
          <w:i/>
          <w:iCs/>
          <w:sz w:val="24"/>
          <w:szCs w:val="24"/>
        </w:rPr>
        <w:t>“</w:t>
      </w:r>
      <w:r w:rsidRPr="00A663B9">
        <w:rPr>
          <w:rFonts w:ascii="Times New Roman" w:hAnsi="Times New Roman" w:cs="Times New Roman"/>
          <w:i/>
          <w:iCs/>
          <w:sz w:val="24"/>
          <w:szCs w:val="24"/>
        </w:rPr>
        <w:t>non-systemic bank</w:t>
      </w:r>
      <w:r w:rsidR="00245CB4" w:rsidRPr="00A663B9">
        <w:rPr>
          <w:rFonts w:ascii="Times New Roman" w:hAnsi="Times New Roman" w:cs="Times New Roman"/>
          <w:i/>
          <w:iCs/>
          <w:sz w:val="24"/>
          <w:szCs w:val="24"/>
        </w:rPr>
        <w:t>”</w:t>
      </w:r>
      <w:r w:rsidRPr="00A663B9">
        <w:rPr>
          <w:rFonts w:ascii="Times New Roman" w:hAnsi="Times New Roman" w:cs="Times New Roman"/>
          <w:i/>
          <w:iCs/>
          <w:sz w:val="24"/>
          <w:szCs w:val="24"/>
        </w:rPr>
        <w:t>.</w:t>
      </w:r>
      <w:r w:rsidR="00A0419B" w:rsidRPr="00A663B9">
        <w:rPr>
          <w:rFonts w:ascii="Times New Roman" w:hAnsi="Times New Roman" w:cs="Times New Roman"/>
          <w:i/>
          <w:iCs/>
          <w:sz w:val="24"/>
          <w:szCs w:val="24"/>
        </w:rPr>
        <w:t xml:space="preserve"> The Guide could also clarify how its recommendations may apply differently to banks of varying sizes and complexity within the non-systemic category. Additionally, it may be helpful to include examples of the types of institutions that would typically be considered non-systemic in different jurisdictions. While maintaining flexibility, more concrete parameters around the scope would help policymakers better understand how to apply the Guide</w:t>
      </w:r>
      <w:r w:rsidR="00245CB4" w:rsidRPr="00A663B9">
        <w:rPr>
          <w:rFonts w:ascii="Times New Roman" w:hAnsi="Times New Roman" w:cs="Times New Roman"/>
          <w:i/>
          <w:iCs/>
          <w:sz w:val="24"/>
          <w:szCs w:val="24"/>
        </w:rPr>
        <w:t>’</w:t>
      </w:r>
      <w:r w:rsidR="00A0419B" w:rsidRPr="00A663B9">
        <w:rPr>
          <w:rFonts w:ascii="Times New Roman" w:hAnsi="Times New Roman" w:cs="Times New Roman"/>
          <w:i/>
          <w:iCs/>
          <w:sz w:val="24"/>
          <w:szCs w:val="24"/>
        </w:rPr>
        <w:t>s recommendations in their specific context. Even if a comprehensive definition is not feasible, additional explanation of the intended scope would improve the Guide</w:t>
      </w:r>
      <w:r w:rsidR="00245CB4" w:rsidRPr="00A663B9">
        <w:rPr>
          <w:rFonts w:ascii="Times New Roman" w:hAnsi="Times New Roman" w:cs="Times New Roman"/>
          <w:i/>
          <w:iCs/>
          <w:sz w:val="24"/>
          <w:szCs w:val="24"/>
        </w:rPr>
        <w:t>’</w:t>
      </w:r>
      <w:r w:rsidR="00A0419B" w:rsidRPr="00A663B9">
        <w:rPr>
          <w:rFonts w:ascii="Times New Roman" w:hAnsi="Times New Roman" w:cs="Times New Roman"/>
          <w:i/>
          <w:iCs/>
          <w:sz w:val="24"/>
          <w:szCs w:val="24"/>
        </w:rPr>
        <w:t>s clarity and practical applicability.</w:t>
      </w:r>
    </w:p>
    <w:p w14:paraId="4DADCC15" w14:textId="4A6FF84B" w:rsidR="00186FD0" w:rsidRPr="00A663B9" w:rsidRDefault="00186FD0" w:rsidP="0097195B">
      <w:pPr>
        <w:spacing w:after="0" w:line="240" w:lineRule="auto"/>
        <w:jc w:val="both"/>
        <w:rPr>
          <w:rFonts w:ascii="Times New Roman" w:hAnsi="Times New Roman" w:cs="Times New Roman"/>
          <w:sz w:val="24"/>
          <w:szCs w:val="24"/>
        </w:rPr>
      </w:pPr>
    </w:p>
    <w:p w14:paraId="0EE2F383" w14:textId="117A610A" w:rsidR="00243F94" w:rsidRPr="00A663B9" w:rsidRDefault="00243F94" w:rsidP="00243F94">
      <w:pPr>
        <w:pStyle w:val="yiv1410406022msonormal"/>
        <w:shd w:val="clear" w:color="auto" w:fill="FFFFFF"/>
        <w:spacing w:before="0" w:beforeAutospacing="0" w:after="0" w:afterAutospacing="0"/>
        <w:jc w:val="both"/>
        <w:rPr>
          <w:i/>
          <w:iCs/>
        </w:rPr>
      </w:pPr>
      <w:r w:rsidRPr="00A663B9">
        <w:rPr>
          <w:i/>
          <w:iCs/>
        </w:rPr>
        <w:t xml:space="preserve">Recommendation 1.2: </w:t>
      </w:r>
      <w:r w:rsidR="0045687B" w:rsidRPr="00A663B9">
        <w:rPr>
          <w:i/>
          <w:iCs/>
        </w:rPr>
        <w:t>Other</w:t>
      </w:r>
      <w:r w:rsidRPr="00A663B9">
        <w:rPr>
          <w:i/>
          <w:iCs/>
        </w:rPr>
        <w:t xml:space="preserve"> </w:t>
      </w:r>
      <w:r w:rsidR="0045687B" w:rsidRPr="00A663B9">
        <w:rPr>
          <w:i/>
          <w:iCs/>
        </w:rPr>
        <w:t>definitions</w:t>
      </w:r>
      <w:r w:rsidRPr="00A663B9">
        <w:rPr>
          <w:i/>
          <w:iCs/>
        </w:rPr>
        <w:t xml:space="preserve"> could be usefully revisited in order to ensure further coherence between certain terms in the Glossary, for example between terms (v) and (z), a useful addition to (z) could be a</w:t>
      </w:r>
      <w:r w:rsidR="00245CB4" w:rsidRPr="00A663B9">
        <w:rPr>
          <w:i/>
          <w:iCs/>
        </w:rPr>
        <w:t>n amendment stating</w:t>
      </w:r>
      <w:r w:rsidRPr="00A663B9">
        <w:rPr>
          <w:i/>
          <w:iCs/>
        </w:rPr>
        <w:t xml:space="preserve"> </w:t>
      </w:r>
      <w:r w:rsidR="00245CB4" w:rsidRPr="00A663B9">
        <w:rPr>
          <w:i/>
          <w:iCs/>
        </w:rPr>
        <w:t>that it is ‘</w:t>
      </w:r>
      <w:r w:rsidRPr="00A663B9">
        <w:rPr>
          <w:i/>
          <w:iCs/>
        </w:rPr>
        <w:t>for the distribution of the proceeds to creditors in accordance with the applicable creditor hierarchy</w:t>
      </w:r>
      <w:r w:rsidR="00245CB4" w:rsidRPr="00A663B9">
        <w:rPr>
          <w:i/>
          <w:iCs/>
        </w:rPr>
        <w:t>.’</w:t>
      </w:r>
      <w:r w:rsidRPr="00A663B9">
        <w:rPr>
          <w:i/>
          <w:iCs/>
        </w:rPr>
        <w:t xml:space="preserve"> Also, by way of contrast with term (t), term </w:t>
      </w:r>
      <w:r w:rsidR="0045687B" w:rsidRPr="00A663B9">
        <w:rPr>
          <w:i/>
          <w:iCs/>
        </w:rPr>
        <w:t>(</w:t>
      </w:r>
      <w:r w:rsidRPr="00A663B9">
        <w:rPr>
          <w:i/>
          <w:iCs/>
        </w:rPr>
        <w:t>w</w:t>
      </w:r>
      <w:r w:rsidR="0045687B" w:rsidRPr="00A663B9">
        <w:rPr>
          <w:i/>
          <w:iCs/>
        </w:rPr>
        <w:t>)</w:t>
      </w:r>
      <w:r w:rsidRPr="00A663B9">
        <w:rPr>
          <w:i/>
          <w:iCs/>
        </w:rPr>
        <w:t xml:space="preserve"> does not provide for a description of the role of a prospective </w:t>
      </w:r>
      <w:r w:rsidRPr="00A663B9">
        <w:rPr>
          <w:i/>
          <w:iCs/>
        </w:rPr>
        <w:lastRenderedPageBreak/>
        <w:t>liquidator, while for term (x), the question could be raised as to whether it is correct to apply resolution here only to systemic banks (and other financial institutions).</w:t>
      </w:r>
    </w:p>
    <w:p w14:paraId="1731685F" w14:textId="7CB9534F" w:rsidR="00243F94" w:rsidRPr="00A663B9" w:rsidRDefault="00243F94" w:rsidP="0097195B">
      <w:pPr>
        <w:spacing w:after="0" w:line="240" w:lineRule="auto"/>
        <w:jc w:val="both"/>
        <w:rPr>
          <w:rFonts w:ascii="Times New Roman" w:hAnsi="Times New Roman" w:cs="Times New Roman"/>
          <w:sz w:val="24"/>
          <w:szCs w:val="24"/>
        </w:rPr>
      </w:pPr>
    </w:p>
    <w:p w14:paraId="0FE7C3EF" w14:textId="30F537E3" w:rsidR="00667FE3" w:rsidRPr="00A663B9" w:rsidRDefault="0045687B" w:rsidP="00667FE3">
      <w:pPr>
        <w:spacing w:after="0" w:line="240" w:lineRule="auto"/>
        <w:jc w:val="both"/>
        <w:rPr>
          <w:rFonts w:ascii="Times New Roman" w:hAnsi="Times New Roman" w:cs="Times New Roman"/>
          <w:sz w:val="24"/>
          <w:szCs w:val="24"/>
          <w:lang w:eastAsia="zh-CN"/>
        </w:rPr>
      </w:pPr>
      <w:r w:rsidRPr="00A663B9">
        <w:rPr>
          <w:rFonts w:ascii="Times New Roman" w:hAnsi="Times New Roman" w:cs="Times New Roman"/>
          <w:i/>
          <w:iCs/>
          <w:sz w:val="24"/>
          <w:szCs w:val="24"/>
        </w:rPr>
        <w:t xml:space="preserve">Recommendation 1.3: </w:t>
      </w:r>
      <w:r w:rsidR="00667FE3" w:rsidRPr="00A663B9">
        <w:rPr>
          <w:rFonts w:ascii="Times New Roman" w:hAnsi="Times New Roman" w:cs="Times New Roman"/>
          <w:i/>
          <w:iCs/>
          <w:sz w:val="24"/>
          <w:szCs w:val="24"/>
          <w:lang w:eastAsia="zh-CN"/>
        </w:rPr>
        <w:t xml:space="preserve">Substitute the term </w:t>
      </w:r>
      <w:r w:rsidR="00245CB4" w:rsidRPr="00A663B9">
        <w:rPr>
          <w:rFonts w:ascii="Times New Roman" w:hAnsi="Times New Roman" w:cs="Times New Roman"/>
          <w:i/>
          <w:iCs/>
          <w:sz w:val="24"/>
          <w:szCs w:val="24"/>
          <w:lang w:eastAsia="zh-CN"/>
        </w:rPr>
        <w:t>“</w:t>
      </w:r>
      <w:r w:rsidR="00667FE3" w:rsidRPr="00A663B9">
        <w:rPr>
          <w:rFonts w:ascii="Times New Roman" w:hAnsi="Times New Roman" w:cs="Times New Roman"/>
          <w:i/>
          <w:iCs/>
          <w:sz w:val="24"/>
          <w:szCs w:val="24"/>
          <w:lang w:eastAsia="zh-CN"/>
        </w:rPr>
        <w:t>bank failure</w:t>
      </w:r>
      <w:r w:rsidR="00245CB4" w:rsidRPr="00A663B9">
        <w:rPr>
          <w:rFonts w:ascii="Times New Roman" w:hAnsi="Times New Roman" w:cs="Times New Roman"/>
          <w:i/>
          <w:iCs/>
          <w:sz w:val="24"/>
          <w:szCs w:val="24"/>
          <w:lang w:eastAsia="zh-CN"/>
        </w:rPr>
        <w:t>”</w:t>
      </w:r>
      <w:r w:rsidR="00667FE3" w:rsidRPr="00A663B9">
        <w:rPr>
          <w:rFonts w:ascii="Times New Roman" w:hAnsi="Times New Roman" w:cs="Times New Roman"/>
          <w:i/>
          <w:iCs/>
          <w:sz w:val="24"/>
          <w:szCs w:val="24"/>
          <w:lang w:eastAsia="zh-CN"/>
        </w:rPr>
        <w:t xml:space="preserve"> with </w:t>
      </w:r>
      <w:r w:rsidR="00245CB4" w:rsidRPr="00A663B9">
        <w:rPr>
          <w:rFonts w:ascii="Times New Roman" w:hAnsi="Times New Roman" w:cs="Times New Roman"/>
          <w:i/>
          <w:iCs/>
          <w:sz w:val="24"/>
          <w:szCs w:val="24"/>
          <w:lang w:eastAsia="zh-CN"/>
        </w:rPr>
        <w:t>“</w:t>
      </w:r>
      <w:r w:rsidR="00667FE3" w:rsidRPr="00A663B9">
        <w:rPr>
          <w:rFonts w:ascii="Times New Roman" w:hAnsi="Times New Roman" w:cs="Times New Roman"/>
          <w:i/>
          <w:iCs/>
          <w:sz w:val="24"/>
          <w:szCs w:val="24"/>
          <w:lang w:eastAsia="zh-CN"/>
        </w:rPr>
        <w:t>bank crisis</w:t>
      </w:r>
      <w:r w:rsidR="00245CB4" w:rsidRPr="00A663B9">
        <w:rPr>
          <w:rFonts w:ascii="Times New Roman" w:hAnsi="Times New Roman" w:cs="Times New Roman"/>
          <w:i/>
          <w:iCs/>
          <w:sz w:val="24"/>
          <w:szCs w:val="24"/>
          <w:lang w:eastAsia="zh-CN"/>
        </w:rPr>
        <w:t>”</w:t>
      </w:r>
      <w:r w:rsidR="00667FE3" w:rsidRPr="00A663B9">
        <w:rPr>
          <w:rFonts w:ascii="Times New Roman" w:hAnsi="Times New Roman" w:cs="Times New Roman"/>
          <w:i/>
          <w:iCs/>
          <w:sz w:val="24"/>
          <w:szCs w:val="24"/>
          <w:lang w:eastAsia="zh-CN"/>
        </w:rPr>
        <w:t xml:space="preserve"> in the Guide</w:t>
      </w:r>
      <w:r w:rsidR="00667FE3" w:rsidRPr="00A663B9">
        <w:rPr>
          <w:rFonts w:ascii="Times New Roman" w:hAnsi="Times New Roman" w:cs="Times New Roman"/>
          <w:sz w:val="24"/>
          <w:szCs w:val="24"/>
          <w:lang w:eastAsia="zh-CN"/>
        </w:rPr>
        <w:t>.</w:t>
      </w:r>
    </w:p>
    <w:p w14:paraId="78A0F43E" w14:textId="77777777" w:rsidR="00667FE3" w:rsidRPr="00A663B9" w:rsidRDefault="00667FE3" w:rsidP="00667FE3">
      <w:pPr>
        <w:spacing w:after="0" w:line="240" w:lineRule="auto"/>
        <w:jc w:val="both"/>
        <w:rPr>
          <w:rFonts w:ascii="Times New Roman" w:hAnsi="Times New Roman" w:cs="Times New Roman"/>
          <w:sz w:val="24"/>
          <w:szCs w:val="24"/>
          <w:lang w:eastAsia="zh-CN"/>
        </w:rPr>
      </w:pPr>
    </w:p>
    <w:p w14:paraId="66E0CD0A" w14:textId="7939B45D" w:rsidR="0045687B" w:rsidRPr="00A663B9" w:rsidRDefault="00667FE3" w:rsidP="0045687B">
      <w:pPr>
        <w:pStyle w:val="yiv1410406022msonormal"/>
        <w:shd w:val="clear" w:color="auto" w:fill="FFFFFF"/>
        <w:spacing w:before="0" w:beforeAutospacing="0" w:after="0" w:afterAutospacing="0"/>
        <w:jc w:val="both"/>
        <w:rPr>
          <w:i/>
          <w:iCs/>
        </w:rPr>
      </w:pPr>
      <w:r w:rsidRPr="00A663B9">
        <w:rPr>
          <w:i/>
          <w:iCs/>
        </w:rPr>
        <w:t xml:space="preserve">Recommendation 1.4: </w:t>
      </w:r>
      <w:r w:rsidR="0045687B" w:rsidRPr="00A663B9">
        <w:rPr>
          <w:i/>
          <w:iCs/>
        </w:rPr>
        <w:t xml:space="preserve">In Section H of Chapter 1, five objectives are introduced: (i) value preservations and maximisation; (ii) depositor protection; (iii) financial stability; (iv) avoiding the use of public funds and loss to taxpayers; and (v) certainty and predictability. The relevance and application of these objectives is left largely open and subject to the </w:t>
      </w:r>
      <w:r w:rsidR="00245CB4" w:rsidRPr="00A663B9">
        <w:rPr>
          <w:i/>
          <w:iCs/>
        </w:rPr>
        <w:t>“</w:t>
      </w:r>
      <w:r w:rsidR="0045687B" w:rsidRPr="00A663B9">
        <w:rPr>
          <w:i/>
          <w:iCs/>
        </w:rPr>
        <w:t>broader policy choices and design features of the bank liquidation framework at hand</w:t>
      </w:r>
      <w:r w:rsidRPr="00A663B9">
        <w:rPr>
          <w:i/>
          <w:iCs/>
        </w:rPr>
        <w:t>.</w:t>
      </w:r>
      <w:r w:rsidR="00245CB4" w:rsidRPr="00A663B9">
        <w:rPr>
          <w:i/>
          <w:iCs/>
        </w:rPr>
        <w:t>”</w:t>
      </w:r>
      <w:r w:rsidRPr="00A663B9">
        <w:rPr>
          <w:i/>
          <w:iCs/>
        </w:rPr>
        <w:t xml:space="preserve"> </w:t>
      </w:r>
      <w:r w:rsidR="0045687B" w:rsidRPr="00A663B9">
        <w:rPr>
          <w:i/>
          <w:iCs/>
          <w:vertAlign w:val="superscript"/>
        </w:rPr>
        <w:t xml:space="preserve"> </w:t>
      </w:r>
      <w:r w:rsidR="0045687B" w:rsidRPr="00A663B9">
        <w:rPr>
          <w:i/>
          <w:iCs/>
        </w:rPr>
        <w:t xml:space="preserve">As such, </w:t>
      </w:r>
      <w:r w:rsidR="00245CB4" w:rsidRPr="00A663B9">
        <w:rPr>
          <w:i/>
          <w:iCs/>
        </w:rPr>
        <w:t>a</w:t>
      </w:r>
      <w:r w:rsidR="0045687B" w:rsidRPr="00A663B9">
        <w:rPr>
          <w:i/>
          <w:iCs/>
        </w:rPr>
        <w:t xml:space="preserve"> question the Guide could usefully answer is what their substantive relevance is in applying the Guide as well as whether priority should be granted to the principles in any particular hierarchical order.</w:t>
      </w:r>
    </w:p>
    <w:p w14:paraId="6DF24F2A" w14:textId="77777777" w:rsidR="0045687B" w:rsidRPr="00A663B9" w:rsidRDefault="0045687B" w:rsidP="0097195B">
      <w:pPr>
        <w:spacing w:after="0" w:line="240" w:lineRule="auto"/>
        <w:jc w:val="both"/>
        <w:rPr>
          <w:rFonts w:ascii="Times New Roman" w:hAnsi="Times New Roman" w:cs="Times New Roman"/>
          <w:sz w:val="24"/>
          <w:szCs w:val="24"/>
        </w:rPr>
      </w:pPr>
    </w:p>
    <w:p w14:paraId="40005C1B" w14:textId="3FF292DE" w:rsidR="0097195B" w:rsidRPr="00A663B9" w:rsidRDefault="001C5D92"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(ii) Supervision and Oversight</w:t>
      </w:r>
    </w:p>
    <w:p w14:paraId="7A8B4246" w14:textId="5BA4D180" w:rsidR="001C5D92" w:rsidRPr="00A663B9" w:rsidRDefault="001C5D92" w:rsidP="0097195B">
      <w:pPr>
        <w:spacing w:after="0" w:line="240" w:lineRule="auto"/>
        <w:jc w:val="both"/>
        <w:rPr>
          <w:rFonts w:ascii="Times New Roman" w:hAnsi="Times New Roman" w:cs="Times New Roman"/>
          <w:sz w:val="24"/>
          <w:szCs w:val="24"/>
        </w:rPr>
      </w:pPr>
    </w:p>
    <w:p w14:paraId="20DFDA0F" w14:textId="1BF56BAB" w:rsidR="00667FE3" w:rsidRPr="00A663B9" w:rsidRDefault="00731150" w:rsidP="00667FE3">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The intention in the Guide is, insofar as possible, to ensure that </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non-systemic banks</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 xml:space="preserve"> have appropriate supervision and oversight as part of the restructuring and insolvency process. </w:t>
      </w:r>
      <w:r w:rsidR="00A0419B" w:rsidRPr="00A663B9">
        <w:rPr>
          <w:rFonts w:ascii="Times New Roman" w:hAnsi="Times New Roman" w:cs="Times New Roman"/>
          <w:sz w:val="24"/>
          <w:szCs w:val="24"/>
        </w:rPr>
        <w:t>For instance, the Guide discusses oversight, transparency and accountabilities for bank liquidators in Chapter 3, Part D4.</w:t>
      </w:r>
      <w:r w:rsidR="00A0419B" w:rsidRPr="00A663B9">
        <w:rPr>
          <w:rStyle w:val="FootnoteReference"/>
          <w:rFonts w:ascii="Times New Roman" w:hAnsi="Times New Roman" w:cs="Times New Roman"/>
          <w:sz w:val="24"/>
          <w:szCs w:val="24"/>
        </w:rPr>
        <w:footnoteReference w:id="4"/>
      </w:r>
      <w:r w:rsidR="00A0419B" w:rsidRPr="00A663B9">
        <w:rPr>
          <w:rFonts w:ascii="Times New Roman" w:hAnsi="Times New Roman" w:cs="Times New Roman"/>
          <w:sz w:val="24"/>
          <w:szCs w:val="24"/>
        </w:rPr>
        <w:t xml:space="preserve"> </w:t>
      </w:r>
      <w:r w:rsidRPr="00A663B9">
        <w:rPr>
          <w:rFonts w:ascii="Times New Roman" w:hAnsi="Times New Roman" w:cs="Times New Roman"/>
          <w:sz w:val="24"/>
          <w:szCs w:val="24"/>
        </w:rPr>
        <w:t xml:space="preserve">To that end, the </w:t>
      </w:r>
      <w:r w:rsidR="00667FE3" w:rsidRPr="00A663B9">
        <w:rPr>
          <w:rFonts w:ascii="Times New Roman" w:hAnsi="Times New Roman" w:cs="Times New Roman"/>
          <w:sz w:val="24"/>
          <w:szCs w:val="24"/>
        </w:rPr>
        <w:t>crisis</w:t>
      </w:r>
      <w:r w:rsidRPr="00A663B9">
        <w:rPr>
          <w:rFonts w:ascii="Times New Roman" w:hAnsi="Times New Roman" w:cs="Times New Roman"/>
          <w:sz w:val="24"/>
          <w:szCs w:val="24"/>
        </w:rPr>
        <w:t xml:space="preserve"> of such banks should be governed by a regime that aligns with the objectives of the Guide (value-preservation, depositor protection etc.) and with other components of the regulatory framework governing financial institutions.</w:t>
      </w:r>
      <w:r w:rsidR="00667FE3" w:rsidRPr="00A663B9">
        <w:rPr>
          <w:rFonts w:ascii="Times New Roman" w:hAnsi="Times New Roman" w:cs="Times New Roman"/>
          <w:sz w:val="24"/>
          <w:szCs w:val="24"/>
        </w:rPr>
        <w:t xml:space="preserve"> This may require oversight by the same regulatory body or a different regulatory body that functions in a similar way. The role of any such body must be capable of being ascertained in advance, particularly in its intervention powers and duties at the onset of financial distress and continuing into the conduct of any proceedings involving non-systemic banks. Again, the  delineation of responsibility between supervisory bodies or agencies will need to be sufficiently defined so that responsibility for oversight is ascertainable in advance and any roles in the resolution or liquidation process are knowable in advance.</w:t>
      </w:r>
    </w:p>
    <w:p w14:paraId="2926868F" w14:textId="77777777" w:rsidR="00667FE3" w:rsidRPr="00A663B9" w:rsidRDefault="00667FE3" w:rsidP="0097195B">
      <w:pPr>
        <w:spacing w:after="0" w:line="240" w:lineRule="auto"/>
        <w:jc w:val="both"/>
        <w:rPr>
          <w:rFonts w:ascii="Times New Roman" w:hAnsi="Times New Roman" w:cs="Times New Roman"/>
          <w:sz w:val="24"/>
          <w:szCs w:val="24"/>
        </w:rPr>
      </w:pPr>
    </w:p>
    <w:p w14:paraId="60EEADFD" w14:textId="03E28B6E" w:rsidR="00BA0E60" w:rsidRPr="00A663B9" w:rsidRDefault="00BA0E60"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It would </w:t>
      </w:r>
      <w:r w:rsidR="00667FE3" w:rsidRPr="00A663B9">
        <w:rPr>
          <w:rFonts w:ascii="Times New Roman" w:hAnsi="Times New Roman" w:cs="Times New Roman"/>
          <w:sz w:val="24"/>
          <w:szCs w:val="24"/>
        </w:rPr>
        <w:t xml:space="preserve">also </w:t>
      </w:r>
      <w:r w:rsidRPr="00A663B9">
        <w:rPr>
          <w:rFonts w:ascii="Times New Roman" w:hAnsi="Times New Roman" w:cs="Times New Roman"/>
          <w:sz w:val="24"/>
          <w:szCs w:val="24"/>
        </w:rPr>
        <w:t xml:space="preserve">be desirable for any framework governing non-systemic banks to </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dovetail</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 xml:space="preserve"> with other similar frameworks governing other parts of the financial sector, so that banks do not fall out of the system or require time to investigate the appropriateness of the use of any particular framework, particularly given that time is of the essence in dealing with financial distress.</w:t>
      </w:r>
      <w:r w:rsidR="00667FE3" w:rsidRPr="00A663B9">
        <w:rPr>
          <w:rFonts w:ascii="Times New Roman" w:hAnsi="Times New Roman" w:cs="Times New Roman"/>
          <w:sz w:val="24"/>
          <w:szCs w:val="24"/>
        </w:rPr>
        <w:t xml:space="preserve"> </w:t>
      </w:r>
      <w:r w:rsidR="00667FE3" w:rsidRPr="00A663B9">
        <w:rPr>
          <w:rFonts w:ascii="Times New Roman" w:hAnsi="Times New Roman" w:cs="Times New Roman"/>
          <w:sz w:val="24"/>
          <w:szCs w:val="24"/>
          <w:lang w:eastAsia="zh-CN"/>
        </w:rPr>
        <w:t>Although this Guide is intended to complement other international guidelines,</w:t>
      </w:r>
      <w:r w:rsidR="00667FE3" w:rsidRPr="00A663B9">
        <w:rPr>
          <w:rStyle w:val="FootnoteReference"/>
          <w:rFonts w:ascii="Times New Roman" w:hAnsi="Times New Roman" w:cs="Times New Roman"/>
          <w:sz w:val="24"/>
          <w:szCs w:val="24"/>
          <w:lang w:eastAsia="zh-CN"/>
        </w:rPr>
        <w:footnoteReference w:id="5"/>
      </w:r>
      <w:r w:rsidR="00667FE3" w:rsidRPr="00A663B9">
        <w:rPr>
          <w:rFonts w:ascii="Times New Roman" w:hAnsi="Times New Roman" w:cs="Times New Roman"/>
          <w:sz w:val="24"/>
          <w:szCs w:val="24"/>
          <w:lang w:eastAsia="zh-CN"/>
        </w:rPr>
        <w:t xml:space="preserve"> particularly the Key Attributes, a significant gap remains. Since this Guide focuses solely on </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liquidation</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 xml:space="preserve">, the international guidelines on restructuring/reorganisation of non-systemic banks are still missing. Taking this Guide into account, while there are international guidelines governing both restructuring/resolution and liquidation for SIFIs, only liquidation guidelines exist for non-systemic banks. Thus, how to better </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dovetail</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 xml:space="preserve"> this Guide and other international guidelines merits further consideration.</w:t>
      </w:r>
    </w:p>
    <w:p w14:paraId="2152005B" w14:textId="6425C360" w:rsidR="00186FD0" w:rsidRPr="00A663B9" w:rsidRDefault="00186FD0" w:rsidP="0097195B">
      <w:pPr>
        <w:spacing w:after="0" w:line="240" w:lineRule="auto"/>
        <w:jc w:val="both"/>
        <w:rPr>
          <w:rFonts w:ascii="Times New Roman" w:hAnsi="Times New Roman" w:cs="Times New Roman"/>
          <w:sz w:val="24"/>
          <w:szCs w:val="24"/>
        </w:rPr>
      </w:pPr>
    </w:p>
    <w:p w14:paraId="17C517C3" w14:textId="65CAF35E" w:rsidR="00AA302A" w:rsidRPr="00A663B9" w:rsidRDefault="00BA0E60"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Recommendation</w:t>
      </w:r>
      <w:r w:rsidR="0084060E" w:rsidRPr="00A663B9">
        <w:rPr>
          <w:rFonts w:ascii="Times New Roman" w:hAnsi="Times New Roman" w:cs="Times New Roman"/>
          <w:i/>
          <w:iCs/>
          <w:sz w:val="24"/>
          <w:szCs w:val="24"/>
        </w:rPr>
        <w:t xml:space="preserve"> 2</w:t>
      </w:r>
      <w:r w:rsidR="00E21D96" w:rsidRPr="00A663B9">
        <w:rPr>
          <w:rFonts w:ascii="Times New Roman" w:hAnsi="Times New Roman" w:cs="Times New Roman"/>
          <w:i/>
          <w:iCs/>
          <w:sz w:val="24"/>
          <w:szCs w:val="24"/>
        </w:rPr>
        <w:t>.1</w:t>
      </w:r>
      <w:r w:rsidRPr="00A663B9">
        <w:rPr>
          <w:rFonts w:ascii="Times New Roman" w:hAnsi="Times New Roman" w:cs="Times New Roman"/>
          <w:i/>
          <w:iCs/>
          <w:sz w:val="24"/>
          <w:szCs w:val="24"/>
        </w:rPr>
        <w:t xml:space="preserve">: </w:t>
      </w:r>
      <w:r w:rsidR="00387F63" w:rsidRPr="00A663B9">
        <w:rPr>
          <w:rFonts w:ascii="Times New Roman" w:hAnsi="Times New Roman" w:cs="Times New Roman"/>
          <w:i/>
          <w:iCs/>
          <w:sz w:val="24"/>
          <w:szCs w:val="24"/>
        </w:rPr>
        <w:t>extend the</w:t>
      </w:r>
      <w:r w:rsidR="00D1396E" w:rsidRPr="00A663B9">
        <w:rPr>
          <w:rFonts w:ascii="Times New Roman" w:hAnsi="Times New Roman" w:cs="Times New Roman"/>
          <w:i/>
          <w:iCs/>
          <w:sz w:val="24"/>
          <w:szCs w:val="24"/>
        </w:rPr>
        <w:t xml:space="preserve"> guideline</w:t>
      </w:r>
      <w:r w:rsidR="00387F63" w:rsidRPr="00A663B9">
        <w:rPr>
          <w:rFonts w:ascii="Times New Roman" w:hAnsi="Times New Roman" w:cs="Times New Roman"/>
          <w:i/>
          <w:iCs/>
          <w:sz w:val="24"/>
          <w:szCs w:val="24"/>
        </w:rPr>
        <w:t>s</w:t>
      </w:r>
      <w:r w:rsidR="00D1396E" w:rsidRPr="00A663B9">
        <w:rPr>
          <w:rFonts w:ascii="Times New Roman" w:hAnsi="Times New Roman" w:cs="Times New Roman"/>
          <w:i/>
          <w:iCs/>
          <w:sz w:val="24"/>
          <w:szCs w:val="24"/>
        </w:rPr>
        <w:t xml:space="preserve"> </w:t>
      </w:r>
      <w:r w:rsidR="00387F63" w:rsidRPr="00A663B9">
        <w:rPr>
          <w:rFonts w:ascii="Times New Roman" w:hAnsi="Times New Roman" w:cs="Times New Roman"/>
          <w:i/>
          <w:iCs/>
          <w:sz w:val="24"/>
          <w:szCs w:val="24"/>
        </w:rPr>
        <w:t xml:space="preserve">to </w:t>
      </w:r>
      <w:r w:rsidR="00D1396E" w:rsidRPr="00A663B9">
        <w:rPr>
          <w:rFonts w:ascii="Times New Roman" w:hAnsi="Times New Roman" w:cs="Times New Roman"/>
          <w:i/>
          <w:iCs/>
          <w:sz w:val="24"/>
          <w:szCs w:val="24"/>
        </w:rPr>
        <w:t xml:space="preserve">recommend </w:t>
      </w:r>
      <w:r w:rsidRPr="00A663B9">
        <w:rPr>
          <w:rFonts w:ascii="Times New Roman" w:hAnsi="Times New Roman" w:cs="Times New Roman"/>
          <w:i/>
          <w:iCs/>
          <w:sz w:val="24"/>
          <w:szCs w:val="24"/>
        </w:rPr>
        <w:t xml:space="preserve">that frameworks </w:t>
      </w:r>
      <w:r w:rsidR="0084060E" w:rsidRPr="00A663B9">
        <w:rPr>
          <w:rFonts w:ascii="Times New Roman" w:hAnsi="Times New Roman" w:cs="Times New Roman"/>
          <w:i/>
          <w:iCs/>
          <w:sz w:val="24"/>
          <w:szCs w:val="24"/>
        </w:rPr>
        <w:t xml:space="preserve">governing SIFIs and non-systemic banks </w:t>
      </w:r>
      <w:r w:rsidR="00245CB4" w:rsidRPr="00A663B9">
        <w:rPr>
          <w:rFonts w:ascii="Times New Roman" w:hAnsi="Times New Roman" w:cs="Times New Roman"/>
          <w:i/>
          <w:iCs/>
          <w:sz w:val="24"/>
          <w:szCs w:val="24"/>
        </w:rPr>
        <w:t>“</w:t>
      </w:r>
      <w:r w:rsidRPr="00A663B9">
        <w:rPr>
          <w:rFonts w:ascii="Times New Roman" w:hAnsi="Times New Roman" w:cs="Times New Roman"/>
          <w:i/>
          <w:iCs/>
          <w:sz w:val="24"/>
          <w:szCs w:val="24"/>
        </w:rPr>
        <w:t>dovetail</w:t>
      </w:r>
      <w:r w:rsidR="00245CB4" w:rsidRPr="00A663B9">
        <w:rPr>
          <w:rFonts w:ascii="Times New Roman" w:hAnsi="Times New Roman" w:cs="Times New Roman"/>
          <w:i/>
          <w:iCs/>
          <w:sz w:val="24"/>
          <w:szCs w:val="24"/>
        </w:rPr>
        <w:t>”</w:t>
      </w:r>
      <w:r w:rsidRPr="00A663B9">
        <w:rPr>
          <w:rFonts w:ascii="Times New Roman" w:hAnsi="Times New Roman" w:cs="Times New Roman"/>
          <w:i/>
          <w:iCs/>
          <w:sz w:val="24"/>
          <w:szCs w:val="24"/>
        </w:rPr>
        <w:t xml:space="preserve"> so that determination of the application of frameworks to institutions are facilitated</w:t>
      </w:r>
      <w:r w:rsidR="00A0419B" w:rsidRPr="00A663B9">
        <w:rPr>
          <w:rFonts w:ascii="Times New Roman" w:hAnsi="Times New Roman" w:cs="Times New Roman"/>
          <w:i/>
          <w:iCs/>
          <w:sz w:val="24"/>
          <w:szCs w:val="24"/>
        </w:rPr>
        <w:t>, enabling smooth and efficient application of oversight and intervention mechanisms</w:t>
      </w:r>
      <w:r w:rsidRPr="00A663B9">
        <w:rPr>
          <w:rFonts w:ascii="Times New Roman" w:hAnsi="Times New Roman" w:cs="Times New Roman"/>
          <w:i/>
          <w:iCs/>
          <w:sz w:val="24"/>
          <w:szCs w:val="24"/>
        </w:rPr>
        <w:t>.</w:t>
      </w:r>
    </w:p>
    <w:p w14:paraId="0A8278A8" w14:textId="1F59A286" w:rsidR="00AA302A" w:rsidRPr="00A663B9" w:rsidRDefault="00AA302A" w:rsidP="0097195B">
      <w:pPr>
        <w:spacing w:after="0" w:line="240" w:lineRule="auto"/>
        <w:jc w:val="both"/>
        <w:rPr>
          <w:rFonts w:ascii="Times New Roman" w:hAnsi="Times New Roman" w:cs="Times New Roman"/>
          <w:i/>
          <w:iCs/>
          <w:sz w:val="24"/>
          <w:szCs w:val="24"/>
        </w:rPr>
      </w:pPr>
    </w:p>
    <w:p w14:paraId="4CBCB1BD" w14:textId="13A91260" w:rsidR="0084060E" w:rsidRPr="00A663B9" w:rsidRDefault="0084060E"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lastRenderedPageBreak/>
        <w:t xml:space="preserve">Recommendation </w:t>
      </w:r>
      <w:r w:rsidR="00E21D96" w:rsidRPr="00A663B9">
        <w:rPr>
          <w:rFonts w:ascii="Times New Roman" w:hAnsi="Times New Roman" w:cs="Times New Roman"/>
          <w:i/>
          <w:iCs/>
          <w:sz w:val="24"/>
          <w:szCs w:val="24"/>
        </w:rPr>
        <w:t>2.2</w:t>
      </w:r>
      <w:r w:rsidRPr="00A663B9">
        <w:rPr>
          <w:rFonts w:ascii="Times New Roman" w:hAnsi="Times New Roman" w:cs="Times New Roman"/>
          <w:i/>
          <w:iCs/>
          <w:sz w:val="24"/>
          <w:szCs w:val="24"/>
        </w:rPr>
        <w:t xml:space="preserve">: </w:t>
      </w:r>
      <w:r w:rsidR="00387F63" w:rsidRPr="00A663B9">
        <w:rPr>
          <w:rFonts w:ascii="Times New Roman" w:hAnsi="Times New Roman" w:cs="Times New Roman"/>
          <w:i/>
          <w:iCs/>
          <w:sz w:val="24"/>
          <w:szCs w:val="24"/>
        </w:rPr>
        <w:t xml:space="preserve">restructure the </w:t>
      </w:r>
      <w:r w:rsidR="00D1396E" w:rsidRPr="00A663B9">
        <w:rPr>
          <w:rFonts w:ascii="Times New Roman" w:hAnsi="Times New Roman" w:cs="Times New Roman"/>
          <w:i/>
          <w:iCs/>
          <w:sz w:val="24"/>
          <w:szCs w:val="24"/>
        </w:rPr>
        <w:t>guideline</w:t>
      </w:r>
      <w:r w:rsidR="00387F63" w:rsidRPr="00A663B9">
        <w:rPr>
          <w:rFonts w:ascii="Times New Roman" w:hAnsi="Times New Roman" w:cs="Times New Roman"/>
          <w:i/>
          <w:iCs/>
          <w:sz w:val="24"/>
          <w:szCs w:val="24"/>
        </w:rPr>
        <w:t>s to</w:t>
      </w:r>
      <w:r w:rsidR="00D1396E" w:rsidRPr="00A663B9">
        <w:rPr>
          <w:rFonts w:ascii="Times New Roman" w:hAnsi="Times New Roman" w:cs="Times New Roman"/>
          <w:i/>
          <w:iCs/>
          <w:sz w:val="24"/>
          <w:szCs w:val="24"/>
        </w:rPr>
        <w:t xml:space="preserve"> recommend</w:t>
      </w:r>
      <w:r w:rsidRPr="00A663B9">
        <w:rPr>
          <w:rFonts w:ascii="Times New Roman" w:hAnsi="Times New Roman" w:cs="Times New Roman"/>
          <w:i/>
          <w:iCs/>
          <w:sz w:val="24"/>
          <w:szCs w:val="24"/>
        </w:rPr>
        <w:t xml:space="preserve"> that supervisory roles of </w:t>
      </w:r>
      <w:r w:rsidR="00D1396E" w:rsidRPr="00A663B9">
        <w:rPr>
          <w:rFonts w:ascii="Times New Roman" w:hAnsi="Times New Roman" w:cs="Times New Roman"/>
          <w:i/>
          <w:iCs/>
          <w:sz w:val="24"/>
          <w:szCs w:val="24"/>
        </w:rPr>
        <w:t>agencies or bodies in the sector are clearly delineated so that action can be taken by the appropriate pre-identified body at the onset of financial distress.</w:t>
      </w:r>
      <w:r w:rsidR="00A0419B" w:rsidRPr="00A663B9">
        <w:rPr>
          <w:rFonts w:ascii="Times New Roman" w:hAnsi="Times New Roman" w:cs="Times New Roman"/>
          <w:i/>
          <w:iCs/>
          <w:sz w:val="24"/>
          <w:szCs w:val="24"/>
        </w:rPr>
        <w:t xml:space="preserve"> This ensures a pre-identified regulatory body steps in without ambiguity, enhancing systemic resilience across the entire banking sector.</w:t>
      </w:r>
    </w:p>
    <w:p w14:paraId="36B56F8A" w14:textId="77777777" w:rsidR="0084060E" w:rsidRPr="00A663B9" w:rsidRDefault="0084060E" w:rsidP="0097195B">
      <w:pPr>
        <w:spacing w:after="0" w:line="240" w:lineRule="auto"/>
        <w:jc w:val="both"/>
        <w:rPr>
          <w:rFonts w:ascii="Times New Roman" w:hAnsi="Times New Roman" w:cs="Times New Roman"/>
          <w:sz w:val="24"/>
          <w:szCs w:val="24"/>
        </w:rPr>
      </w:pPr>
    </w:p>
    <w:p w14:paraId="6AC0AE4A" w14:textId="282F60FF" w:rsidR="001C5D92" w:rsidRPr="00A663B9" w:rsidRDefault="001C5D92"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(iii) Insufficiency </w:t>
      </w:r>
      <w:r w:rsidR="00667FE3" w:rsidRPr="00A663B9">
        <w:rPr>
          <w:rFonts w:ascii="Times New Roman" w:hAnsi="Times New Roman" w:cs="Times New Roman"/>
          <w:sz w:val="24"/>
          <w:szCs w:val="24"/>
          <w:lang w:eastAsia="zh-CN"/>
        </w:rPr>
        <w:t xml:space="preserve">and Inefficiency </w:t>
      </w:r>
      <w:r w:rsidRPr="00A663B9">
        <w:rPr>
          <w:rFonts w:ascii="Times New Roman" w:hAnsi="Times New Roman" w:cs="Times New Roman"/>
          <w:sz w:val="24"/>
          <w:szCs w:val="24"/>
        </w:rPr>
        <w:t>of Corporate Law Solutions</w:t>
      </w:r>
    </w:p>
    <w:p w14:paraId="711B9073" w14:textId="0187CED4" w:rsidR="001C5D92" w:rsidRPr="00A663B9" w:rsidRDefault="001C5D92" w:rsidP="0097195B">
      <w:pPr>
        <w:spacing w:after="0" w:line="240" w:lineRule="auto"/>
        <w:jc w:val="both"/>
        <w:rPr>
          <w:rFonts w:ascii="Times New Roman" w:hAnsi="Times New Roman" w:cs="Times New Roman"/>
          <w:sz w:val="24"/>
          <w:szCs w:val="24"/>
        </w:rPr>
      </w:pPr>
    </w:p>
    <w:p w14:paraId="52164CEB" w14:textId="6013C5DA" w:rsidR="00D1396E" w:rsidRPr="00A663B9" w:rsidRDefault="00271AFD"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The Guide strongly suggests that classic corporate law solutions</w:t>
      </w:r>
      <w:r w:rsidR="00035A3E" w:rsidRPr="00A663B9">
        <w:rPr>
          <w:rFonts w:ascii="Times New Roman" w:hAnsi="Times New Roman" w:cs="Times New Roman"/>
          <w:sz w:val="24"/>
          <w:szCs w:val="24"/>
        </w:rPr>
        <w:t xml:space="preserve"> </w:t>
      </w:r>
      <w:r w:rsidR="00E21D96" w:rsidRPr="00A663B9">
        <w:rPr>
          <w:rFonts w:ascii="Times New Roman" w:hAnsi="Times New Roman" w:cs="Times New Roman"/>
          <w:sz w:val="24"/>
          <w:szCs w:val="24"/>
        </w:rPr>
        <w:t xml:space="preserve">(which can include solutions in restructuring and insolvency law) </w:t>
      </w:r>
      <w:r w:rsidR="00035A3E" w:rsidRPr="00A663B9">
        <w:rPr>
          <w:rFonts w:ascii="Times New Roman" w:hAnsi="Times New Roman" w:cs="Times New Roman"/>
          <w:sz w:val="24"/>
          <w:szCs w:val="24"/>
        </w:rPr>
        <w:t xml:space="preserve">are not suitable for </w:t>
      </w:r>
      <w:r w:rsidR="00E21D96" w:rsidRPr="00A663B9">
        <w:rPr>
          <w:rFonts w:ascii="Times New Roman" w:hAnsi="Times New Roman" w:cs="Times New Roman"/>
          <w:sz w:val="24"/>
          <w:szCs w:val="24"/>
        </w:rPr>
        <w:t>banks</w:t>
      </w:r>
      <w:r w:rsidR="00667FE3" w:rsidRPr="00A663B9">
        <w:rPr>
          <w:rFonts w:ascii="Times New Roman" w:hAnsi="Times New Roman" w:cs="Times New Roman"/>
          <w:sz w:val="24"/>
          <w:szCs w:val="24"/>
        </w:rPr>
        <w:t xml:space="preserve"> </w:t>
      </w:r>
      <w:r w:rsidR="00667FE3" w:rsidRPr="00A663B9">
        <w:rPr>
          <w:rFonts w:ascii="Times New Roman" w:hAnsi="Times New Roman" w:cs="Times New Roman"/>
          <w:sz w:val="24"/>
          <w:szCs w:val="24"/>
          <w:lang w:eastAsia="zh-CN"/>
        </w:rPr>
        <w:t xml:space="preserve">in general, whether with </w:t>
      </w:r>
      <w:r w:rsidR="00667FE3" w:rsidRPr="00A663B9">
        <w:rPr>
          <w:rFonts w:ascii="Times New Roman" w:hAnsi="Times New Roman" w:cs="Times New Roman"/>
          <w:sz w:val="24"/>
          <w:szCs w:val="24"/>
        </w:rPr>
        <w:t xml:space="preserve">systemic </w:t>
      </w:r>
      <w:r w:rsidR="00667FE3" w:rsidRPr="00A663B9">
        <w:rPr>
          <w:rFonts w:ascii="Times New Roman" w:hAnsi="Times New Roman" w:cs="Times New Roman"/>
          <w:sz w:val="24"/>
          <w:szCs w:val="24"/>
          <w:lang w:eastAsia="zh-CN"/>
        </w:rPr>
        <w:t xml:space="preserve">significance or not. This can be explained from two perspectives. First, some tools (e.g., bridge bank and bail-in) that are helpful in addressing bank crises are missing from corporate law solutions. Second, </w:t>
      </w:r>
      <w:bookmarkStart w:id="1" w:name="OLE_LINK4"/>
      <w:r w:rsidR="00667FE3" w:rsidRPr="00A663B9">
        <w:rPr>
          <w:rFonts w:ascii="Times New Roman" w:hAnsi="Times New Roman" w:cs="Times New Roman"/>
          <w:sz w:val="24"/>
          <w:szCs w:val="24"/>
          <w:lang w:eastAsia="zh-CN"/>
        </w:rPr>
        <w:t>many arrangements (e.g., triggers, creditor involvement, and creditor hierarchy) established in corporate law solutions are unfit for banks.</w:t>
      </w:r>
      <w:bookmarkEnd w:id="1"/>
      <w:r w:rsidR="00E21D96" w:rsidRPr="00A663B9">
        <w:rPr>
          <w:rFonts w:ascii="Times New Roman" w:hAnsi="Times New Roman" w:cs="Times New Roman"/>
          <w:sz w:val="24"/>
          <w:szCs w:val="24"/>
        </w:rPr>
        <w:t xml:space="preserve"> </w:t>
      </w:r>
      <w:r w:rsidR="00667FE3" w:rsidRPr="00A663B9">
        <w:rPr>
          <w:rFonts w:ascii="Times New Roman" w:hAnsi="Times New Roman" w:cs="Times New Roman"/>
          <w:sz w:val="24"/>
          <w:szCs w:val="24"/>
        </w:rPr>
        <w:t>As a result, w</w:t>
      </w:r>
      <w:r w:rsidR="00E21D96" w:rsidRPr="00A663B9">
        <w:rPr>
          <w:rFonts w:ascii="Times New Roman" w:hAnsi="Times New Roman" w:cs="Times New Roman"/>
          <w:sz w:val="24"/>
          <w:szCs w:val="24"/>
        </w:rPr>
        <w:t xml:space="preserve">hile corporate law solutions are becoming more sophisticated, the focus of the solutions, whether geared to rescue of the entity, of its business or of its assets, do not adequately address the </w:t>
      </w:r>
      <w:r w:rsidR="00667FE3" w:rsidRPr="00A663B9">
        <w:rPr>
          <w:rFonts w:ascii="Times New Roman" w:hAnsi="Times New Roman" w:cs="Times New Roman"/>
          <w:sz w:val="24"/>
          <w:szCs w:val="24"/>
        </w:rPr>
        <w:t>structure</w:t>
      </w:r>
      <w:r w:rsidR="00667FE3" w:rsidRPr="00A663B9">
        <w:rPr>
          <w:rFonts w:ascii="Times New Roman" w:hAnsi="Times New Roman" w:cs="Times New Roman"/>
          <w:sz w:val="24"/>
          <w:szCs w:val="24"/>
          <w:lang w:eastAsia="zh-CN"/>
        </w:rPr>
        <w:t>s</w:t>
      </w:r>
      <w:r w:rsidR="00667FE3" w:rsidRPr="00A663B9">
        <w:rPr>
          <w:rFonts w:ascii="Times New Roman" w:hAnsi="Times New Roman" w:cs="Times New Roman"/>
          <w:sz w:val="24"/>
          <w:szCs w:val="24"/>
        </w:rPr>
        <w:t xml:space="preserve"> </w:t>
      </w:r>
      <w:r w:rsidR="00667FE3" w:rsidRPr="00A663B9">
        <w:rPr>
          <w:rFonts w:ascii="Times New Roman" w:hAnsi="Times New Roman" w:cs="Times New Roman"/>
          <w:sz w:val="24"/>
          <w:szCs w:val="24"/>
          <w:lang w:eastAsia="zh-CN"/>
        </w:rPr>
        <w:t xml:space="preserve">or business models </w:t>
      </w:r>
      <w:r w:rsidR="00667FE3" w:rsidRPr="00A663B9">
        <w:rPr>
          <w:rFonts w:ascii="Times New Roman" w:hAnsi="Times New Roman" w:cs="Times New Roman"/>
          <w:sz w:val="24"/>
          <w:szCs w:val="24"/>
        </w:rPr>
        <w:t>of banking institutions</w:t>
      </w:r>
      <w:r w:rsidR="00667FE3" w:rsidRPr="00A663B9">
        <w:rPr>
          <w:rFonts w:ascii="Times New Roman" w:hAnsi="Times New Roman" w:cs="Times New Roman"/>
          <w:sz w:val="24"/>
          <w:szCs w:val="24"/>
          <w:lang w:eastAsia="zh-CN"/>
        </w:rPr>
        <w:t xml:space="preserve">, </w:t>
      </w:r>
      <w:r w:rsidR="00667FE3" w:rsidRPr="00A663B9">
        <w:rPr>
          <w:rFonts w:ascii="Times New Roman" w:hAnsi="Times New Roman" w:cs="Times New Roman"/>
          <w:sz w:val="24"/>
          <w:szCs w:val="24"/>
        </w:rPr>
        <w:t xml:space="preserve">or </w:t>
      </w:r>
      <w:r w:rsidR="00667FE3" w:rsidRPr="00A663B9">
        <w:rPr>
          <w:rFonts w:ascii="Times New Roman" w:hAnsi="Times New Roman" w:cs="Times New Roman"/>
          <w:sz w:val="24"/>
          <w:szCs w:val="24"/>
          <w:lang w:eastAsia="zh-CN"/>
        </w:rPr>
        <w:t xml:space="preserve">the interests </w:t>
      </w:r>
      <w:r w:rsidR="00E21D96" w:rsidRPr="00A663B9">
        <w:rPr>
          <w:rFonts w:ascii="Times New Roman" w:hAnsi="Times New Roman" w:cs="Times New Roman"/>
          <w:sz w:val="24"/>
          <w:szCs w:val="24"/>
        </w:rPr>
        <w:t>of the various stakeholders associated with the process (including</w:t>
      </w:r>
      <w:r w:rsidR="00245CB4" w:rsidRPr="00A663B9">
        <w:rPr>
          <w:rFonts w:ascii="Times New Roman" w:hAnsi="Times New Roman" w:cs="Times New Roman"/>
          <w:sz w:val="24"/>
          <w:szCs w:val="24"/>
        </w:rPr>
        <w:t>,</w:t>
      </w:r>
      <w:r w:rsidR="00E21D96" w:rsidRPr="00A663B9">
        <w:rPr>
          <w:rFonts w:ascii="Times New Roman" w:hAnsi="Times New Roman" w:cs="Times New Roman"/>
          <w:sz w:val="24"/>
          <w:szCs w:val="24"/>
        </w:rPr>
        <w:t xml:space="preserve"> but not limited to, depositors).</w:t>
      </w:r>
    </w:p>
    <w:p w14:paraId="3B868F90" w14:textId="0C49B1D0" w:rsidR="00D1396E" w:rsidRPr="00A663B9" w:rsidRDefault="00D1396E" w:rsidP="0097195B">
      <w:pPr>
        <w:spacing w:after="0" w:line="240" w:lineRule="auto"/>
        <w:jc w:val="both"/>
        <w:rPr>
          <w:rFonts w:ascii="Times New Roman" w:hAnsi="Times New Roman" w:cs="Times New Roman"/>
          <w:sz w:val="24"/>
          <w:szCs w:val="24"/>
        </w:rPr>
      </w:pPr>
    </w:p>
    <w:p w14:paraId="023722C0" w14:textId="48A4B43F" w:rsidR="00667FE3" w:rsidRPr="00A663B9" w:rsidRDefault="00667FE3" w:rsidP="0097195B">
      <w:pPr>
        <w:spacing w:after="0" w:line="240" w:lineRule="auto"/>
        <w:jc w:val="both"/>
        <w:rPr>
          <w:rFonts w:ascii="Times New Roman" w:hAnsi="Times New Roman" w:cs="Times New Roman"/>
          <w:sz w:val="24"/>
          <w:szCs w:val="24"/>
          <w:lang w:eastAsia="zh-CN"/>
        </w:rPr>
      </w:pPr>
      <w:r w:rsidRPr="00A663B9">
        <w:rPr>
          <w:rFonts w:ascii="Times New Roman" w:hAnsi="Times New Roman" w:cs="Times New Roman"/>
          <w:sz w:val="24"/>
          <w:szCs w:val="24"/>
          <w:lang w:eastAsia="zh-CN"/>
        </w:rPr>
        <w:t xml:space="preserve">In terms of SIFIs, following the 2008 financial crisis, the treatment of troubled SIFIs has been addressed in international guidance (e.g., the Key Attributes) and national legislation. A range of tools has thus been formulated in this regard, providing actions that can be deployed whether the outcome </w:t>
      </w:r>
      <w:r w:rsidRPr="00A663B9">
        <w:rPr>
          <w:rFonts w:ascii="Times New Roman" w:hAnsi="Times New Roman" w:cs="Times New Roman"/>
          <w:sz w:val="24"/>
          <w:szCs w:val="24"/>
        </w:rPr>
        <w:t xml:space="preserve">is geared to </w:t>
      </w:r>
      <w:r w:rsidRPr="00A663B9">
        <w:rPr>
          <w:rFonts w:ascii="Times New Roman" w:hAnsi="Times New Roman" w:cs="Times New Roman"/>
          <w:sz w:val="24"/>
          <w:szCs w:val="24"/>
          <w:lang w:eastAsia="zh-CN"/>
        </w:rPr>
        <w:t>restructuring, liquidation, or a combination of both.</w:t>
      </w:r>
      <w:bookmarkStart w:id="2" w:name="OLE_LINK1"/>
      <w:r w:rsidRPr="00A663B9">
        <w:rPr>
          <w:rFonts w:ascii="Times New Roman" w:hAnsi="Times New Roman" w:cs="Times New Roman"/>
          <w:sz w:val="24"/>
          <w:szCs w:val="24"/>
          <w:lang w:eastAsia="zh-CN"/>
        </w:rPr>
        <w:t xml:space="preserve"> To complement the framework that focuses solely on SIFIs, this Guide addresses banks whose crises do not pose systemic risk. </w:t>
      </w:r>
      <w:bookmarkEnd w:id="2"/>
      <w:r w:rsidRPr="00A663B9">
        <w:rPr>
          <w:rFonts w:ascii="Times New Roman" w:hAnsi="Times New Roman" w:cs="Times New Roman"/>
          <w:sz w:val="24"/>
          <w:szCs w:val="24"/>
          <w:lang w:eastAsia="zh-CN"/>
        </w:rPr>
        <w:t>Although this Guide has identified the specificities of the bank liquidation system compared to c</w:t>
      </w:r>
      <w:r w:rsidRPr="00A663B9">
        <w:rPr>
          <w:rFonts w:ascii="Times New Roman" w:hAnsi="Times New Roman" w:cs="Times New Roman"/>
          <w:sz w:val="24"/>
          <w:szCs w:val="24"/>
        </w:rPr>
        <w:t xml:space="preserve">orporate </w:t>
      </w:r>
      <w:r w:rsidRPr="00A663B9">
        <w:rPr>
          <w:rFonts w:ascii="Times New Roman" w:hAnsi="Times New Roman" w:cs="Times New Roman"/>
          <w:sz w:val="24"/>
          <w:szCs w:val="24"/>
          <w:lang w:eastAsia="zh-CN"/>
        </w:rPr>
        <w:t>l</w:t>
      </w:r>
      <w:r w:rsidRPr="00A663B9">
        <w:rPr>
          <w:rFonts w:ascii="Times New Roman" w:hAnsi="Times New Roman" w:cs="Times New Roman"/>
          <w:sz w:val="24"/>
          <w:szCs w:val="24"/>
        </w:rPr>
        <w:t xml:space="preserve">aw </w:t>
      </w:r>
      <w:r w:rsidRPr="00A663B9">
        <w:rPr>
          <w:rFonts w:ascii="Times New Roman" w:hAnsi="Times New Roman" w:cs="Times New Roman"/>
          <w:sz w:val="24"/>
          <w:szCs w:val="24"/>
          <w:lang w:eastAsia="zh-CN"/>
        </w:rPr>
        <w:t>s</w:t>
      </w:r>
      <w:r w:rsidRPr="00A663B9">
        <w:rPr>
          <w:rFonts w:ascii="Times New Roman" w:hAnsi="Times New Roman" w:cs="Times New Roman"/>
          <w:sz w:val="24"/>
          <w:szCs w:val="24"/>
        </w:rPr>
        <w:t>olutions</w:t>
      </w:r>
      <w:r w:rsidRPr="00A663B9">
        <w:rPr>
          <w:rFonts w:ascii="Times New Roman" w:hAnsi="Times New Roman" w:cs="Times New Roman"/>
          <w:sz w:val="24"/>
          <w:szCs w:val="24"/>
          <w:lang w:eastAsia="zh-CN"/>
        </w:rPr>
        <w:t>,</w:t>
      </w:r>
      <w:r w:rsidRPr="00A663B9">
        <w:rPr>
          <w:rStyle w:val="FootnoteReference"/>
          <w:rFonts w:ascii="Times New Roman" w:hAnsi="Times New Roman" w:cs="Times New Roman"/>
          <w:sz w:val="24"/>
          <w:szCs w:val="24"/>
          <w:lang w:eastAsia="zh-CN"/>
        </w:rPr>
        <w:footnoteReference w:id="6"/>
      </w:r>
      <w:r w:rsidRPr="00A663B9">
        <w:rPr>
          <w:rFonts w:ascii="Times New Roman" w:hAnsi="Times New Roman" w:cs="Times New Roman"/>
          <w:sz w:val="24"/>
          <w:szCs w:val="24"/>
          <w:lang w:eastAsia="zh-CN"/>
        </w:rPr>
        <w:t xml:space="preserve"> it would benefit from clearly highlighting the i</w:t>
      </w:r>
      <w:r w:rsidRPr="00A663B9">
        <w:rPr>
          <w:rFonts w:ascii="Times New Roman" w:hAnsi="Times New Roman" w:cs="Times New Roman"/>
          <w:sz w:val="24"/>
          <w:szCs w:val="24"/>
        </w:rPr>
        <w:t xml:space="preserve">nsufficiency </w:t>
      </w:r>
      <w:r w:rsidRPr="00A663B9">
        <w:rPr>
          <w:rFonts w:ascii="Times New Roman" w:hAnsi="Times New Roman" w:cs="Times New Roman"/>
          <w:sz w:val="24"/>
          <w:szCs w:val="24"/>
          <w:lang w:eastAsia="zh-CN"/>
        </w:rPr>
        <w:t xml:space="preserve">and inefficiency </w:t>
      </w:r>
      <w:r w:rsidRPr="00A663B9">
        <w:rPr>
          <w:rFonts w:ascii="Times New Roman" w:hAnsi="Times New Roman" w:cs="Times New Roman"/>
          <w:sz w:val="24"/>
          <w:szCs w:val="24"/>
        </w:rPr>
        <w:t xml:space="preserve">of </w:t>
      </w:r>
      <w:r w:rsidRPr="00A663B9">
        <w:rPr>
          <w:rFonts w:ascii="Times New Roman" w:hAnsi="Times New Roman" w:cs="Times New Roman"/>
          <w:sz w:val="24"/>
          <w:szCs w:val="24"/>
          <w:lang w:eastAsia="zh-CN"/>
        </w:rPr>
        <w:t>c</w:t>
      </w:r>
      <w:r w:rsidRPr="00A663B9">
        <w:rPr>
          <w:rFonts w:ascii="Times New Roman" w:hAnsi="Times New Roman" w:cs="Times New Roman"/>
          <w:sz w:val="24"/>
          <w:szCs w:val="24"/>
        </w:rPr>
        <w:t xml:space="preserve">orporate </w:t>
      </w:r>
      <w:r w:rsidRPr="00A663B9">
        <w:rPr>
          <w:rFonts w:ascii="Times New Roman" w:hAnsi="Times New Roman" w:cs="Times New Roman"/>
          <w:sz w:val="24"/>
          <w:szCs w:val="24"/>
          <w:lang w:eastAsia="zh-CN"/>
        </w:rPr>
        <w:t>l</w:t>
      </w:r>
      <w:r w:rsidRPr="00A663B9">
        <w:rPr>
          <w:rFonts w:ascii="Times New Roman" w:hAnsi="Times New Roman" w:cs="Times New Roman"/>
          <w:sz w:val="24"/>
          <w:szCs w:val="24"/>
        </w:rPr>
        <w:t xml:space="preserve">aw </w:t>
      </w:r>
      <w:r w:rsidRPr="00A663B9">
        <w:rPr>
          <w:rFonts w:ascii="Times New Roman" w:hAnsi="Times New Roman" w:cs="Times New Roman"/>
          <w:sz w:val="24"/>
          <w:szCs w:val="24"/>
          <w:lang w:eastAsia="zh-CN"/>
        </w:rPr>
        <w:t>s</w:t>
      </w:r>
      <w:r w:rsidRPr="00A663B9">
        <w:rPr>
          <w:rFonts w:ascii="Times New Roman" w:hAnsi="Times New Roman" w:cs="Times New Roman"/>
          <w:sz w:val="24"/>
          <w:szCs w:val="24"/>
        </w:rPr>
        <w:t>olutions</w:t>
      </w:r>
      <w:r w:rsidRPr="00A663B9">
        <w:rPr>
          <w:rFonts w:ascii="Times New Roman" w:hAnsi="Times New Roman" w:cs="Times New Roman"/>
          <w:sz w:val="24"/>
          <w:szCs w:val="24"/>
          <w:lang w:eastAsia="zh-CN"/>
        </w:rPr>
        <w:t xml:space="preserve"> during the discussion.</w:t>
      </w:r>
    </w:p>
    <w:p w14:paraId="71A3AB6D" w14:textId="77777777" w:rsidR="00667FE3" w:rsidRPr="00A663B9" w:rsidRDefault="00667FE3" w:rsidP="0097195B">
      <w:pPr>
        <w:spacing w:after="0" w:line="240" w:lineRule="auto"/>
        <w:jc w:val="both"/>
        <w:rPr>
          <w:rFonts w:ascii="Times New Roman" w:hAnsi="Times New Roman" w:cs="Times New Roman"/>
          <w:sz w:val="24"/>
          <w:szCs w:val="24"/>
        </w:rPr>
      </w:pPr>
    </w:p>
    <w:p w14:paraId="1B237FE5" w14:textId="00C42868" w:rsidR="00E21D96" w:rsidRPr="00A663B9" w:rsidRDefault="00E21D96"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 xml:space="preserve">Recommendation 3.1: </w:t>
      </w:r>
      <w:r w:rsidR="002346CA" w:rsidRPr="00A663B9">
        <w:rPr>
          <w:rFonts w:ascii="Times New Roman" w:hAnsi="Times New Roman" w:cs="Times New Roman"/>
          <w:i/>
          <w:iCs/>
          <w:sz w:val="24"/>
          <w:szCs w:val="24"/>
        </w:rPr>
        <w:t>(subject to the above Recommendations 2.1 and 2.2) improve on the recommendations in the Guide by strongly suggesting the appropriateness of separate legislative/regulatory frameworks to corporate insolvency solutions.</w:t>
      </w:r>
    </w:p>
    <w:p w14:paraId="3F42E571" w14:textId="77777777" w:rsidR="00E21D96" w:rsidRPr="00A663B9" w:rsidRDefault="00E21D96" w:rsidP="0097195B">
      <w:pPr>
        <w:spacing w:after="0" w:line="240" w:lineRule="auto"/>
        <w:jc w:val="both"/>
        <w:rPr>
          <w:rFonts w:ascii="Times New Roman" w:hAnsi="Times New Roman" w:cs="Times New Roman"/>
          <w:sz w:val="24"/>
          <w:szCs w:val="24"/>
        </w:rPr>
      </w:pPr>
    </w:p>
    <w:p w14:paraId="600FD39B" w14:textId="72F7FF46" w:rsidR="002346CA" w:rsidRPr="00A663B9" w:rsidRDefault="002346CA" w:rsidP="002346CA">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(iv) A Modular Approach to Restructuring</w:t>
      </w:r>
      <w:r w:rsidR="00667FE3" w:rsidRPr="00A663B9">
        <w:rPr>
          <w:rFonts w:ascii="Times New Roman" w:hAnsi="Times New Roman" w:cs="Times New Roman"/>
          <w:sz w:val="24"/>
          <w:szCs w:val="24"/>
        </w:rPr>
        <w:t>/Liquidation</w:t>
      </w:r>
      <w:r w:rsidRPr="00A663B9">
        <w:rPr>
          <w:rFonts w:ascii="Times New Roman" w:hAnsi="Times New Roman" w:cs="Times New Roman"/>
          <w:sz w:val="24"/>
          <w:szCs w:val="24"/>
        </w:rPr>
        <w:t xml:space="preserve"> Tools</w:t>
      </w:r>
    </w:p>
    <w:p w14:paraId="5D86EDE0" w14:textId="400C7826" w:rsidR="002346CA" w:rsidRPr="00A663B9" w:rsidRDefault="002346CA" w:rsidP="0097195B">
      <w:pPr>
        <w:spacing w:after="0" w:line="240" w:lineRule="auto"/>
        <w:jc w:val="both"/>
        <w:rPr>
          <w:rFonts w:ascii="Times New Roman" w:hAnsi="Times New Roman" w:cs="Times New Roman"/>
          <w:sz w:val="24"/>
          <w:szCs w:val="24"/>
        </w:rPr>
      </w:pPr>
    </w:p>
    <w:p w14:paraId="1D197517" w14:textId="63A41FF6" w:rsidR="00610E17" w:rsidRPr="00A663B9" w:rsidRDefault="002346CA"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In terms of restructuring and/or liquidation processes, the modern approach recommended by experts and included within the recent amendments to UNCITRAL</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s Legislative Guide that address, in particular, micro- and small-enterprises (</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MSEs</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 xml:space="preserve">) is </w:t>
      </w:r>
      <w:r w:rsidR="00610E17" w:rsidRPr="00A663B9">
        <w:rPr>
          <w:rFonts w:ascii="Times New Roman" w:hAnsi="Times New Roman" w:cs="Times New Roman"/>
          <w:sz w:val="24"/>
          <w:szCs w:val="24"/>
        </w:rPr>
        <w:t xml:space="preserve">the modular approach. This approach generally </w:t>
      </w:r>
      <w:r w:rsidRPr="00A663B9">
        <w:rPr>
          <w:rFonts w:ascii="Times New Roman" w:hAnsi="Times New Roman" w:cs="Times New Roman"/>
          <w:sz w:val="24"/>
          <w:szCs w:val="24"/>
        </w:rPr>
        <w:t>enable</w:t>
      </w:r>
      <w:r w:rsidR="00610E17" w:rsidRPr="00A663B9">
        <w:rPr>
          <w:rFonts w:ascii="Times New Roman" w:hAnsi="Times New Roman" w:cs="Times New Roman"/>
          <w:sz w:val="24"/>
          <w:szCs w:val="24"/>
        </w:rPr>
        <w:t>s</w:t>
      </w:r>
      <w:r w:rsidRPr="00A663B9">
        <w:rPr>
          <w:rFonts w:ascii="Times New Roman" w:hAnsi="Times New Roman" w:cs="Times New Roman"/>
          <w:sz w:val="24"/>
          <w:szCs w:val="24"/>
        </w:rPr>
        <w:t xml:space="preserve"> a range of tools</w:t>
      </w:r>
      <w:r w:rsidR="00E81F02" w:rsidRPr="00A663B9">
        <w:rPr>
          <w:rFonts w:ascii="Times New Roman" w:hAnsi="Times New Roman" w:cs="Times New Roman"/>
          <w:sz w:val="24"/>
          <w:szCs w:val="24"/>
        </w:rPr>
        <w:t xml:space="preserve"> to be deployed </w:t>
      </w:r>
      <w:r w:rsidR="00610E17" w:rsidRPr="00A663B9">
        <w:rPr>
          <w:rFonts w:ascii="Times New Roman" w:hAnsi="Times New Roman" w:cs="Times New Roman"/>
          <w:sz w:val="24"/>
          <w:szCs w:val="24"/>
        </w:rPr>
        <w:t xml:space="preserve">(singly or, where appropriate, in combination with other tools) </w:t>
      </w:r>
      <w:r w:rsidR="00E81F02" w:rsidRPr="00A663B9">
        <w:rPr>
          <w:rFonts w:ascii="Times New Roman" w:hAnsi="Times New Roman" w:cs="Times New Roman"/>
          <w:sz w:val="24"/>
          <w:szCs w:val="24"/>
        </w:rPr>
        <w:t>depending on the circumstances of financial distress and any intended outcomes</w:t>
      </w:r>
      <w:r w:rsidR="005E6BFB" w:rsidRPr="00A663B9">
        <w:rPr>
          <w:rFonts w:ascii="Times New Roman" w:hAnsi="Times New Roman" w:cs="Times New Roman"/>
          <w:sz w:val="24"/>
          <w:szCs w:val="24"/>
        </w:rPr>
        <w:t xml:space="preserve"> in relation to business as a whole</w:t>
      </w:r>
      <w:r w:rsidR="00E81F02" w:rsidRPr="00A663B9">
        <w:rPr>
          <w:rFonts w:ascii="Times New Roman" w:hAnsi="Times New Roman" w:cs="Times New Roman"/>
          <w:sz w:val="24"/>
          <w:szCs w:val="24"/>
        </w:rPr>
        <w:t xml:space="preserve">. </w:t>
      </w:r>
      <w:r w:rsidR="005E6BFB" w:rsidRPr="00A663B9">
        <w:rPr>
          <w:rFonts w:ascii="Times New Roman" w:hAnsi="Times New Roman" w:cs="Times New Roman"/>
          <w:sz w:val="24"/>
          <w:szCs w:val="24"/>
        </w:rPr>
        <w:t>As far as financial institutions are concerned, the range of tools made available in many jurisdictions in their resolution regimes</w:t>
      </w:r>
      <w:r w:rsidR="008E697E" w:rsidRPr="00A663B9">
        <w:rPr>
          <w:rFonts w:ascii="Times New Roman" w:hAnsi="Times New Roman" w:cs="Times New Roman"/>
          <w:sz w:val="24"/>
          <w:szCs w:val="24"/>
        </w:rPr>
        <w:t xml:space="preserve"> approximate</w:t>
      </w:r>
      <w:r w:rsidR="00610E17" w:rsidRPr="00A663B9">
        <w:rPr>
          <w:rFonts w:ascii="Times New Roman" w:hAnsi="Times New Roman" w:cs="Times New Roman"/>
          <w:sz w:val="24"/>
          <w:szCs w:val="24"/>
        </w:rPr>
        <w:t>s</w:t>
      </w:r>
      <w:r w:rsidR="008E697E" w:rsidRPr="00A663B9">
        <w:rPr>
          <w:rFonts w:ascii="Times New Roman" w:hAnsi="Times New Roman" w:cs="Times New Roman"/>
          <w:sz w:val="24"/>
          <w:szCs w:val="24"/>
        </w:rPr>
        <w:t xml:space="preserve"> this approach.</w:t>
      </w:r>
    </w:p>
    <w:p w14:paraId="4686D84C" w14:textId="77777777" w:rsidR="00610E17" w:rsidRPr="00A663B9" w:rsidRDefault="00610E17" w:rsidP="0097195B">
      <w:pPr>
        <w:spacing w:after="0" w:line="240" w:lineRule="auto"/>
        <w:jc w:val="both"/>
        <w:rPr>
          <w:rFonts w:ascii="Times New Roman" w:hAnsi="Times New Roman" w:cs="Times New Roman"/>
          <w:sz w:val="24"/>
          <w:szCs w:val="24"/>
        </w:rPr>
      </w:pPr>
    </w:p>
    <w:p w14:paraId="396A15B5" w14:textId="38E20204" w:rsidR="002346CA" w:rsidRPr="00A663B9" w:rsidRDefault="00610E17"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What will be important, whether the focus is on SIFIs o</w:t>
      </w:r>
      <w:r w:rsidR="00667FE3" w:rsidRPr="00A663B9">
        <w:rPr>
          <w:rFonts w:ascii="Times New Roman" w:hAnsi="Times New Roman" w:cs="Times New Roman"/>
          <w:sz w:val="24"/>
          <w:szCs w:val="24"/>
        </w:rPr>
        <w:t>r</w:t>
      </w:r>
      <w:r w:rsidRPr="00A663B9">
        <w:rPr>
          <w:rFonts w:ascii="Times New Roman" w:hAnsi="Times New Roman" w:cs="Times New Roman"/>
          <w:sz w:val="24"/>
          <w:szCs w:val="24"/>
        </w:rPr>
        <w:t xml:space="preserve"> non-systemic banks, is to ensure that the modular approach forms part of the process by which restructuring or liquidation proceedings in respect of banks incorporate the range of tools necessary for use at various stages of proceedings, again, either singly or in combination. </w:t>
      </w:r>
      <w:r w:rsidR="00667FE3" w:rsidRPr="00A663B9">
        <w:rPr>
          <w:rFonts w:ascii="Times New Roman" w:hAnsi="Times New Roman" w:cs="Times New Roman"/>
          <w:sz w:val="24"/>
          <w:szCs w:val="24"/>
          <w:lang w:eastAsia="zh-CN"/>
        </w:rPr>
        <w:t xml:space="preserve">This will be helpful since the specially designed tools, whether found in this Guide or in the Key Attributes, are useful tools </w:t>
      </w:r>
      <w:r w:rsidR="00667FE3" w:rsidRPr="00A663B9">
        <w:rPr>
          <w:rFonts w:ascii="Times New Roman" w:hAnsi="Times New Roman" w:cs="Times New Roman"/>
          <w:sz w:val="24"/>
          <w:szCs w:val="24"/>
          <w:lang w:eastAsia="zh-CN"/>
        </w:rPr>
        <w:lastRenderedPageBreak/>
        <w:t xml:space="preserve">which can complement each other in addressing bank crises. Notably, it may still be the case that liquidation will follow the </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resolution</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 xml:space="preserve"> process, allowing the residual bank to eventually exit the market.</w:t>
      </w:r>
      <w:r w:rsidR="00667FE3" w:rsidRPr="00A663B9">
        <w:rPr>
          <w:rStyle w:val="FootnoteReference"/>
          <w:rFonts w:ascii="Times New Roman" w:hAnsi="Times New Roman" w:cs="Times New Roman"/>
          <w:sz w:val="24"/>
          <w:szCs w:val="24"/>
          <w:lang w:eastAsia="zh-CN"/>
        </w:rPr>
        <w:footnoteReference w:id="7"/>
      </w:r>
      <w:r w:rsidR="00667FE3" w:rsidRPr="00A663B9">
        <w:rPr>
          <w:rFonts w:ascii="Times New Roman" w:hAnsi="Times New Roman" w:cs="Times New Roman"/>
          <w:sz w:val="24"/>
          <w:szCs w:val="24"/>
          <w:lang w:eastAsia="zh-CN"/>
        </w:rPr>
        <w:t xml:space="preserve"> Thus, highlighting a modular approach in the discussion can help better </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dovetail</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 xml:space="preserve"> this Guide and other international guidelines, such as the Key Attributes. In the same vein, in jurisdictions with a </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dual-track regime</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 xml:space="preserve"> (as discussed in Chapter 1, Section D), where the specially designed tools are scattered across statutory or regulatory instruments related to both </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resolution</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 xml:space="preserve"> and </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insolvency proceedings</w:t>
      </w:r>
      <w:r w:rsidR="00245CB4" w:rsidRPr="00A663B9">
        <w:rPr>
          <w:rFonts w:ascii="Times New Roman" w:hAnsi="Times New Roman" w:cs="Times New Roman"/>
          <w:sz w:val="24"/>
          <w:szCs w:val="24"/>
          <w:lang w:eastAsia="zh-CN"/>
        </w:rPr>
        <w:t>”</w:t>
      </w:r>
      <w:r w:rsidR="00667FE3" w:rsidRPr="00A663B9">
        <w:rPr>
          <w:rFonts w:ascii="Times New Roman" w:hAnsi="Times New Roman" w:cs="Times New Roman"/>
          <w:sz w:val="24"/>
          <w:szCs w:val="24"/>
          <w:lang w:eastAsia="zh-CN"/>
        </w:rPr>
        <w:t xml:space="preserve">, the modular approach can help establish links between these two tracks. In light of this, </w:t>
      </w:r>
      <w:r w:rsidR="00FF656C" w:rsidRPr="00A663B9">
        <w:rPr>
          <w:rFonts w:ascii="Times New Roman" w:hAnsi="Times New Roman" w:cs="Times New Roman"/>
          <w:sz w:val="24"/>
          <w:szCs w:val="24"/>
        </w:rPr>
        <w:t>the Guide can usefully indicate a preference for this approach as part of the background consideration for structuring a</w:t>
      </w:r>
      <w:r w:rsidR="00896550" w:rsidRPr="00A663B9">
        <w:rPr>
          <w:rFonts w:ascii="Times New Roman" w:hAnsi="Times New Roman" w:cs="Times New Roman"/>
          <w:sz w:val="24"/>
          <w:szCs w:val="24"/>
        </w:rPr>
        <w:t>ppropriate</w:t>
      </w:r>
      <w:r w:rsidR="00FF656C" w:rsidRPr="00A663B9">
        <w:rPr>
          <w:rFonts w:ascii="Times New Roman" w:hAnsi="Times New Roman" w:cs="Times New Roman"/>
          <w:sz w:val="24"/>
          <w:szCs w:val="24"/>
        </w:rPr>
        <w:t xml:space="preserve"> legislative or regulatory framework</w:t>
      </w:r>
      <w:r w:rsidR="00896550" w:rsidRPr="00A663B9">
        <w:rPr>
          <w:rFonts w:ascii="Times New Roman" w:hAnsi="Times New Roman" w:cs="Times New Roman"/>
          <w:sz w:val="24"/>
          <w:szCs w:val="24"/>
        </w:rPr>
        <w:t>s</w:t>
      </w:r>
      <w:r w:rsidR="00FF656C" w:rsidRPr="00A663B9">
        <w:rPr>
          <w:rFonts w:ascii="Times New Roman" w:hAnsi="Times New Roman" w:cs="Times New Roman"/>
          <w:sz w:val="24"/>
          <w:szCs w:val="24"/>
        </w:rPr>
        <w:t>.</w:t>
      </w:r>
    </w:p>
    <w:p w14:paraId="786D6AC2" w14:textId="2D9FD6B1" w:rsidR="002346CA" w:rsidRPr="00A663B9" w:rsidRDefault="002346CA" w:rsidP="0097195B">
      <w:pPr>
        <w:spacing w:after="0" w:line="240" w:lineRule="auto"/>
        <w:jc w:val="both"/>
        <w:rPr>
          <w:rFonts w:ascii="Times New Roman" w:hAnsi="Times New Roman" w:cs="Times New Roman"/>
          <w:sz w:val="24"/>
          <w:szCs w:val="24"/>
        </w:rPr>
      </w:pPr>
    </w:p>
    <w:p w14:paraId="49A3452A" w14:textId="77777777" w:rsidR="00A92318" w:rsidRPr="00A663B9" w:rsidRDefault="00896550"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 xml:space="preserve">Recommendation 4.1: The Guide could usefully provide an indication of a preferred </w:t>
      </w:r>
      <w:r w:rsidR="00A92318" w:rsidRPr="00A663B9">
        <w:rPr>
          <w:rFonts w:ascii="Times New Roman" w:hAnsi="Times New Roman" w:cs="Times New Roman"/>
          <w:i/>
          <w:iCs/>
          <w:sz w:val="24"/>
          <w:szCs w:val="24"/>
        </w:rPr>
        <w:t>approach under the overall aegis of restructuring and/or liquidation, which could be a modular approach.</w:t>
      </w:r>
    </w:p>
    <w:p w14:paraId="21B02BB5" w14:textId="77777777" w:rsidR="00A92318" w:rsidRPr="00A663B9" w:rsidRDefault="00A92318" w:rsidP="0097195B">
      <w:pPr>
        <w:spacing w:after="0" w:line="240" w:lineRule="auto"/>
        <w:jc w:val="both"/>
        <w:rPr>
          <w:rFonts w:ascii="Times New Roman" w:hAnsi="Times New Roman" w:cs="Times New Roman"/>
          <w:i/>
          <w:iCs/>
          <w:sz w:val="24"/>
          <w:szCs w:val="24"/>
        </w:rPr>
      </w:pPr>
    </w:p>
    <w:p w14:paraId="67FC1D63" w14:textId="5D587B5B" w:rsidR="00896550" w:rsidRPr="00A663B9" w:rsidRDefault="00A92318"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 xml:space="preserve">Recommendation 4.2: The Guide could usefully align with the modular approach currently being seen in the development of restructuring and/or liquidation frameworks, which could include an indicative list (capable of change/evolution) of tools that could be deployed within an overall resolution </w:t>
      </w:r>
      <w:r w:rsidR="00245CB4" w:rsidRPr="00A663B9">
        <w:rPr>
          <w:rFonts w:ascii="Times New Roman" w:hAnsi="Times New Roman" w:cs="Times New Roman"/>
          <w:i/>
          <w:iCs/>
          <w:sz w:val="24"/>
          <w:szCs w:val="24"/>
        </w:rPr>
        <w:t xml:space="preserve">and liquidation </w:t>
      </w:r>
      <w:r w:rsidRPr="00A663B9">
        <w:rPr>
          <w:rFonts w:ascii="Times New Roman" w:hAnsi="Times New Roman" w:cs="Times New Roman"/>
          <w:i/>
          <w:iCs/>
          <w:sz w:val="24"/>
          <w:szCs w:val="24"/>
        </w:rPr>
        <w:t>framework dealing with financial distress.</w:t>
      </w:r>
    </w:p>
    <w:p w14:paraId="7F24A83B" w14:textId="77777777" w:rsidR="00896550" w:rsidRPr="00A663B9" w:rsidRDefault="00896550" w:rsidP="0097195B">
      <w:pPr>
        <w:spacing w:after="0" w:line="240" w:lineRule="auto"/>
        <w:jc w:val="both"/>
        <w:rPr>
          <w:rFonts w:ascii="Times New Roman" w:hAnsi="Times New Roman" w:cs="Times New Roman"/>
          <w:sz w:val="24"/>
          <w:szCs w:val="24"/>
        </w:rPr>
      </w:pPr>
    </w:p>
    <w:p w14:paraId="072F2D2D" w14:textId="411E3CBA" w:rsidR="001C5D92" w:rsidRPr="00A663B9" w:rsidRDefault="001C5D92"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(v) Balancing Administrative and Curial Conduct of Proceedings</w:t>
      </w:r>
    </w:p>
    <w:p w14:paraId="6A25A278" w14:textId="65AD269B" w:rsidR="001C5D92" w:rsidRPr="00A663B9" w:rsidRDefault="001C5D92" w:rsidP="0097195B">
      <w:pPr>
        <w:spacing w:after="0" w:line="240" w:lineRule="auto"/>
        <w:jc w:val="both"/>
        <w:rPr>
          <w:rFonts w:ascii="Times New Roman" w:hAnsi="Times New Roman" w:cs="Times New Roman"/>
          <w:sz w:val="24"/>
          <w:szCs w:val="24"/>
        </w:rPr>
      </w:pPr>
    </w:p>
    <w:p w14:paraId="06119162" w14:textId="77777777" w:rsidR="00245CB4" w:rsidRPr="00A663B9" w:rsidRDefault="00C11214"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The Guide suggests that the prominent role accorded to the supervisory/oversight body should continue in the period of financial distress and guide the institution of proceedings and their use to achieve a particular outcome or outcomes. </w:t>
      </w:r>
      <w:r w:rsidR="0045687B" w:rsidRPr="00A663B9">
        <w:rPr>
          <w:rFonts w:ascii="Times New Roman" w:hAnsi="Times New Roman" w:cs="Times New Roman"/>
          <w:sz w:val="24"/>
          <w:szCs w:val="24"/>
        </w:rPr>
        <w:t>The unique susceptibility of banks to runs and their importance to the functioning of the financial system and real economy through activities such as deposit-taking, provision of credit, and transmission of payments mean that bank failure is significantly more likely to give rise to public policy concerns than court-based regimes.</w:t>
      </w:r>
      <w:r w:rsidR="0045687B" w:rsidRPr="00A663B9">
        <w:rPr>
          <w:rStyle w:val="FootnoteReference"/>
          <w:rFonts w:ascii="Times New Roman" w:hAnsi="Times New Roman" w:cs="Times New Roman"/>
          <w:sz w:val="24"/>
          <w:szCs w:val="24"/>
        </w:rPr>
        <w:footnoteReference w:id="8"/>
      </w:r>
      <w:r w:rsidR="0045687B" w:rsidRPr="00A663B9">
        <w:rPr>
          <w:rFonts w:ascii="Times New Roman" w:hAnsi="Times New Roman" w:cs="Times New Roman"/>
          <w:sz w:val="24"/>
          <w:szCs w:val="24"/>
        </w:rPr>
        <w:t xml:space="preserve"> For example, the administrative authorities</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 xml:space="preserve"> ability to intervene in front of the first symptoms of a bank</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s problems allows the crisis to be dealt with very quickly, to avoid as much as possible the loss of value of the intermediary</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s assets and the maximization of creditors</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 xml:space="preserve"> interests. The same applies to the process of realization of assets, and in particular to the sale of business, where the assets</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 xml:space="preserve"> liquidation and the payment of the bank</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s creditors under the supervision of an administrative authority allow for celerity and efficiency.</w:t>
      </w:r>
    </w:p>
    <w:p w14:paraId="6FE2DD0E" w14:textId="77777777" w:rsidR="00245CB4" w:rsidRPr="00A663B9" w:rsidRDefault="00245CB4" w:rsidP="0097195B">
      <w:pPr>
        <w:spacing w:after="0" w:line="240" w:lineRule="auto"/>
        <w:jc w:val="both"/>
        <w:rPr>
          <w:rFonts w:ascii="Times New Roman" w:hAnsi="Times New Roman" w:cs="Times New Roman"/>
          <w:sz w:val="24"/>
          <w:szCs w:val="24"/>
        </w:rPr>
      </w:pPr>
    </w:p>
    <w:p w14:paraId="3EAEFBA0" w14:textId="267493B3" w:rsidR="00947E81" w:rsidRPr="00A663B9" w:rsidRDefault="00C11214"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As such, the role of courts and judges, particularly the interventionist roles seen in civil systems, are not </w:t>
      </w:r>
      <w:r w:rsidR="00F822BC" w:rsidRPr="00A663B9">
        <w:rPr>
          <w:rFonts w:ascii="Times New Roman" w:hAnsi="Times New Roman" w:cs="Times New Roman"/>
          <w:sz w:val="24"/>
          <w:szCs w:val="24"/>
        </w:rPr>
        <w:t xml:space="preserve">always </w:t>
      </w:r>
      <w:r w:rsidRPr="00A663B9">
        <w:rPr>
          <w:rFonts w:ascii="Times New Roman" w:hAnsi="Times New Roman" w:cs="Times New Roman"/>
          <w:sz w:val="24"/>
          <w:szCs w:val="24"/>
        </w:rPr>
        <w:t>appropriate for procedures and processes that are highly technical and will demand specialist skills to implement.</w:t>
      </w:r>
      <w:r w:rsidR="00F822BC" w:rsidRPr="00A663B9">
        <w:rPr>
          <w:rFonts w:ascii="Times New Roman" w:hAnsi="Times New Roman" w:cs="Times New Roman"/>
          <w:sz w:val="24"/>
          <w:szCs w:val="24"/>
        </w:rPr>
        <w:t xml:space="preserve"> Nonetheless, public policy may dictate the requirement for office-holders to be appointed, who tend to be under the supervision of or owe duties in the management of cases to a court/judge.</w:t>
      </w:r>
      <w:r w:rsidR="00BD4199" w:rsidRPr="00A663B9">
        <w:rPr>
          <w:rFonts w:ascii="Times New Roman" w:hAnsi="Times New Roman" w:cs="Times New Roman"/>
          <w:sz w:val="24"/>
          <w:szCs w:val="24"/>
        </w:rPr>
        <w:t xml:space="preserve"> Courts will also be given, in many systems, specific roles to supervise the office-holder, to resolve challenges to decisions impacting on outcomes and, more generally, to play a public </w:t>
      </w:r>
      <w:r w:rsidR="00997A6F" w:rsidRPr="00A663B9">
        <w:rPr>
          <w:rFonts w:ascii="Times New Roman" w:hAnsi="Times New Roman" w:cs="Times New Roman"/>
          <w:sz w:val="24"/>
          <w:szCs w:val="24"/>
        </w:rPr>
        <w:t xml:space="preserve">protective </w:t>
      </w:r>
      <w:r w:rsidR="00BD4199" w:rsidRPr="00A663B9">
        <w:rPr>
          <w:rFonts w:ascii="Times New Roman" w:hAnsi="Times New Roman" w:cs="Times New Roman"/>
          <w:sz w:val="24"/>
          <w:szCs w:val="24"/>
        </w:rPr>
        <w:t>role in certifying the outcomes as compliant with the law and public policy.</w:t>
      </w:r>
      <w:r w:rsidR="0045687B" w:rsidRPr="00A663B9">
        <w:rPr>
          <w:rFonts w:ascii="Times New Roman" w:hAnsi="Times New Roman" w:cs="Times New Roman"/>
          <w:sz w:val="24"/>
          <w:szCs w:val="24"/>
        </w:rPr>
        <w:t xml:space="preserve"> Due to this variety, creditors and depositors tend to be treated differently across the globe, fuelling financial breakdown and avoiding </w:t>
      </w:r>
      <w:r w:rsidR="00245CB4" w:rsidRPr="00A663B9">
        <w:rPr>
          <w:rFonts w:ascii="Times New Roman" w:hAnsi="Times New Roman" w:cs="Times New Roman"/>
          <w:sz w:val="24"/>
          <w:szCs w:val="24"/>
        </w:rPr>
        <w:t xml:space="preserve">the </w:t>
      </w:r>
      <w:r w:rsidR="0045687B" w:rsidRPr="00A663B9">
        <w:rPr>
          <w:rFonts w:ascii="Times New Roman" w:hAnsi="Times New Roman" w:cs="Times New Roman"/>
          <w:sz w:val="24"/>
          <w:szCs w:val="24"/>
        </w:rPr>
        <w:t xml:space="preserve">strengthening </w:t>
      </w:r>
      <w:r w:rsidR="00245CB4" w:rsidRPr="00A663B9">
        <w:rPr>
          <w:rFonts w:ascii="Times New Roman" w:hAnsi="Times New Roman" w:cs="Times New Roman"/>
          <w:sz w:val="24"/>
          <w:szCs w:val="24"/>
        </w:rPr>
        <w:t xml:space="preserve">of </w:t>
      </w:r>
      <w:r w:rsidR="0045687B" w:rsidRPr="00A663B9">
        <w:rPr>
          <w:rFonts w:ascii="Times New Roman" w:hAnsi="Times New Roman" w:cs="Times New Roman"/>
          <w:sz w:val="24"/>
          <w:szCs w:val="24"/>
        </w:rPr>
        <w:t>the harmonization process.</w:t>
      </w:r>
    </w:p>
    <w:p w14:paraId="17F8CD8A" w14:textId="35F61DB1" w:rsidR="00947E81" w:rsidRPr="00A663B9" w:rsidRDefault="00947E81" w:rsidP="0097195B">
      <w:pPr>
        <w:spacing w:after="0" w:line="240" w:lineRule="auto"/>
        <w:jc w:val="both"/>
        <w:rPr>
          <w:rFonts w:ascii="Times New Roman" w:hAnsi="Times New Roman" w:cs="Times New Roman"/>
          <w:sz w:val="24"/>
          <w:szCs w:val="24"/>
        </w:rPr>
      </w:pPr>
    </w:p>
    <w:p w14:paraId="69E73D14" w14:textId="77777777" w:rsidR="00245CB4" w:rsidRPr="00A663B9" w:rsidRDefault="004C5B26"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lastRenderedPageBreak/>
        <w:t>In that light, the key issue is</w:t>
      </w:r>
      <w:r w:rsidR="00BD4199" w:rsidRPr="00A663B9">
        <w:rPr>
          <w:rFonts w:ascii="Times New Roman" w:hAnsi="Times New Roman" w:cs="Times New Roman"/>
          <w:sz w:val="24"/>
          <w:szCs w:val="24"/>
        </w:rPr>
        <w:t xml:space="preserve"> how </w:t>
      </w:r>
      <w:r w:rsidRPr="00A663B9">
        <w:rPr>
          <w:rFonts w:ascii="Times New Roman" w:hAnsi="Times New Roman" w:cs="Times New Roman"/>
          <w:sz w:val="24"/>
          <w:szCs w:val="24"/>
        </w:rPr>
        <w:t xml:space="preserve">to structure a system in which </w:t>
      </w:r>
      <w:r w:rsidR="00BD4199" w:rsidRPr="00A663B9">
        <w:rPr>
          <w:rFonts w:ascii="Times New Roman" w:hAnsi="Times New Roman" w:cs="Times New Roman"/>
          <w:sz w:val="24"/>
          <w:szCs w:val="24"/>
        </w:rPr>
        <w:t xml:space="preserve">a balance is achieved between allowing technically-based management of processes and enabling challenges to decisions that may impact (adversely) on stakeholders (particularly vulnerable ones). Drawing on experience in relation to SIFIs, </w:t>
      </w:r>
      <w:r w:rsidR="0034199E" w:rsidRPr="00A663B9">
        <w:rPr>
          <w:rFonts w:ascii="Times New Roman" w:hAnsi="Times New Roman" w:cs="Times New Roman"/>
          <w:sz w:val="24"/>
          <w:szCs w:val="24"/>
        </w:rPr>
        <w:t>where very specific tools demand very high skills in their implementation and curial oversight tends to be limited to narrowly defined areas of challenge, it might be appropriate, as far as it is possible, to delineate areas of appropriate administrative and curial supervision or to indicate, where areas overlap, whether primacy should be given to administrative or curial oversight. Any such delineation can take into account the relative lack of challenges, which tend not to occur when dealing with financial institutions generally because of the costs and impact on the speed of procedures.</w:t>
      </w:r>
    </w:p>
    <w:p w14:paraId="2EC29366" w14:textId="77777777" w:rsidR="00245CB4" w:rsidRPr="00A663B9" w:rsidRDefault="00245CB4" w:rsidP="0097195B">
      <w:pPr>
        <w:spacing w:after="0" w:line="240" w:lineRule="auto"/>
        <w:jc w:val="both"/>
        <w:rPr>
          <w:rFonts w:ascii="Times New Roman" w:hAnsi="Times New Roman" w:cs="Times New Roman"/>
          <w:sz w:val="24"/>
          <w:szCs w:val="24"/>
        </w:rPr>
      </w:pPr>
    </w:p>
    <w:p w14:paraId="3DDDCDA5" w14:textId="671F1702" w:rsidR="004C5B26" w:rsidRPr="00A663B9" w:rsidRDefault="0045687B"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In this regard, timely and fast-moving insolvency proceedings better preserve asset value, thus better protecting the preferred claims of depositors by maximizing the available assets to cover those claims. An administrative authority with appropriate expertise may be better able to direct a complex procedure efficiently and in a way that is consistent with its statutory objectives.</w:t>
      </w:r>
      <w:r w:rsidRPr="00A663B9">
        <w:rPr>
          <w:rStyle w:val="FootnoteReference"/>
          <w:rFonts w:ascii="Times New Roman" w:hAnsi="Times New Roman" w:cs="Times New Roman"/>
          <w:sz w:val="24"/>
          <w:szCs w:val="24"/>
        </w:rPr>
        <w:footnoteReference w:id="9"/>
      </w:r>
      <w:r w:rsidRPr="00A663B9">
        <w:rPr>
          <w:rFonts w:ascii="Times New Roman" w:hAnsi="Times New Roman" w:cs="Times New Roman"/>
          <w:sz w:val="24"/>
          <w:szCs w:val="24"/>
        </w:rPr>
        <w:t xml:space="preserve"> An administrative regime may also provide a wider range of options for bank insolvency by conferring additional instruments beyond conventional liquidation actions on the responsible authority, which may increase available options in insolvency.</w:t>
      </w:r>
      <w:r w:rsidRPr="00A663B9">
        <w:rPr>
          <w:rStyle w:val="FootnoteReference"/>
          <w:rFonts w:ascii="Times New Roman" w:hAnsi="Times New Roman" w:cs="Times New Roman"/>
          <w:sz w:val="24"/>
          <w:szCs w:val="24"/>
        </w:rPr>
        <w:footnoteReference w:id="10"/>
      </w:r>
      <w:r w:rsidRPr="00A663B9">
        <w:rPr>
          <w:rFonts w:ascii="Times New Roman" w:hAnsi="Times New Roman" w:cs="Times New Roman"/>
          <w:sz w:val="24"/>
          <w:szCs w:val="24"/>
        </w:rPr>
        <w:t xml:space="preserve"> However, depositor protection objectives may also be achieved within appropriately modified court-based procedures.</w:t>
      </w:r>
    </w:p>
    <w:p w14:paraId="4ED22C7B" w14:textId="6A00C8C1" w:rsidR="004C5B26" w:rsidRPr="00A663B9" w:rsidRDefault="004C5B26" w:rsidP="0097195B">
      <w:pPr>
        <w:spacing w:after="0" w:line="240" w:lineRule="auto"/>
        <w:jc w:val="both"/>
        <w:rPr>
          <w:rFonts w:ascii="Times New Roman" w:hAnsi="Times New Roman" w:cs="Times New Roman"/>
          <w:sz w:val="24"/>
          <w:szCs w:val="24"/>
        </w:rPr>
      </w:pPr>
    </w:p>
    <w:p w14:paraId="3B2296F0" w14:textId="25CC2F31" w:rsidR="0034199E" w:rsidRPr="00A663B9" w:rsidRDefault="0034199E"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 xml:space="preserve">Recommendation 5.1: </w:t>
      </w:r>
      <w:r w:rsidR="00997A6F" w:rsidRPr="00A663B9">
        <w:rPr>
          <w:rFonts w:ascii="Times New Roman" w:hAnsi="Times New Roman" w:cs="Times New Roman"/>
          <w:i/>
          <w:iCs/>
          <w:sz w:val="24"/>
          <w:szCs w:val="24"/>
        </w:rPr>
        <w:t>The Guide can usefully extend its recommendations on an approach to balance administrative and curial areas of intervention in the conduct of proceedings, which may include a recommendation for a minimal role for courts that can be limited to their public protective role.</w:t>
      </w:r>
      <w:r w:rsidR="0045687B" w:rsidRPr="00A663B9">
        <w:rPr>
          <w:rFonts w:ascii="Times New Roman" w:hAnsi="Times New Roman" w:cs="Times New Roman"/>
          <w:i/>
          <w:iCs/>
          <w:sz w:val="24"/>
          <w:szCs w:val="24"/>
        </w:rPr>
        <w:t xml:space="preserve"> Specifically, the Guide may indicate a preferred approach under the implementation of an administrative-based model that provides for a judicial phase, especially in cases where a decision on the creditors</w:t>
      </w:r>
      <w:r w:rsidR="00245CB4" w:rsidRPr="00A663B9">
        <w:rPr>
          <w:rFonts w:ascii="Times New Roman" w:hAnsi="Times New Roman" w:cs="Times New Roman"/>
          <w:i/>
          <w:iCs/>
          <w:sz w:val="24"/>
          <w:szCs w:val="24"/>
        </w:rPr>
        <w:t>’</w:t>
      </w:r>
      <w:r w:rsidR="0045687B" w:rsidRPr="00A663B9">
        <w:rPr>
          <w:rFonts w:ascii="Times New Roman" w:hAnsi="Times New Roman" w:cs="Times New Roman"/>
          <w:i/>
          <w:iCs/>
          <w:sz w:val="24"/>
          <w:szCs w:val="24"/>
        </w:rPr>
        <w:t xml:space="preserve"> rights and claims is necessary. An expanded role for administrative authorities and a reduced field for judicial courts in the proceedings are aimed in particular at protecting depositors by ensuring as far as possible minimum interruption of access to at least part of their funds and, more generally, at promoting speed and efficiency in the insolvency procedure.</w:t>
      </w:r>
    </w:p>
    <w:p w14:paraId="1C8A47A6" w14:textId="336A03CC" w:rsidR="0034199E" w:rsidRPr="00A663B9" w:rsidRDefault="0034199E" w:rsidP="0097195B">
      <w:pPr>
        <w:spacing w:after="0" w:line="240" w:lineRule="auto"/>
        <w:jc w:val="both"/>
        <w:rPr>
          <w:rFonts w:ascii="Times New Roman" w:hAnsi="Times New Roman" w:cs="Times New Roman"/>
          <w:sz w:val="24"/>
          <w:szCs w:val="24"/>
        </w:rPr>
      </w:pPr>
    </w:p>
    <w:p w14:paraId="052089EC" w14:textId="1B68A335" w:rsidR="00997A6F" w:rsidRPr="00A663B9" w:rsidRDefault="00997A6F"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Recommendation 5.2: The Guide can usefully extend recommendations to specify adequate skills bases (to include pre-requisite knowledge and/or CPD) for courts and/or office-holders and any role they may play in the conduct of proceedings.</w:t>
      </w:r>
      <w:r w:rsidR="0045687B" w:rsidRPr="00A663B9">
        <w:rPr>
          <w:rFonts w:ascii="Times New Roman" w:hAnsi="Times New Roman" w:cs="Times New Roman"/>
          <w:i/>
          <w:iCs/>
          <w:sz w:val="24"/>
          <w:szCs w:val="24"/>
        </w:rPr>
        <w:t xml:space="preserve"> Moreover</w:t>
      </w:r>
      <w:r w:rsidR="0045687B" w:rsidRPr="00A663B9">
        <w:rPr>
          <w:rFonts w:ascii="Times New Roman" w:hAnsi="Times New Roman" w:cs="Times New Roman"/>
          <w:sz w:val="24"/>
          <w:szCs w:val="24"/>
        </w:rPr>
        <w:t xml:space="preserve">, </w:t>
      </w:r>
      <w:r w:rsidR="0045687B" w:rsidRPr="00A663B9">
        <w:rPr>
          <w:rFonts w:ascii="Times New Roman" w:hAnsi="Times New Roman" w:cs="Times New Roman"/>
          <w:i/>
          <w:iCs/>
          <w:sz w:val="24"/>
          <w:szCs w:val="24"/>
        </w:rPr>
        <w:t>the summaries of the judicial toolbox (i.e. judgments, advisory opinions, and orders) delivered by the court in their respective jurisdictions could be used as a useful reference guide by practitioners in future cases. This initiative can also contribute to the knowledge-sharing process concerning the work of the national courts and/or office-holders and – at the same time - help to clarify the formal role that courts play within domestic bank insolvency management.</w:t>
      </w:r>
    </w:p>
    <w:p w14:paraId="5EEA3C7F" w14:textId="77777777" w:rsidR="00997A6F" w:rsidRPr="00A663B9" w:rsidRDefault="00997A6F" w:rsidP="0097195B">
      <w:pPr>
        <w:spacing w:after="0" w:line="240" w:lineRule="auto"/>
        <w:jc w:val="both"/>
        <w:rPr>
          <w:rFonts w:ascii="Times New Roman" w:hAnsi="Times New Roman" w:cs="Times New Roman"/>
          <w:sz w:val="24"/>
          <w:szCs w:val="24"/>
        </w:rPr>
      </w:pPr>
    </w:p>
    <w:p w14:paraId="0CFD02F9" w14:textId="1D8C0446" w:rsidR="001C5D92" w:rsidRPr="00A663B9" w:rsidRDefault="001C5D92"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(vi) Protecting Depositors and Other (Vulnerable) Stakeholders</w:t>
      </w:r>
    </w:p>
    <w:p w14:paraId="72F25382" w14:textId="2CC23EB5" w:rsidR="001C5D92" w:rsidRPr="00A663B9" w:rsidRDefault="001C5D92" w:rsidP="0097195B">
      <w:pPr>
        <w:spacing w:after="0" w:line="240" w:lineRule="auto"/>
        <w:jc w:val="both"/>
        <w:rPr>
          <w:rFonts w:ascii="Times New Roman" w:hAnsi="Times New Roman" w:cs="Times New Roman"/>
          <w:sz w:val="24"/>
          <w:szCs w:val="24"/>
        </w:rPr>
      </w:pPr>
    </w:p>
    <w:p w14:paraId="518E3834" w14:textId="77777777" w:rsidR="00245CB4" w:rsidRPr="00A663B9" w:rsidRDefault="00B26717"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The place of depositors in any banking eco-system is a very sensitive one.</w:t>
      </w:r>
      <w:r w:rsidR="008C3D10" w:rsidRPr="00A663B9">
        <w:rPr>
          <w:rFonts w:ascii="Times New Roman" w:hAnsi="Times New Roman" w:cs="Times New Roman"/>
          <w:sz w:val="24"/>
          <w:szCs w:val="24"/>
        </w:rPr>
        <w:t xml:space="preserve"> This is acknowledge</w:t>
      </w:r>
      <w:r w:rsidR="00387F63" w:rsidRPr="00A663B9">
        <w:rPr>
          <w:rFonts w:ascii="Times New Roman" w:hAnsi="Times New Roman" w:cs="Times New Roman"/>
          <w:sz w:val="24"/>
          <w:szCs w:val="24"/>
        </w:rPr>
        <w:t>d</w:t>
      </w:r>
      <w:r w:rsidR="008C3D10" w:rsidRPr="00A663B9">
        <w:rPr>
          <w:rFonts w:ascii="Times New Roman" w:hAnsi="Times New Roman" w:cs="Times New Roman"/>
          <w:sz w:val="24"/>
          <w:szCs w:val="24"/>
        </w:rPr>
        <w:t xml:space="preserve"> by its place within the Guide as one of the leading principles underpinning the construction of financial regulation.</w:t>
      </w:r>
      <w:r w:rsidR="008D79EA" w:rsidRPr="00A663B9">
        <w:rPr>
          <w:rFonts w:ascii="Times New Roman" w:hAnsi="Times New Roman" w:cs="Times New Roman"/>
          <w:sz w:val="24"/>
          <w:szCs w:val="24"/>
        </w:rPr>
        <w:t xml:space="preserve"> </w:t>
      </w:r>
      <w:r w:rsidR="00387F63" w:rsidRPr="00A663B9">
        <w:rPr>
          <w:rFonts w:ascii="Times New Roman" w:hAnsi="Times New Roman" w:cs="Times New Roman"/>
          <w:sz w:val="24"/>
          <w:szCs w:val="24"/>
        </w:rPr>
        <w:t>The role of depositors in the eco-system tends to be largely passive</w:t>
      </w:r>
      <w:r w:rsidR="00A06640" w:rsidRPr="00A663B9">
        <w:rPr>
          <w:rFonts w:ascii="Times New Roman" w:hAnsi="Times New Roman" w:cs="Times New Roman"/>
          <w:sz w:val="24"/>
          <w:szCs w:val="24"/>
        </w:rPr>
        <w:t xml:space="preserve">, as they undergo the application of the framework and associated procedures. The  rules on depositor protection are intended to operate as an exception to the principle in the Guide </w:t>
      </w:r>
      <w:r w:rsidR="00A06640" w:rsidRPr="00A663B9">
        <w:rPr>
          <w:rFonts w:ascii="Times New Roman" w:hAnsi="Times New Roman" w:cs="Times New Roman"/>
          <w:sz w:val="24"/>
          <w:szCs w:val="24"/>
        </w:rPr>
        <w:lastRenderedPageBreak/>
        <w:t xml:space="preserve">that public funds should not be used within a resolution process, albeit the exception can be justified by recourse to public protection principles. </w:t>
      </w:r>
      <w:r w:rsidR="0045687B" w:rsidRPr="00A663B9">
        <w:rPr>
          <w:rFonts w:ascii="Times New Roman" w:hAnsi="Times New Roman" w:cs="Times New Roman"/>
          <w:sz w:val="24"/>
          <w:szCs w:val="24"/>
        </w:rPr>
        <w:t>According to the European legal system, the fragmented design of national bank liquidation laws leads to significant weaknesses in the current bank failure management framework, including the effectiveness disparity among national insolvency procedures, tensions and inconsistencies between the resolution framework and national insolvency regimes; and specific obstacles to an orderly management of the failure of mid-sized banks.</w:t>
      </w:r>
      <w:r w:rsidR="0045687B" w:rsidRPr="00A663B9">
        <w:rPr>
          <w:rStyle w:val="FootnoteReference"/>
          <w:rFonts w:ascii="Times New Roman" w:hAnsi="Times New Roman" w:cs="Times New Roman"/>
          <w:sz w:val="24"/>
          <w:szCs w:val="24"/>
        </w:rPr>
        <w:footnoteReference w:id="11"/>
      </w:r>
    </w:p>
    <w:p w14:paraId="53CE4EEA" w14:textId="77777777" w:rsidR="00245CB4" w:rsidRPr="00A663B9" w:rsidRDefault="00245CB4" w:rsidP="0097195B">
      <w:pPr>
        <w:spacing w:after="0" w:line="240" w:lineRule="auto"/>
        <w:jc w:val="both"/>
        <w:rPr>
          <w:rFonts w:ascii="Times New Roman" w:hAnsi="Times New Roman" w:cs="Times New Roman"/>
          <w:sz w:val="24"/>
          <w:szCs w:val="24"/>
        </w:rPr>
      </w:pPr>
    </w:p>
    <w:p w14:paraId="32EC66A5" w14:textId="580F08B8" w:rsidR="00B26717" w:rsidRPr="00A663B9" w:rsidRDefault="00196270"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Inasmuch as the depositor protection rules are implemented at domestic level, albeit guided by supranational principles and structures (e.g., within the European Union), guidance could be given in respect of an appropriate structure for depositor protection rules, including any guiding principles.</w:t>
      </w:r>
      <w:r w:rsidR="0045687B" w:rsidRPr="00A663B9">
        <w:rPr>
          <w:rFonts w:ascii="Times New Roman" w:hAnsi="Times New Roman" w:cs="Times New Roman"/>
          <w:sz w:val="24"/>
          <w:szCs w:val="24"/>
        </w:rPr>
        <w:t xml:space="preserve"> For these reasons, it seems reasonable to consider the Guide</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s impact on global regulatory convergence and how a potentially more effective approach would address some of the deficiencies of the national insolvency regimes in terms of funding and deposit guarantee schemes (</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DGS</w:t>
      </w:r>
      <w:r w:rsidR="00245CB4" w:rsidRPr="00A663B9">
        <w:rPr>
          <w:rFonts w:ascii="Times New Roman" w:hAnsi="Times New Roman" w:cs="Times New Roman"/>
          <w:sz w:val="24"/>
          <w:szCs w:val="24"/>
        </w:rPr>
        <w:t>”</w:t>
      </w:r>
      <w:r w:rsidR="0045687B" w:rsidRPr="00A663B9">
        <w:rPr>
          <w:rFonts w:ascii="Times New Roman" w:hAnsi="Times New Roman" w:cs="Times New Roman"/>
          <w:sz w:val="24"/>
          <w:szCs w:val="24"/>
        </w:rPr>
        <w:t>).</w:t>
      </w:r>
    </w:p>
    <w:p w14:paraId="248835A1" w14:textId="27C6AC93" w:rsidR="00B26717" w:rsidRPr="00A663B9" w:rsidRDefault="00B26717" w:rsidP="0097195B">
      <w:pPr>
        <w:spacing w:after="0" w:line="240" w:lineRule="auto"/>
        <w:jc w:val="both"/>
        <w:rPr>
          <w:rFonts w:ascii="Times New Roman" w:hAnsi="Times New Roman" w:cs="Times New Roman"/>
          <w:sz w:val="24"/>
          <w:szCs w:val="24"/>
        </w:rPr>
      </w:pPr>
    </w:p>
    <w:p w14:paraId="0BD757C6" w14:textId="140A8A53" w:rsidR="00196270" w:rsidRPr="00A663B9" w:rsidRDefault="00196270"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Recommendation 6.1: The Guide could extend its coverage of framework principles to provide an update approach to depositor protection rules as part of a recommended structure for procedures in respect of non-systemic banks.</w:t>
      </w:r>
    </w:p>
    <w:p w14:paraId="76F15688" w14:textId="78635F7A" w:rsidR="00196270" w:rsidRPr="00A663B9" w:rsidRDefault="00196270" w:rsidP="0097195B">
      <w:pPr>
        <w:spacing w:after="0" w:line="240" w:lineRule="auto"/>
        <w:jc w:val="both"/>
        <w:rPr>
          <w:rFonts w:ascii="Times New Roman" w:hAnsi="Times New Roman" w:cs="Times New Roman"/>
          <w:sz w:val="24"/>
          <w:szCs w:val="24"/>
        </w:rPr>
      </w:pPr>
    </w:p>
    <w:p w14:paraId="5EFD5DED" w14:textId="12DB3AD8" w:rsidR="0045687B" w:rsidRPr="00A663B9" w:rsidRDefault="0045687B" w:rsidP="0045687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Recommendation 6.2: The Guide could also cover deeper technical questions such as the definition of deposit guarantee schemes</w:t>
      </w:r>
      <w:r w:rsidR="00245CB4" w:rsidRPr="00A663B9">
        <w:rPr>
          <w:rFonts w:ascii="Times New Roman" w:hAnsi="Times New Roman" w:cs="Times New Roman"/>
          <w:i/>
          <w:iCs/>
          <w:sz w:val="24"/>
          <w:szCs w:val="24"/>
        </w:rPr>
        <w:t>’</w:t>
      </w:r>
      <w:r w:rsidRPr="00A663B9">
        <w:rPr>
          <w:rFonts w:ascii="Times New Roman" w:hAnsi="Times New Roman" w:cs="Times New Roman"/>
          <w:i/>
          <w:iCs/>
          <w:sz w:val="24"/>
          <w:szCs w:val="24"/>
        </w:rPr>
        <w:t xml:space="preserve"> interventions other than pay-outs, or the so-called issue of temporary high deposit balances could be covered. The Guide should suggest therefore to secure adequate DGS funding to better support transfer measures in liquidation while maintaining a reasonable financial cap, based on the net cost to the DGS of paying out covered deposits in liquidation.</w:t>
      </w:r>
    </w:p>
    <w:p w14:paraId="1752CFDF" w14:textId="77777777" w:rsidR="0045687B" w:rsidRPr="00A663B9" w:rsidRDefault="0045687B" w:rsidP="0097195B">
      <w:pPr>
        <w:spacing w:after="0" w:line="240" w:lineRule="auto"/>
        <w:jc w:val="both"/>
        <w:rPr>
          <w:rFonts w:ascii="Times New Roman" w:hAnsi="Times New Roman" w:cs="Times New Roman"/>
          <w:sz w:val="24"/>
          <w:szCs w:val="24"/>
        </w:rPr>
      </w:pPr>
    </w:p>
    <w:p w14:paraId="59047254" w14:textId="1B358DE6" w:rsidR="001C5D92" w:rsidRPr="00A663B9" w:rsidRDefault="001C5D92"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(vii) Groups and Systemic Integrity</w:t>
      </w:r>
    </w:p>
    <w:p w14:paraId="09998D04" w14:textId="73695164" w:rsidR="001C5D92" w:rsidRPr="00A663B9" w:rsidRDefault="001C5D92" w:rsidP="0097195B">
      <w:pPr>
        <w:spacing w:after="0" w:line="240" w:lineRule="auto"/>
        <w:jc w:val="both"/>
        <w:rPr>
          <w:rFonts w:ascii="Times New Roman" w:hAnsi="Times New Roman" w:cs="Times New Roman"/>
          <w:sz w:val="24"/>
          <w:szCs w:val="24"/>
        </w:rPr>
      </w:pPr>
    </w:p>
    <w:p w14:paraId="3C13D575" w14:textId="18DACEA8" w:rsidR="00A0419B" w:rsidRPr="00A663B9" w:rsidRDefault="00A0419B" w:rsidP="00A0419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The Guide structures in a rather comprehensive manner recommendations in respects of groups of financial institutions and their potential impact on systemic integrity. Whereas most banks will operate in a group structure, the concerns of how to effectively handle the bank insolvency of some or all of the group</w:t>
      </w:r>
      <w:r w:rsidR="00245CB4" w:rsidRPr="00A663B9">
        <w:rPr>
          <w:rFonts w:ascii="Times New Roman" w:hAnsi="Times New Roman" w:cs="Times New Roman"/>
          <w:sz w:val="24"/>
          <w:szCs w:val="24"/>
        </w:rPr>
        <w:t>’</w:t>
      </w:r>
      <w:r w:rsidRPr="00A663B9">
        <w:rPr>
          <w:rFonts w:ascii="Times New Roman" w:hAnsi="Times New Roman" w:cs="Times New Roman"/>
          <w:sz w:val="24"/>
          <w:szCs w:val="24"/>
        </w:rPr>
        <w:t>s entities is of particular relevance. Evidently, this may regard only one non-viable bank, but – for instance, as a result of intra-group contagion of financial distress – may also extend to other group members. The latter – although limitedly addressed by the Guide – will increase the complexity of an orderly bank insolvency liquidation.</w:t>
      </w:r>
    </w:p>
    <w:p w14:paraId="5FF0B135" w14:textId="77777777" w:rsidR="00A0419B" w:rsidRPr="00A663B9" w:rsidRDefault="00A0419B" w:rsidP="00A0419B">
      <w:pPr>
        <w:spacing w:after="0" w:line="240" w:lineRule="auto"/>
        <w:jc w:val="both"/>
        <w:rPr>
          <w:rFonts w:ascii="Times New Roman" w:hAnsi="Times New Roman" w:cs="Times New Roman"/>
          <w:sz w:val="24"/>
          <w:szCs w:val="24"/>
        </w:rPr>
      </w:pPr>
    </w:p>
    <w:p w14:paraId="2A644EDC" w14:textId="5C52EE25" w:rsidR="00196270" w:rsidRPr="00A663B9" w:rsidRDefault="00A0419B" w:rsidP="00A0419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As rightly pointed out by the Guide, (corporate) insolvency laws remain focused on an entity-by-entity approach, though promoting more forms of especially procedural coordination of and cooperation among group entities. To date, it remains difficult to assess the effectiveness of the regimes under the UNCITRAL M</w:t>
      </w:r>
      <w:r w:rsidR="00245CB4" w:rsidRPr="00A663B9">
        <w:rPr>
          <w:rFonts w:ascii="Times New Roman" w:hAnsi="Times New Roman" w:cs="Times New Roman"/>
          <w:sz w:val="24"/>
          <w:szCs w:val="24"/>
        </w:rPr>
        <w:t xml:space="preserve">odel </w:t>
      </w:r>
      <w:r w:rsidRPr="00A663B9">
        <w:rPr>
          <w:rFonts w:ascii="Times New Roman" w:hAnsi="Times New Roman" w:cs="Times New Roman"/>
          <w:sz w:val="24"/>
          <w:szCs w:val="24"/>
        </w:rPr>
        <w:t>L</w:t>
      </w:r>
      <w:r w:rsidR="00245CB4" w:rsidRPr="00A663B9">
        <w:rPr>
          <w:rFonts w:ascii="Times New Roman" w:hAnsi="Times New Roman" w:cs="Times New Roman"/>
          <w:sz w:val="24"/>
          <w:szCs w:val="24"/>
        </w:rPr>
        <w:t>aw</w:t>
      </w:r>
      <w:r w:rsidR="00C440AC" w:rsidRPr="00A663B9">
        <w:rPr>
          <w:rFonts w:ascii="Times New Roman" w:hAnsi="Times New Roman" w:cs="Times New Roman"/>
          <w:sz w:val="24"/>
          <w:szCs w:val="24"/>
        </w:rPr>
        <w:t xml:space="preserve"> on</w:t>
      </w:r>
      <w:r w:rsidR="00245CB4" w:rsidRPr="00A663B9">
        <w:rPr>
          <w:rFonts w:ascii="Times New Roman" w:hAnsi="Times New Roman" w:cs="Times New Roman"/>
          <w:sz w:val="24"/>
          <w:szCs w:val="24"/>
        </w:rPr>
        <w:t xml:space="preserve"> </w:t>
      </w:r>
      <w:r w:rsidRPr="00A663B9">
        <w:rPr>
          <w:rFonts w:ascii="Times New Roman" w:hAnsi="Times New Roman" w:cs="Times New Roman"/>
          <w:sz w:val="24"/>
          <w:szCs w:val="24"/>
        </w:rPr>
        <w:t>E</w:t>
      </w:r>
      <w:r w:rsidR="00245CB4" w:rsidRPr="00A663B9">
        <w:rPr>
          <w:rFonts w:ascii="Times New Roman" w:hAnsi="Times New Roman" w:cs="Times New Roman"/>
          <w:sz w:val="24"/>
          <w:szCs w:val="24"/>
        </w:rPr>
        <w:t xml:space="preserve">nterprise </w:t>
      </w:r>
      <w:r w:rsidRPr="00A663B9">
        <w:rPr>
          <w:rFonts w:ascii="Times New Roman" w:hAnsi="Times New Roman" w:cs="Times New Roman"/>
          <w:sz w:val="24"/>
          <w:szCs w:val="24"/>
        </w:rPr>
        <w:t>G</w:t>
      </w:r>
      <w:r w:rsidR="00245CB4" w:rsidRPr="00A663B9">
        <w:rPr>
          <w:rFonts w:ascii="Times New Roman" w:hAnsi="Times New Roman" w:cs="Times New Roman"/>
          <w:sz w:val="24"/>
          <w:szCs w:val="24"/>
        </w:rPr>
        <w:t xml:space="preserve">roups in </w:t>
      </w:r>
      <w:r w:rsidRPr="00A663B9">
        <w:rPr>
          <w:rFonts w:ascii="Times New Roman" w:hAnsi="Times New Roman" w:cs="Times New Roman"/>
          <w:sz w:val="24"/>
          <w:szCs w:val="24"/>
        </w:rPr>
        <w:t>I</w:t>
      </w:r>
      <w:r w:rsidR="00245CB4" w:rsidRPr="00A663B9">
        <w:rPr>
          <w:rFonts w:ascii="Times New Roman" w:hAnsi="Times New Roman" w:cs="Times New Roman"/>
          <w:sz w:val="24"/>
          <w:szCs w:val="24"/>
        </w:rPr>
        <w:t>nsolvency</w:t>
      </w:r>
      <w:r w:rsidRPr="00A663B9">
        <w:rPr>
          <w:rFonts w:ascii="Times New Roman" w:hAnsi="Times New Roman" w:cs="Times New Roman"/>
          <w:sz w:val="24"/>
          <w:szCs w:val="24"/>
        </w:rPr>
        <w:t xml:space="preserve"> and </w:t>
      </w:r>
      <w:r w:rsidR="00C440AC" w:rsidRPr="00A663B9">
        <w:rPr>
          <w:rFonts w:ascii="Times New Roman" w:hAnsi="Times New Roman" w:cs="Times New Roman"/>
          <w:sz w:val="24"/>
          <w:szCs w:val="24"/>
        </w:rPr>
        <w:t xml:space="preserve">the </w:t>
      </w:r>
      <w:r w:rsidRPr="00A663B9">
        <w:rPr>
          <w:rFonts w:ascii="Times New Roman" w:hAnsi="Times New Roman" w:cs="Times New Roman"/>
          <w:sz w:val="24"/>
          <w:szCs w:val="24"/>
        </w:rPr>
        <w:t>E</w:t>
      </w:r>
      <w:r w:rsidR="00C440AC" w:rsidRPr="00A663B9">
        <w:rPr>
          <w:rFonts w:ascii="Times New Roman" w:hAnsi="Times New Roman" w:cs="Times New Roman"/>
          <w:sz w:val="24"/>
          <w:szCs w:val="24"/>
        </w:rPr>
        <w:t xml:space="preserve">uropean </w:t>
      </w:r>
      <w:r w:rsidRPr="00A663B9">
        <w:rPr>
          <w:rFonts w:ascii="Times New Roman" w:hAnsi="Times New Roman" w:cs="Times New Roman"/>
          <w:sz w:val="24"/>
          <w:szCs w:val="24"/>
        </w:rPr>
        <w:t>I</w:t>
      </w:r>
      <w:r w:rsidR="00C440AC" w:rsidRPr="00A663B9">
        <w:rPr>
          <w:rFonts w:ascii="Times New Roman" w:hAnsi="Times New Roman" w:cs="Times New Roman"/>
          <w:sz w:val="24"/>
          <w:szCs w:val="24"/>
        </w:rPr>
        <w:t xml:space="preserve">nsolvency </w:t>
      </w:r>
      <w:r w:rsidRPr="00A663B9">
        <w:rPr>
          <w:rFonts w:ascii="Times New Roman" w:hAnsi="Times New Roman" w:cs="Times New Roman"/>
          <w:sz w:val="24"/>
          <w:szCs w:val="24"/>
        </w:rPr>
        <w:t>R</w:t>
      </w:r>
      <w:r w:rsidR="00C440AC" w:rsidRPr="00A663B9">
        <w:rPr>
          <w:rFonts w:ascii="Times New Roman" w:hAnsi="Times New Roman" w:cs="Times New Roman"/>
          <w:sz w:val="24"/>
          <w:szCs w:val="24"/>
        </w:rPr>
        <w:t>egulation (Recast)</w:t>
      </w:r>
      <w:r w:rsidRPr="00A663B9">
        <w:rPr>
          <w:rFonts w:ascii="Times New Roman" w:hAnsi="Times New Roman" w:cs="Times New Roman"/>
          <w:sz w:val="24"/>
          <w:szCs w:val="24"/>
        </w:rPr>
        <w:t xml:space="preserve"> 2015 (</w:t>
      </w:r>
      <w:r w:rsidR="00C440AC" w:rsidRPr="00A663B9">
        <w:rPr>
          <w:rFonts w:ascii="Times New Roman" w:hAnsi="Times New Roman" w:cs="Times New Roman"/>
          <w:sz w:val="24"/>
          <w:szCs w:val="24"/>
        </w:rPr>
        <w:t xml:space="preserve">specifically in </w:t>
      </w:r>
      <w:r w:rsidRPr="00A663B9">
        <w:rPr>
          <w:rFonts w:ascii="Times New Roman" w:hAnsi="Times New Roman" w:cs="Times New Roman"/>
          <w:sz w:val="24"/>
          <w:szCs w:val="24"/>
        </w:rPr>
        <w:t xml:space="preserve">Chapter V.2) to address </w:t>
      </w:r>
      <w:r w:rsidR="00C440AC" w:rsidRPr="00A663B9">
        <w:rPr>
          <w:rFonts w:ascii="Times New Roman" w:hAnsi="Times New Roman" w:cs="Times New Roman"/>
          <w:sz w:val="24"/>
          <w:szCs w:val="24"/>
        </w:rPr>
        <w:t xml:space="preserve">the </w:t>
      </w:r>
      <w:r w:rsidRPr="00A663B9">
        <w:rPr>
          <w:rFonts w:ascii="Times New Roman" w:hAnsi="Times New Roman" w:cs="Times New Roman"/>
          <w:sz w:val="24"/>
          <w:szCs w:val="24"/>
        </w:rPr>
        <w:t xml:space="preserve">group dimension. This is due to pending implementations of the relevant rules and because of limited cases in which they have been applied. In the context of bank insolvency, particular consideration can therefore be paid to the Key Attributes. The earlier facility to provide an extension to the SIFI framework – under the Key Attributes – </w:t>
      </w:r>
      <w:r w:rsidR="00196270" w:rsidRPr="00A663B9">
        <w:rPr>
          <w:rFonts w:ascii="Times New Roman" w:hAnsi="Times New Roman" w:cs="Times New Roman"/>
          <w:sz w:val="24"/>
          <w:szCs w:val="24"/>
        </w:rPr>
        <w:t xml:space="preserve">to cover non-systemic banks in specified situations could be explored here, particularly in respect of how such procedures would be integrated within </w:t>
      </w:r>
      <w:r w:rsidR="00A044D6" w:rsidRPr="00A663B9">
        <w:rPr>
          <w:rFonts w:ascii="Times New Roman" w:hAnsi="Times New Roman" w:cs="Times New Roman"/>
          <w:sz w:val="24"/>
          <w:szCs w:val="24"/>
        </w:rPr>
        <w:t xml:space="preserve">overall </w:t>
      </w:r>
      <w:r w:rsidR="00196270" w:rsidRPr="00A663B9">
        <w:rPr>
          <w:rFonts w:ascii="Times New Roman" w:hAnsi="Times New Roman" w:cs="Times New Roman"/>
          <w:sz w:val="24"/>
          <w:szCs w:val="24"/>
        </w:rPr>
        <w:t xml:space="preserve">procedures </w:t>
      </w:r>
      <w:r w:rsidR="00A044D6" w:rsidRPr="00A663B9">
        <w:rPr>
          <w:rFonts w:ascii="Times New Roman" w:hAnsi="Times New Roman" w:cs="Times New Roman"/>
          <w:sz w:val="24"/>
          <w:szCs w:val="24"/>
        </w:rPr>
        <w:t xml:space="preserve">in respect of </w:t>
      </w:r>
      <w:r w:rsidR="00196270" w:rsidRPr="00A663B9">
        <w:rPr>
          <w:rFonts w:ascii="Times New Roman" w:hAnsi="Times New Roman" w:cs="Times New Roman"/>
          <w:sz w:val="24"/>
          <w:szCs w:val="24"/>
        </w:rPr>
        <w:t>groups.</w:t>
      </w:r>
    </w:p>
    <w:p w14:paraId="4B246F73" w14:textId="1990905C" w:rsidR="00196270" w:rsidRPr="00A663B9" w:rsidRDefault="00196270" w:rsidP="0097195B">
      <w:pPr>
        <w:spacing w:after="0" w:line="240" w:lineRule="auto"/>
        <w:jc w:val="both"/>
        <w:rPr>
          <w:rFonts w:ascii="Times New Roman" w:hAnsi="Times New Roman" w:cs="Times New Roman"/>
          <w:sz w:val="24"/>
          <w:szCs w:val="24"/>
        </w:rPr>
      </w:pPr>
    </w:p>
    <w:p w14:paraId="5426E43C" w14:textId="2D73E81F" w:rsidR="00A0419B" w:rsidRPr="00A663B9" w:rsidRDefault="00A0419B" w:rsidP="00A0419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 xml:space="preserve">Recommendation 7.1: For the purpose of furthering coordination of parallel bank insolvency cases opened for group members, the Guide could introduce that a bank liquidation framework could also be informed by the objective of cooperation and communication between the involved courts, liquidation authorities and liquidators so as to further the orderly and effective handling of </w:t>
      </w:r>
      <w:r w:rsidR="00A663B9" w:rsidRPr="00A663B9">
        <w:rPr>
          <w:rFonts w:ascii="Times New Roman" w:hAnsi="Times New Roman" w:cs="Times New Roman"/>
          <w:i/>
          <w:iCs/>
          <w:color w:val="1D2228"/>
          <w:sz w:val="24"/>
          <w:szCs w:val="24"/>
          <w:shd w:val="clear" w:color="auto" w:fill="FFFFFF"/>
        </w:rPr>
        <w:t xml:space="preserve">liquidations of banks </w:t>
      </w:r>
      <w:r w:rsidR="00A663B9" w:rsidRPr="00A663B9">
        <w:rPr>
          <w:rFonts w:ascii="Times New Roman" w:hAnsi="Times New Roman" w:cs="Times New Roman"/>
          <w:i/>
          <w:iCs/>
          <w:color w:val="1D2228"/>
          <w:sz w:val="24"/>
          <w:szCs w:val="24"/>
          <w:shd w:val="clear" w:color="auto" w:fill="FFFFFF"/>
        </w:rPr>
        <w:t xml:space="preserve">that are </w:t>
      </w:r>
      <w:r w:rsidR="00A663B9" w:rsidRPr="00A663B9">
        <w:rPr>
          <w:rFonts w:ascii="Times New Roman" w:hAnsi="Times New Roman" w:cs="Times New Roman"/>
          <w:i/>
          <w:iCs/>
          <w:color w:val="1D2228"/>
          <w:sz w:val="24"/>
          <w:szCs w:val="24"/>
          <w:shd w:val="clear" w:color="auto" w:fill="FFFFFF"/>
        </w:rPr>
        <w:t>part of the same group</w:t>
      </w:r>
      <w:r w:rsidRPr="00A663B9">
        <w:rPr>
          <w:rFonts w:ascii="Times New Roman" w:hAnsi="Times New Roman" w:cs="Times New Roman"/>
          <w:i/>
          <w:iCs/>
          <w:sz w:val="24"/>
          <w:szCs w:val="24"/>
        </w:rPr>
        <w:t>.</w:t>
      </w:r>
    </w:p>
    <w:p w14:paraId="4FEC1870" w14:textId="77777777" w:rsidR="00A0419B" w:rsidRPr="00A663B9" w:rsidRDefault="00A0419B" w:rsidP="0097195B">
      <w:pPr>
        <w:spacing w:after="0" w:line="240" w:lineRule="auto"/>
        <w:jc w:val="both"/>
        <w:rPr>
          <w:rFonts w:ascii="Times New Roman" w:hAnsi="Times New Roman" w:cs="Times New Roman"/>
          <w:i/>
          <w:iCs/>
          <w:sz w:val="24"/>
          <w:szCs w:val="24"/>
        </w:rPr>
      </w:pPr>
    </w:p>
    <w:p w14:paraId="59FEEB2B" w14:textId="6762A7C1" w:rsidR="00A044D6" w:rsidRPr="00A663B9" w:rsidRDefault="00A044D6"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Recommendation 7.</w:t>
      </w:r>
      <w:r w:rsidR="00A0419B" w:rsidRPr="00A663B9">
        <w:rPr>
          <w:rFonts w:ascii="Times New Roman" w:hAnsi="Times New Roman" w:cs="Times New Roman"/>
          <w:i/>
          <w:iCs/>
          <w:sz w:val="24"/>
          <w:szCs w:val="24"/>
        </w:rPr>
        <w:t>2</w:t>
      </w:r>
      <w:r w:rsidRPr="00A663B9">
        <w:rPr>
          <w:rFonts w:ascii="Times New Roman" w:hAnsi="Times New Roman" w:cs="Times New Roman"/>
          <w:i/>
          <w:iCs/>
          <w:sz w:val="24"/>
          <w:szCs w:val="24"/>
        </w:rPr>
        <w:t xml:space="preserve">: The Guide could explore how procedures in respect of non-systemic banks would be integrated within group procedures, particularly if the latter procedures </w:t>
      </w:r>
      <w:r w:rsidR="00172A3D" w:rsidRPr="00A663B9">
        <w:rPr>
          <w:rFonts w:ascii="Times New Roman" w:hAnsi="Times New Roman" w:cs="Times New Roman"/>
          <w:i/>
          <w:iCs/>
          <w:sz w:val="24"/>
          <w:szCs w:val="24"/>
        </w:rPr>
        <w:t xml:space="preserve">are based on rules designed to comply with the </w:t>
      </w:r>
      <w:r w:rsidR="00D07742" w:rsidRPr="00A663B9">
        <w:rPr>
          <w:rFonts w:ascii="Times New Roman" w:hAnsi="Times New Roman" w:cs="Times New Roman"/>
          <w:i/>
          <w:iCs/>
          <w:sz w:val="24"/>
          <w:szCs w:val="24"/>
        </w:rPr>
        <w:t>Key Attributes</w:t>
      </w:r>
      <w:r w:rsidR="00172A3D" w:rsidRPr="00A663B9">
        <w:rPr>
          <w:rFonts w:ascii="Times New Roman" w:hAnsi="Times New Roman" w:cs="Times New Roman"/>
          <w:i/>
          <w:iCs/>
          <w:sz w:val="24"/>
          <w:szCs w:val="24"/>
        </w:rPr>
        <w:t>.</w:t>
      </w:r>
    </w:p>
    <w:p w14:paraId="00E2574B" w14:textId="77777777" w:rsidR="00A044D6" w:rsidRPr="00A663B9" w:rsidRDefault="00A044D6" w:rsidP="0097195B">
      <w:pPr>
        <w:spacing w:after="0" w:line="240" w:lineRule="auto"/>
        <w:jc w:val="both"/>
        <w:rPr>
          <w:rFonts w:ascii="Times New Roman" w:hAnsi="Times New Roman" w:cs="Times New Roman"/>
          <w:sz w:val="24"/>
          <w:szCs w:val="24"/>
        </w:rPr>
      </w:pPr>
    </w:p>
    <w:p w14:paraId="00FBB863" w14:textId="70917A48" w:rsidR="001C5D92" w:rsidRPr="00A663B9" w:rsidRDefault="001C5D92"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(viii) Cross-Border Insolvency</w:t>
      </w:r>
    </w:p>
    <w:p w14:paraId="182819C0" w14:textId="03A60A02" w:rsidR="0097195B" w:rsidRPr="00A663B9" w:rsidRDefault="0097195B" w:rsidP="0097195B">
      <w:pPr>
        <w:spacing w:after="0" w:line="240" w:lineRule="auto"/>
        <w:jc w:val="both"/>
        <w:rPr>
          <w:rFonts w:ascii="Times New Roman" w:hAnsi="Times New Roman" w:cs="Times New Roman"/>
          <w:sz w:val="24"/>
          <w:szCs w:val="24"/>
        </w:rPr>
      </w:pPr>
    </w:p>
    <w:p w14:paraId="3FC44994" w14:textId="4374D577" w:rsidR="00D07742" w:rsidRPr="00A663B9" w:rsidRDefault="00172A3D" w:rsidP="00D07742">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Extending the discussion on groups, the Guide also has a very comprehensive chapter dealing with the extension of procedures across borders, commonly where a group of related entities are experiencing financial distress and may need the opening of one or more resolution procedures. The Guide stresses positively the need for communication and cooperation between stakeholders in the process, chiefly regulators, office-holders, courts etc. </w:t>
      </w:r>
      <w:r w:rsidR="00D07742" w:rsidRPr="00A663B9">
        <w:rPr>
          <w:rFonts w:ascii="Times New Roman" w:hAnsi="Times New Roman" w:cs="Times New Roman"/>
          <w:sz w:val="24"/>
          <w:szCs w:val="24"/>
        </w:rPr>
        <w:t>The Guide rightly emphasises the importance of cooperation and communication in the context cross-border cases, but does not recognise this as a basic principle and objective for a cross-border regime. This may undermine the design of an orderly cross-border bank liquidation process within the overall objectives formulated by the Guide. Furthermore</w:t>
      </w:r>
      <w:r w:rsidRPr="00A663B9">
        <w:rPr>
          <w:rFonts w:ascii="Times New Roman" w:hAnsi="Times New Roman" w:cs="Times New Roman"/>
          <w:sz w:val="24"/>
          <w:szCs w:val="24"/>
        </w:rPr>
        <w:t xml:space="preserve">, the recommendations in the Guide are largely targeted to the principles behind the provision and exchange of information as well as the purpose of communication and cooperation. In this context, the Guide could also recommend modalities of </w:t>
      </w:r>
      <w:r w:rsidR="006F3F02" w:rsidRPr="00A663B9">
        <w:rPr>
          <w:rFonts w:ascii="Times New Roman" w:hAnsi="Times New Roman" w:cs="Times New Roman"/>
          <w:sz w:val="24"/>
          <w:szCs w:val="24"/>
        </w:rPr>
        <w:t xml:space="preserve">or methodologies for </w:t>
      </w:r>
      <w:r w:rsidRPr="00A663B9">
        <w:rPr>
          <w:rFonts w:ascii="Times New Roman" w:hAnsi="Times New Roman" w:cs="Times New Roman"/>
          <w:sz w:val="24"/>
          <w:szCs w:val="24"/>
        </w:rPr>
        <w:t>communication and cooperation, perhaps by recommending approaches consonant with principles adopted by professional bodies in the restructuring and insolvency sector</w:t>
      </w:r>
      <w:r w:rsidR="006F3F02" w:rsidRPr="00A663B9">
        <w:rPr>
          <w:rFonts w:ascii="Times New Roman" w:hAnsi="Times New Roman" w:cs="Times New Roman"/>
          <w:sz w:val="24"/>
          <w:szCs w:val="24"/>
        </w:rPr>
        <w:t>.</w:t>
      </w:r>
      <w:r w:rsidR="00D07742" w:rsidRPr="00A663B9">
        <w:rPr>
          <w:rStyle w:val="FootnoteReference"/>
          <w:rFonts w:ascii="Times New Roman" w:hAnsi="Times New Roman" w:cs="Times New Roman"/>
          <w:sz w:val="24"/>
          <w:szCs w:val="24"/>
        </w:rPr>
        <w:footnoteReference w:id="12"/>
      </w:r>
      <w:r w:rsidR="00D07742" w:rsidRPr="00A663B9">
        <w:rPr>
          <w:rFonts w:ascii="Times New Roman" w:hAnsi="Times New Roman" w:cs="Times New Roman"/>
          <w:sz w:val="24"/>
          <w:szCs w:val="24"/>
        </w:rPr>
        <w:t xml:space="preserve"> In particular, there has been extensive consideration of using (cross-border insolvency) protocols (also referred to as cross-border insolvency agreements) to further communication and cooperation.</w:t>
      </w:r>
    </w:p>
    <w:p w14:paraId="6847948B" w14:textId="77777777" w:rsidR="00D07742" w:rsidRPr="00A663B9" w:rsidRDefault="00D07742" w:rsidP="00D07742">
      <w:pPr>
        <w:spacing w:after="0" w:line="240" w:lineRule="auto"/>
        <w:jc w:val="both"/>
        <w:rPr>
          <w:rFonts w:ascii="Times New Roman" w:hAnsi="Times New Roman" w:cs="Times New Roman"/>
          <w:sz w:val="24"/>
          <w:szCs w:val="24"/>
        </w:rPr>
      </w:pPr>
    </w:p>
    <w:p w14:paraId="1D1A9A46" w14:textId="77777777" w:rsidR="00D07742" w:rsidRPr="00A663B9" w:rsidRDefault="00D07742" w:rsidP="00D07742">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Recommendation 8.1: For the purpose of furthering cross-border bank insolvency cases, the Guide could introduce that a bank liquidation framework could also be informed by the objective of cooperation and communication between the courts, liquidation authorities and liquidators so as to further the orderly and effective handling of cross-border bank insolvency cases.</w:t>
      </w:r>
    </w:p>
    <w:p w14:paraId="4CD88FB9" w14:textId="3AD3A1A3" w:rsidR="00172A3D" w:rsidRPr="00A663B9" w:rsidRDefault="00172A3D" w:rsidP="0097195B">
      <w:pPr>
        <w:spacing w:after="0" w:line="240" w:lineRule="auto"/>
        <w:jc w:val="both"/>
        <w:rPr>
          <w:rFonts w:ascii="Times New Roman" w:hAnsi="Times New Roman" w:cs="Times New Roman"/>
          <w:sz w:val="24"/>
          <w:szCs w:val="24"/>
        </w:rPr>
      </w:pPr>
    </w:p>
    <w:p w14:paraId="63ECB42B" w14:textId="250BE125" w:rsidR="006F3F02" w:rsidRPr="00A663B9" w:rsidRDefault="006F3F02"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Recommendation 8.</w:t>
      </w:r>
      <w:r w:rsidR="00D07742" w:rsidRPr="00A663B9">
        <w:rPr>
          <w:rFonts w:ascii="Times New Roman" w:hAnsi="Times New Roman" w:cs="Times New Roman"/>
          <w:i/>
          <w:iCs/>
          <w:sz w:val="24"/>
          <w:szCs w:val="24"/>
        </w:rPr>
        <w:t>2</w:t>
      </w:r>
      <w:r w:rsidRPr="00A663B9">
        <w:rPr>
          <w:rFonts w:ascii="Times New Roman" w:hAnsi="Times New Roman" w:cs="Times New Roman"/>
          <w:i/>
          <w:iCs/>
          <w:sz w:val="24"/>
          <w:szCs w:val="24"/>
        </w:rPr>
        <w:t>: The Guide could extend its recommendations to flesh out its promotion of communication and cooperation in cross-border instances by providing modalities or methodologies for cooperation and communication.</w:t>
      </w:r>
    </w:p>
    <w:p w14:paraId="59368267" w14:textId="55C14AD7" w:rsidR="001C5D92" w:rsidRPr="00A663B9" w:rsidRDefault="001C5D92" w:rsidP="0097195B">
      <w:pPr>
        <w:spacing w:after="0" w:line="240" w:lineRule="auto"/>
        <w:jc w:val="both"/>
        <w:rPr>
          <w:rFonts w:ascii="Times New Roman" w:hAnsi="Times New Roman" w:cs="Times New Roman"/>
          <w:sz w:val="24"/>
          <w:szCs w:val="24"/>
        </w:rPr>
      </w:pPr>
    </w:p>
    <w:p w14:paraId="7360FF2E" w14:textId="583204CC" w:rsidR="00B658AB" w:rsidRPr="00A663B9" w:rsidRDefault="00B658AB"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Summary</w:t>
      </w:r>
    </w:p>
    <w:p w14:paraId="11EEEE0A" w14:textId="162EA6A4" w:rsidR="00B658AB" w:rsidRPr="00A663B9" w:rsidRDefault="00B658AB" w:rsidP="0097195B">
      <w:pPr>
        <w:spacing w:after="0" w:line="240" w:lineRule="auto"/>
        <w:jc w:val="both"/>
        <w:rPr>
          <w:rFonts w:ascii="Times New Roman" w:hAnsi="Times New Roman" w:cs="Times New Roman"/>
          <w:sz w:val="24"/>
          <w:szCs w:val="24"/>
        </w:rPr>
      </w:pPr>
    </w:p>
    <w:p w14:paraId="16BB8D1D" w14:textId="5F4769D9" w:rsidR="00B658AB" w:rsidRPr="00A663B9" w:rsidRDefault="00B658AB"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 xml:space="preserve">The Guide, authored by UNIDROIT, has had the input of a great number of experts in the field, which has helped create a useful and pragmatic set of recommendations. The further suggestions here, stemming from both procedural and substantive concerns about the integrity of the process, while still providing for the flexibility required to give flesh to the </w:t>
      </w:r>
      <w:r w:rsidRPr="00A663B9">
        <w:rPr>
          <w:rFonts w:ascii="Times New Roman" w:hAnsi="Times New Roman" w:cs="Times New Roman"/>
          <w:sz w:val="24"/>
          <w:szCs w:val="24"/>
        </w:rPr>
        <w:lastRenderedPageBreak/>
        <w:t>recommendations during the process of legislative transplantation, are designed to help improve the accessibility and adaptability of the text.</w:t>
      </w:r>
    </w:p>
    <w:p w14:paraId="7E721274" w14:textId="51B4949B" w:rsidR="00B658AB" w:rsidRPr="00A663B9" w:rsidRDefault="00B658AB" w:rsidP="0097195B">
      <w:pPr>
        <w:spacing w:after="0" w:line="240" w:lineRule="auto"/>
        <w:jc w:val="both"/>
        <w:rPr>
          <w:rFonts w:ascii="Times New Roman" w:hAnsi="Times New Roman" w:cs="Times New Roman"/>
          <w:sz w:val="24"/>
          <w:szCs w:val="24"/>
        </w:rPr>
      </w:pPr>
    </w:p>
    <w:p w14:paraId="17B5D1EE" w14:textId="35436636" w:rsidR="00B658AB" w:rsidRPr="00A663B9" w:rsidRDefault="00B658AB" w:rsidP="0097195B">
      <w:pPr>
        <w:spacing w:after="0" w:line="240" w:lineRule="auto"/>
        <w:jc w:val="both"/>
        <w:rPr>
          <w:rFonts w:ascii="Times New Roman" w:hAnsi="Times New Roman" w:cs="Times New Roman"/>
          <w:sz w:val="24"/>
          <w:szCs w:val="24"/>
        </w:rPr>
      </w:pPr>
    </w:p>
    <w:p w14:paraId="75B4FBC8" w14:textId="3B2C2383" w:rsidR="00B658AB" w:rsidRPr="00A663B9" w:rsidRDefault="00B658AB" w:rsidP="0097195B">
      <w:pPr>
        <w:spacing w:after="0" w:line="240" w:lineRule="auto"/>
        <w:jc w:val="both"/>
        <w:rPr>
          <w:rFonts w:ascii="Times New Roman" w:hAnsi="Times New Roman" w:cs="Times New Roman"/>
          <w:sz w:val="24"/>
          <w:szCs w:val="24"/>
        </w:rPr>
      </w:pPr>
    </w:p>
    <w:p w14:paraId="275B3C2C" w14:textId="722026D1" w:rsidR="00B658AB" w:rsidRPr="00A663B9" w:rsidRDefault="00B658AB">
      <w:pPr>
        <w:rPr>
          <w:rFonts w:ascii="Times New Roman" w:hAnsi="Times New Roman" w:cs="Times New Roman"/>
          <w:sz w:val="24"/>
          <w:szCs w:val="24"/>
        </w:rPr>
      </w:pPr>
      <w:r w:rsidRPr="00A663B9">
        <w:rPr>
          <w:rFonts w:ascii="Times New Roman" w:hAnsi="Times New Roman" w:cs="Times New Roman"/>
          <w:sz w:val="24"/>
          <w:szCs w:val="24"/>
        </w:rPr>
        <w:br w:type="page"/>
      </w:r>
    </w:p>
    <w:p w14:paraId="567E2107" w14:textId="4FDD9D24" w:rsidR="00B658AB" w:rsidRPr="00A663B9" w:rsidRDefault="00B658AB"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lastRenderedPageBreak/>
        <w:t>Annexe I: INSOL Europe Working Group</w:t>
      </w:r>
    </w:p>
    <w:p w14:paraId="5F1ABDA5" w14:textId="1FEA4F97" w:rsidR="00B658AB" w:rsidRPr="00A663B9" w:rsidRDefault="00B658AB" w:rsidP="0097195B">
      <w:pPr>
        <w:spacing w:after="0" w:line="240" w:lineRule="auto"/>
        <w:jc w:val="both"/>
        <w:rPr>
          <w:rFonts w:ascii="Times New Roman" w:hAnsi="Times New Roman" w:cs="Times New Roman"/>
          <w:sz w:val="24"/>
          <w:szCs w:val="24"/>
        </w:rPr>
      </w:pPr>
    </w:p>
    <w:p w14:paraId="5314B494" w14:textId="35C954AA" w:rsidR="00B658AB" w:rsidRPr="00A663B9" w:rsidRDefault="00B658AB"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Coordinator:</w:t>
      </w:r>
    </w:p>
    <w:p w14:paraId="61B9422C" w14:textId="77777777" w:rsidR="00B658AB" w:rsidRPr="00A663B9" w:rsidRDefault="00B658AB" w:rsidP="0097195B">
      <w:pPr>
        <w:spacing w:after="0" w:line="240" w:lineRule="auto"/>
        <w:jc w:val="both"/>
        <w:rPr>
          <w:rFonts w:ascii="Times New Roman" w:hAnsi="Times New Roman" w:cs="Times New Roman"/>
          <w:sz w:val="24"/>
          <w:szCs w:val="24"/>
        </w:rPr>
      </w:pPr>
    </w:p>
    <w:p w14:paraId="7AFC15DD" w14:textId="03D01B70" w:rsidR="00B658AB" w:rsidRPr="00A663B9" w:rsidRDefault="00B658AB"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Dr Paul Omar (De Montfort University; Technical Research Coordinator)</w:t>
      </w:r>
    </w:p>
    <w:p w14:paraId="3E48A433" w14:textId="77777777" w:rsidR="00B658AB" w:rsidRPr="00A663B9" w:rsidRDefault="00B658AB" w:rsidP="0097195B">
      <w:pPr>
        <w:spacing w:after="0" w:line="240" w:lineRule="auto"/>
        <w:jc w:val="both"/>
        <w:rPr>
          <w:rFonts w:ascii="Times New Roman" w:hAnsi="Times New Roman" w:cs="Times New Roman"/>
          <w:i/>
          <w:iCs/>
          <w:sz w:val="24"/>
          <w:szCs w:val="24"/>
        </w:rPr>
      </w:pPr>
    </w:p>
    <w:p w14:paraId="4CEB0A54" w14:textId="07C1C16C" w:rsidR="00B658AB" w:rsidRPr="00A663B9" w:rsidRDefault="00B658AB" w:rsidP="0097195B">
      <w:pPr>
        <w:spacing w:after="0" w:line="240" w:lineRule="auto"/>
        <w:jc w:val="both"/>
        <w:rPr>
          <w:rFonts w:ascii="Times New Roman" w:hAnsi="Times New Roman" w:cs="Times New Roman"/>
          <w:i/>
          <w:iCs/>
          <w:sz w:val="24"/>
          <w:szCs w:val="24"/>
        </w:rPr>
      </w:pPr>
      <w:r w:rsidRPr="00A663B9">
        <w:rPr>
          <w:rFonts w:ascii="Times New Roman" w:hAnsi="Times New Roman" w:cs="Times New Roman"/>
          <w:i/>
          <w:iCs/>
          <w:sz w:val="24"/>
          <w:szCs w:val="24"/>
        </w:rPr>
        <w:t>Members:</w:t>
      </w:r>
    </w:p>
    <w:p w14:paraId="2F260089" w14:textId="77777777" w:rsidR="00C440AC" w:rsidRPr="00A663B9" w:rsidRDefault="00C440AC" w:rsidP="0097195B">
      <w:pPr>
        <w:spacing w:after="0" w:line="240" w:lineRule="auto"/>
        <w:jc w:val="both"/>
        <w:rPr>
          <w:rFonts w:ascii="Times New Roman" w:hAnsi="Times New Roman" w:cs="Times New Roman"/>
          <w:i/>
          <w:iCs/>
          <w:sz w:val="24"/>
          <w:szCs w:val="24"/>
        </w:rPr>
      </w:pPr>
    </w:p>
    <w:p w14:paraId="1ADC94D2" w14:textId="5FEF595D" w:rsidR="00B658AB" w:rsidRPr="00A663B9" w:rsidRDefault="00B658AB"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Mr Gert-Jan Boon (</w:t>
      </w:r>
      <w:r w:rsidR="00245CB4" w:rsidRPr="00A663B9">
        <w:rPr>
          <w:rFonts w:ascii="Times New Roman" w:hAnsi="Times New Roman" w:cs="Times New Roman"/>
          <w:sz w:val="24"/>
          <w:szCs w:val="24"/>
        </w:rPr>
        <w:t xml:space="preserve">University of </w:t>
      </w:r>
      <w:r w:rsidRPr="00A663B9">
        <w:rPr>
          <w:rFonts w:ascii="Times New Roman" w:hAnsi="Times New Roman" w:cs="Times New Roman"/>
          <w:sz w:val="24"/>
          <w:szCs w:val="24"/>
        </w:rPr>
        <w:t>Leiden)</w:t>
      </w:r>
      <w:r w:rsidR="00C440AC" w:rsidRPr="00A663B9">
        <w:rPr>
          <w:rFonts w:ascii="Times New Roman" w:hAnsi="Times New Roman" w:cs="Times New Roman"/>
          <w:sz w:val="24"/>
          <w:szCs w:val="24"/>
        </w:rPr>
        <w:t>;</w:t>
      </w:r>
    </w:p>
    <w:p w14:paraId="78FD5B01" w14:textId="1202E20D" w:rsidR="00B658AB" w:rsidRPr="00A663B9" w:rsidRDefault="00243F94"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M</w:t>
      </w:r>
      <w:r w:rsidR="00B658AB" w:rsidRPr="00A663B9">
        <w:rPr>
          <w:rFonts w:ascii="Times New Roman" w:hAnsi="Times New Roman" w:cs="Times New Roman"/>
          <w:sz w:val="24"/>
          <w:szCs w:val="24"/>
        </w:rPr>
        <w:t xml:space="preserve">r Charles </w:t>
      </w:r>
      <w:proofErr w:type="spellStart"/>
      <w:r w:rsidR="00B658AB" w:rsidRPr="00A663B9">
        <w:rPr>
          <w:rFonts w:ascii="Times New Roman" w:hAnsi="Times New Roman" w:cs="Times New Roman"/>
          <w:sz w:val="24"/>
          <w:szCs w:val="24"/>
        </w:rPr>
        <w:t>Mak</w:t>
      </w:r>
      <w:proofErr w:type="spellEnd"/>
      <w:r w:rsidR="00B658AB" w:rsidRPr="00A663B9">
        <w:rPr>
          <w:rFonts w:ascii="Times New Roman" w:hAnsi="Times New Roman" w:cs="Times New Roman"/>
          <w:sz w:val="24"/>
          <w:szCs w:val="24"/>
        </w:rPr>
        <w:t xml:space="preserve"> (</w:t>
      </w:r>
      <w:r w:rsidR="00984004" w:rsidRPr="00A663B9">
        <w:rPr>
          <w:rFonts w:ascii="Times New Roman" w:hAnsi="Times New Roman" w:cs="Times New Roman"/>
          <w:sz w:val="24"/>
          <w:szCs w:val="24"/>
        </w:rPr>
        <w:t xml:space="preserve">Robert Gordon </w:t>
      </w:r>
      <w:r w:rsidR="00245CB4" w:rsidRPr="00A663B9">
        <w:rPr>
          <w:rFonts w:ascii="Times New Roman" w:hAnsi="Times New Roman" w:cs="Times New Roman"/>
          <w:sz w:val="24"/>
          <w:szCs w:val="24"/>
        </w:rPr>
        <w:t>University</w:t>
      </w:r>
      <w:r w:rsidR="00B658AB" w:rsidRPr="00A663B9">
        <w:rPr>
          <w:rFonts w:ascii="Times New Roman" w:hAnsi="Times New Roman" w:cs="Times New Roman"/>
          <w:sz w:val="24"/>
          <w:szCs w:val="24"/>
        </w:rPr>
        <w:t>)</w:t>
      </w:r>
      <w:r w:rsidR="00C440AC" w:rsidRPr="00A663B9">
        <w:rPr>
          <w:rFonts w:ascii="Times New Roman" w:hAnsi="Times New Roman" w:cs="Times New Roman"/>
          <w:sz w:val="24"/>
          <w:szCs w:val="24"/>
        </w:rPr>
        <w:t>;</w:t>
      </w:r>
    </w:p>
    <w:p w14:paraId="50A92471" w14:textId="2FF00FB2" w:rsidR="00B658AB" w:rsidRPr="00A663B9" w:rsidRDefault="00B658AB"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Dr Ed</w:t>
      </w:r>
      <w:r w:rsidR="00243F94" w:rsidRPr="00A663B9">
        <w:rPr>
          <w:rFonts w:ascii="Times New Roman" w:hAnsi="Times New Roman" w:cs="Times New Roman"/>
          <w:sz w:val="24"/>
          <w:szCs w:val="24"/>
        </w:rPr>
        <w:t>o</w:t>
      </w:r>
      <w:r w:rsidRPr="00A663B9">
        <w:rPr>
          <w:rFonts w:ascii="Times New Roman" w:hAnsi="Times New Roman" w:cs="Times New Roman"/>
          <w:sz w:val="24"/>
          <w:szCs w:val="24"/>
        </w:rPr>
        <w:t>ardo Piermattei (</w:t>
      </w:r>
      <w:r w:rsidR="00245CB4" w:rsidRPr="00A663B9">
        <w:rPr>
          <w:rFonts w:ascii="Times New Roman" w:hAnsi="Times New Roman" w:cs="Times New Roman"/>
          <w:sz w:val="24"/>
          <w:szCs w:val="24"/>
        </w:rPr>
        <w:t xml:space="preserve">University of </w:t>
      </w:r>
      <w:r w:rsidRPr="00A663B9">
        <w:rPr>
          <w:rFonts w:ascii="Times New Roman" w:hAnsi="Times New Roman" w:cs="Times New Roman"/>
          <w:sz w:val="24"/>
          <w:szCs w:val="24"/>
        </w:rPr>
        <w:t>Bologna)</w:t>
      </w:r>
      <w:r w:rsidR="00C440AC" w:rsidRPr="00A663B9">
        <w:rPr>
          <w:rFonts w:ascii="Times New Roman" w:hAnsi="Times New Roman" w:cs="Times New Roman"/>
          <w:sz w:val="24"/>
          <w:szCs w:val="24"/>
        </w:rPr>
        <w:t>; and</w:t>
      </w:r>
    </w:p>
    <w:p w14:paraId="4165A571" w14:textId="2796DD08" w:rsidR="00B658AB" w:rsidRPr="00A663B9" w:rsidRDefault="00B658AB" w:rsidP="0097195B">
      <w:pPr>
        <w:spacing w:after="0" w:line="240" w:lineRule="auto"/>
        <w:jc w:val="both"/>
        <w:rPr>
          <w:rFonts w:ascii="Times New Roman" w:hAnsi="Times New Roman" w:cs="Times New Roman"/>
          <w:sz w:val="24"/>
          <w:szCs w:val="24"/>
        </w:rPr>
      </w:pPr>
      <w:r w:rsidRPr="00A663B9">
        <w:rPr>
          <w:rFonts w:ascii="Times New Roman" w:hAnsi="Times New Roman" w:cs="Times New Roman"/>
          <w:sz w:val="24"/>
          <w:szCs w:val="24"/>
        </w:rPr>
        <w:t>Dr Geleite Xu (</w:t>
      </w:r>
      <w:r w:rsidR="00245CB4" w:rsidRPr="00A663B9">
        <w:rPr>
          <w:rFonts w:ascii="Times New Roman" w:hAnsi="Times New Roman" w:cs="Times New Roman"/>
          <w:sz w:val="24"/>
          <w:szCs w:val="24"/>
        </w:rPr>
        <w:t xml:space="preserve">University of </w:t>
      </w:r>
      <w:r w:rsidRPr="00A663B9">
        <w:rPr>
          <w:rFonts w:ascii="Times New Roman" w:hAnsi="Times New Roman" w:cs="Times New Roman"/>
          <w:sz w:val="24"/>
          <w:szCs w:val="24"/>
        </w:rPr>
        <w:t>Derby)</w:t>
      </w:r>
      <w:r w:rsidR="00C440AC" w:rsidRPr="00A663B9">
        <w:rPr>
          <w:rFonts w:ascii="Times New Roman" w:hAnsi="Times New Roman" w:cs="Times New Roman"/>
          <w:sz w:val="24"/>
          <w:szCs w:val="24"/>
        </w:rPr>
        <w:t>.</w:t>
      </w:r>
    </w:p>
    <w:p w14:paraId="1222EFF9" w14:textId="615CEB16" w:rsidR="00B658AB" w:rsidRPr="00A663B9" w:rsidRDefault="00B658AB" w:rsidP="0097195B">
      <w:pPr>
        <w:spacing w:after="0" w:line="240" w:lineRule="auto"/>
        <w:jc w:val="both"/>
        <w:rPr>
          <w:rFonts w:ascii="Times New Roman" w:hAnsi="Times New Roman" w:cs="Times New Roman"/>
          <w:sz w:val="24"/>
          <w:szCs w:val="24"/>
        </w:rPr>
      </w:pPr>
    </w:p>
    <w:p w14:paraId="44B39DB5" w14:textId="77777777" w:rsidR="00B658AB" w:rsidRPr="00A663B9" w:rsidRDefault="00B658AB" w:rsidP="0097195B">
      <w:pPr>
        <w:spacing w:after="0" w:line="240" w:lineRule="auto"/>
        <w:jc w:val="both"/>
        <w:rPr>
          <w:rFonts w:ascii="Times New Roman" w:hAnsi="Times New Roman" w:cs="Times New Roman"/>
          <w:sz w:val="24"/>
          <w:szCs w:val="24"/>
        </w:rPr>
      </w:pPr>
    </w:p>
    <w:sectPr w:rsidR="00B658AB" w:rsidRPr="00A663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BF27" w14:textId="77777777" w:rsidR="006D4A64" w:rsidRDefault="006D4A64" w:rsidP="00E60437">
      <w:pPr>
        <w:spacing w:after="0" w:line="240" w:lineRule="auto"/>
      </w:pPr>
      <w:r>
        <w:separator/>
      </w:r>
    </w:p>
  </w:endnote>
  <w:endnote w:type="continuationSeparator" w:id="0">
    <w:p w14:paraId="77A65FFC" w14:textId="77777777" w:rsidR="006D4A64" w:rsidRDefault="006D4A64" w:rsidP="00E6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C96C" w14:textId="77777777" w:rsidR="006D4A64" w:rsidRDefault="006D4A64" w:rsidP="00E60437">
      <w:pPr>
        <w:spacing w:after="0" w:line="240" w:lineRule="auto"/>
      </w:pPr>
      <w:r>
        <w:separator/>
      </w:r>
    </w:p>
  </w:footnote>
  <w:footnote w:type="continuationSeparator" w:id="0">
    <w:p w14:paraId="3395104C" w14:textId="77777777" w:rsidR="006D4A64" w:rsidRDefault="006D4A64" w:rsidP="00E60437">
      <w:pPr>
        <w:spacing w:after="0" w:line="240" w:lineRule="auto"/>
      </w:pPr>
      <w:r>
        <w:continuationSeparator/>
      </w:r>
    </w:p>
  </w:footnote>
  <w:footnote w:id="1">
    <w:p w14:paraId="48BBD0D9" w14:textId="77777777" w:rsidR="00A0419B" w:rsidRPr="00245CB4" w:rsidRDefault="00A0419B" w:rsidP="00C440AC">
      <w:pPr>
        <w:pStyle w:val="FootnoteText"/>
        <w:jc w:val="both"/>
        <w:rPr>
          <w:rFonts w:ascii="Times New Roman" w:hAnsi="Times New Roman" w:cs="Times New Roman"/>
        </w:rPr>
      </w:pPr>
      <w:r w:rsidRPr="00245CB4">
        <w:rPr>
          <w:rStyle w:val="FootnoteReference"/>
          <w:rFonts w:ascii="Times New Roman" w:hAnsi="Times New Roman" w:cs="Times New Roman"/>
        </w:rPr>
        <w:footnoteRef/>
      </w:r>
      <w:r w:rsidRPr="00245CB4">
        <w:rPr>
          <w:rFonts w:ascii="Times New Roman" w:hAnsi="Times New Roman" w:cs="Times New Roman"/>
        </w:rPr>
        <w:t xml:space="preserve"> UNDROIT 2024 – Study LXXXIV.</w:t>
      </w:r>
    </w:p>
  </w:footnote>
  <w:footnote w:id="2">
    <w:p w14:paraId="030AD833" w14:textId="075DDD6C" w:rsidR="00A0419B" w:rsidRPr="00245CB4" w:rsidRDefault="00A0419B" w:rsidP="00C440AC">
      <w:pPr>
        <w:pStyle w:val="FootnoteText"/>
        <w:jc w:val="both"/>
        <w:rPr>
          <w:rFonts w:ascii="Times New Roman" w:hAnsi="Times New Roman" w:cs="Times New Roman"/>
        </w:rPr>
      </w:pPr>
      <w:r w:rsidRPr="00245CB4">
        <w:rPr>
          <w:rStyle w:val="FootnoteReference"/>
          <w:rFonts w:ascii="Times New Roman" w:hAnsi="Times New Roman" w:cs="Times New Roman"/>
        </w:rPr>
        <w:footnoteRef/>
      </w:r>
      <w:r w:rsidRPr="00245CB4">
        <w:rPr>
          <w:rFonts w:ascii="Times New Roman" w:hAnsi="Times New Roman" w:cs="Times New Roman"/>
        </w:rPr>
        <w:t xml:space="preserve"> Ibid., Chapter 1, paragraph 5; paragraph 34 in Chapter 1 states that for the purposes of the Guide, </w:t>
      </w:r>
      <w:r w:rsidR="00245CB4" w:rsidRPr="00245CB4">
        <w:rPr>
          <w:rFonts w:ascii="Times New Roman" w:hAnsi="Times New Roman" w:cs="Times New Roman"/>
        </w:rPr>
        <w:t>“</w:t>
      </w:r>
      <w:r w:rsidRPr="00245CB4">
        <w:rPr>
          <w:rFonts w:ascii="Times New Roman" w:hAnsi="Times New Roman" w:cs="Times New Roman"/>
        </w:rPr>
        <w:t>bank</w:t>
      </w:r>
      <w:r w:rsidR="00245CB4" w:rsidRPr="00245CB4">
        <w:rPr>
          <w:rFonts w:ascii="Times New Roman" w:hAnsi="Times New Roman" w:cs="Times New Roman"/>
        </w:rPr>
        <w:t>”</w:t>
      </w:r>
      <w:r w:rsidRPr="00245CB4">
        <w:rPr>
          <w:rFonts w:ascii="Times New Roman" w:hAnsi="Times New Roman" w:cs="Times New Roman"/>
        </w:rPr>
        <w:t xml:space="preserve"> is </w:t>
      </w:r>
      <w:r w:rsidR="00245CB4" w:rsidRPr="00245CB4">
        <w:rPr>
          <w:rFonts w:ascii="Times New Roman" w:hAnsi="Times New Roman" w:cs="Times New Roman"/>
        </w:rPr>
        <w:t>“</w:t>
      </w:r>
      <w:r w:rsidRPr="00245CB4">
        <w:rPr>
          <w:rFonts w:ascii="Times New Roman" w:hAnsi="Times New Roman" w:cs="Times New Roman"/>
        </w:rPr>
        <w:t>based on the regulatory definition: that is, the entities that are classified as banks for regulatory purposes, and thereby licensed or authorised to accept deposits and grant loans in the jurisdiction in question.</w:t>
      </w:r>
      <w:r w:rsidR="00245CB4" w:rsidRPr="00245CB4">
        <w:rPr>
          <w:rFonts w:ascii="Times New Roman" w:hAnsi="Times New Roman" w:cs="Times New Roman"/>
        </w:rPr>
        <w:t>”</w:t>
      </w:r>
    </w:p>
  </w:footnote>
  <w:footnote w:id="3">
    <w:p w14:paraId="74FCCAAF" w14:textId="156A2ACC" w:rsidR="00667FE3" w:rsidRPr="00245CB4" w:rsidRDefault="00667FE3" w:rsidP="00C440AC">
      <w:pPr>
        <w:pStyle w:val="FootnoteText"/>
        <w:jc w:val="both"/>
        <w:rPr>
          <w:rFonts w:ascii="Times New Roman" w:hAnsi="Times New Roman" w:cs="Times New Roman"/>
          <w:lang w:eastAsia="zh-CN"/>
        </w:rPr>
      </w:pPr>
      <w:r w:rsidRPr="00245CB4">
        <w:rPr>
          <w:rStyle w:val="FootnoteReference"/>
          <w:rFonts w:ascii="Times New Roman" w:hAnsi="Times New Roman" w:cs="Times New Roman"/>
        </w:rPr>
        <w:footnoteRef/>
      </w:r>
      <w:r w:rsidRPr="00245CB4">
        <w:rPr>
          <w:rFonts w:ascii="Times New Roman" w:hAnsi="Times New Roman" w:cs="Times New Roman"/>
        </w:rPr>
        <w:t xml:space="preserve"> </w:t>
      </w:r>
      <w:bookmarkStart w:id="0" w:name="OLE_LINK8"/>
      <w:r w:rsidR="00245CB4" w:rsidRPr="00245CB4">
        <w:rPr>
          <w:rFonts w:ascii="Times New Roman" w:hAnsi="Times New Roman" w:cs="Times New Roman"/>
        </w:rPr>
        <w:t>I</w:t>
      </w:r>
      <w:r w:rsidRPr="00245CB4">
        <w:rPr>
          <w:rFonts w:ascii="Times New Roman" w:hAnsi="Times New Roman" w:cs="Times New Roman"/>
        </w:rPr>
        <w:t>bid</w:t>
      </w:r>
      <w:r w:rsidR="00245CB4" w:rsidRPr="00245CB4">
        <w:rPr>
          <w:rFonts w:ascii="Times New Roman" w:hAnsi="Times New Roman" w:cs="Times New Roman"/>
        </w:rPr>
        <w:t>.</w:t>
      </w:r>
      <w:r w:rsidRPr="00245CB4">
        <w:rPr>
          <w:rFonts w:ascii="Times New Roman" w:hAnsi="Times New Roman" w:cs="Times New Roman"/>
        </w:rPr>
        <w:t xml:space="preserve">, Chapter </w:t>
      </w:r>
      <w:r w:rsidRPr="00245CB4">
        <w:rPr>
          <w:rFonts w:ascii="Times New Roman" w:hAnsi="Times New Roman" w:cs="Times New Roman"/>
          <w:lang w:eastAsia="zh-CN"/>
        </w:rPr>
        <w:t>1</w:t>
      </w:r>
      <w:r w:rsidRPr="00245CB4">
        <w:rPr>
          <w:rFonts w:ascii="Times New Roman" w:hAnsi="Times New Roman" w:cs="Times New Roman"/>
        </w:rPr>
        <w:t xml:space="preserve">, </w:t>
      </w:r>
      <w:r w:rsidRPr="00245CB4">
        <w:rPr>
          <w:rFonts w:ascii="Times New Roman" w:hAnsi="Times New Roman" w:cs="Times New Roman"/>
          <w:lang w:eastAsia="zh-CN"/>
        </w:rPr>
        <w:t>Section D.</w:t>
      </w:r>
      <w:bookmarkEnd w:id="0"/>
    </w:p>
  </w:footnote>
  <w:footnote w:id="4">
    <w:p w14:paraId="44630B11" w14:textId="4CAB2D9D" w:rsidR="00A0419B" w:rsidRPr="00245CB4" w:rsidRDefault="00A0419B" w:rsidP="00C440AC">
      <w:pPr>
        <w:pStyle w:val="FootnoteText"/>
        <w:jc w:val="both"/>
        <w:rPr>
          <w:rFonts w:ascii="Times New Roman" w:hAnsi="Times New Roman" w:cs="Times New Roman"/>
        </w:rPr>
      </w:pPr>
      <w:r w:rsidRPr="00245CB4">
        <w:rPr>
          <w:rStyle w:val="FootnoteReference"/>
          <w:rFonts w:ascii="Times New Roman" w:hAnsi="Times New Roman" w:cs="Times New Roman"/>
        </w:rPr>
        <w:footnoteRef/>
      </w:r>
      <w:r w:rsidRPr="00245CB4">
        <w:rPr>
          <w:rFonts w:ascii="Times New Roman" w:hAnsi="Times New Roman" w:cs="Times New Roman"/>
        </w:rPr>
        <w:t xml:space="preserve"> Ibid., for example, Chapter 3, paragraphs 140-143.</w:t>
      </w:r>
    </w:p>
  </w:footnote>
  <w:footnote w:id="5">
    <w:p w14:paraId="076784B2" w14:textId="3F8EB071" w:rsidR="00667FE3" w:rsidRPr="00245CB4" w:rsidRDefault="00667FE3" w:rsidP="00C440AC">
      <w:pPr>
        <w:pStyle w:val="FootnoteText"/>
        <w:jc w:val="both"/>
        <w:rPr>
          <w:rFonts w:ascii="Times New Roman" w:hAnsi="Times New Roman" w:cs="Times New Roman"/>
          <w:lang w:eastAsia="zh-CN"/>
        </w:rPr>
      </w:pPr>
      <w:r w:rsidRPr="00245CB4">
        <w:rPr>
          <w:rStyle w:val="FootnoteReference"/>
          <w:rFonts w:ascii="Times New Roman" w:hAnsi="Times New Roman" w:cs="Times New Roman"/>
        </w:rPr>
        <w:footnoteRef/>
      </w:r>
      <w:r w:rsidRPr="00245CB4">
        <w:rPr>
          <w:rFonts w:ascii="Times New Roman" w:hAnsi="Times New Roman" w:cs="Times New Roman"/>
        </w:rPr>
        <w:t xml:space="preserve"> </w:t>
      </w:r>
      <w:r w:rsidR="00245CB4">
        <w:rPr>
          <w:rFonts w:ascii="Times New Roman" w:hAnsi="Times New Roman" w:cs="Times New Roman"/>
        </w:rPr>
        <w:t>I</w:t>
      </w:r>
      <w:r w:rsidRPr="00245CB4">
        <w:rPr>
          <w:rFonts w:ascii="Times New Roman" w:hAnsi="Times New Roman" w:cs="Times New Roman"/>
        </w:rPr>
        <w:t>bid</w:t>
      </w:r>
      <w:r w:rsidR="00245CB4">
        <w:rPr>
          <w:rFonts w:ascii="Times New Roman" w:hAnsi="Times New Roman" w:cs="Times New Roman"/>
        </w:rPr>
        <w:t>.</w:t>
      </w:r>
      <w:r w:rsidRPr="00245CB4">
        <w:rPr>
          <w:rFonts w:ascii="Times New Roman" w:hAnsi="Times New Roman" w:cs="Times New Roman"/>
        </w:rPr>
        <w:t xml:space="preserve">, Chapter </w:t>
      </w:r>
      <w:r w:rsidRPr="00245CB4">
        <w:rPr>
          <w:rFonts w:ascii="Times New Roman" w:hAnsi="Times New Roman" w:cs="Times New Roman"/>
          <w:lang w:eastAsia="zh-CN"/>
        </w:rPr>
        <w:t>1</w:t>
      </w:r>
      <w:r w:rsidRPr="00245CB4">
        <w:rPr>
          <w:rFonts w:ascii="Times New Roman" w:hAnsi="Times New Roman" w:cs="Times New Roman"/>
        </w:rPr>
        <w:t xml:space="preserve">, </w:t>
      </w:r>
      <w:r w:rsidRPr="00245CB4">
        <w:rPr>
          <w:rFonts w:ascii="Times New Roman" w:hAnsi="Times New Roman" w:cs="Times New Roman"/>
          <w:lang w:eastAsia="zh-CN"/>
        </w:rPr>
        <w:t>paragraph 11.</w:t>
      </w:r>
    </w:p>
  </w:footnote>
  <w:footnote w:id="6">
    <w:p w14:paraId="72043848" w14:textId="6D802B47" w:rsidR="00667FE3" w:rsidRPr="00245CB4" w:rsidRDefault="00667FE3" w:rsidP="00C440AC">
      <w:pPr>
        <w:pStyle w:val="FootnoteText"/>
        <w:jc w:val="both"/>
        <w:rPr>
          <w:rFonts w:ascii="Times New Roman" w:hAnsi="Times New Roman" w:cs="Times New Roman"/>
          <w:lang w:eastAsia="zh-CN"/>
        </w:rPr>
      </w:pPr>
      <w:r w:rsidRPr="00245CB4">
        <w:rPr>
          <w:rStyle w:val="FootnoteReference"/>
          <w:rFonts w:ascii="Times New Roman" w:hAnsi="Times New Roman" w:cs="Times New Roman"/>
        </w:rPr>
        <w:footnoteRef/>
      </w:r>
      <w:r w:rsidRPr="00245CB4">
        <w:rPr>
          <w:rFonts w:ascii="Times New Roman" w:hAnsi="Times New Roman" w:cs="Times New Roman"/>
          <w:lang w:eastAsia="zh-CN"/>
        </w:rPr>
        <w:t xml:space="preserve"> </w:t>
      </w:r>
      <w:bookmarkStart w:id="3" w:name="OLE_LINK3"/>
      <w:r w:rsidR="00245CB4">
        <w:rPr>
          <w:rFonts w:ascii="Times New Roman" w:hAnsi="Times New Roman" w:cs="Times New Roman"/>
        </w:rPr>
        <w:t>I</w:t>
      </w:r>
      <w:r w:rsidRPr="00245CB4">
        <w:rPr>
          <w:rFonts w:ascii="Times New Roman" w:hAnsi="Times New Roman" w:cs="Times New Roman"/>
        </w:rPr>
        <w:t>bid</w:t>
      </w:r>
      <w:r w:rsidR="00245CB4">
        <w:rPr>
          <w:rFonts w:ascii="Times New Roman" w:hAnsi="Times New Roman" w:cs="Times New Roman"/>
        </w:rPr>
        <w:t>.</w:t>
      </w:r>
      <w:r w:rsidRPr="00245CB4">
        <w:rPr>
          <w:rFonts w:ascii="Times New Roman" w:hAnsi="Times New Roman" w:cs="Times New Roman"/>
        </w:rPr>
        <w:t>,</w:t>
      </w:r>
      <w:bookmarkEnd w:id="3"/>
      <w:r w:rsidRPr="00245CB4">
        <w:rPr>
          <w:rFonts w:ascii="Times New Roman" w:hAnsi="Times New Roman" w:cs="Times New Roman"/>
        </w:rPr>
        <w:t xml:space="preserve"> for example, Chapter </w:t>
      </w:r>
      <w:r w:rsidRPr="00245CB4">
        <w:rPr>
          <w:rFonts w:ascii="Times New Roman" w:hAnsi="Times New Roman" w:cs="Times New Roman"/>
          <w:lang w:eastAsia="zh-CN"/>
        </w:rPr>
        <w:t>1</w:t>
      </w:r>
      <w:r w:rsidRPr="00245CB4">
        <w:rPr>
          <w:rFonts w:ascii="Times New Roman" w:hAnsi="Times New Roman" w:cs="Times New Roman"/>
        </w:rPr>
        <w:t>, paragraph</w:t>
      </w:r>
      <w:r w:rsidRPr="00245CB4">
        <w:rPr>
          <w:rFonts w:ascii="Times New Roman" w:hAnsi="Times New Roman" w:cs="Times New Roman"/>
          <w:lang w:eastAsia="zh-CN"/>
        </w:rPr>
        <w:t xml:space="preserve"> 22.</w:t>
      </w:r>
    </w:p>
  </w:footnote>
  <w:footnote w:id="7">
    <w:p w14:paraId="00C1C75E" w14:textId="1ADDA87A" w:rsidR="00667FE3" w:rsidRPr="00245CB4" w:rsidRDefault="00667FE3" w:rsidP="00C440AC">
      <w:pPr>
        <w:pStyle w:val="FootnoteText"/>
        <w:jc w:val="both"/>
        <w:rPr>
          <w:rFonts w:ascii="Times New Roman" w:hAnsi="Times New Roman" w:cs="Times New Roman"/>
          <w:lang w:eastAsia="zh-CN"/>
        </w:rPr>
      </w:pPr>
      <w:r w:rsidRPr="00245CB4">
        <w:rPr>
          <w:rStyle w:val="FootnoteReference"/>
          <w:rFonts w:ascii="Times New Roman" w:hAnsi="Times New Roman" w:cs="Times New Roman"/>
        </w:rPr>
        <w:footnoteRef/>
      </w:r>
      <w:r w:rsidRPr="00245CB4">
        <w:rPr>
          <w:rFonts w:ascii="Times New Roman" w:hAnsi="Times New Roman" w:cs="Times New Roman"/>
        </w:rPr>
        <w:t xml:space="preserve"> </w:t>
      </w:r>
      <w:r w:rsidR="00245CB4">
        <w:rPr>
          <w:rFonts w:ascii="Times New Roman" w:hAnsi="Times New Roman" w:cs="Times New Roman"/>
        </w:rPr>
        <w:t>I</w:t>
      </w:r>
      <w:r w:rsidRPr="00245CB4">
        <w:rPr>
          <w:rFonts w:ascii="Times New Roman" w:hAnsi="Times New Roman" w:cs="Times New Roman"/>
        </w:rPr>
        <w:t>bid</w:t>
      </w:r>
      <w:r w:rsidR="00245CB4">
        <w:rPr>
          <w:rFonts w:ascii="Times New Roman" w:hAnsi="Times New Roman" w:cs="Times New Roman"/>
        </w:rPr>
        <w:t>.</w:t>
      </w:r>
      <w:r w:rsidRPr="00245CB4">
        <w:rPr>
          <w:rFonts w:ascii="Times New Roman" w:hAnsi="Times New Roman" w:cs="Times New Roman"/>
        </w:rPr>
        <w:t>,</w:t>
      </w:r>
      <w:r w:rsidRPr="00245CB4">
        <w:rPr>
          <w:rFonts w:ascii="Times New Roman" w:hAnsi="Times New Roman" w:cs="Times New Roman"/>
          <w:lang w:eastAsia="zh-CN"/>
        </w:rPr>
        <w:t xml:space="preserve"> </w:t>
      </w:r>
      <w:r w:rsidRPr="00245CB4">
        <w:rPr>
          <w:rFonts w:ascii="Times New Roman" w:hAnsi="Times New Roman" w:cs="Times New Roman"/>
        </w:rPr>
        <w:t>Chapter 1, paragraph 62.</w:t>
      </w:r>
    </w:p>
  </w:footnote>
  <w:footnote w:id="8">
    <w:p w14:paraId="7EE39D6C" w14:textId="63D0D45E" w:rsidR="0045687B" w:rsidRPr="00245CB4" w:rsidRDefault="0045687B" w:rsidP="00C440AC">
      <w:pPr>
        <w:pStyle w:val="FootnoteText"/>
        <w:jc w:val="both"/>
        <w:rPr>
          <w:rFonts w:ascii="Times New Roman" w:hAnsi="Times New Roman" w:cs="Times New Roman"/>
          <w:lang w:val="en-US"/>
        </w:rPr>
      </w:pPr>
      <w:r w:rsidRPr="00245CB4">
        <w:rPr>
          <w:rStyle w:val="FootnoteReference"/>
          <w:rFonts w:ascii="Times New Roman" w:hAnsi="Times New Roman" w:cs="Times New Roman"/>
        </w:rPr>
        <w:footnoteRef/>
      </w:r>
      <w:r w:rsidRPr="00245CB4">
        <w:rPr>
          <w:rFonts w:ascii="Times New Roman" w:hAnsi="Times New Roman" w:cs="Times New Roman"/>
        </w:rPr>
        <w:t xml:space="preserve"> Consider Chapter 2, Section C, </w:t>
      </w:r>
      <w:r w:rsidR="00245CB4">
        <w:rPr>
          <w:rFonts w:ascii="Times New Roman" w:hAnsi="Times New Roman" w:cs="Times New Roman"/>
        </w:rPr>
        <w:t>p</w:t>
      </w:r>
      <w:r w:rsidRPr="00245CB4">
        <w:rPr>
          <w:rFonts w:ascii="Times New Roman" w:hAnsi="Times New Roman" w:cs="Times New Roman"/>
        </w:rPr>
        <w:t xml:space="preserve">aragraph 81 </w:t>
      </w:r>
      <w:r w:rsidR="00245CB4" w:rsidRPr="00245CB4">
        <w:rPr>
          <w:rFonts w:ascii="Times New Roman" w:hAnsi="Times New Roman" w:cs="Times New Roman"/>
          <w:i/>
          <w:iCs/>
        </w:rPr>
        <w:t>et seq</w:t>
      </w:r>
      <w:r w:rsidRPr="00245CB4">
        <w:rPr>
          <w:rFonts w:ascii="Times New Roman" w:hAnsi="Times New Roman" w:cs="Times New Roman"/>
        </w:rPr>
        <w:t>.</w:t>
      </w:r>
    </w:p>
  </w:footnote>
  <w:footnote w:id="9">
    <w:p w14:paraId="7174165A" w14:textId="6103C2AB" w:rsidR="0045687B" w:rsidRPr="00245CB4" w:rsidRDefault="0045687B" w:rsidP="00C440AC">
      <w:pPr>
        <w:pStyle w:val="FootnoteText"/>
        <w:jc w:val="both"/>
        <w:rPr>
          <w:rFonts w:ascii="Times New Roman" w:hAnsi="Times New Roman" w:cs="Times New Roman"/>
          <w:lang w:val="en-US"/>
        </w:rPr>
      </w:pPr>
      <w:r w:rsidRPr="00245CB4">
        <w:rPr>
          <w:rStyle w:val="FootnoteReference"/>
          <w:rFonts w:ascii="Times New Roman" w:hAnsi="Times New Roman" w:cs="Times New Roman"/>
        </w:rPr>
        <w:footnoteRef/>
      </w:r>
      <w:r w:rsidRPr="00245CB4">
        <w:rPr>
          <w:rFonts w:ascii="Times New Roman" w:hAnsi="Times New Roman" w:cs="Times New Roman"/>
        </w:rPr>
        <w:t xml:space="preserve"> See Chapter 2, Section A, </w:t>
      </w:r>
      <w:r w:rsidR="00245CB4">
        <w:rPr>
          <w:rFonts w:ascii="Times New Roman" w:hAnsi="Times New Roman" w:cs="Times New Roman"/>
        </w:rPr>
        <w:t>p</w:t>
      </w:r>
      <w:r w:rsidRPr="00245CB4">
        <w:rPr>
          <w:rFonts w:ascii="Times New Roman" w:hAnsi="Times New Roman" w:cs="Times New Roman"/>
        </w:rPr>
        <w:t xml:space="preserve">aragraph 67 </w:t>
      </w:r>
      <w:r w:rsidR="00245CB4" w:rsidRPr="00245CB4">
        <w:rPr>
          <w:rFonts w:ascii="Times New Roman" w:hAnsi="Times New Roman" w:cs="Times New Roman"/>
          <w:i/>
          <w:iCs/>
        </w:rPr>
        <w:t>et seq</w:t>
      </w:r>
      <w:r w:rsidRPr="00245CB4">
        <w:rPr>
          <w:rFonts w:ascii="Times New Roman" w:hAnsi="Times New Roman" w:cs="Times New Roman"/>
        </w:rPr>
        <w:t>.</w:t>
      </w:r>
    </w:p>
  </w:footnote>
  <w:footnote w:id="10">
    <w:p w14:paraId="0D8A7402" w14:textId="38DEE315" w:rsidR="0045687B" w:rsidRPr="00245CB4" w:rsidRDefault="0045687B" w:rsidP="00C440AC">
      <w:pPr>
        <w:pStyle w:val="FootnoteText"/>
        <w:jc w:val="both"/>
        <w:rPr>
          <w:rFonts w:ascii="Times New Roman" w:hAnsi="Times New Roman" w:cs="Times New Roman"/>
          <w:lang w:val="en-US"/>
        </w:rPr>
      </w:pPr>
      <w:r w:rsidRPr="00245CB4">
        <w:rPr>
          <w:rStyle w:val="FootnoteReference"/>
          <w:rFonts w:ascii="Times New Roman" w:hAnsi="Times New Roman" w:cs="Times New Roman"/>
        </w:rPr>
        <w:footnoteRef/>
      </w:r>
      <w:r w:rsidRPr="00245CB4">
        <w:rPr>
          <w:rFonts w:ascii="Times New Roman" w:hAnsi="Times New Roman" w:cs="Times New Roman"/>
        </w:rPr>
        <w:t xml:space="preserve"> Ibid</w:t>
      </w:r>
      <w:r w:rsidR="00245CB4">
        <w:rPr>
          <w:rFonts w:ascii="Times New Roman" w:hAnsi="Times New Roman" w:cs="Times New Roman"/>
        </w:rPr>
        <w:t xml:space="preserve">., </w:t>
      </w:r>
      <w:r w:rsidRPr="00245CB4">
        <w:rPr>
          <w:rFonts w:ascii="Times New Roman" w:hAnsi="Times New Roman" w:cs="Times New Roman"/>
        </w:rPr>
        <w:t xml:space="preserve">Chapter 2, Section B, </w:t>
      </w:r>
      <w:r w:rsidR="00245CB4">
        <w:rPr>
          <w:rFonts w:ascii="Times New Roman" w:hAnsi="Times New Roman" w:cs="Times New Roman"/>
        </w:rPr>
        <w:t>p</w:t>
      </w:r>
      <w:r w:rsidRPr="00245CB4">
        <w:rPr>
          <w:rFonts w:ascii="Times New Roman" w:hAnsi="Times New Roman" w:cs="Times New Roman"/>
        </w:rPr>
        <w:t>aragraph 75.</w:t>
      </w:r>
    </w:p>
  </w:footnote>
  <w:footnote w:id="11">
    <w:p w14:paraId="653BE268" w14:textId="444E279A" w:rsidR="0045687B" w:rsidRPr="00245CB4" w:rsidRDefault="0045687B" w:rsidP="00C440AC">
      <w:pPr>
        <w:pStyle w:val="FootnoteText"/>
        <w:jc w:val="both"/>
        <w:rPr>
          <w:rFonts w:ascii="Times New Roman" w:hAnsi="Times New Roman" w:cs="Times New Roman"/>
          <w:lang w:val="en-US"/>
        </w:rPr>
      </w:pPr>
      <w:r w:rsidRPr="00245CB4">
        <w:rPr>
          <w:rStyle w:val="FootnoteReference"/>
          <w:rFonts w:ascii="Times New Roman" w:hAnsi="Times New Roman" w:cs="Times New Roman"/>
        </w:rPr>
        <w:footnoteRef/>
      </w:r>
      <w:r w:rsidRPr="00245CB4">
        <w:rPr>
          <w:rFonts w:ascii="Times New Roman" w:hAnsi="Times New Roman" w:cs="Times New Roman"/>
        </w:rPr>
        <w:t xml:space="preserve"> See Chapter 7, </w:t>
      </w:r>
      <w:r w:rsidR="00C440AC">
        <w:rPr>
          <w:rFonts w:ascii="Times New Roman" w:hAnsi="Times New Roman" w:cs="Times New Roman"/>
        </w:rPr>
        <w:t>p</w:t>
      </w:r>
      <w:r w:rsidRPr="00245CB4">
        <w:rPr>
          <w:rFonts w:ascii="Times New Roman" w:hAnsi="Times New Roman" w:cs="Times New Roman"/>
        </w:rPr>
        <w:t xml:space="preserve">aragraph 307 </w:t>
      </w:r>
      <w:r w:rsidR="00C440AC" w:rsidRPr="00C440AC">
        <w:rPr>
          <w:rFonts w:ascii="Times New Roman" w:hAnsi="Times New Roman" w:cs="Times New Roman"/>
          <w:i/>
          <w:iCs/>
        </w:rPr>
        <w:t>et seq</w:t>
      </w:r>
      <w:r w:rsidRPr="00245CB4">
        <w:rPr>
          <w:rFonts w:ascii="Times New Roman" w:hAnsi="Times New Roman" w:cs="Times New Roman"/>
        </w:rPr>
        <w:t>.</w:t>
      </w:r>
    </w:p>
  </w:footnote>
  <w:footnote w:id="12">
    <w:p w14:paraId="33C9A35B" w14:textId="648FBC5A" w:rsidR="00D07742" w:rsidRPr="00245CB4" w:rsidRDefault="00D07742" w:rsidP="00C440AC">
      <w:pPr>
        <w:pStyle w:val="FootnoteText"/>
        <w:jc w:val="both"/>
        <w:rPr>
          <w:rFonts w:ascii="Times New Roman" w:hAnsi="Times New Roman" w:cs="Times New Roman"/>
        </w:rPr>
      </w:pPr>
      <w:r w:rsidRPr="00245CB4">
        <w:rPr>
          <w:rStyle w:val="FootnoteReference"/>
          <w:rFonts w:ascii="Times New Roman" w:hAnsi="Times New Roman" w:cs="Times New Roman"/>
        </w:rPr>
        <w:footnoteRef/>
      </w:r>
      <w:r w:rsidRPr="00245CB4">
        <w:rPr>
          <w:rFonts w:ascii="Times New Roman" w:hAnsi="Times New Roman" w:cs="Times New Roman"/>
        </w:rPr>
        <w:t xml:space="preserve"> Consider</w:t>
      </w:r>
      <w:r w:rsidR="00C440AC">
        <w:rPr>
          <w:rFonts w:ascii="Times New Roman" w:hAnsi="Times New Roman" w:cs="Times New Roman"/>
        </w:rPr>
        <w:t>,</w:t>
      </w:r>
      <w:r w:rsidRPr="00245CB4">
        <w:rPr>
          <w:rFonts w:ascii="Times New Roman" w:hAnsi="Times New Roman" w:cs="Times New Roman"/>
        </w:rPr>
        <w:t xml:space="preserve"> for instance</w:t>
      </w:r>
      <w:r w:rsidR="00C440AC">
        <w:rPr>
          <w:rFonts w:ascii="Times New Roman" w:hAnsi="Times New Roman" w:cs="Times New Roman"/>
        </w:rPr>
        <w:t>,</w:t>
      </w:r>
      <w:r w:rsidRPr="00245CB4">
        <w:rPr>
          <w:rFonts w:ascii="Times New Roman" w:hAnsi="Times New Roman" w:cs="Times New Roman"/>
        </w:rPr>
        <w:t xml:space="preserve"> the European Communication and Cooperation Guidelines for Cross-Border Insolvency, developed by Bob Wessels and Miguel Virgós, under the aegis of INSOL Europe. The Guidelines are available </w:t>
      </w:r>
      <w:r w:rsidRPr="00C440AC">
        <w:rPr>
          <w:rFonts w:ascii="Times New Roman" w:hAnsi="Times New Roman" w:cs="Times New Roman"/>
        </w:rPr>
        <w:t xml:space="preserve">at: </w:t>
      </w:r>
      <w:r w:rsidR="00C440AC" w:rsidRPr="00C440AC">
        <w:rPr>
          <w:rFonts w:ascii="Times New Roman" w:hAnsi="Times New Roman" w:cs="Times New Roman"/>
        </w:rPr>
        <w:t>&lt;</w:t>
      </w:r>
      <w:hyperlink r:id="rId1" w:tgtFrame="_blank" w:history="1">
        <w:r w:rsidRPr="00C440AC">
          <w:rPr>
            <w:rStyle w:val="Hyperlink"/>
            <w:rFonts w:ascii="Times New Roman" w:hAnsi="Times New Roman" w:cs="Times New Roman"/>
            <w:color w:val="auto"/>
            <w:u w:val="none"/>
          </w:rPr>
          <w:t>https://www.insol-europe.org/download/documents/1113</w:t>
        </w:r>
      </w:hyperlink>
      <w:r w:rsidR="00C440AC" w:rsidRPr="00C440AC">
        <w:rPr>
          <w:rFonts w:ascii="Times New Roman" w:hAnsi="Times New Roman" w:cs="Times New Roman"/>
        </w:rPr>
        <w:t>&gt;</w:t>
      </w:r>
      <w:r w:rsidRPr="00245CB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FA5"/>
    <w:multiLevelType w:val="multilevel"/>
    <w:tmpl w:val="B0E82C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70677"/>
    <w:multiLevelType w:val="multilevel"/>
    <w:tmpl w:val="C666D2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24EE6"/>
    <w:multiLevelType w:val="multilevel"/>
    <w:tmpl w:val="1630B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18"/>
    <w:rsid w:val="00035A3E"/>
    <w:rsid w:val="00172A3D"/>
    <w:rsid w:val="00186FD0"/>
    <w:rsid w:val="00187CE6"/>
    <w:rsid w:val="001924E1"/>
    <w:rsid w:val="00196270"/>
    <w:rsid w:val="001C5D92"/>
    <w:rsid w:val="002346CA"/>
    <w:rsid w:val="00243F94"/>
    <w:rsid w:val="00245CB4"/>
    <w:rsid w:val="00271AFD"/>
    <w:rsid w:val="0034199E"/>
    <w:rsid w:val="00387F63"/>
    <w:rsid w:val="00396A68"/>
    <w:rsid w:val="003D6D81"/>
    <w:rsid w:val="0045687B"/>
    <w:rsid w:val="004C5B26"/>
    <w:rsid w:val="00532B29"/>
    <w:rsid w:val="005C0A58"/>
    <w:rsid w:val="005D7248"/>
    <w:rsid w:val="005E6BFB"/>
    <w:rsid w:val="00610E17"/>
    <w:rsid w:val="00667FE3"/>
    <w:rsid w:val="006D4A64"/>
    <w:rsid w:val="006F3F02"/>
    <w:rsid w:val="00731150"/>
    <w:rsid w:val="00774A5F"/>
    <w:rsid w:val="007F1ADA"/>
    <w:rsid w:val="00802727"/>
    <w:rsid w:val="0084060E"/>
    <w:rsid w:val="00896550"/>
    <w:rsid w:val="008C3D10"/>
    <w:rsid w:val="008D79EA"/>
    <w:rsid w:val="008E697E"/>
    <w:rsid w:val="00947E81"/>
    <w:rsid w:val="0097195B"/>
    <w:rsid w:val="00984004"/>
    <w:rsid w:val="00997A6F"/>
    <w:rsid w:val="00A0419B"/>
    <w:rsid w:val="00A044D6"/>
    <w:rsid w:val="00A06640"/>
    <w:rsid w:val="00A14AD5"/>
    <w:rsid w:val="00A47B88"/>
    <w:rsid w:val="00A663B9"/>
    <w:rsid w:val="00A92318"/>
    <w:rsid w:val="00AA302A"/>
    <w:rsid w:val="00B26717"/>
    <w:rsid w:val="00B658AB"/>
    <w:rsid w:val="00B870E9"/>
    <w:rsid w:val="00BA0E60"/>
    <w:rsid w:val="00BD2018"/>
    <w:rsid w:val="00BD4199"/>
    <w:rsid w:val="00C11214"/>
    <w:rsid w:val="00C440AC"/>
    <w:rsid w:val="00D07742"/>
    <w:rsid w:val="00D1396E"/>
    <w:rsid w:val="00D45A09"/>
    <w:rsid w:val="00DE0F14"/>
    <w:rsid w:val="00E21D96"/>
    <w:rsid w:val="00E60437"/>
    <w:rsid w:val="00E81F02"/>
    <w:rsid w:val="00EC36B8"/>
    <w:rsid w:val="00F63793"/>
    <w:rsid w:val="00F6583C"/>
    <w:rsid w:val="00F822BC"/>
    <w:rsid w:val="00FF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AC74"/>
  <w15:chartTrackingRefBased/>
  <w15:docId w15:val="{1C3662C9-66E7-48F1-811F-B51BB471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92"/>
    <w:pPr>
      <w:ind w:left="720"/>
      <w:contextualSpacing/>
    </w:pPr>
  </w:style>
  <w:style w:type="paragraph" w:styleId="FootnoteText">
    <w:name w:val="footnote text"/>
    <w:basedOn w:val="Normal"/>
    <w:link w:val="FootnoteTextChar"/>
    <w:uiPriority w:val="99"/>
    <w:semiHidden/>
    <w:unhideWhenUsed/>
    <w:rsid w:val="00E604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437"/>
    <w:rPr>
      <w:sz w:val="20"/>
      <w:szCs w:val="20"/>
    </w:rPr>
  </w:style>
  <w:style w:type="character" w:styleId="FootnoteReference">
    <w:name w:val="footnote reference"/>
    <w:basedOn w:val="DefaultParagraphFont"/>
    <w:uiPriority w:val="99"/>
    <w:semiHidden/>
    <w:unhideWhenUsed/>
    <w:rsid w:val="00E60437"/>
    <w:rPr>
      <w:vertAlign w:val="superscript"/>
    </w:rPr>
  </w:style>
  <w:style w:type="character" w:styleId="CommentReference">
    <w:name w:val="annotation reference"/>
    <w:basedOn w:val="DefaultParagraphFont"/>
    <w:uiPriority w:val="99"/>
    <w:semiHidden/>
    <w:unhideWhenUsed/>
    <w:rsid w:val="00A0419B"/>
    <w:rPr>
      <w:sz w:val="16"/>
      <w:szCs w:val="16"/>
    </w:rPr>
  </w:style>
  <w:style w:type="paragraph" w:styleId="CommentText">
    <w:name w:val="annotation text"/>
    <w:basedOn w:val="Normal"/>
    <w:link w:val="CommentTextChar"/>
    <w:uiPriority w:val="99"/>
    <w:semiHidden/>
    <w:unhideWhenUsed/>
    <w:rsid w:val="00A0419B"/>
    <w:pPr>
      <w:spacing w:line="240" w:lineRule="auto"/>
    </w:pPr>
    <w:rPr>
      <w:sz w:val="20"/>
      <w:szCs w:val="20"/>
    </w:rPr>
  </w:style>
  <w:style w:type="character" w:customStyle="1" w:styleId="CommentTextChar">
    <w:name w:val="Comment Text Char"/>
    <w:basedOn w:val="DefaultParagraphFont"/>
    <w:link w:val="CommentText"/>
    <w:uiPriority w:val="99"/>
    <w:semiHidden/>
    <w:rsid w:val="00A0419B"/>
    <w:rPr>
      <w:sz w:val="20"/>
      <w:szCs w:val="20"/>
    </w:rPr>
  </w:style>
  <w:style w:type="character" w:styleId="Hyperlink">
    <w:name w:val="Hyperlink"/>
    <w:basedOn w:val="DefaultParagraphFont"/>
    <w:uiPriority w:val="99"/>
    <w:unhideWhenUsed/>
    <w:rsid w:val="00D07742"/>
    <w:rPr>
      <w:color w:val="0563C1" w:themeColor="hyperlink"/>
      <w:u w:val="single"/>
    </w:rPr>
  </w:style>
  <w:style w:type="paragraph" w:customStyle="1" w:styleId="yiv1410406022msonormal">
    <w:name w:val="yiv1410406022msonormal"/>
    <w:basedOn w:val="Normal"/>
    <w:rsid w:val="00243F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44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6562">
      <w:bodyDiv w:val="1"/>
      <w:marLeft w:val="0"/>
      <w:marRight w:val="0"/>
      <w:marTop w:val="0"/>
      <w:marBottom w:val="0"/>
      <w:divBdr>
        <w:top w:val="none" w:sz="0" w:space="0" w:color="auto"/>
        <w:left w:val="none" w:sz="0" w:space="0" w:color="auto"/>
        <w:bottom w:val="none" w:sz="0" w:space="0" w:color="auto"/>
        <w:right w:val="none" w:sz="0" w:space="0" w:color="auto"/>
      </w:divBdr>
    </w:div>
    <w:div w:id="186104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sol-europe.org/download/documents/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DC160-2425-4F26-97A6-502934CE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Omar</dc:creator>
  <cp:keywords/>
  <dc:description/>
  <cp:lastModifiedBy>Paul Omar</cp:lastModifiedBy>
  <cp:revision>7</cp:revision>
  <dcterms:created xsi:type="dcterms:W3CDTF">2024-10-21T13:54:00Z</dcterms:created>
  <dcterms:modified xsi:type="dcterms:W3CDTF">2024-10-21T15:13:00Z</dcterms:modified>
</cp:coreProperties>
</file>