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0E11D" w14:textId="67773DA1" w:rsidR="005D783E" w:rsidRPr="00B903CC" w:rsidRDefault="005D783E" w:rsidP="003F398F">
      <w:pPr>
        <w:tabs>
          <w:tab w:val="left" w:pos="474"/>
        </w:tabs>
        <w:spacing w:after="0"/>
        <w:contextualSpacing/>
        <w:rPr>
          <w:rFonts w:ascii="Times New Roman" w:hAnsi="Times New Roman"/>
          <w:sz w:val="24"/>
          <w:szCs w:val="24"/>
        </w:rPr>
      </w:pPr>
    </w:p>
    <w:p w14:paraId="39E9118B" w14:textId="561C5F5A" w:rsidR="00617533" w:rsidRPr="00B903CC" w:rsidRDefault="00492065" w:rsidP="003F398F">
      <w:pPr>
        <w:spacing w:after="0"/>
        <w:contextualSpacing/>
        <w:jc w:val="center"/>
        <w:rPr>
          <w:rFonts w:ascii="Times New Roman" w:hAnsi="Times New Roman"/>
          <w:b/>
          <w:sz w:val="24"/>
          <w:szCs w:val="24"/>
        </w:rPr>
      </w:pPr>
      <w:r w:rsidRPr="00B903CC">
        <w:rPr>
          <w:rFonts w:ascii="Times New Roman" w:hAnsi="Times New Roman"/>
          <w:b/>
          <w:noProof/>
          <w:sz w:val="24"/>
          <w:szCs w:val="24"/>
        </w:rPr>
        <w:drawing>
          <wp:inline distT="0" distB="0" distL="0" distR="0" wp14:anchorId="1982D471" wp14:editId="528F6F1F">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3D52CC93" w14:textId="77777777" w:rsidR="00617533" w:rsidRPr="00B903CC" w:rsidRDefault="00617533" w:rsidP="003F398F">
      <w:pPr>
        <w:spacing w:after="0"/>
        <w:contextualSpacing/>
        <w:jc w:val="center"/>
        <w:rPr>
          <w:rFonts w:ascii="Times New Roman" w:hAnsi="Times New Roman"/>
          <w:b/>
          <w:sz w:val="24"/>
          <w:szCs w:val="24"/>
        </w:rPr>
      </w:pPr>
    </w:p>
    <w:p w14:paraId="2C7EFD65" w14:textId="073211B2" w:rsidR="00617533" w:rsidRPr="00B903CC" w:rsidRDefault="00617533" w:rsidP="003F398F">
      <w:pPr>
        <w:spacing w:after="0"/>
        <w:contextualSpacing/>
        <w:jc w:val="center"/>
        <w:rPr>
          <w:rFonts w:ascii="Times New Roman" w:hAnsi="Times New Roman"/>
          <w:b/>
          <w:sz w:val="36"/>
          <w:szCs w:val="36"/>
        </w:rPr>
      </w:pPr>
      <w:r w:rsidRPr="00B903CC">
        <w:rPr>
          <w:rFonts w:ascii="Times New Roman" w:hAnsi="Times New Roman"/>
          <w:b/>
          <w:sz w:val="36"/>
          <w:szCs w:val="36"/>
        </w:rPr>
        <w:t xml:space="preserve">Inside Story – </w:t>
      </w:r>
      <w:r w:rsidR="00236FF2">
        <w:rPr>
          <w:rFonts w:ascii="Times New Roman" w:hAnsi="Times New Roman"/>
          <w:b/>
          <w:sz w:val="36"/>
          <w:szCs w:val="36"/>
        </w:rPr>
        <w:t>October</w:t>
      </w:r>
      <w:r w:rsidR="00786CA6" w:rsidRPr="00B903CC">
        <w:rPr>
          <w:rFonts w:ascii="Times New Roman" w:hAnsi="Times New Roman"/>
          <w:b/>
          <w:sz w:val="36"/>
          <w:szCs w:val="36"/>
        </w:rPr>
        <w:t xml:space="preserve"> </w:t>
      </w:r>
      <w:r w:rsidRPr="00B903CC">
        <w:rPr>
          <w:rFonts w:ascii="Times New Roman" w:hAnsi="Times New Roman"/>
          <w:b/>
          <w:sz w:val="36"/>
          <w:szCs w:val="36"/>
        </w:rPr>
        <w:t>20</w:t>
      </w:r>
      <w:r w:rsidR="00782731" w:rsidRPr="00B903CC">
        <w:rPr>
          <w:rFonts w:ascii="Times New Roman" w:hAnsi="Times New Roman"/>
          <w:b/>
          <w:sz w:val="36"/>
          <w:szCs w:val="36"/>
        </w:rPr>
        <w:t>2</w:t>
      </w:r>
      <w:r w:rsidR="00D736EC">
        <w:rPr>
          <w:rFonts w:ascii="Times New Roman" w:hAnsi="Times New Roman"/>
          <w:b/>
          <w:sz w:val="36"/>
          <w:szCs w:val="36"/>
        </w:rPr>
        <w:t>4</w:t>
      </w:r>
    </w:p>
    <w:p w14:paraId="1ECBC4F0" w14:textId="77777777" w:rsidR="00617533" w:rsidRPr="00B903CC" w:rsidRDefault="00617533" w:rsidP="003F398F">
      <w:pPr>
        <w:spacing w:after="0"/>
        <w:contextualSpacing/>
        <w:jc w:val="center"/>
        <w:rPr>
          <w:rFonts w:ascii="Times New Roman" w:hAnsi="Times New Roman"/>
          <w:b/>
          <w:sz w:val="24"/>
          <w:szCs w:val="24"/>
        </w:rPr>
      </w:pPr>
    </w:p>
    <w:p w14:paraId="419043F1" w14:textId="0273A83F" w:rsidR="00640EFC" w:rsidRPr="00B903CC" w:rsidRDefault="0016531A" w:rsidP="003F398F">
      <w:pPr>
        <w:spacing w:after="0"/>
        <w:jc w:val="center"/>
        <w:rPr>
          <w:rFonts w:ascii="Times New Roman" w:hAnsi="Times New Roman"/>
          <w:b/>
          <w:bCs/>
          <w:sz w:val="32"/>
          <w:szCs w:val="32"/>
        </w:rPr>
      </w:pPr>
      <w:r>
        <w:rPr>
          <w:rFonts w:ascii="Times New Roman" w:hAnsi="Times New Roman"/>
          <w:b/>
          <w:bCs/>
          <w:sz w:val="32"/>
          <w:szCs w:val="32"/>
        </w:rPr>
        <w:t xml:space="preserve">The Insolvency Directive Proposal: </w:t>
      </w:r>
      <w:r w:rsidR="00D736EC">
        <w:rPr>
          <w:rFonts w:ascii="Times New Roman" w:hAnsi="Times New Roman"/>
          <w:b/>
          <w:bCs/>
          <w:sz w:val="32"/>
          <w:szCs w:val="32"/>
        </w:rPr>
        <w:t xml:space="preserve">Draft </w:t>
      </w:r>
      <w:r w:rsidR="003F398F">
        <w:rPr>
          <w:rFonts w:ascii="Times New Roman" w:hAnsi="Times New Roman"/>
          <w:b/>
          <w:bCs/>
          <w:sz w:val="32"/>
          <w:szCs w:val="32"/>
        </w:rPr>
        <w:t xml:space="preserve">Opinion and </w:t>
      </w:r>
      <w:r w:rsidR="00D736EC">
        <w:rPr>
          <w:rFonts w:ascii="Times New Roman" w:hAnsi="Times New Roman"/>
          <w:b/>
          <w:bCs/>
          <w:sz w:val="32"/>
          <w:szCs w:val="32"/>
        </w:rPr>
        <w:t>Amendment</w:t>
      </w:r>
      <w:r w:rsidR="003F398F">
        <w:rPr>
          <w:rFonts w:ascii="Times New Roman" w:hAnsi="Times New Roman"/>
          <w:b/>
          <w:bCs/>
          <w:sz w:val="32"/>
          <w:szCs w:val="32"/>
        </w:rPr>
        <w:t>s</w:t>
      </w:r>
      <w:r w:rsidR="00D736EC">
        <w:rPr>
          <w:rFonts w:ascii="Times New Roman" w:hAnsi="Times New Roman"/>
          <w:b/>
          <w:bCs/>
          <w:sz w:val="32"/>
          <w:szCs w:val="32"/>
        </w:rPr>
        <w:t xml:space="preserve"> </w:t>
      </w:r>
      <w:r w:rsidR="003F398F">
        <w:rPr>
          <w:rFonts w:ascii="Times New Roman" w:hAnsi="Times New Roman"/>
          <w:b/>
          <w:bCs/>
          <w:sz w:val="32"/>
          <w:szCs w:val="32"/>
        </w:rPr>
        <w:t xml:space="preserve">offering </w:t>
      </w:r>
      <w:r w:rsidR="00D736EC">
        <w:rPr>
          <w:rFonts w:ascii="Times New Roman" w:hAnsi="Times New Roman"/>
          <w:b/>
          <w:bCs/>
          <w:sz w:val="32"/>
          <w:szCs w:val="32"/>
        </w:rPr>
        <w:t>Best Chances for Harmonisation of European Insolvency Law</w:t>
      </w:r>
    </w:p>
    <w:p w14:paraId="75DFE654" w14:textId="77777777" w:rsidR="00E71E7B" w:rsidRPr="00B903CC" w:rsidRDefault="00E71E7B" w:rsidP="003F398F">
      <w:pPr>
        <w:spacing w:after="0"/>
        <w:contextualSpacing/>
        <w:jc w:val="center"/>
        <w:rPr>
          <w:rFonts w:ascii="Times New Roman" w:hAnsi="Times New Roman"/>
          <w:sz w:val="24"/>
          <w:szCs w:val="24"/>
        </w:rPr>
      </w:pPr>
    </w:p>
    <w:p w14:paraId="13A34AAF" w14:textId="2A0C35CA" w:rsidR="00D736EC" w:rsidRDefault="00D736EC" w:rsidP="003F398F">
      <w:pPr>
        <w:pStyle w:val="NoSpacing"/>
        <w:jc w:val="center"/>
        <w:rPr>
          <w:rFonts w:ascii="Times New Roman" w:hAnsi="Times New Roman" w:cs="Times New Roman"/>
          <w:i/>
          <w:sz w:val="24"/>
          <w:szCs w:val="24"/>
          <w:lang w:val="en-GB"/>
        </w:rPr>
      </w:pPr>
      <w:r>
        <w:rPr>
          <w:rFonts w:ascii="Times New Roman" w:hAnsi="Times New Roman" w:cs="Times New Roman"/>
          <w:i/>
          <w:sz w:val="24"/>
          <w:szCs w:val="24"/>
          <w:lang w:val="en-GB"/>
        </w:rPr>
        <w:t xml:space="preserve">Paweł Kuglarz, </w:t>
      </w:r>
      <w:r w:rsidRPr="00B903CC">
        <w:rPr>
          <w:rFonts w:ascii="Times New Roman" w:hAnsi="Times New Roman" w:cs="Times New Roman"/>
          <w:i/>
          <w:sz w:val="24"/>
          <w:szCs w:val="24"/>
          <w:lang w:val="en-GB"/>
        </w:rPr>
        <w:t xml:space="preserve">Tatara and Partners, Poland. </w:t>
      </w:r>
      <w:r w:rsidRPr="00B903CC">
        <w:rPr>
          <w:rFonts w:ascii="Times New Roman" w:hAnsi="Times New Roman" w:cs="Times New Roman"/>
          <w:i/>
          <w:iCs/>
          <w:sz w:val="24"/>
          <w:szCs w:val="24"/>
          <w:shd w:val="clear" w:color="auto" w:fill="FFFFFF"/>
          <w:lang w:val="en-GB"/>
        </w:rPr>
        <w:t>Email: &lt;</w:t>
      </w:r>
      <w:r>
        <w:rPr>
          <w:rFonts w:ascii="Times New Roman" w:hAnsi="Times New Roman" w:cs="Times New Roman"/>
          <w:i/>
          <w:iCs/>
          <w:sz w:val="24"/>
          <w:szCs w:val="24"/>
          <w:lang w:val="en-GB"/>
        </w:rPr>
        <w:t>pawel</w:t>
      </w:r>
      <w:r w:rsidRPr="00B903CC">
        <w:rPr>
          <w:rFonts w:ascii="Times New Roman" w:hAnsi="Times New Roman" w:cs="Times New Roman"/>
          <w:i/>
          <w:iCs/>
          <w:sz w:val="24"/>
          <w:szCs w:val="24"/>
          <w:lang w:val="en-GB"/>
        </w:rPr>
        <w:t>.k</w:t>
      </w:r>
      <w:r>
        <w:rPr>
          <w:rFonts w:ascii="Times New Roman" w:hAnsi="Times New Roman" w:cs="Times New Roman"/>
          <w:i/>
          <w:iCs/>
          <w:sz w:val="24"/>
          <w:szCs w:val="24"/>
          <w:lang w:val="en-GB"/>
        </w:rPr>
        <w:t>uglarz</w:t>
      </w:r>
      <w:r w:rsidRPr="00B903CC">
        <w:rPr>
          <w:rFonts w:ascii="Times New Roman" w:hAnsi="Times New Roman" w:cs="Times New Roman"/>
          <w:i/>
          <w:iCs/>
          <w:sz w:val="24"/>
          <w:szCs w:val="24"/>
          <w:lang w:val="en-GB"/>
        </w:rPr>
        <w:t>@</w:t>
      </w:r>
      <w:r>
        <w:rPr>
          <w:rFonts w:ascii="Times New Roman" w:hAnsi="Times New Roman" w:cs="Times New Roman"/>
          <w:i/>
          <w:iCs/>
          <w:sz w:val="24"/>
          <w:szCs w:val="24"/>
          <w:lang w:val="en-GB"/>
        </w:rPr>
        <w:t>wp</w:t>
      </w:r>
      <w:r w:rsidRPr="00B903CC">
        <w:rPr>
          <w:rFonts w:ascii="Times New Roman" w:hAnsi="Times New Roman" w:cs="Times New Roman"/>
          <w:i/>
          <w:iCs/>
          <w:sz w:val="24"/>
          <w:szCs w:val="24"/>
          <w:lang w:val="en-GB"/>
        </w:rPr>
        <w:t>.pl</w:t>
      </w:r>
      <w:r w:rsidRPr="00B903CC">
        <w:rPr>
          <w:rFonts w:ascii="Times New Roman" w:hAnsi="Times New Roman" w:cs="Times New Roman"/>
          <w:i/>
          <w:iCs/>
          <w:sz w:val="24"/>
          <w:szCs w:val="24"/>
          <w:shd w:val="clear" w:color="auto" w:fill="FFFFFF"/>
          <w:lang w:val="en-GB"/>
        </w:rPr>
        <w:t>&gt;</w:t>
      </w:r>
    </w:p>
    <w:p w14:paraId="0DAE9D3B" w14:textId="1718207E" w:rsidR="0011226B" w:rsidRPr="00B903CC" w:rsidRDefault="0011226B" w:rsidP="003F398F">
      <w:pPr>
        <w:pStyle w:val="NoSpacing"/>
        <w:jc w:val="center"/>
        <w:rPr>
          <w:rFonts w:ascii="Times New Roman" w:hAnsi="Times New Roman" w:cs="Times New Roman"/>
          <w:i/>
          <w:iCs/>
          <w:sz w:val="24"/>
          <w:szCs w:val="24"/>
          <w:shd w:val="clear" w:color="auto" w:fill="FFFFFF"/>
          <w:lang w:val="en-GB"/>
        </w:rPr>
      </w:pPr>
      <w:r w:rsidRPr="00B903CC">
        <w:rPr>
          <w:rFonts w:ascii="Times New Roman" w:hAnsi="Times New Roman" w:cs="Times New Roman"/>
          <w:i/>
          <w:sz w:val="24"/>
          <w:szCs w:val="24"/>
          <w:lang w:val="en-GB"/>
        </w:rPr>
        <w:t>Mateusz Kaliński</w:t>
      </w:r>
      <w:r w:rsidR="00640EFC" w:rsidRPr="00B903CC">
        <w:rPr>
          <w:rFonts w:ascii="Times New Roman" w:hAnsi="Times New Roman" w:cs="Times New Roman"/>
          <w:i/>
          <w:sz w:val="24"/>
          <w:szCs w:val="24"/>
          <w:lang w:val="en-GB"/>
        </w:rPr>
        <w:t xml:space="preserve">, </w:t>
      </w:r>
      <w:r w:rsidRPr="00B903CC">
        <w:rPr>
          <w:rFonts w:ascii="Times New Roman" w:hAnsi="Times New Roman" w:cs="Times New Roman"/>
          <w:i/>
          <w:sz w:val="24"/>
          <w:szCs w:val="24"/>
          <w:lang w:val="en-GB"/>
        </w:rPr>
        <w:t>Tatara and Partners</w:t>
      </w:r>
      <w:r w:rsidR="00640EFC" w:rsidRPr="00B903CC">
        <w:rPr>
          <w:rFonts w:ascii="Times New Roman" w:hAnsi="Times New Roman" w:cs="Times New Roman"/>
          <w:i/>
          <w:sz w:val="24"/>
          <w:szCs w:val="24"/>
          <w:lang w:val="en-GB"/>
        </w:rPr>
        <w:t xml:space="preserve">, </w:t>
      </w:r>
      <w:r w:rsidRPr="00B903CC">
        <w:rPr>
          <w:rFonts w:ascii="Times New Roman" w:hAnsi="Times New Roman" w:cs="Times New Roman"/>
          <w:i/>
          <w:sz w:val="24"/>
          <w:szCs w:val="24"/>
          <w:lang w:val="en-GB"/>
        </w:rPr>
        <w:t>Poland</w:t>
      </w:r>
      <w:r w:rsidR="00640EFC" w:rsidRPr="00B903CC">
        <w:rPr>
          <w:rFonts w:ascii="Times New Roman" w:hAnsi="Times New Roman" w:cs="Times New Roman"/>
          <w:i/>
          <w:sz w:val="24"/>
          <w:szCs w:val="24"/>
          <w:lang w:val="en-GB"/>
        </w:rPr>
        <w:t xml:space="preserve">. </w:t>
      </w:r>
      <w:r w:rsidR="00640EFC" w:rsidRPr="00B903CC">
        <w:rPr>
          <w:rFonts w:ascii="Times New Roman" w:hAnsi="Times New Roman" w:cs="Times New Roman"/>
          <w:i/>
          <w:iCs/>
          <w:sz w:val="24"/>
          <w:szCs w:val="24"/>
          <w:shd w:val="clear" w:color="auto" w:fill="FFFFFF"/>
          <w:lang w:val="en-GB"/>
        </w:rPr>
        <w:t>Email: &lt;</w:t>
      </w:r>
      <w:r w:rsidRPr="00B903CC">
        <w:rPr>
          <w:rFonts w:ascii="Times New Roman" w:hAnsi="Times New Roman" w:cs="Times New Roman"/>
          <w:i/>
          <w:iCs/>
          <w:sz w:val="24"/>
          <w:szCs w:val="24"/>
          <w:lang w:val="en-GB"/>
        </w:rPr>
        <w:t>m.kalinski@tatara.com.pl</w:t>
      </w:r>
      <w:r w:rsidR="00640EFC" w:rsidRPr="00B903CC">
        <w:rPr>
          <w:rFonts w:ascii="Times New Roman" w:hAnsi="Times New Roman" w:cs="Times New Roman"/>
          <w:i/>
          <w:iCs/>
          <w:sz w:val="24"/>
          <w:szCs w:val="24"/>
          <w:shd w:val="clear" w:color="auto" w:fill="FFFFFF"/>
          <w:lang w:val="en-GB"/>
        </w:rPr>
        <w:t>&gt;</w:t>
      </w:r>
      <w:r w:rsidRPr="00B903CC">
        <w:rPr>
          <w:rFonts w:ascii="Times New Roman" w:hAnsi="Times New Roman" w:cs="Times New Roman"/>
          <w:i/>
          <w:iCs/>
          <w:sz w:val="24"/>
          <w:szCs w:val="24"/>
          <w:shd w:val="clear" w:color="auto" w:fill="FFFFFF"/>
          <w:lang w:val="en-GB"/>
        </w:rPr>
        <w:t>.</w:t>
      </w:r>
    </w:p>
    <w:p w14:paraId="716971A7" w14:textId="5C26573A" w:rsidR="00104015" w:rsidRPr="00B903CC" w:rsidRDefault="00104015" w:rsidP="003F398F">
      <w:pPr>
        <w:pStyle w:val="NoSpacing"/>
        <w:jc w:val="center"/>
        <w:rPr>
          <w:rFonts w:ascii="Times New Roman" w:hAnsi="Times New Roman" w:cs="Times New Roman"/>
          <w:i/>
          <w:iCs/>
          <w:shd w:val="clear" w:color="auto" w:fill="FFFFFF"/>
          <w:lang w:val="en-GB"/>
        </w:rPr>
      </w:pPr>
    </w:p>
    <w:p w14:paraId="127C267D" w14:textId="77777777" w:rsidR="00E71E7B" w:rsidRPr="00B903CC" w:rsidRDefault="00E71E7B" w:rsidP="003F398F">
      <w:pPr>
        <w:spacing w:after="0"/>
        <w:contextualSpacing/>
        <w:rPr>
          <w:rFonts w:ascii="Times New Roman" w:hAnsi="Times New Roman"/>
          <w:i/>
          <w:sz w:val="24"/>
          <w:szCs w:val="24"/>
        </w:rPr>
      </w:pPr>
    </w:p>
    <w:p w14:paraId="3FDD4E1F" w14:textId="3DA5C6B1" w:rsidR="00E71E7B" w:rsidRPr="00B903CC" w:rsidRDefault="00E71E7B" w:rsidP="003F398F">
      <w:pPr>
        <w:spacing w:after="0"/>
        <w:contextualSpacing/>
        <w:rPr>
          <w:rFonts w:ascii="Times New Roman" w:hAnsi="Times New Roman"/>
          <w:sz w:val="24"/>
          <w:szCs w:val="24"/>
        </w:rPr>
      </w:pPr>
      <w:r w:rsidRPr="00B903CC">
        <w:rPr>
          <w:rFonts w:ascii="Times New Roman" w:hAnsi="Times New Roman"/>
          <w:i/>
          <w:iCs/>
          <w:sz w:val="24"/>
          <w:szCs w:val="24"/>
        </w:rPr>
        <w:t>Introduction</w:t>
      </w:r>
    </w:p>
    <w:p w14:paraId="2FDAC61F" w14:textId="77777777" w:rsidR="0016531A" w:rsidRPr="00D736EC" w:rsidRDefault="0016531A" w:rsidP="003F398F">
      <w:pPr>
        <w:spacing w:after="0"/>
        <w:rPr>
          <w:rStyle w:val="SubtleEmphasis"/>
          <w:rFonts w:ascii="Times New Roman" w:hAnsi="Times New Roman"/>
          <w:b w:val="0"/>
          <w:i w:val="0"/>
          <w:iCs w:val="0"/>
          <w:sz w:val="24"/>
          <w:szCs w:val="24"/>
        </w:rPr>
      </w:pPr>
    </w:p>
    <w:p w14:paraId="19E7A4CC" w14:textId="426B7F65" w:rsidR="00D736EC" w:rsidRPr="00D736EC" w:rsidRDefault="00D736EC" w:rsidP="003F398F">
      <w:pPr>
        <w:spacing w:after="0"/>
        <w:rPr>
          <w:rFonts w:ascii="Times New Roman" w:hAnsi="Times New Roman"/>
          <w:sz w:val="24"/>
          <w:szCs w:val="24"/>
        </w:rPr>
      </w:pPr>
      <w:r w:rsidRPr="00D736EC">
        <w:rPr>
          <w:rStyle w:val="SubtleEmphasis"/>
          <w:rFonts w:ascii="Times New Roman" w:hAnsi="Times New Roman"/>
          <w:b w:val="0"/>
          <w:i w:val="0"/>
          <w:iCs w:val="0"/>
          <w:sz w:val="24"/>
          <w:szCs w:val="24"/>
        </w:rPr>
        <w:t xml:space="preserve">In December 2022, the European Commission presented a draft Proposal </w:t>
      </w:r>
      <w:r w:rsidRPr="00D736EC">
        <w:rPr>
          <w:rFonts w:ascii="Times New Roman" w:hAnsi="Times New Roman"/>
          <w:sz w:val="24"/>
          <w:szCs w:val="24"/>
        </w:rPr>
        <w:t>for a Directive of the European Parliament and of the Council harmonising certain aspects of insolvency law</w:t>
      </w:r>
      <w:r>
        <w:rPr>
          <w:rFonts w:ascii="Times New Roman" w:hAnsi="Times New Roman"/>
          <w:sz w:val="24"/>
          <w:szCs w:val="24"/>
        </w:rPr>
        <w:t>.</w:t>
      </w:r>
      <w:r w:rsidRPr="00D736EC">
        <w:rPr>
          <w:rStyle w:val="FootnoteReference"/>
          <w:rFonts w:ascii="Times New Roman" w:hAnsi="Times New Roman"/>
          <w:sz w:val="24"/>
          <w:szCs w:val="24"/>
        </w:rPr>
        <w:footnoteReference w:id="1"/>
      </w:r>
      <w:r w:rsidRPr="00D736EC">
        <w:rPr>
          <w:rFonts w:ascii="Times New Roman" w:hAnsi="Times New Roman"/>
          <w:sz w:val="24"/>
          <w:szCs w:val="24"/>
        </w:rPr>
        <w:t xml:space="preserve"> This draft proposal opened discussions on some of the potential changes into national laws and generated differing remarks and positions towards the Proposal.</w:t>
      </w:r>
    </w:p>
    <w:p w14:paraId="5E004B8B" w14:textId="7E7E92D2" w:rsidR="00D736EC" w:rsidRDefault="00D736EC" w:rsidP="003F398F">
      <w:pPr>
        <w:spacing w:after="0"/>
        <w:rPr>
          <w:rFonts w:ascii="Times New Roman" w:hAnsi="Times New Roman"/>
          <w:sz w:val="24"/>
          <w:szCs w:val="24"/>
        </w:rPr>
      </w:pPr>
    </w:p>
    <w:p w14:paraId="1FE15AC2" w14:textId="22B91987" w:rsidR="00D736EC" w:rsidRDefault="00D736EC" w:rsidP="003F398F">
      <w:pPr>
        <w:spacing w:after="0"/>
        <w:rPr>
          <w:rFonts w:ascii="Times New Roman" w:hAnsi="Times New Roman"/>
          <w:sz w:val="24"/>
          <w:szCs w:val="24"/>
        </w:rPr>
      </w:pPr>
      <w:bookmarkStart w:id="0" w:name="_Hlk172834115"/>
      <w:r w:rsidRPr="00D736EC">
        <w:rPr>
          <w:rFonts w:ascii="Times New Roman" w:hAnsi="Times New Roman"/>
          <w:sz w:val="24"/>
          <w:szCs w:val="24"/>
        </w:rPr>
        <w:t xml:space="preserve">According </w:t>
      </w:r>
      <w:r>
        <w:rPr>
          <w:rFonts w:ascii="Times New Roman" w:hAnsi="Times New Roman"/>
          <w:sz w:val="24"/>
          <w:szCs w:val="24"/>
        </w:rPr>
        <w:t xml:space="preserve">to </w:t>
      </w:r>
      <w:r w:rsidRPr="00D736EC">
        <w:rPr>
          <w:rFonts w:ascii="Times New Roman" w:hAnsi="Times New Roman"/>
          <w:sz w:val="24"/>
          <w:szCs w:val="24"/>
        </w:rPr>
        <w:t>its Article 1.1, the Proposal covers the following areas:</w:t>
      </w:r>
    </w:p>
    <w:p w14:paraId="321517C0" w14:textId="77777777" w:rsidR="003F398F" w:rsidRPr="00D736EC" w:rsidRDefault="003F398F" w:rsidP="003F398F">
      <w:pPr>
        <w:spacing w:after="0"/>
        <w:rPr>
          <w:rFonts w:ascii="Times New Roman" w:hAnsi="Times New Roman"/>
          <w:sz w:val="24"/>
          <w:szCs w:val="24"/>
        </w:rPr>
      </w:pPr>
    </w:p>
    <w:bookmarkEnd w:id="0"/>
    <w:p w14:paraId="23638AFC" w14:textId="77777777" w:rsidR="00D736EC" w:rsidRPr="00D736EC" w:rsidRDefault="00D736EC" w:rsidP="003F398F">
      <w:pPr>
        <w:pStyle w:val="ListParagraph"/>
        <w:numPr>
          <w:ilvl w:val="0"/>
          <w:numId w:val="50"/>
        </w:numPr>
        <w:spacing w:after="0" w:line="240" w:lineRule="auto"/>
        <w:jc w:val="both"/>
        <w:rPr>
          <w:rFonts w:ascii="Times New Roman" w:hAnsi="Times New Roman" w:cs="Times New Roman"/>
          <w:sz w:val="24"/>
          <w:szCs w:val="24"/>
          <w:lang w:val="en-GB"/>
        </w:rPr>
      </w:pPr>
      <w:r w:rsidRPr="00D736EC">
        <w:rPr>
          <w:rFonts w:ascii="Times New Roman" w:hAnsi="Times New Roman" w:cs="Times New Roman"/>
          <w:sz w:val="24"/>
          <w:szCs w:val="24"/>
          <w:lang w:val="en-GB"/>
        </w:rPr>
        <w:t>avoidance actions;</w:t>
      </w:r>
    </w:p>
    <w:p w14:paraId="3CD7BC77" w14:textId="77777777" w:rsidR="00D736EC" w:rsidRPr="00D736EC" w:rsidRDefault="00D736EC" w:rsidP="003F398F">
      <w:pPr>
        <w:pStyle w:val="ListParagraph"/>
        <w:numPr>
          <w:ilvl w:val="0"/>
          <w:numId w:val="50"/>
        </w:numPr>
        <w:spacing w:after="0" w:line="240" w:lineRule="auto"/>
        <w:jc w:val="both"/>
        <w:rPr>
          <w:rFonts w:ascii="Times New Roman" w:hAnsi="Times New Roman" w:cs="Times New Roman"/>
          <w:sz w:val="24"/>
          <w:szCs w:val="24"/>
          <w:lang w:val="en-GB"/>
        </w:rPr>
      </w:pPr>
      <w:r w:rsidRPr="00D736EC">
        <w:rPr>
          <w:rFonts w:ascii="Times New Roman" w:hAnsi="Times New Roman" w:cs="Times New Roman"/>
          <w:sz w:val="24"/>
          <w:szCs w:val="24"/>
          <w:lang w:val="en-GB"/>
        </w:rPr>
        <w:t>the tracing of assets belonging to the insolvency estate;</w:t>
      </w:r>
    </w:p>
    <w:p w14:paraId="3B65EFAE" w14:textId="77777777" w:rsidR="00D736EC" w:rsidRPr="00D736EC" w:rsidRDefault="00D736EC" w:rsidP="003F398F">
      <w:pPr>
        <w:pStyle w:val="ListParagraph"/>
        <w:numPr>
          <w:ilvl w:val="0"/>
          <w:numId w:val="50"/>
        </w:numPr>
        <w:spacing w:after="0" w:line="240" w:lineRule="auto"/>
        <w:jc w:val="both"/>
        <w:rPr>
          <w:rFonts w:ascii="Times New Roman" w:hAnsi="Times New Roman" w:cs="Times New Roman"/>
          <w:sz w:val="24"/>
          <w:szCs w:val="24"/>
          <w:lang w:val="en-GB"/>
        </w:rPr>
      </w:pPr>
      <w:r w:rsidRPr="00D736EC">
        <w:rPr>
          <w:rFonts w:ascii="Times New Roman" w:hAnsi="Times New Roman" w:cs="Times New Roman"/>
          <w:sz w:val="24"/>
          <w:szCs w:val="24"/>
          <w:lang w:val="en-GB"/>
        </w:rPr>
        <w:t>pre-pack proceedings;</w:t>
      </w:r>
    </w:p>
    <w:p w14:paraId="50A8C6DE" w14:textId="77777777" w:rsidR="00D736EC" w:rsidRPr="00D736EC" w:rsidRDefault="00D736EC" w:rsidP="003F398F">
      <w:pPr>
        <w:pStyle w:val="ListParagraph"/>
        <w:numPr>
          <w:ilvl w:val="0"/>
          <w:numId w:val="50"/>
        </w:numPr>
        <w:spacing w:after="0" w:line="240" w:lineRule="auto"/>
        <w:jc w:val="both"/>
        <w:rPr>
          <w:rFonts w:ascii="Times New Roman" w:hAnsi="Times New Roman" w:cs="Times New Roman"/>
          <w:sz w:val="24"/>
          <w:szCs w:val="24"/>
          <w:lang w:val="en-GB"/>
        </w:rPr>
      </w:pPr>
      <w:r w:rsidRPr="00D736EC">
        <w:rPr>
          <w:rFonts w:ascii="Times New Roman" w:hAnsi="Times New Roman" w:cs="Times New Roman"/>
          <w:sz w:val="24"/>
          <w:szCs w:val="24"/>
          <w:lang w:val="en-GB"/>
        </w:rPr>
        <w:t>the duty of directors to submit a request for the opening of insolvency proceedings;</w:t>
      </w:r>
    </w:p>
    <w:p w14:paraId="75E2189F" w14:textId="77777777" w:rsidR="00D736EC" w:rsidRPr="00D736EC" w:rsidRDefault="00D736EC" w:rsidP="003F398F">
      <w:pPr>
        <w:pStyle w:val="ListParagraph"/>
        <w:numPr>
          <w:ilvl w:val="0"/>
          <w:numId w:val="50"/>
        </w:numPr>
        <w:spacing w:after="0" w:line="240" w:lineRule="auto"/>
        <w:jc w:val="both"/>
        <w:rPr>
          <w:rFonts w:ascii="Times New Roman" w:hAnsi="Times New Roman" w:cs="Times New Roman"/>
          <w:sz w:val="24"/>
          <w:szCs w:val="24"/>
          <w:lang w:val="en-GB"/>
        </w:rPr>
      </w:pPr>
      <w:r w:rsidRPr="00D736EC">
        <w:rPr>
          <w:rFonts w:ascii="Times New Roman" w:hAnsi="Times New Roman" w:cs="Times New Roman"/>
          <w:sz w:val="24"/>
          <w:szCs w:val="24"/>
          <w:lang w:val="en-GB"/>
        </w:rPr>
        <w:t>simplified winding-up proceedings for microenterprises;</w:t>
      </w:r>
    </w:p>
    <w:p w14:paraId="7DD79421" w14:textId="77777777" w:rsidR="00D736EC" w:rsidRPr="00D736EC" w:rsidRDefault="00D736EC" w:rsidP="003F398F">
      <w:pPr>
        <w:pStyle w:val="ListParagraph"/>
        <w:numPr>
          <w:ilvl w:val="0"/>
          <w:numId w:val="50"/>
        </w:numPr>
        <w:spacing w:after="0" w:line="240" w:lineRule="auto"/>
        <w:jc w:val="both"/>
        <w:rPr>
          <w:rFonts w:ascii="Times New Roman" w:hAnsi="Times New Roman" w:cs="Times New Roman"/>
          <w:sz w:val="24"/>
          <w:szCs w:val="24"/>
          <w:lang w:val="en-GB"/>
        </w:rPr>
      </w:pPr>
      <w:r w:rsidRPr="00D736EC">
        <w:rPr>
          <w:rFonts w:ascii="Times New Roman" w:hAnsi="Times New Roman" w:cs="Times New Roman"/>
          <w:sz w:val="24"/>
          <w:szCs w:val="24"/>
          <w:lang w:val="en-GB"/>
        </w:rPr>
        <w:t>creditors’ committees; and</w:t>
      </w:r>
    </w:p>
    <w:p w14:paraId="525AA64E" w14:textId="77777777" w:rsidR="00D736EC" w:rsidRPr="00D736EC" w:rsidRDefault="00D736EC" w:rsidP="003F398F">
      <w:pPr>
        <w:pStyle w:val="ListParagraph"/>
        <w:numPr>
          <w:ilvl w:val="0"/>
          <w:numId w:val="50"/>
        </w:numPr>
        <w:spacing w:after="0" w:line="240" w:lineRule="auto"/>
        <w:jc w:val="both"/>
        <w:rPr>
          <w:rFonts w:ascii="Times New Roman" w:hAnsi="Times New Roman" w:cs="Times New Roman"/>
          <w:sz w:val="24"/>
          <w:szCs w:val="24"/>
          <w:lang w:val="en-GB"/>
        </w:rPr>
      </w:pPr>
      <w:r w:rsidRPr="00D736EC">
        <w:rPr>
          <w:rFonts w:ascii="Times New Roman" w:hAnsi="Times New Roman" w:cs="Times New Roman"/>
          <w:sz w:val="24"/>
          <w:szCs w:val="24"/>
          <w:lang w:val="en-GB"/>
        </w:rPr>
        <w:t>the drawing-up of a key information factsheet by Member States on certain elements of their national law on insolvency proceedings.</w:t>
      </w:r>
    </w:p>
    <w:p w14:paraId="58D36C29" w14:textId="77777777" w:rsidR="00D736EC" w:rsidRPr="00D736EC" w:rsidRDefault="00D736EC" w:rsidP="003F398F">
      <w:pPr>
        <w:spacing w:after="0"/>
      </w:pPr>
    </w:p>
    <w:p w14:paraId="1FF2BFCD" w14:textId="39E6D212" w:rsidR="00D736EC" w:rsidRPr="00D736EC" w:rsidRDefault="00D736EC" w:rsidP="003F398F">
      <w:pPr>
        <w:spacing w:after="0"/>
        <w:rPr>
          <w:rFonts w:ascii="Times New Roman" w:hAnsi="Times New Roman"/>
          <w:sz w:val="24"/>
          <w:szCs w:val="24"/>
        </w:rPr>
      </w:pPr>
      <w:r w:rsidRPr="00D736EC">
        <w:rPr>
          <w:rFonts w:ascii="Times New Roman" w:hAnsi="Times New Roman"/>
          <w:sz w:val="24"/>
          <w:szCs w:val="24"/>
        </w:rPr>
        <w:t>Forty-nine entities from the European Union, including the Allerhand Institute, issued their positions (statements) within this legislative process, and now the European Commission is analysing them, hoping to propose a final version of the Directive.</w:t>
      </w:r>
    </w:p>
    <w:p w14:paraId="00012558" w14:textId="77777777" w:rsidR="00D736EC" w:rsidRDefault="00D736EC" w:rsidP="003F398F">
      <w:pPr>
        <w:spacing w:after="0"/>
        <w:rPr>
          <w:rFonts w:ascii="Times New Roman" w:hAnsi="Times New Roman"/>
          <w:sz w:val="24"/>
          <w:szCs w:val="24"/>
        </w:rPr>
      </w:pPr>
      <w:bookmarkStart w:id="1" w:name="_Hlk172834215"/>
    </w:p>
    <w:p w14:paraId="1EA69EF2" w14:textId="4C1BB56B" w:rsidR="00D736EC" w:rsidRPr="00D736EC" w:rsidRDefault="00D736EC" w:rsidP="003F398F">
      <w:pPr>
        <w:spacing w:after="0"/>
        <w:rPr>
          <w:rStyle w:val="SubtleEmphasis"/>
          <w:rFonts w:ascii="Times New Roman" w:hAnsi="Times New Roman"/>
          <w:b w:val="0"/>
          <w:i w:val="0"/>
          <w:iCs w:val="0"/>
          <w:sz w:val="24"/>
          <w:szCs w:val="24"/>
        </w:rPr>
      </w:pPr>
      <w:r w:rsidRPr="00D736EC">
        <w:rPr>
          <w:rFonts w:ascii="Times New Roman" w:hAnsi="Times New Roman"/>
          <w:sz w:val="24"/>
          <w:szCs w:val="24"/>
        </w:rPr>
        <w:lastRenderedPageBreak/>
        <w:t xml:space="preserve">As within the whole European Union the level of coherence of the abovementioned issues is relatively low, </w:t>
      </w:r>
      <w:bookmarkEnd w:id="1"/>
      <w:r w:rsidRPr="00D736EC">
        <w:rPr>
          <w:rFonts w:ascii="Times New Roman" w:hAnsi="Times New Roman"/>
          <w:sz w:val="24"/>
          <w:szCs w:val="24"/>
        </w:rPr>
        <w:t xml:space="preserve">this </w:t>
      </w:r>
      <w:r>
        <w:rPr>
          <w:rFonts w:ascii="Times New Roman" w:hAnsi="Times New Roman"/>
          <w:sz w:val="24"/>
          <w:szCs w:val="24"/>
        </w:rPr>
        <w:t xml:space="preserve">Inside </w:t>
      </w:r>
      <w:r w:rsidR="003F398F">
        <w:rPr>
          <w:rFonts w:ascii="Times New Roman" w:hAnsi="Times New Roman"/>
          <w:sz w:val="24"/>
          <w:szCs w:val="24"/>
        </w:rPr>
        <w:t>S</w:t>
      </w:r>
      <w:r>
        <w:rPr>
          <w:rFonts w:ascii="Times New Roman" w:hAnsi="Times New Roman"/>
          <w:sz w:val="24"/>
          <w:szCs w:val="24"/>
        </w:rPr>
        <w:t xml:space="preserve">tory </w:t>
      </w:r>
      <w:r w:rsidRPr="00D736EC">
        <w:rPr>
          <w:rFonts w:ascii="Times New Roman" w:hAnsi="Times New Roman"/>
          <w:sz w:val="24"/>
          <w:szCs w:val="24"/>
        </w:rPr>
        <w:t>may be insightful for other Member States facing the need to assess the required changes and amendments to the new law</w:t>
      </w:r>
      <w:r w:rsidRPr="00D736EC">
        <w:rPr>
          <w:rStyle w:val="SubtleEmphasis"/>
          <w:rFonts w:ascii="Times New Roman" w:hAnsi="Times New Roman"/>
          <w:b w:val="0"/>
          <w:i w:val="0"/>
          <w:iCs w:val="0"/>
          <w:sz w:val="24"/>
          <w:szCs w:val="24"/>
        </w:rPr>
        <w:t>.</w:t>
      </w:r>
    </w:p>
    <w:p w14:paraId="1CECDDC4" w14:textId="77777777" w:rsidR="003F398F" w:rsidRDefault="003F398F" w:rsidP="003F398F">
      <w:pPr>
        <w:spacing w:after="0"/>
        <w:rPr>
          <w:rStyle w:val="SubtleEmphasis"/>
          <w:rFonts w:ascii="Times New Roman" w:hAnsi="Times New Roman"/>
          <w:b w:val="0"/>
          <w:i w:val="0"/>
          <w:iCs w:val="0"/>
          <w:sz w:val="24"/>
          <w:szCs w:val="24"/>
        </w:rPr>
      </w:pPr>
    </w:p>
    <w:p w14:paraId="792C7BE2" w14:textId="0CAC213A" w:rsidR="00D736EC" w:rsidRDefault="00D736EC" w:rsidP="003F398F">
      <w:pPr>
        <w:spacing w:after="0"/>
        <w:rPr>
          <w:rStyle w:val="SubtleEmphasis"/>
          <w:rFonts w:ascii="Times New Roman" w:hAnsi="Times New Roman"/>
          <w:b w:val="0"/>
          <w:i w:val="0"/>
          <w:iCs w:val="0"/>
          <w:sz w:val="24"/>
          <w:szCs w:val="24"/>
        </w:rPr>
      </w:pPr>
      <w:r w:rsidRPr="00D736EC">
        <w:rPr>
          <w:rStyle w:val="SubtleEmphasis"/>
          <w:rFonts w:ascii="Times New Roman" w:hAnsi="Times New Roman"/>
          <w:b w:val="0"/>
          <w:i w:val="0"/>
          <w:iCs w:val="0"/>
          <w:sz w:val="24"/>
          <w:szCs w:val="24"/>
        </w:rPr>
        <w:t>Quite recently, the Committee on Economic and Monetary Affairs (ECON) published a draft opinion for the Committee on Legal Affairs on the Proposal.</w:t>
      </w:r>
      <w:r w:rsidRPr="00D736EC">
        <w:rPr>
          <w:rStyle w:val="FootnoteReference"/>
          <w:rFonts w:ascii="Times New Roman" w:hAnsi="Times New Roman"/>
          <w:sz w:val="24"/>
          <w:szCs w:val="24"/>
        </w:rPr>
        <w:footnoteReference w:id="2"/>
      </w:r>
      <w:r w:rsidRPr="00D736EC">
        <w:rPr>
          <w:rStyle w:val="SubtleEmphasis"/>
          <w:rFonts w:ascii="Times New Roman" w:hAnsi="Times New Roman"/>
          <w:b w:val="0"/>
          <w:i w:val="0"/>
          <w:iCs w:val="0"/>
          <w:sz w:val="24"/>
          <w:szCs w:val="24"/>
        </w:rPr>
        <w:t xml:space="preserve"> The very first amendment touches upon the issue of high importance, namely adding the phrase and the Capital Markets Union with reference to the aim of the Proposal. </w:t>
      </w:r>
      <w:r w:rsidR="00CD797D">
        <w:rPr>
          <w:rStyle w:val="SubtleEmphasis"/>
          <w:rFonts w:ascii="Times New Roman" w:hAnsi="Times New Roman"/>
          <w:b w:val="0"/>
          <w:i w:val="0"/>
          <w:iCs w:val="0"/>
          <w:sz w:val="24"/>
          <w:szCs w:val="24"/>
        </w:rPr>
        <w:t xml:space="preserve">The </w:t>
      </w:r>
      <w:r w:rsidRPr="00D736EC">
        <w:rPr>
          <w:rStyle w:val="SubtleEmphasis"/>
          <w:rFonts w:ascii="Times New Roman" w:hAnsi="Times New Roman"/>
          <w:b w:val="0"/>
          <w:i w:val="0"/>
          <w:iCs w:val="0"/>
          <w:sz w:val="24"/>
          <w:szCs w:val="24"/>
        </w:rPr>
        <w:t xml:space="preserve">ECON stressed that this small change is, in fact, neutral </w:t>
      </w:r>
      <w:r w:rsidR="003F398F">
        <w:rPr>
          <w:rStyle w:val="SubtleEmphasis"/>
          <w:rFonts w:ascii="Times New Roman" w:hAnsi="Times New Roman"/>
          <w:b w:val="0"/>
          <w:i w:val="0"/>
          <w:iCs w:val="0"/>
          <w:sz w:val="24"/>
          <w:szCs w:val="24"/>
        </w:rPr>
        <w:t>vis-à-vis</w:t>
      </w:r>
      <w:r w:rsidRPr="00D736EC">
        <w:rPr>
          <w:rStyle w:val="SubtleEmphasis"/>
          <w:rFonts w:ascii="Times New Roman" w:hAnsi="Times New Roman"/>
          <w:b w:val="0"/>
          <w:i w:val="0"/>
          <w:iCs w:val="0"/>
          <w:sz w:val="24"/>
          <w:szCs w:val="24"/>
        </w:rPr>
        <w:t xml:space="preserve"> the effect of the Proposal and yet has some clarification value. In our view, this change should be assessed positively, because this will facilitate and encourage cross-border invest</w:t>
      </w:r>
      <w:r w:rsidR="003F398F">
        <w:rPr>
          <w:rStyle w:val="SubtleEmphasis"/>
          <w:rFonts w:ascii="Times New Roman" w:hAnsi="Times New Roman"/>
          <w:b w:val="0"/>
          <w:i w:val="0"/>
          <w:iCs w:val="0"/>
          <w:sz w:val="24"/>
          <w:szCs w:val="24"/>
        </w:rPr>
        <w:t>ment</w:t>
      </w:r>
      <w:r w:rsidRPr="00D736EC">
        <w:rPr>
          <w:rStyle w:val="SubtleEmphasis"/>
          <w:rFonts w:ascii="Times New Roman" w:hAnsi="Times New Roman"/>
          <w:b w:val="0"/>
          <w:i w:val="0"/>
          <w:iCs w:val="0"/>
          <w:sz w:val="24"/>
          <w:szCs w:val="24"/>
        </w:rPr>
        <w:t>.</w:t>
      </w:r>
    </w:p>
    <w:p w14:paraId="7A099015" w14:textId="77777777" w:rsidR="003F398F" w:rsidRPr="00D736EC" w:rsidRDefault="003F398F" w:rsidP="003F398F">
      <w:pPr>
        <w:spacing w:after="0"/>
        <w:rPr>
          <w:rStyle w:val="SubtleEmphasis"/>
          <w:rFonts w:ascii="Times New Roman" w:hAnsi="Times New Roman"/>
          <w:b w:val="0"/>
          <w:i w:val="0"/>
          <w:iCs w:val="0"/>
          <w:sz w:val="24"/>
          <w:szCs w:val="24"/>
        </w:rPr>
      </w:pPr>
    </w:p>
    <w:p w14:paraId="3A99825D" w14:textId="77777777" w:rsidR="00D736EC" w:rsidRPr="003F398F" w:rsidRDefault="00D736EC" w:rsidP="003F398F">
      <w:pPr>
        <w:spacing w:after="0"/>
        <w:rPr>
          <w:rStyle w:val="SubtleEmphasis"/>
          <w:rFonts w:ascii="Times New Roman" w:hAnsi="Times New Roman"/>
          <w:b w:val="0"/>
          <w:sz w:val="24"/>
          <w:szCs w:val="24"/>
        </w:rPr>
      </w:pPr>
      <w:r w:rsidRPr="003F398F">
        <w:rPr>
          <w:rStyle w:val="SubtleEmphasis"/>
          <w:rFonts w:ascii="Times New Roman" w:hAnsi="Times New Roman"/>
          <w:b w:val="0"/>
          <w:sz w:val="24"/>
          <w:szCs w:val="24"/>
        </w:rPr>
        <w:t>Guarantees for employees and capital markets</w:t>
      </w:r>
    </w:p>
    <w:p w14:paraId="244955EC" w14:textId="77777777" w:rsidR="003F398F" w:rsidRDefault="003F398F" w:rsidP="003F398F">
      <w:pPr>
        <w:spacing w:after="0"/>
        <w:rPr>
          <w:rStyle w:val="SubtleEmphasis"/>
          <w:rFonts w:ascii="Times New Roman" w:hAnsi="Times New Roman"/>
          <w:b w:val="0"/>
          <w:i w:val="0"/>
          <w:iCs w:val="0"/>
          <w:sz w:val="24"/>
          <w:szCs w:val="24"/>
        </w:rPr>
      </w:pPr>
    </w:p>
    <w:p w14:paraId="2E2B0DF7" w14:textId="292596F3" w:rsidR="00D736EC" w:rsidRDefault="00D736EC" w:rsidP="003F398F">
      <w:pPr>
        <w:spacing w:after="0"/>
        <w:rPr>
          <w:rStyle w:val="SubtleEmphasis"/>
          <w:rFonts w:ascii="Times New Roman" w:hAnsi="Times New Roman"/>
          <w:b w:val="0"/>
          <w:i w:val="0"/>
          <w:iCs w:val="0"/>
          <w:sz w:val="24"/>
          <w:szCs w:val="24"/>
        </w:rPr>
      </w:pPr>
      <w:r w:rsidRPr="00D736EC">
        <w:rPr>
          <w:rStyle w:val="SubtleEmphasis"/>
          <w:rFonts w:ascii="Times New Roman" w:hAnsi="Times New Roman"/>
          <w:b w:val="0"/>
          <w:i w:val="0"/>
          <w:iCs w:val="0"/>
          <w:sz w:val="24"/>
          <w:szCs w:val="24"/>
        </w:rPr>
        <w:t xml:space="preserve">In Recital 4, </w:t>
      </w:r>
      <w:r w:rsidR="00CD797D">
        <w:rPr>
          <w:rStyle w:val="SubtleEmphasis"/>
          <w:rFonts w:ascii="Times New Roman" w:hAnsi="Times New Roman"/>
          <w:b w:val="0"/>
          <w:i w:val="0"/>
          <w:iCs w:val="0"/>
          <w:sz w:val="24"/>
          <w:szCs w:val="24"/>
        </w:rPr>
        <w:t xml:space="preserve">the </w:t>
      </w:r>
      <w:r w:rsidRPr="00D736EC">
        <w:rPr>
          <w:rStyle w:val="SubtleEmphasis"/>
          <w:rFonts w:ascii="Times New Roman" w:hAnsi="Times New Roman"/>
          <w:b w:val="0"/>
          <w:i w:val="0"/>
          <w:iCs w:val="0"/>
          <w:sz w:val="24"/>
          <w:szCs w:val="24"/>
        </w:rPr>
        <w:t xml:space="preserve">ECON proposes the inclusion of minimum guarantees for employees, which sounds natural taking into consideration the typical amendments proposed by </w:t>
      </w:r>
      <w:r w:rsidR="00CD797D">
        <w:rPr>
          <w:rStyle w:val="SubtleEmphasis"/>
          <w:rFonts w:ascii="Times New Roman" w:hAnsi="Times New Roman"/>
          <w:b w:val="0"/>
          <w:i w:val="0"/>
          <w:iCs w:val="0"/>
          <w:sz w:val="24"/>
          <w:szCs w:val="24"/>
        </w:rPr>
        <w:t xml:space="preserve">the </w:t>
      </w:r>
      <w:r w:rsidRPr="00D736EC">
        <w:rPr>
          <w:rStyle w:val="SubtleEmphasis"/>
          <w:rFonts w:ascii="Times New Roman" w:hAnsi="Times New Roman"/>
          <w:b w:val="0"/>
          <w:i w:val="0"/>
          <w:iCs w:val="0"/>
          <w:sz w:val="24"/>
          <w:szCs w:val="24"/>
        </w:rPr>
        <w:t xml:space="preserve">ECON. Additionally, </w:t>
      </w:r>
      <w:r w:rsidR="00CD797D">
        <w:rPr>
          <w:rStyle w:val="SubtleEmphasis"/>
          <w:rFonts w:ascii="Times New Roman" w:hAnsi="Times New Roman"/>
          <w:b w:val="0"/>
          <w:i w:val="0"/>
          <w:iCs w:val="0"/>
          <w:sz w:val="24"/>
          <w:szCs w:val="24"/>
        </w:rPr>
        <w:t xml:space="preserve">the </w:t>
      </w:r>
      <w:r w:rsidRPr="00D736EC">
        <w:rPr>
          <w:rStyle w:val="SubtleEmphasis"/>
          <w:rFonts w:ascii="Times New Roman" w:hAnsi="Times New Roman"/>
          <w:b w:val="0"/>
          <w:i w:val="0"/>
          <w:iCs w:val="0"/>
          <w:sz w:val="24"/>
          <w:szCs w:val="24"/>
        </w:rPr>
        <w:t xml:space="preserve">ECON proposes </w:t>
      </w:r>
      <w:r w:rsidR="003F398F">
        <w:rPr>
          <w:rStyle w:val="SubtleEmphasis"/>
          <w:rFonts w:ascii="Times New Roman" w:hAnsi="Times New Roman"/>
          <w:b w:val="0"/>
          <w:i w:val="0"/>
          <w:iCs w:val="0"/>
          <w:sz w:val="24"/>
          <w:szCs w:val="24"/>
        </w:rPr>
        <w:t xml:space="preserve">a </w:t>
      </w:r>
      <w:r w:rsidRPr="00D736EC">
        <w:rPr>
          <w:rStyle w:val="SubtleEmphasis"/>
          <w:rFonts w:ascii="Times New Roman" w:hAnsi="Times New Roman"/>
          <w:b w:val="0"/>
          <w:i w:val="0"/>
          <w:iCs w:val="0"/>
          <w:sz w:val="24"/>
          <w:szCs w:val="24"/>
        </w:rPr>
        <w:t xml:space="preserve">new Recital 4a which should lead to lower costs of credit, increased access to credit, improved creditor recovery and more effective protection of workers. As </w:t>
      </w:r>
      <w:r w:rsidR="00CD797D">
        <w:rPr>
          <w:rStyle w:val="SubtleEmphasis"/>
          <w:rFonts w:ascii="Times New Roman" w:hAnsi="Times New Roman"/>
          <w:b w:val="0"/>
          <w:i w:val="0"/>
          <w:iCs w:val="0"/>
          <w:sz w:val="24"/>
          <w:szCs w:val="24"/>
        </w:rPr>
        <w:t xml:space="preserve">the </w:t>
      </w:r>
      <w:r w:rsidRPr="00D736EC">
        <w:rPr>
          <w:rStyle w:val="SubtleEmphasis"/>
          <w:rFonts w:ascii="Times New Roman" w:hAnsi="Times New Roman"/>
          <w:b w:val="0"/>
          <w:i w:val="0"/>
          <w:iCs w:val="0"/>
          <w:sz w:val="24"/>
          <w:szCs w:val="24"/>
        </w:rPr>
        <w:t xml:space="preserve">ECON stresses: </w:t>
      </w:r>
      <w:r w:rsidR="003F398F">
        <w:rPr>
          <w:rStyle w:val="SubtleEmphasis"/>
          <w:rFonts w:ascii="Times New Roman" w:hAnsi="Times New Roman"/>
          <w:b w:val="0"/>
          <w:i w:val="0"/>
          <w:iCs w:val="0"/>
          <w:sz w:val="24"/>
          <w:szCs w:val="24"/>
        </w:rPr>
        <w:t>i</w:t>
      </w:r>
      <w:r w:rsidRPr="00D736EC">
        <w:rPr>
          <w:rStyle w:val="SubtleEmphasis"/>
          <w:rFonts w:ascii="Times New Roman" w:hAnsi="Times New Roman"/>
          <w:b w:val="0"/>
          <w:i w:val="0"/>
          <w:iCs w:val="0"/>
          <w:sz w:val="24"/>
          <w:szCs w:val="24"/>
        </w:rPr>
        <w:t>t is therefore key to create a harmonised tax environment that places debt and equity financing on an equal footing in the EU in parallel with this Directive, in line with the goals of the DEBRA proposal. It should be assessed as coherent with the essence of the European Union policy.</w:t>
      </w:r>
    </w:p>
    <w:p w14:paraId="7EC6E90D" w14:textId="77777777" w:rsidR="003F398F" w:rsidRPr="00D736EC" w:rsidRDefault="003F398F" w:rsidP="003F398F">
      <w:pPr>
        <w:spacing w:after="0"/>
        <w:rPr>
          <w:rStyle w:val="SubtleEmphasis"/>
          <w:rFonts w:ascii="Times New Roman" w:hAnsi="Times New Roman"/>
          <w:b w:val="0"/>
          <w:i w:val="0"/>
          <w:iCs w:val="0"/>
          <w:sz w:val="24"/>
          <w:szCs w:val="24"/>
        </w:rPr>
      </w:pPr>
    </w:p>
    <w:p w14:paraId="44C390F3" w14:textId="77777777" w:rsidR="00D736EC" w:rsidRPr="003F398F" w:rsidRDefault="00D736EC" w:rsidP="003F398F">
      <w:pPr>
        <w:spacing w:after="0"/>
        <w:rPr>
          <w:rStyle w:val="SubtleEmphasis"/>
          <w:rFonts w:ascii="Times New Roman" w:hAnsi="Times New Roman"/>
          <w:b w:val="0"/>
          <w:sz w:val="24"/>
          <w:szCs w:val="24"/>
        </w:rPr>
      </w:pPr>
      <w:r w:rsidRPr="003F398F">
        <w:rPr>
          <w:rStyle w:val="SubtleEmphasis"/>
          <w:rFonts w:ascii="Times New Roman" w:hAnsi="Times New Roman"/>
          <w:b w:val="0"/>
          <w:sz w:val="24"/>
          <w:szCs w:val="24"/>
        </w:rPr>
        <w:t>Voidable transactions</w:t>
      </w:r>
    </w:p>
    <w:p w14:paraId="5FA89447" w14:textId="77777777" w:rsidR="003F398F" w:rsidRDefault="003F398F" w:rsidP="003F398F">
      <w:pPr>
        <w:spacing w:after="0"/>
        <w:rPr>
          <w:rStyle w:val="SubtleEmphasis"/>
          <w:rFonts w:ascii="Times New Roman" w:hAnsi="Times New Roman"/>
          <w:b w:val="0"/>
          <w:i w:val="0"/>
          <w:iCs w:val="0"/>
          <w:sz w:val="24"/>
          <w:szCs w:val="24"/>
        </w:rPr>
      </w:pPr>
    </w:p>
    <w:p w14:paraId="1D9C9A6A" w14:textId="5E9F2645" w:rsidR="00D736EC" w:rsidRDefault="00D736EC" w:rsidP="003F398F">
      <w:pPr>
        <w:spacing w:after="0"/>
        <w:rPr>
          <w:rStyle w:val="SubtleEmphasis"/>
          <w:rFonts w:ascii="Times New Roman" w:hAnsi="Times New Roman"/>
          <w:b w:val="0"/>
          <w:i w:val="0"/>
          <w:iCs w:val="0"/>
          <w:sz w:val="24"/>
          <w:szCs w:val="24"/>
        </w:rPr>
      </w:pPr>
      <w:r w:rsidRPr="00D736EC">
        <w:rPr>
          <w:rStyle w:val="SubtleEmphasis"/>
          <w:rFonts w:ascii="Times New Roman" w:hAnsi="Times New Roman"/>
          <w:b w:val="0"/>
          <w:i w:val="0"/>
          <w:iCs w:val="0"/>
          <w:sz w:val="24"/>
          <w:szCs w:val="24"/>
        </w:rPr>
        <w:t>In Recital 8</w:t>
      </w:r>
      <w:r w:rsidR="003F398F">
        <w:rPr>
          <w:rStyle w:val="SubtleEmphasis"/>
          <w:rFonts w:ascii="Times New Roman" w:hAnsi="Times New Roman"/>
          <w:b w:val="0"/>
          <w:i w:val="0"/>
          <w:iCs w:val="0"/>
          <w:sz w:val="24"/>
          <w:szCs w:val="24"/>
        </w:rPr>
        <w:t>,</w:t>
      </w:r>
      <w:r w:rsidRPr="00D736EC">
        <w:rPr>
          <w:rStyle w:val="SubtleEmphasis"/>
          <w:rFonts w:ascii="Times New Roman" w:hAnsi="Times New Roman"/>
          <w:b w:val="0"/>
          <w:i w:val="0"/>
          <w:iCs w:val="0"/>
          <w:sz w:val="24"/>
          <w:szCs w:val="24"/>
        </w:rPr>
        <w:t xml:space="preserve"> together with Article</w:t>
      </w:r>
      <w:r w:rsidR="003F398F">
        <w:rPr>
          <w:rStyle w:val="SubtleEmphasis"/>
          <w:rFonts w:ascii="Times New Roman" w:hAnsi="Times New Roman"/>
          <w:b w:val="0"/>
          <w:i w:val="0"/>
          <w:iCs w:val="0"/>
          <w:sz w:val="24"/>
          <w:szCs w:val="24"/>
        </w:rPr>
        <w:t>s</w:t>
      </w:r>
      <w:r w:rsidRPr="00D736EC">
        <w:rPr>
          <w:rStyle w:val="SubtleEmphasis"/>
          <w:rFonts w:ascii="Times New Roman" w:hAnsi="Times New Roman"/>
          <w:b w:val="0"/>
          <w:i w:val="0"/>
          <w:iCs w:val="0"/>
          <w:sz w:val="24"/>
          <w:szCs w:val="24"/>
        </w:rPr>
        <w:t xml:space="preserve"> 6(2)(1)(b)</w:t>
      </w:r>
      <w:r w:rsidR="003F398F">
        <w:rPr>
          <w:rStyle w:val="SubtleEmphasis"/>
          <w:rFonts w:ascii="Times New Roman" w:hAnsi="Times New Roman"/>
          <w:b w:val="0"/>
          <w:i w:val="0"/>
          <w:iCs w:val="0"/>
          <w:sz w:val="24"/>
          <w:szCs w:val="24"/>
        </w:rPr>
        <w:t>,</w:t>
      </w:r>
      <w:r w:rsidRPr="00D736EC">
        <w:rPr>
          <w:rStyle w:val="SubtleEmphasis"/>
          <w:rFonts w:ascii="Times New Roman" w:hAnsi="Times New Roman"/>
          <w:b w:val="0"/>
          <w:i w:val="0"/>
          <w:iCs w:val="0"/>
          <w:sz w:val="24"/>
          <w:szCs w:val="24"/>
        </w:rPr>
        <w:t xml:space="preserve"> 6(3)(2)</w:t>
      </w:r>
      <w:r w:rsidR="003F398F">
        <w:rPr>
          <w:rStyle w:val="SubtleEmphasis"/>
          <w:rFonts w:ascii="Times New Roman" w:hAnsi="Times New Roman"/>
          <w:b w:val="0"/>
          <w:i w:val="0"/>
          <w:iCs w:val="0"/>
          <w:sz w:val="24"/>
          <w:szCs w:val="24"/>
        </w:rPr>
        <w:t>,</w:t>
      </w:r>
      <w:r w:rsidRPr="00D736EC">
        <w:rPr>
          <w:rStyle w:val="SubtleEmphasis"/>
          <w:rFonts w:ascii="Times New Roman" w:hAnsi="Times New Roman"/>
          <w:b w:val="0"/>
          <w:i w:val="0"/>
          <w:iCs w:val="0"/>
          <w:sz w:val="24"/>
          <w:szCs w:val="24"/>
        </w:rPr>
        <w:t xml:space="preserve"> 8(1)(1)(b) as well as 11(2)(1)(b)</w:t>
      </w:r>
      <w:r w:rsidR="003F398F">
        <w:rPr>
          <w:rStyle w:val="SubtleEmphasis"/>
          <w:rFonts w:ascii="Times New Roman" w:hAnsi="Times New Roman"/>
          <w:b w:val="0"/>
          <w:i w:val="0"/>
          <w:iCs w:val="0"/>
          <w:sz w:val="24"/>
          <w:szCs w:val="24"/>
        </w:rPr>
        <w:t>,</w:t>
      </w:r>
      <w:r w:rsidRPr="00D736EC">
        <w:rPr>
          <w:rStyle w:val="SubtleEmphasis"/>
          <w:rFonts w:ascii="Times New Roman" w:hAnsi="Times New Roman"/>
          <w:b w:val="0"/>
          <w:i w:val="0"/>
          <w:iCs w:val="0"/>
          <w:sz w:val="24"/>
          <w:szCs w:val="24"/>
        </w:rPr>
        <w:t xml:space="preserve"> the phrase ‘or should have known’ with regard to voidable transactions has been removed. In our opinion, this is not a good way of amending the Proposal, because transaction avoidance law should be broader, to ensure the effectiveness of the law.</w:t>
      </w:r>
    </w:p>
    <w:p w14:paraId="1A8C014E" w14:textId="77777777" w:rsidR="003F398F" w:rsidRPr="00D736EC" w:rsidRDefault="003F398F" w:rsidP="003F398F">
      <w:pPr>
        <w:spacing w:after="0"/>
        <w:rPr>
          <w:rStyle w:val="SubtleEmphasis"/>
          <w:rFonts w:ascii="Times New Roman" w:hAnsi="Times New Roman"/>
          <w:b w:val="0"/>
          <w:i w:val="0"/>
          <w:iCs w:val="0"/>
          <w:sz w:val="24"/>
          <w:szCs w:val="24"/>
        </w:rPr>
      </w:pPr>
    </w:p>
    <w:p w14:paraId="1BDC89B6" w14:textId="08D63589" w:rsidR="00D736EC" w:rsidRPr="003F398F" w:rsidRDefault="003F398F" w:rsidP="003F398F">
      <w:pPr>
        <w:spacing w:after="0"/>
        <w:rPr>
          <w:rStyle w:val="SubtleEmphasis"/>
          <w:rFonts w:ascii="Times New Roman" w:hAnsi="Times New Roman"/>
          <w:b w:val="0"/>
          <w:sz w:val="24"/>
          <w:szCs w:val="24"/>
        </w:rPr>
      </w:pPr>
      <w:r>
        <w:rPr>
          <w:rStyle w:val="SubtleEmphasis"/>
          <w:rFonts w:ascii="Times New Roman" w:hAnsi="Times New Roman"/>
          <w:b w:val="0"/>
          <w:sz w:val="24"/>
          <w:szCs w:val="24"/>
        </w:rPr>
        <w:t>H</w:t>
      </w:r>
      <w:r w:rsidR="00D736EC" w:rsidRPr="003F398F">
        <w:rPr>
          <w:rStyle w:val="SubtleEmphasis"/>
          <w:rFonts w:ascii="Times New Roman" w:hAnsi="Times New Roman"/>
          <w:b w:val="0"/>
          <w:sz w:val="24"/>
          <w:szCs w:val="24"/>
        </w:rPr>
        <w:t>igh wages</w:t>
      </w:r>
    </w:p>
    <w:p w14:paraId="0549ADEA" w14:textId="77777777" w:rsidR="003F398F" w:rsidRDefault="003F398F" w:rsidP="003F398F">
      <w:pPr>
        <w:spacing w:after="0"/>
        <w:rPr>
          <w:rStyle w:val="SubtleEmphasis"/>
          <w:rFonts w:ascii="Times New Roman" w:hAnsi="Times New Roman"/>
          <w:b w:val="0"/>
          <w:i w:val="0"/>
          <w:iCs w:val="0"/>
          <w:sz w:val="24"/>
          <w:szCs w:val="24"/>
        </w:rPr>
      </w:pPr>
    </w:p>
    <w:p w14:paraId="769BBD3E" w14:textId="390B4C0D" w:rsidR="00D736EC" w:rsidRDefault="00D736EC" w:rsidP="003F398F">
      <w:pPr>
        <w:spacing w:after="0"/>
        <w:rPr>
          <w:rStyle w:val="SubtleEmphasis"/>
          <w:rFonts w:ascii="Times New Roman" w:hAnsi="Times New Roman"/>
          <w:b w:val="0"/>
          <w:i w:val="0"/>
          <w:iCs w:val="0"/>
          <w:sz w:val="24"/>
          <w:szCs w:val="24"/>
        </w:rPr>
      </w:pPr>
      <w:r w:rsidRPr="00D736EC">
        <w:rPr>
          <w:rStyle w:val="SubtleEmphasis"/>
          <w:rFonts w:ascii="Times New Roman" w:hAnsi="Times New Roman"/>
          <w:b w:val="0"/>
          <w:i w:val="0"/>
          <w:iCs w:val="0"/>
          <w:sz w:val="24"/>
          <w:szCs w:val="24"/>
        </w:rPr>
        <w:t>Recital 9</w:t>
      </w:r>
      <w:r w:rsidR="003F398F">
        <w:rPr>
          <w:rStyle w:val="SubtleEmphasis"/>
          <w:rFonts w:ascii="Times New Roman" w:hAnsi="Times New Roman"/>
          <w:b w:val="0"/>
          <w:i w:val="0"/>
          <w:iCs w:val="0"/>
          <w:sz w:val="24"/>
          <w:szCs w:val="24"/>
        </w:rPr>
        <w:t>,</w:t>
      </w:r>
      <w:r w:rsidRPr="00D736EC">
        <w:rPr>
          <w:rStyle w:val="SubtleEmphasis"/>
          <w:rFonts w:ascii="Times New Roman" w:hAnsi="Times New Roman"/>
          <w:b w:val="0"/>
          <w:i w:val="0"/>
          <w:iCs w:val="0"/>
          <w:sz w:val="24"/>
          <w:szCs w:val="24"/>
        </w:rPr>
        <w:t xml:space="preserve"> together with Article 6 (3)(1)(a)</w:t>
      </w:r>
      <w:r w:rsidR="003F398F">
        <w:rPr>
          <w:rStyle w:val="SubtleEmphasis"/>
          <w:rFonts w:ascii="Times New Roman" w:hAnsi="Times New Roman"/>
          <w:b w:val="0"/>
          <w:i w:val="0"/>
          <w:iCs w:val="0"/>
          <w:sz w:val="24"/>
          <w:szCs w:val="24"/>
        </w:rPr>
        <w:t>,</w:t>
      </w:r>
      <w:r w:rsidRPr="00D736EC">
        <w:rPr>
          <w:rStyle w:val="SubtleEmphasis"/>
          <w:rFonts w:ascii="Times New Roman" w:hAnsi="Times New Roman"/>
          <w:b w:val="0"/>
          <w:i w:val="0"/>
          <w:iCs w:val="0"/>
          <w:sz w:val="24"/>
          <w:szCs w:val="24"/>
        </w:rPr>
        <w:t xml:space="preserve"> emphasise the exclusion of wages from the scope of legal acts that can be declared void. In our view, this is not a good change, because sometimes remuneration which is higher than market value is the source of trouble for the enterprise on the brink of or within the state of insolvency.</w:t>
      </w:r>
    </w:p>
    <w:p w14:paraId="01716DBC" w14:textId="77777777" w:rsidR="003F398F" w:rsidRPr="00D736EC" w:rsidRDefault="003F398F" w:rsidP="003F398F">
      <w:pPr>
        <w:spacing w:after="0"/>
        <w:rPr>
          <w:rStyle w:val="SubtleEmphasis"/>
          <w:rFonts w:ascii="Times New Roman" w:hAnsi="Times New Roman"/>
          <w:b w:val="0"/>
          <w:i w:val="0"/>
          <w:iCs w:val="0"/>
          <w:sz w:val="24"/>
          <w:szCs w:val="24"/>
        </w:rPr>
      </w:pPr>
    </w:p>
    <w:p w14:paraId="4FB7E138" w14:textId="141154CF" w:rsidR="00D736EC" w:rsidRPr="003F398F" w:rsidRDefault="003F398F" w:rsidP="003F398F">
      <w:pPr>
        <w:spacing w:after="0"/>
        <w:rPr>
          <w:rStyle w:val="SubtleEmphasis"/>
          <w:rFonts w:ascii="Times New Roman" w:hAnsi="Times New Roman"/>
          <w:b w:val="0"/>
          <w:sz w:val="24"/>
          <w:szCs w:val="24"/>
        </w:rPr>
      </w:pPr>
      <w:r w:rsidRPr="003F398F">
        <w:rPr>
          <w:rStyle w:val="SubtleEmphasis"/>
          <w:rFonts w:ascii="Times New Roman" w:hAnsi="Times New Roman"/>
          <w:b w:val="0"/>
          <w:sz w:val="24"/>
          <w:szCs w:val="24"/>
        </w:rPr>
        <w:t>P</w:t>
      </w:r>
      <w:r w:rsidR="00D736EC" w:rsidRPr="003F398F">
        <w:rPr>
          <w:rStyle w:val="SubtleEmphasis"/>
          <w:rFonts w:ascii="Times New Roman" w:hAnsi="Times New Roman"/>
          <w:b w:val="0"/>
          <w:sz w:val="24"/>
          <w:szCs w:val="24"/>
        </w:rPr>
        <w:t>re-pack</w:t>
      </w:r>
      <w:r w:rsidRPr="003F398F">
        <w:rPr>
          <w:rStyle w:val="SubtleEmphasis"/>
          <w:rFonts w:ascii="Times New Roman" w:hAnsi="Times New Roman"/>
          <w:b w:val="0"/>
          <w:sz w:val="24"/>
          <w:szCs w:val="24"/>
        </w:rPr>
        <w:t>s</w:t>
      </w:r>
    </w:p>
    <w:p w14:paraId="302B4831" w14:textId="77777777" w:rsidR="003F398F" w:rsidRDefault="003F398F" w:rsidP="003F398F">
      <w:pPr>
        <w:spacing w:after="0"/>
        <w:rPr>
          <w:rStyle w:val="SubtleEmphasis"/>
          <w:rFonts w:ascii="Times New Roman" w:hAnsi="Times New Roman"/>
          <w:b w:val="0"/>
          <w:i w:val="0"/>
          <w:iCs w:val="0"/>
          <w:sz w:val="24"/>
          <w:szCs w:val="24"/>
        </w:rPr>
      </w:pPr>
    </w:p>
    <w:p w14:paraId="5C47F82F" w14:textId="50D7FE39" w:rsidR="00D736EC" w:rsidRPr="00D736EC" w:rsidRDefault="00D736EC" w:rsidP="003F398F">
      <w:pPr>
        <w:spacing w:after="0"/>
        <w:rPr>
          <w:rStyle w:val="SubtleEmphasis"/>
          <w:rFonts w:ascii="Times New Roman" w:hAnsi="Times New Roman"/>
          <w:b w:val="0"/>
          <w:i w:val="0"/>
          <w:iCs w:val="0"/>
          <w:sz w:val="24"/>
          <w:szCs w:val="24"/>
        </w:rPr>
      </w:pPr>
      <w:r w:rsidRPr="00D736EC">
        <w:rPr>
          <w:rStyle w:val="SubtleEmphasis"/>
          <w:rFonts w:ascii="Times New Roman" w:hAnsi="Times New Roman"/>
          <w:b w:val="0"/>
          <w:i w:val="0"/>
          <w:iCs w:val="0"/>
          <w:sz w:val="24"/>
          <w:szCs w:val="24"/>
        </w:rPr>
        <w:t xml:space="preserve">Recital 24 touches upon the pre-pack procedure. </w:t>
      </w:r>
      <w:r w:rsidR="00CD797D">
        <w:rPr>
          <w:rStyle w:val="SubtleEmphasis"/>
          <w:rFonts w:ascii="Times New Roman" w:hAnsi="Times New Roman"/>
          <w:b w:val="0"/>
          <w:i w:val="0"/>
          <w:iCs w:val="0"/>
          <w:sz w:val="24"/>
          <w:szCs w:val="24"/>
        </w:rPr>
        <w:t xml:space="preserve">The </w:t>
      </w:r>
      <w:r w:rsidRPr="00D736EC">
        <w:rPr>
          <w:rStyle w:val="SubtleEmphasis"/>
          <w:rFonts w:ascii="Times New Roman" w:hAnsi="Times New Roman"/>
          <w:b w:val="0"/>
          <w:i w:val="0"/>
          <w:iCs w:val="0"/>
          <w:sz w:val="24"/>
          <w:szCs w:val="24"/>
        </w:rPr>
        <w:t>ECON proposes to change the conditions on which the pre-pack should be accepted by the court, from the ‘objectives-of-insolvency-law test’ to the ‘best-interest-of-creditors-test’. As the latter appears to be a lesser known test, it should be applied with caution. The same applies to Article 32 (2).</w:t>
      </w:r>
    </w:p>
    <w:p w14:paraId="6F3536A0" w14:textId="77777777" w:rsidR="003F398F" w:rsidRDefault="003F398F" w:rsidP="003F398F">
      <w:pPr>
        <w:spacing w:after="0"/>
        <w:rPr>
          <w:rStyle w:val="SubtleEmphasis"/>
          <w:rFonts w:ascii="Times New Roman" w:hAnsi="Times New Roman"/>
          <w:b w:val="0"/>
          <w:i w:val="0"/>
          <w:iCs w:val="0"/>
          <w:sz w:val="24"/>
          <w:szCs w:val="24"/>
        </w:rPr>
      </w:pPr>
    </w:p>
    <w:p w14:paraId="500910EB" w14:textId="764CED16" w:rsidR="00D736EC" w:rsidRDefault="00D736EC" w:rsidP="003F398F">
      <w:pPr>
        <w:spacing w:after="0"/>
        <w:rPr>
          <w:rStyle w:val="SubtleEmphasis"/>
          <w:rFonts w:ascii="Times New Roman" w:hAnsi="Times New Roman"/>
          <w:b w:val="0"/>
          <w:i w:val="0"/>
          <w:iCs w:val="0"/>
          <w:sz w:val="24"/>
          <w:szCs w:val="24"/>
        </w:rPr>
      </w:pPr>
      <w:r w:rsidRPr="00D736EC">
        <w:rPr>
          <w:rStyle w:val="SubtleEmphasis"/>
          <w:rFonts w:ascii="Times New Roman" w:hAnsi="Times New Roman"/>
          <w:b w:val="0"/>
          <w:i w:val="0"/>
          <w:iCs w:val="0"/>
          <w:sz w:val="24"/>
          <w:szCs w:val="24"/>
        </w:rPr>
        <w:t xml:space="preserve">Recital 28 describes contract assignment. </w:t>
      </w:r>
      <w:r w:rsidR="00CD797D">
        <w:rPr>
          <w:rStyle w:val="SubtleEmphasis"/>
          <w:rFonts w:ascii="Times New Roman" w:hAnsi="Times New Roman"/>
          <w:b w:val="0"/>
          <w:i w:val="0"/>
          <w:iCs w:val="0"/>
          <w:sz w:val="24"/>
          <w:szCs w:val="24"/>
        </w:rPr>
        <w:t xml:space="preserve">The </w:t>
      </w:r>
      <w:r w:rsidRPr="00D736EC">
        <w:rPr>
          <w:rStyle w:val="SubtleEmphasis"/>
          <w:rFonts w:ascii="Times New Roman" w:hAnsi="Times New Roman"/>
          <w:b w:val="0"/>
          <w:i w:val="0"/>
          <w:iCs w:val="0"/>
          <w:sz w:val="24"/>
          <w:szCs w:val="24"/>
        </w:rPr>
        <w:t xml:space="preserve">ECON proposes that it should be possible to assign contracts without the consent of a third party, against proper remuneration and other </w:t>
      </w:r>
      <w:r w:rsidRPr="00D736EC">
        <w:rPr>
          <w:rStyle w:val="SubtleEmphasis"/>
          <w:rFonts w:ascii="Times New Roman" w:hAnsi="Times New Roman"/>
          <w:b w:val="0"/>
          <w:i w:val="0"/>
          <w:iCs w:val="0"/>
          <w:sz w:val="24"/>
          <w:szCs w:val="24"/>
        </w:rPr>
        <w:lastRenderedPageBreak/>
        <w:t xml:space="preserve">resources. According to </w:t>
      </w:r>
      <w:r w:rsidR="003F398F">
        <w:rPr>
          <w:rStyle w:val="SubtleEmphasis"/>
          <w:rFonts w:ascii="Times New Roman" w:hAnsi="Times New Roman"/>
          <w:b w:val="0"/>
          <w:i w:val="0"/>
          <w:iCs w:val="0"/>
          <w:sz w:val="24"/>
          <w:szCs w:val="24"/>
        </w:rPr>
        <w:t xml:space="preserve">the </w:t>
      </w:r>
      <w:r w:rsidR="003F398F" w:rsidRPr="00D736EC">
        <w:rPr>
          <w:rStyle w:val="SubtleEmphasis"/>
          <w:rFonts w:ascii="Times New Roman" w:hAnsi="Times New Roman"/>
          <w:b w:val="0"/>
          <w:i w:val="0"/>
          <w:iCs w:val="0"/>
          <w:sz w:val="24"/>
          <w:szCs w:val="24"/>
        </w:rPr>
        <w:t>introductory part</w:t>
      </w:r>
      <w:r w:rsidR="003F398F">
        <w:rPr>
          <w:rStyle w:val="SubtleEmphasis"/>
          <w:rFonts w:ascii="Times New Roman" w:hAnsi="Times New Roman"/>
          <w:b w:val="0"/>
          <w:i w:val="0"/>
          <w:iCs w:val="0"/>
          <w:sz w:val="24"/>
          <w:szCs w:val="24"/>
        </w:rPr>
        <w:t xml:space="preserve"> of </w:t>
      </w:r>
      <w:r w:rsidRPr="00D736EC">
        <w:rPr>
          <w:rStyle w:val="SubtleEmphasis"/>
          <w:rFonts w:ascii="Times New Roman" w:hAnsi="Times New Roman"/>
          <w:b w:val="0"/>
          <w:i w:val="0"/>
          <w:iCs w:val="0"/>
          <w:sz w:val="24"/>
          <w:szCs w:val="24"/>
        </w:rPr>
        <w:t>Article 27(2)(1), it should be the insolvency practitioner and not the court who will decide about the transfer of the contracts of the debtor company.</w:t>
      </w:r>
    </w:p>
    <w:p w14:paraId="45C8351D" w14:textId="77777777" w:rsidR="003F398F" w:rsidRPr="00D736EC" w:rsidRDefault="003F398F" w:rsidP="003F398F">
      <w:pPr>
        <w:spacing w:after="0"/>
        <w:rPr>
          <w:rStyle w:val="SubtleEmphasis"/>
          <w:rFonts w:ascii="Times New Roman" w:hAnsi="Times New Roman"/>
          <w:b w:val="0"/>
          <w:i w:val="0"/>
          <w:iCs w:val="0"/>
          <w:sz w:val="24"/>
          <w:szCs w:val="24"/>
        </w:rPr>
      </w:pPr>
    </w:p>
    <w:p w14:paraId="06DAEC27" w14:textId="2B1F1C13" w:rsidR="00D736EC" w:rsidRPr="003F398F" w:rsidRDefault="00D736EC" w:rsidP="003F398F">
      <w:pPr>
        <w:spacing w:after="0"/>
        <w:rPr>
          <w:rStyle w:val="SubtleEmphasis"/>
          <w:rFonts w:ascii="Times New Roman" w:hAnsi="Times New Roman"/>
          <w:b w:val="0"/>
          <w:sz w:val="24"/>
          <w:szCs w:val="24"/>
        </w:rPr>
      </w:pPr>
      <w:r w:rsidRPr="003F398F">
        <w:rPr>
          <w:rStyle w:val="SubtleEmphasis"/>
          <w:rFonts w:ascii="Times New Roman" w:hAnsi="Times New Roman"/>
          <w:b w:val="0"/>
          <w:sz w:val="24"/>
          <w:szCs w:val="24"/>
        </w:rPr>
        <w:t>Creditors</w:t>
      </w:r>
      <w:r w:rsidR="003F398F" w:rsidRPr="003F398F">
        <w:rPr>
          <w:rStyle w:val="SubtleEmphasis"/>
          <w:rFonts w:ascii="Times New Roman" w:hAnsi="Times New Roman"/>
          <w:b w:val="0"/>
          <w:sz w:val="24"/>
          <w:szCs w:val="24"/>
        </w:rPr>
        <w:t>’</w:t>
      </w:r>
      <w:r w:rsidRPr="003F398F">
        <w:rPr>
          <w:rStyle w:val="SubtleEmphasis"/>
          <w:rFonts w:ascii="Times New Roman" w:hAnsi="Times New Roman"/>
          <w:b w:val="0"/>
          <w:sz w:val="24"/>
          <w:szCs w:val="24"/>
        </w:rPr>
        <w:t xml:space="preserve"> </w:t>
      </w:r>
      <w:r w:rsidR="003F398F" w:rsidRPr="003F398F">
        <w:rPr>
          <w:rStyle w:val="SubtleEmphasis"/>
          <w:rFonts w:ascii="Times New Roman" w:hAnsi="Times New Roman"/>
          <w:b w:val="0"/>
          <w:sz w:val="24"/>
          <w:szCs w:val="24"/>
        </w:rPr>
        <w:t>c</w:t>
      </w:r>
      <w:r w:rsidRPr="003F398F">
        <w:rPr>
          <w:rStyle w:val="SubtleEmphasis"/>
          <w:rFonts w:ascii="Times New Roman" w:hAnsi="Times New Roman"/>
          <w:b w:val="0"/>
          <w:sz w:val="24"/>
          <w:szCs w:val="24"/>
        </w:rPr>
        <w:t>ommittees</w:t>
      </w:r>
    </w:p>
    <w:p w14:paraId="795C87F9" w14:textId="77777777" w:rsidR="003F398F" w:rsidRDefault="003F398F" w:rsidP="003F398F">
      <w:pPr>
        <w:spacing w:after="0"/>
        <w:rPr>
          <w:rStyle w:val="SubtleEmphasis"/>
          <w:rFonts w:ascii="Times New Roman" w:hAnsi="Times New Roman"/>
          <w:b w:val="0"/>
          <w:i w:val="0"/>
          <w:iCs w:val="0"/>
          <w:sz w:val="24"/>
          <w:szCs w:val="24"/>
        </w:rPr>
      </w:pPr>
    </w:p>
    <w:p w14:paraId="4966A24F" w14:textId="06DA3885" w:rsidR="00D736EC" w:rsidRDefault="00D736EC" w:rsidP="003F398F">
      <w:pPr>
        <w:spacing w:after="0"/>
        <w:rPr>
          <w:rStyle w:val="SubtleEmphasis"/>
          <w:rFonts w:ascii="Times New Roman" w:hAnsi="Times New Roman"/>
          <w:b w:val="0"/>
          <w:i w:val="0"/>
          <w:iCs w:val="0"/>
          <w:sz w:val="24"/>
          <w:szCs w:val="24"/>
        </w:rPr>
      </w:pPr>
      <w:r w:rsidRPr="00D736EC">
        <w:rPr>
          <w:rStyle w:val="SubtleEmphasis"/>
          <w:rFonts w:ascii="Times New Roman" w:hAnsi="Times New Roman"/>
          <w:b w:val="0"/>
          <w:i w:val="0"/>
          <w:iCs w:val="0"/>
          <w:sz w:val="24"/>
          <w:szCs w:val="24"/>
        </w:rPr>
        <w:t xml:space="preserve">Recital 50 also touches </w:t>
      </w:r>
      <w:r w:rsidR="003F398F">
        <w:rPr>
          <w:rStyle w:val="SubtleEmphasis"/>
          <w:rFonts w:ascii="Times New Roman" w:hAnsi="Times New Roman"/>
          <w:b w:val="0"/>
          <w:i w:val="0"/>
          <w:iCs w:val="0"/>
          <w:sz w:val="24"/>
          <w:szCs w:val="24"/>
        </w:rPr>
        <w:t xml:space="preserve">on </w:t>
      </w:r>
      <w:r w:rsidRPr="00D736EC">
        <w:rPr>
          <w:rStyle w:val="SubtleEmphasis"/>
          <w:rFonts w:ascii="Times New Roman" w:hAnsi="Times New Roman"/>
          <w:b w:val="0"/>
          <w:i w:val="0"/>
          <w:iCs w:val="0"/>
          <w:sz w:val="24"/>
          <w:szCs w:val="24"/>
        </w:rPr>
        <w:t>the role of employees in creditors</w:t>
      </w:r>
      <w:r w:rsidR="003F398F">
        <w:rPr>
          <w:rStyle w:val="SubtleEmphasis"/>
          <w:rFonts w:ascii="Times New Roman" w:hAnsi="Times New Roman"/>
          <w:b w:val="0"/>
          <w:i w:val="0"/>
          <w:iCs w:val="0"/>
          <w:sz w:val="24"/>
          <w:szCs w:val="24"/>
        </w:rPr>
        <w:t>’</w:t>
      </w:r>
      <w:r w:rsidRPr="00D736EC">
        <w:rPr>
          <w:rStyle w:val="SubtleEmphasis"/>
          <w:rFonts w:ascii="Times New Roman" w:hAnsi="Times New Roman"/>
          <w:b w:val="0"/>
          <w:i w:val="0"/>
          <w:iCs w:val="0"/>
          <w:sz w:val="24"/>
          <w:szCs w:val="24"/>
        </w:rPr>
        <w:t xml:space="preserve"> committees and this should be assess</w:t>
      </w:r>
      <w:r w:rsidR="003F398F">
        <w:rPr>
          <w:rStyle w:val="SubtleEmphasis"/>
          <w:rFonts w:ascii="Times New Roman" w:hAnsi="Times New Roman"/>
          <w:b w:val="0"/>
          <w:i w:val="0"/>
          <w:iCs w:val="0"/>
          <w:sz w:val="24"/>
          <w:szCs w:val="24"/>
        </w:rPr>
        <w:t>ed</w:t>
      </w:r>
      <w:r w:rsidRPr="00D736EC">
        <w:rPr>
          <w:rStyle w:val="SubtleEmphasis"/>
          <w:rFonts w:ascii="Times New Roman" w:hAnsi="Times New Roman"/>
          <w:b w:val="0"/>
          <w:i w:val="0"/>
          <w:iCs w:val="0"/>
          <w:sz w:val="24"/>
          <w:szCs w:val="24"/>
        </w:rPr>
        <w:t xml:space="preserve"> positively, as wide representation within creditors</w:t>
      </w:r>
      <w:r w:rsidR="003F398F">
        <w:rPr>
          <w:rStyle w:val="SubtleEmphasis"/>
          <w:rFonts w:ascii="Times New Roman" w:hAnsi="Times New Roman"/>
          <w:b w:val="0"/>
          <w:i w:val="0"/>
          <w:iCs w:val="0"/>
          <w:sz w:val="24"/>
          <w:szCs w:val="24"/>
        </w:rPr>
        <w:t>’</w:t>
      </w:r>
      <w:r w:rsidRPr="00D736EC">
        <w:rPr>
          <w:rStyle w:val="SubtleEmphasis"/>
          <w:rFonts w:ascii="Times New Roman" w:hAnsi="Times New Roman"/>
          <w:b w:val="0"/>
          <w:i w:val="0"/>
          <w:iCs w:val="0"/>
          <w:sz w:val="24"/>
          <w:szCs w:val="24"/>
        </w:rPr>
        <w:t xml:space="preserve"> committees is generally a good direction. In fact, Recital 53 is also aimed at strengthening the role of employees</w:t>
      </w:r>
      <w:r w:rsidR="003F398F">
        <w:rPr>
          <w:rStyle w:val="SubtleEmphasis"/>
          <w:rFonts w:ascii="Times New Roman" w:hAnsi="Times New Roman"/>
          <w:b w:val="0"/>
          <w:i w:val="0"/>
          <w:iCs w:val="0"/>
          <w:sz w:val="24"/>
          <w:szCs w:val="24"/>
        </w:rPr>
        <w:t>’</w:t>
      </w:r>
      <w:r w:rsidRPr="00D736EC">
        <w:rPr>
          <w:rStyle w:val="SubtleEmphasis"/>
          <w:rFonts w:ascii="Times New Roman" w:hAnsi="Times New Roman"/>
          <w:b w:val="0"/>
          <w:i w:val="0"/>
          <w:iCs w:val="0"/>
          <w:sz w:val="24"/>
          <w:szCs w:val="24"/>
        </w:rPr>
        <w:t xml:space="preserve"> representation, which sometimes can be a source of delays in the proceedings as employees usually have different, multiple representatives.</w:t>
      </w:r>
    </w:p>
    <w:p w14:paraId="7CB6EF99" w14:textId="77777777" w:rsidR="003F398F" w:rsidRPr="00D736EC" w:rsidRDefault="003F398F" w:rsidP="003F398F">
      <w:pPr>
        <w:spacing w:after="0"/>
        <w:rPr>
          <w:rStyle w:val="SubtleEmphasis"/>
          <w:rFonts w:ascii="Times New Roman" w:hAnsi="Times New Roman"/>
          <w:b w:val="0"/>
          <w:i w:val="0"/>
          <w:iCs w:val="0"/>
          <w:sz w:val="24"/>
          <w:szCs w:val="24"/>
        </w:rPr>
      </w:pPr>
    </w:p>
    <w:p w14:paraId="016D8F43" w14:textId="77777777" w:rsidR="00D736EC" w:rsidRPr="00D736EC" w:rsidRDefault="00D736EC" w:rsidP="003F398F">
      <w:pPr>
        <w:spacing w:after="0"/>
        <w:rPr>
          <w:rStyle w:val="SubtleEmphasis"/>
          <w:rFonts w:ascii="Times New Roman" w:hAnsi="Times New Roman"/>
          <w:b w:val="0"/>
          <w:i w:val="0"/>
          <w:iCs w:val="0"/>
          <w:sz w:val="24"/>
          <w:szCs w:val="24"/>
        </w:rPr>
      </w:pPr>
      <w:r w:rsidRPr="00D736EC">
        <w:rPr>
          <w:rStyle w:val="SubtleEmphasis"/>
          <w:rFonts w:ascii="Times New Roman" w:hAnsi="Times New Roman"/>
          <w:b w:val="0"/>
          <w:i w:val="0"/>
          <w:iCs w:val="0"/>
          <w:sz w:val="24"/>
          <w:szCs w:val="24"/>
        </w:rPr>
        <w:t>Adding new paragraph 1a to Article 1 seems neutral from the purely legal point of view, but it is good to stress such values as ‘efficiency of insolvency procedures both in terms of cost and length as well as improving predictability and fair distribution of value amongst creditors’.</w:t>
      </w:r>
    </w:p>
    <w:p w14:paraId="17F64B48" w14:textId="77777777" w:rsidR="003F398F" w:rsidRDefault="003F398F" w:rsidP="003F398F">
      <w:pPr>
        <w:spacing w:after="0"/>
        <w:rPr>
          <w:rStyle w:val="SubtleEmphasis"/>
          <w:rFonts w:ascii="Times New Roman" w:hAnsi="Times New Roman"/>
          <w:b w:val="0"/>
          <w:i w:val="0"/>
          <w:iCs w:val="0"/>
          <w:sz w:val="24"/>
          <w:szCs w:val="24"/>
        </w:rPr>
      </w:pPr>
    </w:p>
    <w:p w14:paraId="631DB9A8" w14:textId="269B7DCB" w:rsidR="00D736EC" w:rsidRDefault="003F398F" w:rsidP="003F398F">
      <w:pPr>
        <w:spacing w:after="0"/>
        <w:rPr>
          <w:rStyle w:val="SubtleEmphasis"/>
          <w:rFonts w:ascii="Times New Roman" w:hAnsi="Times New Roman"/>
          <w:b w:val="0"/>
          <w:i w:val="0"/>
          <w:iCs w:val="0"/>
          <w:sz w:val="24"/>
          <w:szCs w:val="24"/>
        </w:rPr>
      </w:pPr>
      <w:r>
        <w:rPr>
          <w:rStyle w:val="SubtleEmphasis"/>
          <w:rFonts w:ascii="Times New Roman" w:hAnsi="Times New Roman"/>
          <w:b w:val="0"/>
          <w:i w:val="0"/>
          <w:iCs w:val="0"/>
          <w:sz w:val="24"/>
          <w:szCs w:val="24"/>
        </w:rPr>
        <w:t xml:space="preserve">A new </w:t>
      </w:r>
      <w:r w:rsidR="00D736EC" w:rsidRPr="00D736EC">
        <w:rPr>
          <w:rStyle w:val="SubtleEmphasis"/>
          <w:rFonts w:ascii="Times New Roman" w:hAnsi="Times New Roman"/>
          <w:b w:val="0"/>
          <w:i w:val="0"/>
          <w:iCs w:val="0"/>
          <w:sz w:val="24"/>
          <w:szCs w:val="24"/>
        </w:rPr>
        <w:t xml:space="preserve">Article 6(3)(1)(c)(a) proposes as nonvoidable ‘legal acts that serve as satisfaction or collateralisation of claims of social security authorities’, </w:t>
      </w:r>
      <w:r>
        <w:rPr>
          <w:rStyle w:val="SubtleEmphasis"/>
          <w:rFonts w:ascii="Times New Roman" w:hAnsi="Times New Roman"/>
          <w:b w:val="0"/>
          <w:i w:val="0"/>
          <w:iCs w:val="0"/>
          <w:sz w:val="24"/>
          <w:szCs w:val="24"/>
        </w:rPr>
        <w:t xml:space="preserve">which </w:t>
      </w:r>
      <w:r w:rsidR="00D736EC" w:rsidRPr="00D736EC">
        <w:rPr>
          <w:rStyle w:val="SubtleEmphasis"/>
          <w:rFonts w:ascii="Times New Roman" w:hAnsi="Times New Roman"/>
          <w:b w:val="0"/>
          <w:i w:val="0"/>
          <w:iCs w:val="0"/>
          <w:sz w:val="24"/>
          <w:szCs w:val="24"/>
        </w:rPr>
        <w:t>can be accepted based upon the prerequisite that th</w:t>
      </w:r>
      <w:r>
        <w:rPr>
          <w:rStyle w:val="SubtleEmphasis"/>
          <w:rFonts w:ascii="Times New Roman" w:hAnsi="Times New Roman"/>
          <w:b w:val="0"/>
          <w:i w:val="0"/>
          <w:iCs w:val="0"/>
          <w:sz w:val="24"/>
          <w:szCs w:val="24"/>
        </w:rPr>
        <w:t>e</w:t>
      </w:r>
      <w:r w:rsidR="00D736EC" w:rsidRPr="00D736EC">
        <w:rPr>
          <w:rStyle w:val="SubtleEmphasis"/>
          <w:rFonts w:ascii="Times New Roman" w:hAnsi="Times New Roman"/>
          <w:b w:val="0"/>
          <w:i w:val="0"/>
          <w:iCs w:val="0"/>
          <w:sz w:val="24"/>
          <w:szCs w:val="24"/>
        </w:rPr>
        <w:t>s</w:t>
      </w:r>
      <w:r>
        <w:rPr>
          <w:rStyle w:val="SubtleEmphasis"/>
          <w:rFonts w:ascii="Times New Roman" w:hAnsi="Times New Roman"/>
          <w:b w:val="0"/>
          <w:i w:val="0"/>
          <w:iCs w:val="0"/>
          <w:sz w:val="24"/>
          <w:szCs w:val="24"/>
        </w:rPr>
        <w:t>e</w:t>
      </w:r>
      <w:r w:rsidR="00D736EC" w:rsidRPr="00D736EC">
        <w:rPr>
          <w:rStyle w:val="SubtleEmphasis"/>
          <w:rFonts w:ascii="Times New Roman" w:hAnsi="Times New Roman"/>
          <w:b w:val="0"/>
          <w:i w:val="0"/>
          <w:iCs w:val="0"/>
          <w:sz w:val="24"/>
          <w:szCs w:val="24"/>
        </w:rPr>
        <w:t xml:space="preserve"> authorities are of public law origin and structure. </w:t>
      </w:r>
    </w:p>
    <w:p w14:paraId="36359B08" w14:textId="77777777" w:rsidR="003F398F" w:rsidRPr="00D736EC" w:rsidRDefault="003F398F" w:rsidP="003F398F">
      <w:pPr>
        <w:spacing w:after="0"/>
        <w:rPr>
          <w:rStyle w:val="SubtleEmphasis"/>
          <w:rFonts w:ascii="Times New Roman" w:hAnsi="Times New Roman"/>
          <w:b w:val="0"/>
          <w:i w:val="0"/>
          <w:iCs w:val="0"/>
          <w:sz w:val="24"/>
          <w:szCs w:val="24"/>
        </w:rPr>
      </w:pPr>
    </w:p>
    <w:p w14:paraId="06684458" w14:textId="56294C37" w:rsidR="00D736EC" w:rsidRPr="00D736EC" w:rsidRDefault="00D736EC" w:rsidP="003F398F">
      <w:pPr>
        <w:spacing w:after="0"/>
        <w:rPr>
          <w:rStyle w:val="SubtleEmphasis"/>
          <w:rFonts w:ascii="Times New Roman" w:hAnsi="Times New Roman"/>
          <w:b w:val="0"/>
          <w:i w:val="0"/>
          <w:iCs w:val="0"/>
          <w:sz w:val="24"/>
          <w:szCs w:val="24"/>
        </w:rPr>
      </w:pPr>
      <w:r w:rsidRPr="00D736EC">
        <w:rPr>
          <w:rStyle w:val="SubtleEmphasis"/>
          <w:rFonts w:ascii="Times New Roman" w:hAnsi="Times New Roman"/>
          <w:b w:val="0"/>
          <w:i w:val="0"/>
          <w:iCs w:val="0"/>
          <w:sz w:val="24"/>
          <w:szCs w:val="24"/>
        </w:rPr>
        <w:t xml:space="preserve">ECON </w:t>
      </w:r>
      <w:r w:rsidR="003F398F">
        <w:rPr>
          <w:rStyle w:val="SubtleEmphasis"/>
          <w:rFonts w:ascii="Times New Roman" w:hAnsi="Times New Roman"/>
          <w:b w:val="0"/>
          <w:i w:val="0"/>
          <w:iCs w:val="0"/>
          <w:sz w:val="24"/>
          <w:szCs w:val="24"/>
        </w:rPr>
        <w:t xml:space="preserve">also </w:t>
      </w:r>
      <w:r w:rsidRPr="00D736EC">
        <w:rPr>
          <w:rStyle w:val="SubtleEmphasis"/>
          <w:rFonts w:ascii="Times New Roman" w:hAnsi="Times New Roman"/>
          <w:b w:val="0"/>
          <w:i w:val="0"/>
          <w:iCs w:val="0"/>
          <w:sz w:val="24"/>
          <w:szCs w:val="24"/>
        </w:rPr>
        <w:t>proposes</w:t>
      </w:r>
      <w:r w:rsidR="003F398F">
        <w:rPr>
          <w:rStyle w:val="SubtleEmphasis"/>
          <w:rFonts w:ascii="Times New Roman" w:hAnsi="Times New Roman"/>
          <w:b w:val="0"/>
          <w:i w:val="0"/>
          <w:iCs w:val="0"/>
          <w:sz w:val="24"/>
          <w:szCs w:val="24"/>
        </w:rPr>
        <w:t>,</w:t>
      </w:r>
      <w:r w:rsidRPr="00D736EC">
        <w:rPr>
          <w:rStyle w:val="SubtleEmphasis"/>
          <w:rFonts w:ascii="Times New Roman" w:hAnsi="Times New Roman"/>
          <w:b w:val="0"/>
          <w:i w:val="0"/>
          <w:iCs w:val="0"/>
          <w:sz w:val="24"/>
          <w:szCs w:val="24"/>
        </w:rPr>
        <w:t xml:space="preserve"> in </w:t>
      </w:r>
      <w:r w:rsidR="003F398F">
        <w:rPr>
          <w:rStyle w:val="SubtleEmphasis"/>
          <w:rFonts w:ascii="Times New Roman" w:hAnsi="Times New Roman"/>
          <w:b w:val="0"/>
          <w:i w:val="0"/>
          <w:iCs w:val="0"/>
          <w:sz w:val="24"/>
          <w:szCs w:val="24"/>
        </w:rPr>
        <w:t xml:space="preserve">the </w:t>
      </w:r>
      <w:r w:rsidR="003F398F" w:rsidRPr="00D736EC">
        <w:rPr>
          <w:rStyle w:val="SubtleEmphasis"/>
          <w:rFonts w:ascii="Times New Roman" w:hAnsi="Times New Roman"/>
          <w:b w:val="0"/>
          <w:i w:val="0"/>
          <w:iCs w:val="0"/>
          <w:sz w:val="24"/>
          <w:szCs w:val="24"/>
        </w:rPr>
        <w:t>introductory part</w:t>
      </w:r>
      <w:r w:rsidR="003F398F">
        <w:rPr>
          <w:rStyle w:val="SubtleEmphasis"/>
          <w:rFonts w:ascii="Times New Roman" w:hAnsi="Times New Roman"/>
          <w:b w:val="0"/>
          <w:i w:val="0"/>
          <w:iCs w:val="0"/>
          <w:sz w:val="24"/>
          <w:szCs w:val="24"/>
        </w:rPr>
        <w:t xml:space="preserve"> of </w:t>
      </w:r>
      <w:r w:rsidRPr="00D736EC">
        <w:rPr>
          <w:rStyle w:val="SubtleEmphasis"/>
          <w:rFonts w:ascii="Times New Roman" w:hAnsi="Times New Roman"/>
          <w:b w:val="0"/>
          <w:i w:val="0"/>
          <w:iCs w:val="0"/>
          <w:sz w:val="24"/>
          <w:szCs w:val="24"/>
        </w:rPr>
        <w:t xml:space="preserve">Article 19(1), </w:t>
      </w:r>
      <w:r w:rsidR="003F398F">
        <w:rPr>
          <w:rStyle w:val="SubtleEmphasis"/>
          <w:rFonts w:ascii="Times New Roman" w:hAnsi="Times New Roman"/>
          <w:b w:val="0"/>
          <w:i w:val="0"/>
          <w:iCs w:val="0"/>
          <w:sz w:val="24"/>
          <w:szCs w:val="24"/>
        </w:rPr>
        <w:t xml:space="preserve">an </w:t>
      </w:r>
      <w:r w:rsidRPr="00D736EC">
        <w:rPr>
          <w:rStyle w:val="SubtleEmphasis"/>
          <w:rFonts w:ascii="Times New Roman" w:hAnsi="Times New Roman"/>
          <w:b w:val="0"/>
          <w:i w:val="0"/>
          <w:iCs w:val="0"/>
          <w:sz w:val="24"/>
          <w:szCs w:val="24"/>
        </w:rPr>
        <w:t xml:space="preserve">introduction on general requirements for the possibility of introducing the pre-pack, </w:t>
      </w:r>
      <w:r w:rsidR="003F398F">
        <w:rPr>
          <w:rStyle w:val="SubtleEmphasis"/>
          <w:rFonts w:ascii="Times New Roman" w:hAnsi="Times New Roman"/>
          <w:b w:val="0"/>
          <w:i w:val="0"/>
          <w:iCs w:val="0"/>
          <w:sz w:val="24"/>
          <w:szCs w:val="24"/>
        </w:rPr>
        <w:t xml:space="preserve">with </w:t>
      </w:r>
      <w:r w:rsidRPr="00D736EC">
        <w:rPr>
          <w:rStyle w:val="SubtleEmphasis"/>
          <w:rFonts w:ascii="Times New Roman" w:hAnsi="Times New Roman"/>
          <w:b w:val="0"/>
          <w:i w:val="0"/>
          <w:iCs w:val="0"/>
          <w:sz w:val="24"/>
          <w:szCs w:val="24"/>
        </w:rPr>
        <w:t xml:space="preserve">the following wording: </w:t>
      </w:r>
      <w:r w:rsidR="003F398F">
        <w:rPr>
          <w:rStyle w:val="SubtleEmphasis"/>
          <w:rFonts w:ascii="Times New Roman" w:hAnsi="Times New Roman"/>
          <w:b w:val="0"/>
          <w:i w:val="0"/>
          <w:iCs w:val="0"/>
          <w:sz w:val="24"/>
          <w:szCs w:val="24"/>
        </w:rPr>
        <w:t>“</w:t>
      </w:r>
      <w:r w:rsidRPr="00D736EC">
        <w:rPr>
          <w:rStyle w:val="SubtleEmphasis"/>
          <w:rFonts w:ascii="Times New Roman" w:hAnsi="Times New Roman"/>
          <w:b w:val="0"/>
          <w:i w:val="0"/>
          <w:iCs w:val="0"/>
          <w:sz w:val="24"/>
          <w:szCs w:val="24"/>
        </w:rPr>
        <w:t>Member States shall introduce pre-pack proceedings in situations, where the debtor is in a situation of likelihood of insolvency or is insolvent in accordance with national law.</w:t>
      </w:r>
      <w:r w:rsidR="003F398F">
        <w:rPr>
          <w:rStyle w:val="SubtleEmphasis"/>
          <w:rFonts w:ascii="Times New Roman" w:hAnsi="Times New Roman"/>
          <w:b w:val="0"/>
          <w:i w:val="0"/>
          <w:iCs w:val="0"/>
          <w:sz w:val="24"/>
          <w:szCs w:val="24"/>
        </w:rPr>
        <w:t>”</w:t>
      </w:r>
      <w:r w:rsidRPr="00D736EC">
        <w:rPr>
          <w:rStyle w:val="SubtleEmphasis"/>
          <w:rFonts w:ascii="Times New Roman" w:hAnsi="Times New Roman"/>
          <w:b w:val="0"/>
          <w:i w:val="0"/>
          <w:iCs w:val="0"/>
          <w:sz w:val="24"/>
          <w:szCs w:val="24"/>
        </w:rPr>
        <w:t xml:space="preserve"> This should be assessed positively, as some Member States do not yet have pre-pack proceedings within their legal framework. </w:t>
      </w:r>
    </w:p>
    <w:p w14:paraId="69AE9DA2" w14:textId="77777777" w:rsidR="003F398F" w:rsidRDefault="003F398F" w:rsidP="003F398F">
      <w:pPr>
        <w:spacing w:after="0"/>
        <w:rPr>
          <w:rStyle w:val="SubtleEmphasis"/>
          <w:rFonts w:ascii="Times New Roman" w:hAnsi="Times New Roman"/>
          <w:b w:val="0"/>
          <w:i w:val="0"/>
          <w:iCs w:val="0"/>
          <w:sz w:val="24"/>
          <w:szCs w:val="24"/>
        </w:rPr>
      </w:pPr>
    </w:p>
    <w:p w14:paraId="69128888" w14:textId="01FD1CE7" w:rsidR="00D736EC" w:rsidRPr="00D736EC" w:rsidRDefault="00D736EC" w:rsidP="003F398F">
      <w:pPr>
        <w:spacing w:after="0"/>
        <w:rPr>
          <w:rStyle w:val="SubtleEmphasis"/>
          <w:rFonts w:ascii="Times New Roman" w:hAnsi="Times New Roman"/>
          <w:b w:val="0"/>
          <w:i w:val="0"/>
          <w:iCs w:val="0"/>
          <w:sz w:val="24"/>
          <w:szCs w:val="24"/>
        </w:rPr>
      </w:pPr>
      <w:r w:rsidRPr="00D736EC">
        <w:rPr>
          <w:rStyle w:val="SubtleEmphasis"/>
          <w:rFonts w:ascii="Times New Roman" w:hAnsi="Times New Roman"/>
          <w:b w:val="0"/>
          <w:i w:val="0"/>
          <w:iCs w:val="0"/>
          <w:sz w:val="24"/>
          <w:szCs w:val="24"/>
        </w:rPr>
        <w:t>Amend</w:t>
      </w:r>
      <w:r w:rsidR="003F398F">
        <w:rPr>
          <w:rStyle w:val="SubtleEmphasis"/>
          <w:rFonts w:ascii="Times New Roman" w:hAnsi="Times New Roman"/>
          <w:b w:val="0"/>
          <w:i w:val="0"/>
          <w:iCs w:val="0"/>
          <w:sz w:val="24"/>
          <w:szCs w:val="24"/>
        </w:rPr>
        <w:t>ments to</w:t>
      </w:r>
      <w:r w:rsidRPr="00D736EC">
        <w:rPr>
          <w:rStyle w:val="SubtleEmphasis"/>
          <w:rFonts w:ascii="Times New Roman" w:hAnsi="Times New Roman"/>
          <w:b w:val="0"/>
          <w:i w:val="0"/>
          <w:iCs w:val="0"/>
          <w:sz w:val="24"/>
          <w:szCs w:val="24"/>
        </w:rPr>
        <w:t xml:space="preserve"> Article 22(2)(1)(d)(a) (new) </w:t>
      </w:r>
      <w:r w:rsidR="003F398F">
        <w:rPr>
          <w:rStyle w:val="SubtleEmphasis"/>
          <w:rFonts w:ascii="Times New Roman" w:hAnsi="Times New Roman"/>
          <w:b w:val="0"/>
          <w:i w:val="0"/>
          <w:iCs w:val="0"/>
          <w:sz w:val="24"/>
          <w:szCs w:val="24"/>
        </w:rPr>
        <w:t xml:space="preserve">are </w:t>
      </w:r>
      <w:r w:rsidRPr="00D736EC">
        <w:rPr>
          <w:rStyle w:val="SubtleEmphasis"/>
          <w:rFonts w:ascii="Times New Roman" w:hAnsi="Times New Roman"/>
          <w:b w:val="0"/>
          <w:i w:val="0"/>
          <w:iCs w:val="0"/>
          <w:sz w:val="24"/>
          <w:szCs w:val="24"/>
        </w:rPr>
        <w:t xml:space="preserve">proposed </w:t>
      </w:r>
      <w:r w:rsidR="003F398F">
        <w:rPr>
          <w:rStyle w:val="SubtleEmphasis"/>
          <w:rFonts w:ascii="Times New Roman" w:hAnsi="Times New Roman"/>
          <w:b w:val="0"/>
          <w:i w:val="0"/>
          <w:iCs w:val="0"/>
          <w:sz w:val="24"/>
          <w:szCs w:val="24"/>
        </w:rPr>
        <w:t xml:space="preserve">to </w:t>
      </w:r>
      <w:r w:rsidRPr="00D736EC">
        <w:rPr>
          <w:rStyle w:val="SubtleEmphasis"/>
          <w:rFonts w:ascii="Times New Roman" w:hAnsi="Times New Roman"/>
          <w:b w:val="0"/>
          <w:i w:val="0"/>
          <w:iCs w:val="0"/>
          <w:sz w:val="24"/>
          <w:szCs w:val="24"/>
        </w:rPr>
        <w:t>ensur</w:t>
      </w:r>
      <w:r w:rsidR="003F398F">
        <w:rPr>
          <w:rStyle w:val="SubtleEmphasis"/>
          <w:rFonts w:ascii="Times New Roman" w:hAnsi="Times New Roman"/>
          <w:b w:val="0"/>
          <w:i w:val="0"/>
          <w:iCs w:val="0"/>
          <w:sz w:val="24"/>
          <w:szCs w:val="24"/>
        </w:rPr>
        <w:t>e</w:t>
      </w:r>
      <w:r w:rsidRPr="00D736EC">
        <w:rPr>
          <w:rStyle w:val="SubtleEmphasis"/>
          <w:rFonts w:ascii="Times New Roman" w:hAnsi="Times New Roman"/>
          <w:b w:val="0"/>
          <w:i w:val="0"/>
          <w:iCs w:val="0"/>
          <w:sz w:val="24"/>
          <w:szCs w:val="24"/>
        </w:rPr>
        <w:t xml:space="preserve"> participation of a committee of creditors, </w:t>
      </w:r>
      <w:r w:rsidR="003F398F">
        <w:rPr>
          <w:rStyle w:val="SubtleEmphasis"/>
          <w:rFonts w:ascii="Times New Roman" w:hAnsi="Times New Roman"/>
          <w:b w:val="0"/>
          <w:i w:val="0"/>
          <w:iCs w:val="0"/>
          <w:sz w:val="24"/>
          <w:szCs w:val="24"/>
        </w:rPr>
        <w:t xml:space="preserve">and </w:t>
      </w:r>
      <w:r w:rsidRPr="00D736EC">
        <w:rPr>
          <w:rStyle w:val="SubtleEmphasis"/>
          <w:rFonts w:ascii="Times New Roman" w:hAnsi="Times New Roman"/>
          <w:b w:val="0"/>
          <w:i w:val="0"/>
          <w:iCs w:val="0"/>
          <w:sz w:val="24"/>
          <w:szCs w:val="24"/>
        </w:rPr>
        <w:t xml:space="preserve">can be seen from different points of view. On the one hand, creditors’ participation may be assessed as a good possibility, because it is – in general – more about the creditors’ money. On the other hand, however, too </w:t>
      </w:r>
      <w:r w:rsidR="003F398F">
        <w:rPr>
          <w:rStyle w:val="SubtleEmphasis"/>
          <w:rFonts w:ascii="Times New Roman" w:hAnsi="Times New Roman"/>
          <w:b w:val="0"/>
          <w:i w:val="0"/>
          <w:iCs w:val="0"/>
          <w:sz w:val="24"/>
          <w:szCs w:val="24"/>
        </w:rPr>
        <w:t xml:space="preserve">many </w:t>
      </w:r>
      <w:r w:rsidRPr="00D736EC">
        <w:rPr>
          <w:rStyle w:val="SubtleEmphasis"/>
          <w:rFonts w:ascii="Times New Roman" w:hAnsi="Times New Roman"/>
          <w:b w:val="0"/>
          <w:i w:val="0"/>
          <w:iCs w:val="0"/>
          <w:sz w:val="24"/>
          <w:szCs w:val="24"/>
        </w:rPr>
        <w:t xml:space="preserve">involved bodies or parties may extend the proceedings. </w:t>
      </w:r>
    </w:p>
    <w:p w14:paraId="3D85198F" w14:textId="77777777" w:rsidR="003F398F" w:rsidRDefault="003F398F" w:rsidP="003F398F">
      <w:pPr>
        <w:spacing w:after="0"/>
        <w:rPr>
          <w:rStyle w:val="SubtleEmphasis"/>
          <w:rFonts w:ascii="Times New Roman" w:hAnsi="Times New Roman"/>
          <w:b w:val="0"/>
          <w:i w:val="0"/>
          <w:iCs w:val="0"/>
          <w:sz w:val="24"/>
          <w:szCs w:val="24"/>
        </w:rPr>
      </w:pPr>
    </w:p>
    <w:p w14:paraId="070CBBD3" w14:textId="6CE6D529" w:rsidR="00D736EC" w:rsidRDefault="00D736EC" w:rsidP="003F398F">
      <w:pPr>
        <w:spacing w:after="0"/>
        <w:rPr>
          <w:rStyle w:val="SubtleEmphasis"/>
          <w:rFonts w:ascii="Times New Roman" w:hAnsi="Times New Roman"/>
          <w:b w:val="0"/>
          <w:i w:val="0"/>
          <w:iCs w:val="0"/>
          <w:sz w:val="24"/>
          <w:szCs w:val="24"/>
        </w:rPr>
      </w:pPr>
      <w:r w:rsidRPr="00D736EC">
        <w:rPr>
          <w:rStyle w:val="SubtleEmphasis"/>
          <w:rFonts w:ascii="Times New Roman" w:hAnsi="Times New Roman"/>
          <w:b w:val="0"/>
          <w:i w:val="0"/>
          <w:iCs w:val="0"/>
          <w:sz w:val="24"/>
          <w:szCs w:val="24"/>
        </w:rPr>
        <w:t xml:space="preserve">Assignment of executory contracts is another important issue. In Article 27 – paragraph 1 – subparagraph 1, the ECON proposes to introduce the requirement to consult the assignment with affected employees. In our opinion, this provision should be left in its current wording in the Proposal, because employees may not have </w:t>
      </w:r>
      <w:r w:rsidR="003F398F">
        <w:rPr>
          <w:rStyle w:val="SubtleEmphasis"/>
          <w:rFonts w:ascii="Times New Roman" w:hAnsi="Times New Roman"/>
          <w:b w:val="0"/>
          <w:i w:val="0"/>
          <w:iCs w:val="0"/>
          <w:sz w:val="24"/>
          <w:szCs w:val="24"/>
        </w:rPr>
        <w:t xml:space="preserve">the </w:t>
      </w:r>
      <w:r w:rsidRPr="00D736EC">
        <w:rPr>
          <w:rStyle w:val="SubtleEmphasis"/>
          <w:rFonts w:ascii="Times New Roman" w:hAnsi="Times New Roman"/>
          <w:b w:val="0"/>
          <w:i w:val="0"/>
          <w:iCs w:val="0"/>
          <w:sz w:val="24"/>
          <w:szCs w:val="24"/>
        </w:rPr>
        <w:t xml:space="preserve">full perspective and all relevant details regarding particular contracts. </w:t>
      </w:r>
      <w:r w:rsidR="003F398F">
        <w:rPr>
          <w:rStyle w:val="SubtleEmphasis"/>
          <w:rFonts w:ascii="Times New Roman" w:hAnsi="Times New Roman"/>
          <w:b w:val="0"/>
          <w:i w:val="0"/>
          <w:iCs w:val="0"/>
          <w:sz w:val="24"/>
          <w:szCs w:val="24"/>
        </w:rPr>
        <w:t>The e</w:t>
      </w:r>
      <w:r w:rsidRPr="00D736EC">
        <w:rPr>
          <w:rStyle w:val="SubtleEmphasis"/>
          <w:rFonts w:ascii="Times New Roman" w:hAnsi="Times New Roman"/>
          <w:b w:val="0"/>
          <w:i w:val="0"/>
          <w:iCs w:val="0"/>
          <w:sz w:val="24"/>
          <w:szCs w:val="24"/>
        </w:rPr>
        <w:t xml:space="preserve">mployees’ position is an important factor, but this position should not be the decisive factor in assessing whether the assignment is viable in the given procedure. </w:t>
      </w:r>
    </w:p>
    <w:p w14:paraId="6E8C89D7" w14:textId="77777777" w:rsidR="003F398F" w:rsidRPr="00D736EC" w:rsidRDefault="003F398F" w:rsidP="003F398F">
      <w:pPr>
        <w:spacing w:after="0"/>
        <w:rPr>
          <w:rStyle w:val="SubtleEmphasis"/>
          <w:rFonts w:ascii="Times New Roman" w:hAnsi="Times New Roman"/>
          <w:b w:val="0"/>
          <w:i w:val="0"/>
          <w:iCs w:val="0"/>
          <w:sz w:val="24"/>
          <w:szCs w:val="24"/>
        </w:rPr>
      </w:pPr>
    </w:p>
    <w:p w14:paraId="0E8E4F25" w14:textId="002B0867" w:rsidR="00D736EC" w:rsidRDefault="00D736EC" w:rsidP="003F398F">
      <w:pPr>
        <w:spacing w:after="0"/>
        <w:rPr>
          <w:rStyle w:val="SubtleEmphasis"/>
          <w:rFonts w:ascii="Times New Roman" w:hAnsi="Times New Roman"/>
          <w:b w:val="0"/>
          <w:i w:val="0"/>
          <w:iCs w:val="0"/>
          <w:sz w:val="24"/>
          <w:szCs w:val="24"/>
        </w:rPr>
      </w:pPr>
      <w:r w:rsidRPr="00D736EC">
        <w:rPr>
          <w:rStyle w:val="SubtleEmphasis"/>
          <w:rFonts w:ascii="Times New Roman" w:hAnsi="Times New Roman"/>
          <w:b w:val="0"/>
          <w:i w:val="0"/>
          <w:iCs w:val="0"/>
          <w:sz w:val="24"/>
          <w:szCs w:val="24"/>
        </w:rPr>
        <w:t xml:space="preserve">In Article 27 – paragraph 3a (new), </w:t>
      </w:r>
      <w:r w:rsidR="00CD797D">
        <w:rPr>
          <w:rStyle w:val="SubtleEmphasis"/>
          <w:rFonts w:ascii="Times New Roman" w:hAnsi="Times New Roman"/>
          <w:b w:val="0"/>
          <w:i w:val="0"/>
          <w:iCs w:val="0"/>
          <w:sz w:val="24"/>
          <w:szCs w:val="24"/>
        </w:rPr>
        <w:t xml:space="preserve">the </w:t>
      </w:r>
      <w:r w:rsidRPr="00D736EC">
        <w:rPr>
          <w:rStyle w:val="SubtleEmphasis"/>
          <w:rFonts w:ascii="Times New Roman" w:hAnsi="Times New Roman"/>
          <w:b w:val="0"/>
          <w:i w:val="0"/>
          <w:iCs w:val="0"/>
          <w:sz w:val="24"/>
          <w:szCs w:val="24"/>
        </w:rPr>
        <w:t xml:space="preserve">ECON proposes to deprive the insolvency practitioner running the procedure of the power to terminate superfluous employment contracts. This proposal should be assessed negatively, because sometimes superfluous employment contracts may be the source of problems for the debtor’s enterprise. </w:t>
      </w:r>
    </w:p>
    <w:p w14:paraId="4F9EA2A7" w14:textId="77777777" w:rsidR="003F398F" w:rsidRPr="00D736EC" w:rsidRDefault="003F398F" w:rsidP="003F398F">
      <w:pPr>
        <w:spacing w:after="0"/>
        <w:rPr>
          <w:rStyle w:val="SubtleEmphasis"/>
          <w:rFonts w:ascii="Times New Roman" w:hAnsi="Times New Roman"/>
          <w:b w:val="0"/>
          <w:i w:val="0"/>
          <w:iCs w:val="0"/>
          <w:sz w:val="24"/>
          <w:szCs w:val="24"/>
        </w:rPr>
      </w:pPr>
    </w:p>
    <w:p w14:paraId="21073162" w14:textId="77777777" w:rsidR="00CD797D" w:rsidRDefault="00D736EC" w:rsidP="003F398F">
      <w:pPr>
        <w:spacing w:after="0"/>
        <w:rPr>
          <w:rStyle w:val="SubtleEmphasis"/>
          <w:rFonts w:ascii="Times New Roman" w:hAnsi="Times New Roman"/>
          <w:b w:val="0"/>
          <w:i w:val="0"/>
          <w:iCs w:val="0"/>
          <w:sz w:val="24"/>
          <w:szCs w:val="24"/>
        </w:rPr>
      </w:pPr>
      <w:r w:rsidRPr="00D736EC">
        <w:rPr>
          <w:rStyle w:val="SubtleEmphasis"/>
          <w:rFonts w:ascii="Times New Roman" w:hAnsi="Times New Roman"/>
          <w:b w:val="0"/>
          <w:i w:val="0"/>
          <w:iCs w:val="0"/>
          <w:sz w:val="24"/>
          <w:szCs w:val="24"/>
        </w:rPr>
        <w:t>With regard to Article 28, proposed wording</w:t>
      </w:r>
      <w:r w:rsidR="003F398F">
        <w:rPr>
          <w:rStyle w:val="SubtleEmphasis"/>
          <w:rFonts w:ascii="Times New Roman" w:hAnsi="Times New Roman"/>
          <w:b w:val="0"/>
          <w:i w:val="0"/>
          <w:iCs w:val="0"/>
          <w:sz w:val="24"/>
          <w:szCs w:val="24"/>
        </w:rPr>
        <w:t xml:space="preserve"> states</w:t>
      </w:r>
      <w:r w:rsidRPr="00D736EC">
        <w:rPr>
          <w:rStyle w:val="SubtleEmphasis"/>
          <w:rFonts w:ascii="Times New Roman" w:hAnsi="Times New Roman"/>
          <w:b w:val="0"/>
          <w:i w:val="0"/>
          <w:iCs w:val="0"/>
          <w:sz w:val="24"/>
          <w:szCs w:val="24"/>
        </w:rPr>
        <w:t xml:space="preserve">: </w:t>
      </w:r>
      <w:r w:rsidR="003F398F">
        <w:rPr>
          <w:rStyle w:val="SubtleEmphasis"/>
          <w:rFonts w:ascii="Times New Roman" w:hAnsi="Times New Roman"/>
          <w:b w:val="0"/>
          <w:i w:val="0"/>
          <w:iCs w:val="0"/>
          <w:sz w:val="24"/>
          <w:szCs w:val="24"/>
        </w:rPr>
        <w:t>“</w:t>
      </w:r>
      <w:r w:rsidRPr="00D736EC">
        <w:rPr>
          <w:rStyle w:val="SubtleEmphasis"/>
          <w:rFonts w:ascii="Times New Roman" w:hAnsi="Times New Roman"/>
          <w:b w:val="0"/>
          <w:i w:val="0"/>
          <w:iCs w:val="0"/>
          <w:sz w:val="24"/>
          <w:szCs w:val="24"/>
        </w:rPr>
        <w:t>In this case the debtor remains jointly and severally liable with the acquirer.</w:t>
      </w:r>
      <w:r w:rsidR="003F398F">
        <w:rPr>
          <w:rStyle w:val="SubtleEmphasis"/>
          <w:rFonts w:ascii="Times New Roman" w:hAnsi="Times New Roman"/>
          <w:b w:val="0"/>
          <w:i w:val="0"/>
          <w:iCs w:val="0"/>
          <w:sz w:val="24"/>
          <w:szCs w:val="24"/>
        </w:rPr>
        <w:t>”</w:t>
      </w:r>
      <w:r w:rsidRPr="00D736EC">
        <w:rPr>
          <w:rStyle w:val="SubtleEmphasis"/>
          <w:rFonts w:ascii="Times New Roman" w:hAnsi="Times New Roman"/>
          <w:b w:val="0"/>
          <w:i w:val="0"/>
          <w:iCs w:val="0"/>
          <w:sz w:val="24"/>
          <w:szCs w:val="24"/>
        </w:rPr>
        <w:t xml:space="preserve"> This article is without prejudice to liabilities laid down by law and shall not apply to employment contracts, seems to be a good change. On the one hand, it clarifies the actual liability with regard to such </w:t>
      </w:r>
      <w:r w:rsidR="00CD797D">
        <w:rPr>
          <w:rStyle w:val="SubtleEmphasis"/>
          <w:rFonts w:ascii="Times New Roman" w:hAnsi="Times New Roman"/>
          <w:b w:val="0"/>
          <w:i w:val="0"/>
          <w:iCs w:val="0"/>
          <w:sz w:val="24"/>
          <w:szCs w:val="24"/>
        </w:rPr>
        <w:t xml:space="preserve">basis of </w:t>
      </w:r>
      <w:r w:rsidRPr="00D736EC">
        <w:rPr>
          <w:rStyle w:val="SubtleEmphasis"/>
          <w:rFonts w:ascii="Times New Roman" w:hAnsi="Times New Roman"/>
          <w:b w:val="0"/>
          <w:i w:val="0"/>
          <w:iCs w:val="0"/>
          <w:sz w:val="24"/>
          <w:szCs w:val="24"/>
        </w:rPr>
        <w:t>liability and</w:t>
      </w:r>
      <w:r w:rsidR="00CD797D">
        <w:rPr>
          <w:rStyle w:val="SubtleEmphasis"/>
          <w:rFonts w:ascii="Times New Roman" w:hAnsi="Times New Roman"/>
          <w:b w:val="0"/>
          <w:i w:val="0"/>
          <w:iCs w:val="0"/>
          <w:sz w:val="24"/>
          <w:szCs w:val="24"/>
        </w:rPr>
        <w:t>,</w:t>
      </w:r>
      <w:r w:rsidRPr="00D736EC">
        <w:rPr>
          <w:rStyle w:val="SubtleEmphasis"/>
          <w:rFonts w:ascii="Times New Roman" w:hAnsi="Times New Roman"/>
          <w:b w:val="0"/>
          <w:i w:val="0"/>
          <w:iCs w:val="0"/>
          <w:sz w:val="24"/>
          <w:szCs w:val="24"/>
        </w:rPr>
        <w:t xml:space="preserve"> on the other </w:t>
      </w:r>
      <w:r w:rsidRPr="00D736EC">
        <w:rPr>
          <w:rStyle w:val="SubtleEmphasis"/>
          <w:rFonts w:ascii="Times New Roman" w:hAnsi="Times New Roman"/>
          <w:b w:val="0"/>
          <w:i w:val="0"/>
          <w:iCs w:val="0"/>
          <w:sz w:val="24"/>
          <w:szCs w:val="24"/>
        </w:rPr>
        <w:lastRenderedPageBreak/>
        <w:t xml:space="preserve">hand, it allows Member States </w:t>
      </w:r>
      <w:r w:rsidR="00CD797D">
        <w:rPr>
          <w:rStyle w:val="SubtleEmphasis"/>
          <w:rFonts w:ascii="Times New Roman" w:hAnsi="Times New Roman"/>
          <w:b w:val="0"/>
          <w:i w:val="0"/>
          <w:iCs w:val="0"/>
          <w:sz w:val="24"/>
          <w:szCs w:val="24"/>
        </w:rPr>
        <w:t xml:space="preserve">to </w:t>
      </w:r>
      <w:r w:rsidRPr="00D736EC">
        <w:rPr>
          <w:rStyle w:val="SubtleEmphasis"/>
          <w:rFonts w:ascii="Times New Roman" w:hAnsi="Times New Roman"/>
          <w:b w:val="0"/>
          <w:i w:val="0"/>
          <w:iCs w:val="0"/>
          <w:sz w:val="24"/>
          <w:szCs w:val="24"/>
        </w:rPr>
        <w:t xml:space="preserve">change </w:t>
      </w:r>
      <w:r w:rsidR="00CD797D">
        <w:rPr>
          <w:rStyle w:val="SubtleEmphasis"/>
          <w:rFonts w:ascii="Times New Roman" w:hAnsi="Times New Roman"/>
          <w:b w:val="0"/>
          <w:i w:val="0"/>
          <w:iCs w:val="0"/>
          <w:sz w:val="24"/>
          <w:szCs w:val="24"/>
        </w:rPr>
        <w:t xml:space="preserve">to </w:t>
      </w:r>
      <w:r w:rsidRPr="00D736EC">
        <w:rPr>
          <w:rStyle w:val="SubtleEmphasis"/>
          <w:rFonts w:ascii="Times New Roman" w:hAnsi="Times New Roman"/>
          <w:b w:val="0"/>
          <w:i w:val="0"/>
          <w:iCs w:val="0"/>
          <w:sz w:val="24"/>
          <w:szCs w:val="24"/>
        </w:rPr>
        <w:t xml:space="preserve">more developed and better-known </w:t>
      </w:r>
      <w:r w:rsidR="00CD797D">
        <w:rPr>
          <w:rStyle w:val="SubtleEmphasis"/>
          <w:rFonts w:ascii="Times New Roman" w:hAnsi="Times New Roman"/>
          <w:b w:val="0"/>
          <w:i w:val="0"/>
          <w:iCs w:val="0"/>
          <w:sz w:val="24"/>
          <w:szCs w:val="24"/>
        </w:rPr>
        <w:t xml:space="preserve">rules </w:t>
      </w:r>
      <w:r w:rsidRPr="00D736EC">
        <w:rPr>
          <w:rStyle w:val="SubtleEmphasis"/>
          <w:rFonts w:ascii="Times New Roman" w:hAnsi="Times New Roman"/>
          <w:b w:val="0"/>
          <w:i w:val="0"/>
          <w:iCs w:val="0"/>
          <w:sz w:val="24"/>
          <w:szCs w:val="24"/>
        </w:rPr>
        <w:t>in their own legal landscape.</w:t>
      </w:r>
    </w:p>
    <w:p w14:paraId="53E005E8" w14:textId="77777777" w:rsidR="00CD797D" w:rsidRDefault="00CD797D" w:rsidP="003F398F">
      <w:pPr>
        <w:spacing w:after="0"/>
        <w:rPr>
          <w:rStyle w:val="SubtleEmphasis"/>
          <w:rFonts w:ascii="Times New Roman" w:hAnsi="Times New Roman"/>
          <w:b w:val="0"/>
          <w:i w:val="0"/>
          <w:iCs w:val="0"/>
          <w:sz w:val="24"/>
          <w:szCs w:val="24"/>
        </w:rPr>
      </w:pPr>
    </w:p>
    <w:p w14:paraId="047EE87B" w14:textId="18567A49" w:rsidR="00D736EC" w:rsidRDefault="00CD797D" w:rsidP="003F398F">
      <w:pPr>
        <w:spacing w:after="0"/>
        <w:rPr>
          <w:rStyle w:val="SubtleEmphasis"/>
          <w:rFonts w:ascii="Times New Roman" w:hAnsi="Times New Roman"/>
          <w:b w:val="0"/>
          <w:i w:val="0"/>
          <w:iCs w:val="0"/>
          <w:sz w:val="24"/>
          <w:szCs w:val="24"/>
        </w:rPr>
      </w:pPr>
      <w:r>
        <w:rPr>
          <w:rStyle w:val="SubtleEmphasis"/>
          <w:rFonts w:ascii="Times New Roman" w:hAnsi="Times New Roman"/>
          <w:b w:val="0"/>
          <w:i w:val="0"/>
          <w:iCs w:val="0"/>
          <w:sz w:val="24"/>
          <w:szCs w:val="24"/>
        </w:rPr>
        <w:t>However, the a</w:t>
      </w:r>
      <w:r w:rsidR="00D736EC" w:rsidRPr="00D736EC">
        <w:rPr>
          <w:rStyle w:val="SubtleEmphasis"/>
          <w:rFonts w:ascii="Times New Roman" w:hAnsi="Times New Roman"/>
          <w:b w:val="0"/>
          <w:i w:val="0"/>
          <w:iCs w:val="0"/>
          <w:sz w:val="24"/>
          <w:szCs w:val="24"/>
        </w:rPr>
        <w:t>pplication to employment contracts need more commentary. From the employees’ point of view, it seems more beneficial that the acquirer should also be liable for employment contracts, but excluding this kind of liability may create better options and positions for the acquirer. Thus, in our view, this proposed amendment should be assessed positively.</w:t>
      </w:r>
    </w:p>
    <w:p w14:paraId="489E0EF2" w14:textId="77777777" w:rsidR="00CD797D" w:rsidRPr="00D736EC" w:rsidRDefault="00CD797D" w:rsidP="003F398F">
      <w:pPr>
        <w:spacing w:after="0"/>
        <w:rPr>
          <w:rStyle w:val="SubtleEmphasis"/>
          <w:rFonts w:ascii="Times New Roman" w:hAnsi="Times New Roman"/>
          <w:b w:val="0"/>
          <w:i w:val="0"/>
          <w:iCs w:val="0"/>
          <w:sz w:val="24"/>
          <w:szCs w:val="24"/>
        </w:rPr>
      </w:pPr>
    </w:p>
    <w:p w14:paraId="13A96657" w14:textId="77777777" w:rsidR="00D736EC" w:rsidRPr="00CD797D" w:rsidRDefault="00D736EC" w:rsidP="003F398F">
      <w:pPr>
        <w:spacing w:after="0"/>
        <w:rPr>
          <w:rStyle w:val="SubtleEmphasis"/>
          <w:rFonts w:ascii="Times New Roman" w:hAnsi="Times New Roman"/>
          <w:b w:val="0"/>
          <w:sz w:val="24"/>
          <w:szCs w:val="24"/>
        </w:rPr>
      </w:pPr>
      <w:r w:rsidRPr="00CD797D">
        <w:rPr>
          <w:rStyle w:val="SubtleEmphasis"/>
          <w:rFonts w:ascii="Times New Roman" w:hAnsi="Times New Roman"/>
          <w:b w:val="0"/>
          <w:sz w:val="24"/>
          <w:szCs w:val="24"/>
        </w:rPr>
        <w:t xml:space="preserve">Insolvency of small enterprises </w:t>
      </w:r>
    </w:p>
    <w:p w14:paraId="6E50B2AD" w14:textId="77777777" w:rsidR="00CD797D" w:rsidRDefault="00CD797D" w:rsidP="003F398F">
      <w:pPr>
        <w:spacing w:after="0"/>
        <w:rPr>
          <w:rStyle w:val="SubtleEmphasis"/>
          <w:rFonts w:ascii="Times New Roman" w:hAnsi="Times New Roman"/>
          <w:b w:val="0"/>
          <w:i w:val="0"/>
          <w:iCs w:val="0"/>
          <w:sz w:val="24"/>
          <w:szCs w:val="24"/>
        </w:rPr>
      </w:pPr>
    </w:p>
    <w:p w14:paraId="0C6677CF" w14:textId="77777777" w:rsidR="00CD797D" w:rsidRDefault="00D736EC" w:rsidP="003F398F">
      <w:pPr>
        <w:spacing w:after="0"/>
        <w:rPr>
          <w:rStyle w:val="SubtleEmphasis"/>
          <w:rFonts w:ascii="Times New Roman" w:hAnsi="Times New Roman"/>
          <w:b w:val="0"/>
          <w:i w:val="0"/>
          <w:iCs w:val="0"/>
          <w:sz w:val="24"/>
          <w:szCs w:val="24"/>
        </w:rPr>
      </w:pPr>
      <w:r w:rsidRPr="00D736EC">
        <w:rPr>
          <w:rStyle w:val="SubtleEmphasis"/>
          <w:rFonts w:ascii="Times New Roman" w:hAnsi="Times New Roman"/>
          <w:b w:val="0"/>
          <w:i w:val="0"/>
          <w:iCs w:val="0"/>
          <w:sz w:val="24"/>
          <w:szCs w:val="24"/>
        </w:rPr>
        <w:t>Article 38 and the following require more attention. The ECON proposes as follow</w:t>
      </w:r>
      <w:r w:rsidR="00CD797D">
        <w:rPr>
          <w:rStyle w:val="SubtleEmphasis"/>
          <w:rFonts w:ascii="Times New Roman" w:hAnsi="Times New Roman"/>
          <w:b w:val="0"/>
          <w:i w:val="0"/>
          <w:iCs w:val="0"/>
          <w:sz w:val="24"/>
          <w:szCs w:val="24"/>
        </w:rPr>
        <w:t>s</w:t>
      </w:r>
      <w:r w:rsidRPr="00D736EC">
        <w:rPr>
          <w:rStyle w:val="SubtleEmphasis"/>
          <w:rFonts w:ascii="Times New Roman" w:hAnsi="Times New Roman"/>
          <w:b w:val="0"/>
          <w:i w:val="0"/>
          <w:iCs w:val="0"/>
          <w:sz w:val="24"/>
          <w:szCs w:val="24"/>
        </w:rPr>
        <w:t xml:space="preserve">: </w:t>
      </w:r>
      <w:r w:rsidR="00CD797D">
        <w:rPr>
          <w:rStyle w:val="SubtleEmphasis"/>
          <w:rFonts w:ascii="Times New Roman" w:hAnsi="Times New Roman"/>
          <w:b w:val="0"/>
          <w:i w:val="0"/>
          <w:iCs w:val="0"/>
          <w:sz w:val="24"/>
          <w:szCs w:val="24"/>
        </w:rPr>
        <w:t xml:space="preserve">fewer </w:t>
      </w:r>
      <w:r w:rsidRPr="00D736EC">
        <w:rPr>
          <w:rStyle w:val="SubtleEmphasis"/>
          <w:rFonts w:ascii="Times New Roman" w:hAnsi="Times New Roman"/>
          <w:b w:val="0"/>
          <w:i w:val="0"/>
          <w:iCs w:val="0"/>
          <w:sz w:val="24"/>
          <w:szCs w:val="24"/>
        </w:rPr>
        <w:t xml:space="preserve">than 20 creditors at the moment of the request for opening an insolvency proceeding, which is a good direction. Article 39 changes the rule with regard to the role of the restructuring advisor – insolvency practitioner as well as amending the </w:t>
      </w:r>
      <w:r w:rsidR="00CD797D">
        <w:rPr>
          <w:rStyle w:val="SubtleEmphasis"/>
          <w:rFonts w:ascii="Times New Roman" w:hAnsi="Times New Roman"/>
          <w:b w:val="0"/>
          <w:i w:val="0"/>
          <w:iCs w:val="0"/>
          <w:sz w:val="24"/>
          <w:szCs w:val="24"/>
        </w:rPr>
        <w:t xml:space="preserve">grounds </w:t>
      </w:r>
      <w:r w:rsidRPr="00D736EC">
        <w:rPr>
          <w:rStyle w:val="SubtleEmphasis"/>
          <w:rFonts w:ascii="Times New Roman" w:hAnsi="Times New Roman"/>
          <w:b w:val="0"/>
          <w:i w:val="0"/>
          <w:iCs w:val="0"/>
          <w:sz w:val="24"/>
          <w:szCs w:val="24"/>
        </w:rPr>
        <w:t>for their appointment. This change should be assessed positively, even despite the need to consider crossing out Title VI from the text of the Proposal – that is, the provisions concerning simplified proceedings.</w:t>
      </w:r>
    </w:p>
    <w:p w14:paraId="20933D72" w14:textId="77777777" w:rsidR="00CD797D" w:rsidRDefault="00CD797D" w:rsidP="003F398F">
      <w:pPr>
        <w:spacing w:after="0"/>
        <w:rPr>
          <w:rStyle w:val="SubtleEmphasis"/>
          <w:rFonts w:ascii="Times New Roman" w:hAnsi="Times New Roman"/>
          <w:b w:val="0"/>
          <w:i w:val="0"/>
          <w:iCs w:val="0"/>
          <w:sz w:val="24"/>
          <w:szCs w:val="24"/>
        </w:rPr>
      </w:pPr>
    </w:p>
    <w:p w14:paraId="64C7DF29" w14:textId="59F25ECA" w:rsidR="00D736EC" w:rsidRDefault="00CD797D" w:rsidP="003F398F">
      <w:pPr>
        <w:spacing w:after="0"/>
        <w:rPr>
          <w:rStyle w:val="SubtleEmphasis"/>
          <w:rFonts w:ascii="Times New Roman" w:hAnsi="Times New Roman"/>
          <w:b w:val="0"/>
          <w:i w:val="0"/>
          <w:iCs w:val="0"/>
          <w:sz w:val="24"/>
          <w:szCs w:val="24"/>
        </w:rPr>
      </w:pPr>
      <w:r>
        <w:rPr>
          <w:rStyle w:val="SubtleEmphasis"/>
          <w:rFonts w:ascii="Times New Roman" w:hAnsi="Times New Roman"/>
          <w:b w:val="0"/>
          <w:i w:val="0"/>
          <w:iCs w:val="0"/>
          <w:sz w:val="24"/>
          <w:szCs w:val="24"/>
        </w:rPr>
        <w:t>A n</w:t>
      </w:r>
      <w:r w:rsidR="00D736EC" w:rsidRPr="00D736EC">
        <w:rPr>
          <w:rStyle w:val="SubtleEmphasis"/>
          <w:rFonts w:ascii="Times New Roman" w:hAnsi="Times New Roman"/>
          <w:b w:val="0"/>
          <w:i w:val="0"/>
          <w:iCs w:val="0"/>
          <w:sz w:val="24"/>
          <w:szCs w:val="24"/>
        </w:rPr>
        <w:t xml:space="preserve">ew proposed paragraph 1a </w:t>
      </w:r>
      <w:r>
        <w:rPr>
          <w:rStyle w:val="SubtleEmphasis"/>
          <w:rFonts w:ascii="Times New Roman" w:hAnsi="Times New Roman"/>
          <w:b w:val="0"/>
          <w:i w:val="0"/>
          <w:iCs w:val="0"/>
          <w:sz w:val="24"/>
          <w:szCs w:val="24"/>
        </w:rPr>
        <w:t xml:space="preserve">in </w:t>
      </w:r>
      <w:r w:rsidR="00D736EC" w:rsidRPr="00D736EC">
        <w:rPr>
          <w:rStyle w:val="SubtleEmphasis"/>
          <w:rFonts w:ascii="Times New Roman" w:hAnsi="Times New Roman"/>
          <w:b w:val="0"/>
          <w:i w:val="0"/>
          <w:iCs w:val="0"/>
          <w:sz w:val="24"/>
          <w:szCs w:val="24"/>
        </w:rPr>
        <w:t xml:space="preserve">Article 39 clarifies the issue of appointment of the insolvency practitioner, proposing that: </w:t>
      </w:r>
      <w:r>
        <w:rPr>
          <w:rStyle w:val="SubtleEmphasis"/>
          <w:rFonts w:ascii="Times New Roman" w:hAnsi="Times New Roman"/>
          <w:b w:val="0"/>
          <w:i w:val="0"/>
          <w:iCs w:val="0"/>
          <w:sz w:val="24"/>
          <w:szCs w:val="24"/>
        </w:rPr>
        <w:t>“</w:t>
      </w:r>
      <w:r w:rsidR="00D736EC" w:rsidRPr="00D736EC">
        <w:rPr>
          <w:rStyle w:val="SubtleEmphasis"/>
          <w:rFonts w:ascii="Times New Roman" w:hAnsi="Times New Roman"/>
          <w:b w:val="0"/>
          <w:i w:val="0"/>
          <w:iCs w:val="0"/>
          <w:sz w:val="24"/>
          <w:szCs w:val="24"/>
        </w:rPr>
        <w:t>The lack of funding by the insolvency estate or by the party that requested the appointment shall not constitute a reason for requesting that an insolvency practitioner is not appointed</w:t>
      </w:r>
      <w:r>
        <w:rPr>
          <w:rStyle w:val="SubtleEmphasis"/>
          <w:rFonts w:ascii="Times New Roman" w:hAnsi="Times New Roman"/>
          <w:b w:val="0"/>
          <w:i w:val="0"/>
          <w:iCs w:val="0"/>
          <w:sz w:val="24"/>
          <w:szCs w:val="24"/>
        </w:rPr>
        <w:t>”</w:t>
      </w:r>
      <w:r w:rsidR="00D736EC" w:rsidRPr="00D736EC">
        <w:rPr>
          <w:rStyle w:val="SubtleEmphasis"/>
          <w:rFonts w:ascii="Times New Roman" w:hAnsi="Times New Roman"/>
          <w:b w:val="0"/>
          <w:i w:val="0"/>
          <w:iCs w:val="0"/>
          <w:sz w:val="24"/>
          <w:szCs w:val="24"/>
        </w:rPr>
        <w:t>, which is a step in the right direction.</w:t>
      </w:r>
    </w:p>
    <w:p w14:paraId="422B5F13" w14:textId="77777777" w:rsidR="00CD797D" w:rsidRPr="00D736EC" w:rsidRDefault="00CD797D" w:rsidP="003F398F">
      <w:pPr>
        <w:spacing w:after="0"/>
        <w:rPr>
          <w:rStyle w:val="SubtleEmphasis"/>
          <w:rFonts w:ascii="Times New Roman" w:hAnsi="Times New Roman"/>
          <w:b w:val="0"/>
          <w:i w:val="0"/>
          <w:iCs w:val="0"/>
          <w:sz w:val="24"/>
          <w:szCs w:val="24"/>
        </w:rPr>
      </w:pPr>
    </w:p>
    <w:p w14:paraId="62C913A4" w14:textId="692B022B" w:rsidR="00D736EC" w:rsidRDefault="00D736EC" w:rsidP="003F398F">
      <w:pPr>
        <w:spacing w:after="0"/>
        <w:rPr>
          <w:rStyle w:val="SubtleEmphasis"/>
          <w:rFonts w:ascii="Times New Roman" w:hAnsi="Times New Roman"/>
          <w:b w:val="0"/>
          <w:i w:val="0"/>
          <w:iCs w:val="0"/>
          <w:sz w:val="24"/>
          <w:szCs w:val="24"/>
        </w:rPr>
      </w:pPr>
      <w:r w:rsidRPr="00D736EC">
        <w:rPr>
          <w:rStyle w:val="SubtleEmphasis"/>
          <w:rFonts w:ascii="Times New Roman" w:hAnsi="Times New Roman"/>
          <w:b w:val="0"/>
          <w:i w:val="0"/>
          <w:iCs w:val="0"/>
          <w:sz w:val="24"/>
          <w:szCs w:val="24"/>
        </w:rPr>
        <w:t xml:space="preserve">Adding new paragraph 2a </w:t>
      </w:r>
      <w:r w:rsidR="00CD797D">
        <w:rPr>
          <w:rStyle w:val="SubtleEmphasis"/>
          <w:rFonts w:ascii="Times New Roman" w:hAnsi="Times New Roman"/>
          <w:b w:val="0"/>
          <w:i w:val="0"/>
          <w:iCs w:val="0"/>
          <w:sz w:val="24"/>
          <w:szCs w:val="24"/>
        </w:rPr>
        <w:t xml:space="preserve">to </w:t>
      </w:r>
      <w:r w:rsidRPr="00D736EC">
        <w:rPr>
          <w:rStyle w:val="SubtleEmphasis"/>
          <w:rFonts w:ascii="Times New Roman" w:hAnsi="Times New Roman"/>
          <w:b w:val="0"/>
          <w:i w:val="0"/>
          <w:iCs w:val="0"/>
          <w:sz w:val="24"/>
          <w:szCs w:val="24"/>
        </w:rPr>
        <w:t xml:space="preserve">Article 44 is not necessary in our view. Employees’ remuneration and claims are already rather well protected within the proceedings, and this addition may deter potential acquirers. Article 49 seems consistent with the new, good approach, including, where needed, the insolvency practitioner. </w:t>
      </w:r>
      <w:r w:rsidR="00CD797D">
        <w:rPr>
          <w:rStyle w:val="SubtleEmphasis"/>
          <w:rFonts w:ascii="Times New Roman" w:hAnsi="Times New Roman"/>
          <w:b w:val="0"/>
          <w:i w:val="0"/>
          <w:iCs w:val="0"/>
          <w:sz w:val="24"/>
          <w:szCs w:val="24"/>
        </w:rPr>
        <w:t>The s</w:t>
      </w:r>
      <w:r w:rsidRPr="00D736EC">
        <w:rPr>
          <w:rStyle w:val="SubtleEmphasis"/>
          <w:rFonts w:ascii="Times New Roman" w:hAnsi="Times New Roman"/>
          <w:b w:val="0"/>
          <w:i w:val="0"/>
          <w:iCs w:val="0"/>
          <w:sz w:val="24"/>
          <w:szCs w:val="24"/>
        </w:rPr>
        <w:t xml:space="preserve">ame situation </w:t>
      </w:r>
      <w:r w:rsidR="00CD797D">
        <w:rPr>
          <w:rStyle w:val="SubtleEmphasis"/>
          <w:rFonts w:ascii="Times New Roman" w:hAnsi="Times New Roman"/>
          <w:b w:val="0"/>
          <w:i w:val="0"/>
          <w:iCs w:val="0"/>
          <w:sz w:val="24"/>
          <w:szCs w:val="24"/>
        </w:rPr>
        <w:t xml:space="preserve">applies to </w:t>
      </w:r>
      <w:r w:rsidRPr="00D736EC">
        <w:rPr>
          <w:rStyle w:val="SubtleEmphasis"/>
          <w:rFonts w:ascii="Times New Roman" w:hAnsi="Times New Roman"/>
          <w:b w:val="0"/>
          <w:i w:val="0"/>
          <w:iCs w:val="0"/>
          <w:sz w:val="24"/>
          <w:szCs w:val="24"/>
        </w:rPr>
        <w:t xml:space="preserve">other </w:t>
      </w:r>
      <w:r w:rsidR="00CD797D">
        <w:rPr>
          <w:rStyle w:val="SubtleEmphasis"/>
          <w:rFonts w:ascii="Times New Roman" w:hAnsi="Times New Roman"/>
          <w:b w:val="0"/>
          <w:i w:val="0"/>
          <w:iCs w:val="0"/>
          <w:sz w:val="24"/>
          <w:szCs w:val="24"/>
        </w:rPr>
        <w:t xml:space="preserve">proposed </w:t>
      </w:r>
      <w:r w:rsidRPr="00D736EC">
        <w:rPr>
          <w:rStyle w:val="SubtleEmphasis"/>
          <w:rFonts w:ascii="Times New Roman" w:hAnsi="Times New Roman"/>
          <w:b w:val="0"/>
          <w:i w:val="0"/>
          <w:iCs w:val="0"/>
          <w:sz w:val="24"/>
          <w:szCs w:val="24"/>
        </w:rPr>
        <w:t xml:space="preserve">amendments to Articles </w:t>
      </w:r>
      <w:r w:rsidR="00CD797D">
        <w:rPr>
          <w:rStyle w:val="SubtleEmphasis"/>
          <w:rFonts w:ascii="Times New Roman" w:hAnsi="Times New Roman"/>
          <w:b w:val="0"/>
          <w:i w:val="0"/>
          <w:iCs w:val="0"/>
          <w:sz w:val="24"/>
          <w:szCs w:val="24"/>
        </w:rPr>
        <w:t xml:space="preserve">47 and </w:t>
      </w:r>
      <w:r w:rsidRPr="00D736EC">
        <w:rPr>
          <w:rStyle w:val="SubtleEmphasis"/>
          <w:rFonts w:ascii="Times New Roman" w:hAnsi="Times New Roman"/>
          <w:b w:val="0"/>
          <w:i w:val="0"/>
          <w:iCs w:val="0"/>
          <w:sz w:val="24"/>
          <w:szCs w:val="24"/>
        </w:rPr>
        <w:t>49.</w:t>
      </w:r>
    </w:p>
    <w:p w14:paraId="0BDF101A" w14:textId="77777777" w:rsidR="00CD797D" w:rsidRPr="00D736EC" w:rsidRDefault="00CD797D" w:rsidP="003F398F">
      <w:pPr>
        <w:spacing w:after="0"/>
        <w:rPr>
          <w:rStyle w:val="SubtleEmphasis"/>
          <w:rFonts w:ascii="Times New Roman" w:hAnsi="Times New Roman"/>
          <w:b w:val="0"/>
          <w:i w:val="0"/>
          <w:iCs w:val="0"/>
          <w:sz w:val="24"/>
          <w:szCs w:val="24"/>
        </w:rPr>
      </w:pPr>
    </w:p>
    <w:p w14:paraId="57035C0F" w14:textId="4CEB0905" w:rsidR="00D736EC" w:rsidRPr="00D736EC" w:rsidRDefault="00D736EC" w:rsidP="003F398F">
      <w:pPr>
        <w:spacing w:after="0"/>
        <w:rPr>
          <w:rStyle w:val="SubtleEmphasis"/>
          <w:rFonts w:ascii="Times New Roman" w:hAnsi="Times New Roman"/>
          <w:b w:val="0"/>
          <w:i w:val="0"/>
          <w:iCs w:val="0"/>
          <w:sz w:val="24"/>
          <w:szCs w:val="24"/>
        </w:rPr>
      </w:pPr>
      <w:r w:rsidRPr="00D736EC">
        <w:rPr>
          <w:rStyle w:val="SubtleEmphasis"/>
          <w:rFonts w:ascii="Times New Roman" w:hAnsi="Times New Roman"/>
          <w:b w:val="0"/>
          <w:i w:val="0"/>
          <w:iCs w:val="0"/>
          <w:sz w:val="24"/>
          <w:szCs w:val="24"/>
        </w:rPr>
        <w:t xml:space="preserve">In our view, the proposed change to Article 59 – paragraph 3 is not needed, because usually employees have very low claims and thus are not representative to different approaches and interests within they proceedings. Employee participation may also reduce the efficiency of creditor committees. Of course, this does not exclude the potential to appoint such creditor committees’ members, upon consideration and case-by-case assessment approach. Same remarks </w:t>
      </w:r>
      <w:r w:rsidR="00CD797D">
        <w:rPr>
          <w:rStyle w:val="SubtleEmphasis"/>
          <w:rFonts w:ascii="Times New Roman" w:hAnsi="Times New Roman"/>
          <w:b w:val="0"/>
          <w:i w:val="0"/>
          <w:iCs w:val="0"/>
          <w:sz w:val="24"/>
          <w:szCs w:val="24"/>
        </w:rPr>
        <w:t xml:space="preserve">apply to </w:t>
      </w:r>
      <w:r w:rsidRPr="00D736EC">
        <w:rPr>
          <w:rStyle w:val="SubtleEmphasis"/>
          <w:rFonts w:ascii="Times New Roman" w:hAnsi="Times New Roman"/>
          <w:b w:val="0"/>
          <w:i w:val="0"/>
          <w:iCs w:val="0"/>
          <w:sz w:val="24"/>
          <w:szCs w:val="24"/>
        </w:rPr>
        <w:t>the proposed amendment</w:t>
      </w:r>
      <w:r w:rsidR="00CD797D">
        <w:rPr>
          <w:rStyle w:val="SubtleEmphasis"/>
          <w:rFonts w:ascii="Times New Roman" w:hAnsi="Times New Roman"/>
          <w:b w:val="0"/>
          <w:i w:val="0"/>
          <w:iCs w:val="0"/>
          <w:sz w:val="24"/>
          <w:szCs w:val="24"/>
        </w:rPr>
        <w:t>s</w:t>
      </w:r>
      <w:r w:rsidRPr="00D736EC">
        <w:rPr>
          <w:rStyle w:val="SubtleEmphasis"/>
          <w:rFonts w:ascii="Times New Roman" w:hAnsi="Times New Roman"/>
          <w:b w:val="0"/>
          <w:i w:val="0"/>
          <w:iCs w:val="0"/>
          <w:sz w:val="24"/>
          <w:szCs w:val="24"/>
        </w:rPr>
        <w:t xml:space="preserve"> to Article 64( 1) – (1).</w:t>
      </w:r>
    </w:p>
    <w:p w14:paraId="257D6C9C" w14:textId="77777777" w:rsidR="00CD797D" w:rsidRDefault="00CD797D" w:rsidP="003F398F">
      <w:pPr>
        <w:spacing w:after="0"/>
        <w:rPr>
          <w:rStyle w:val="SubtleEmphasis"/>
          <w:rFonts w:ascii="Times New Roman" w:hAnsi="Times New Roman"/>
          <w:b w:val="0"/>
          <w:i w:val="0"/>
          <w:iCs w:val="0"/>
          <w:sz w:val="24"/>
          <w:szCs w:val="24"/>
        </w:rPr>
      </w:pPr>
    </w:p>
    <w:p w14:paraId="36EF915A" w14:textId="7B96B3E9" w:rsidR="00D736EC" w:rsidRDefault="00D736EC" w:rsidP="003F398F">
      <w:pPr>
        <w:spacing w:after="0"/>
        <w:rPr>
          <w:rStyle w:val="SubtleEmphasis"/>
          <w:rFonts w:ascii="Times New Roman" w:hAnsi="Times New Roman"/>
          <w:b w:val="0"/>
          <w:i w:val="0"/>
          <w:iCs w:val="0"/>
          <w:sz w:val="24"/>
          <w:szCs w:val="24"/>
        </w:rPr>
      </w:pPr>
      <w:r w:rsidRPr="00D736EC">
        <w:rPr>
          <w:rStyle w:val="SubtleEmphasis"/>
          <w:rFonts w:ascii="Times New Roman" w:hAnsi="Times New Roman"/>
          <w:b w:val="0"/>
          <w:i w:val="0"/>
          <w:iCs w:val="0"/>
          <w:sz w:val="24"/>
          <w:szCs w:val="24"/>
        </w:rPr>
        <w:t xml:space="preserve">In Article 61, the ECON proposes to decrease the number of </w:t>
      </w:r>
      <w:r w:rsidR="00CD797D">
        <w:rPr>
          <w:rStyle w:val="SubtleEmphasis"/>
          <w:rFonts w:ascii="Times New Roman" w:hAnsi="Times New Roman"/>
          <w:b w:val="0"/>
          <w:i w:val="0"/>
          <w:iCs w:val="0"/>
          <w:sz w:val="24"/>
          <w:szCs w:val="24"/>
        </w:rPr>
        <w:t xml:space="preserve">members of </w:t>
      </w:r>
      <w:r w:rsidR="00CD797D" w:rsidRPr="00D736EC">
        <w:rPr>
          <w:rStyle w:val="SubtleEmphasis"/>
          <w:rFonts w:ascii="Times New Roman" w:hAnsi="Times New Roman"/>
          <w:b w:val="0"/>
          <w:i w:val="0"/>
          <w:iCs w:val="0"/>
          <w:sz w:val="24"/>
          <w:szCs w:val="24"/>
        </w:rPr>
        <w:t>creditors’</w:t>
      </w:r>
      <w:r w:rsidRPr="00D736EC">
        <w:rPr>
          <w:rStyle w:val="SubtleEmphasis"/>
          <w:rFonts w:ascii="Times New Roman" w:hAnsi="Times New Roman"/>
          <w:b w:val="0"/>
          <w:i w:val="0"/>
          <w:iCs w:val="0"/>
          <w:sz w:val="24"/>
          <w:szCs w:val="24"/>
        </w:rPr>
        <w:t xml:space="preserve"> committees, which can lead to obstacles in the proceedings. In our view, limiting the numbers and setting also a minimum standard (at least 3 members) should ensure that this body will work efficiently, especially taking into account that the ECON does not provide for any similar proposals.</w:t>
      </w:r>
    </w:p>
    <w:p w14:paraId="207B4CFA" w14:textId="77777777" w:rsidR="00CD797D" w:rsidRPr="00D736EC" w:rsidRDefault="00CD797D" w:rsidP="003F398F">
      <w:pPr>
        <w:spacing w:after="0"/>
        <w:rPr>
          <w:rStyle w:val="SubtleEmphasis"/>
          <w:rFonts w:ascii="Times New Roman" w:hAnsi="Times New Roman"/>
          <w:b w:val="0"/>
          <w:i w:val="0"/>
          <w:iCs w:val="0"/>
          <w:sz w:val="24"/>
          <w:szCs w:val="24"/>
        </w:rPr>
      </w:pPr>
    </w:p>
    <w:p w14:paraId="1FA804BC" w14:textId="0BC9925C" w:rsidR="00D736EC" w:rsidRDefault="00D736EC" w:rsidP="003F398F">
      <w:pPr>
        <w:spacing w:after="0"/>
        <w:rPr>
          <w:rStyle w:val="SubtleEmphasis"/>
          <w:rFonts w:ascii="Times New Roman" w:hAnsi="Times New Roman"/>
          <w:b w:val="0"/>
          <w:i w:val="0"/>
          <w:iCs w:val="0"/>
          <w:sz w:val="24"/>
          <w:szCs w:val="24"/>
        </w:rPr>
      </w:pPr>
      <w:r w:rsidRPr="00D736EC">
        <w:rPr>
          <w:rStyle w:val="SubtleEmphasis"/>
          <w:rFonts w:ascii="Times New Roman" w:hAnsi="Times New Roman"/>
          <w:b w:val="0"/>
          <w:i w:val="0"/>
          <w:iCs w:val="0"/>
          <w:sz w:val="24"/>
          <w:szCs w:val="24"/>
        </w:rPr>
        <w:t xml:space="preserve">Summing up, amendments proposed by ECON seem to aim at speeding up the proceedings, but they may need in some cases additional reconsideration. The main good change seems to touch Title VI of the Proposal, where additional comment being </w:t>
      </w:r>
      <w:r w:rsidR="00CD797D">
        <w:rPr>
          <w:rStyle w:val="SubtleEmphasis"/>
          <w:rFonts w:ascii="Times New Roman" w:hAnsi="Times New Roman"/>
          <w:b w:val="0"/>
          <w:i w:val="0"/>
          <w:iCs w:val="0"/>
          <w:sz w:val="24"/>
          <w:szCs w:val="24"/>
        </w:rPr>
        <w:t xml:space="preserve">minimal </w:t>
      </w:r>
      <w:r w:rsidRPr="00D736EC">
        <w:rPr>
          <w:rStyle w:val="SubtleEmphasis"/>
          <w:rFonts w:ascii="Times New Roman" w:hAnsi="Times New Roman"/>
          <w:b w:val="0"/>
          <w:i w:val="0"/>
          <w:iCs w:val="0"/>
          <w:sz w:val="24"/>
          <w:szCs w:val="24"/>
        </w:rPr>
        <w:t xml:space="preserve">also seems necessary. </w:t>
      </w:r>
    </w:p>
    <w:p w14:paraId="4F00979B" w14:textId="77777777" w:rsidR="00CD797D" w:rsidRPr="00D736EC" w:rsidRDefault="00CD797D" w:rsidP="003F398F">
      <w:pPr>
        <w:spacing w:after="0"/>
        <w:rPr>
          <w:rStyle w:val="SubtleEmphasis"/>
          <w:rFonts w:ascii="Times New Roman" w:hAnsi="Times New Roman"/>
          <w:b w:val="0"/>
          <w:i w:val="0"/>
          <w:iCs w:val="0"/>
          <w:sz w:val="24"/>
          <w:szCs w:val="24"/>
        </w:rPr>
      </w:pPr>
    </w:p>
    <w:p w14:paraId="0BCA6E60" w14:textId="37F3307E" w:rsidR="00D736EC" w:rsidRPr="00CD797D" w:rsidRDefault="00D736EC" w:rsidP="003F398F">
      <w:pPr>
        <w:spacing w:after="0"/>
        <w:rPr>
          <w:rStyle w:val="SubtleEmphasis"/>
          <w:rFonts w:ascii="Times New Roman" w:hAnsi="Times New Roman"/>
          <w:b w:val="0"/>
          <w:sz w:val="24"/>
          <w:szCs w:val="24"/>
        </w:rPr>
      </w:pPr>
      <w:r w:rsidRPr="00CD797D">
        <w:rPr>
          <w:rStyle w:val="SubtleEmphasis"/>
          <w:rFonts w:ascii="Times New Roman" w:hAnsi="Times New Roman"/>
          <w:b w:val="0"/>
          <w:sz w:val="24"/>
          <w:szCs w:val="24"/>
        </w:rPr>
        <w:t xml:space="preserve">Closing remarks </w:t>
      </w:r>
      <w:r w:rsidR="00CD797D">
        <w:rPr>
          <w:rStyle w:val="SubtleEmphasis"/>
          <w:rFonts w:ascii="Times New Roman" w:hAnsi="Times New Roman"/>
          <w:b w:val="0"/>
          <w:sz w:val="24"/>
          <w:szCs w:val="24"/>
        </w:rPr>
        <w:t xml:space="preserve">seen from </w:t>
      </w:r>
      <w:r w:rsidRPr="00CD797D">
        <w:rPr>
          <w:rStyle w:val="SubtleEmphasis"/>
          <w:rFonts w:ascii="Times New Roman" w:hAnsi="Times New Roman"/>
          <w:b w:val="0"/>
          <w:sz w:val="24"/>
          <w:szCs w:val="24"/>
        </w:rPr>
        <w:t>the Polish perspective</w:t>
      </w:r>
    </w:p>
    <w:p w14:paraId="73581D02" w14:textId="77777777" w:rsidR="00CD797D" w:rsidRDefault="00CD797D" w:rsidP="003F398F">
      <w:pPr>
        <w:spacing w:after="0"/>
        <w:rPr>
          <w:rStyle w:val="SubtleEmphasis"/>
          <w:rFonts w:ascii="Times New Roman" w:hAnsi="Times New Roman"/>
          <w:b w:val="0"/>
          <w:i w:val="0"/>
          <w:iCs w:val="0"/>
          <w:sz w:val="24"/>
          <w:szCs w:val="24"/>
        </w:rPr>
      </w:pPr>
    </w:p>
    <w:p w14:paraId="6FF916B0" w14:textId="0E98EA31" w:rsidR="00D736EC" w:rsidRPr="00D736EC" w:rsidRDefault="00D736EC" w:rsidP="003F398F">
      <w:pPr>
        <w:spacing w:after="0"/>
        <w:rPr>
          <w:rStyle w:val="SubtleEmphasis"/>
          <w:rFonts w:ascii="Times New Roman" w:hAnsi="Times New Roman"/>
          <w:b w:val="0"/>
          <w:i w:val="0"/>
          <w:iCs w:val="0"/>
          <w:sz w:val="24"/>
          <w:szCs w:val="24"/>
        </w:rPr>
      </w:pPr>
      <w:r w:rsidRPr="00D736EC">
        <w:rPr>
          <w:rStyle w:val="SubtleEmphasis"/>
          <w:rFonts w:ascii="Times New Roman" w:hAnsi="Times New Roman"/>
          <w:b w:val="0"/>
          <w:i w:val="0"/>
          <w:iCs w:val="0"/>
          <w:sz w:val="24"/>
          <w:szCs w:val="24"/>
        </w:rPr>
        <w:lastRenderedPageBreak/>
        <w:t>The Second Chance Directive already calls for an efficient and effective judicial system in bankruptcy and restructuring cases. Placing emphasis on this aspect should be clearly made in the Directive proposal, since only with efficient courts the proceedings can be conducted in an optimal way and ensure a satisfactory course for all.</w:t>
      </w:r>
    </w:p>
    <w:p w14:paraId="2566E55B" w14:textId="77777777" w:rsidR="00CD797D" w:rsidRDefault="00CD797D" w:rsidP="003F398F">
      <w:pPr>
        <w:spacing w:after="0"/>
        <w:rPr>
          <w:rStyle w:val="SubtleEmphasis"/>
          <w:rFonts w:ascii="Times New Roman" w:hAnsi="Times New Roman"/>
          <w:b w:val="0"/>
          <w:i w:val="0"/>
          <w:iCs w:val="0"/>
          <w:sz w:val="24"/>
          <w:szCs w:val="24"/>
        </w:rPr>
      </w:pPr>
    </w:p>
    <w:p w14:paraId="41E85885" w14:textId="165DBEA1" w:rsidR="00D736EC" w:rsidRPr="00D736EC" w:rsidRDefault="00D736EC" w:rsidP="003F398F">
      <w:pPr>
        <w:spacing w:after="0"/>
        <w:rPr>
          <w:rStyle w:val="SubtleEmphasis"/>
          <w:rFonts w:ascii="Times New Roman" w:hAnsi="Times New Roman"/>
          <w:b w:val="0"/>
          <w:i w:val="0"/>
          <w:iCs w:val="0"/>
          <w:sz w:val="24"/>
          <w:szCs w:val="24"/>
        </w:rPr>
      </w:pPr>
      <w:r w:rsidRPr="00D736EC">
        <w:rPr>
          <w:rStyle w:val="SubtleEmphasis"/>
          <w:rFonts w:ascii="Times New Roman" w:hAnsi="Times New Roman"/>
          <w:b w:val="0"/>
          <w:i w:val="0"/>
          <w:iCs w:val="0"/>
          <w:sz w:val="24"/>
          <w:szCs w:val="24"/>
        </w:rPr>
        <w:t xml:space="preserve">Therefore, it is expedient to recommend that, for example, consumer cases or simpler cases of micro-enterprises be handled by judicial centres lower in the hierarchy, and that cases requiring more attention be moved to a higher level of the judicial structure. Higher courts would also be courts of appeal in appeals from the lowest level of the judicial structure. This court structure will also preserve the professional experience of judges in the area of bankruptcy and restructuring. </w:t>
      </w:r>
    </w:p>
    <w:p w14:paraId="5CE1624F" w14:textId="77777777" w:rsidR="00CD797D" w:rsidRDefault="00CD797D" w:rsidP="003F398F">
      <w:pPr>
        <w:spacing w:after="0"/>
        <w:rPr>
          <w:rStyle w:val="SubtleEmphasis"/>
          <w:rFonts w:ascii="Times New Roman" w:hAnsi="Times New Roman"/>
          <w:b w:val="0"/>
          <w:i w:val="0"/>
          <w:iCs w:val="0"/>
          <w:sz w:val="24"/>
          <w:szCs w:val="24"/>
        </w:rPr>
      </w:pPr>
    </w:p>
    <w:p w14:paraId="0998C674" w14:textId="1B5D1453" w:rsidR="00D736EC" w:rsidRPr="00D736EC" w:rsidRDefault="00D736EC" w:rsidP="003F398F">
      <w:pPr>
        <w:spacing w:after="0"/>
        <w:rPr>
          <w:rStyle w:val="SubtleEmphasis"/>
          <w:rFonts w:ascii="Times New Roman" w:hAnsi="Times New Roman"/>
          <w:b w:val="0"/>
          <w:i w:val="0"/>
          <w:iCs w:val="0"/>
          <w:sz w:val="24"/>
          <w:szCs w:val="24"/>
        </w:rPr>
      </w:pPr>
      <w:r w:rsidRPr="00D736EC">
        <w:rPr>
          <w:rStyle w:val="SubtleEmphasis"/>
          <w:rFonts w:ascii="Times New Roman" w:hAnsi="Times New Roman"/>
          <w:b w:val="0"/>
          <w:i w:val="0"/>
          <w:iCs w:val="0"/>
          <w:sz w:val="24"/>
          <w:szCs w:val="24"/>
        </w:rPr>
        <w:t xml:space="preserve">Also, the jurisprudence of the higher courts in the hierarchy would have the opportunity for uniformity and greater weight, with the benefit of uniformity of cases in similar factual situations. </w:t>
      </w:r>
    </w:p>
    <w:p w14:paraId="0CE8690D" w14:textId="77777777" w:rsidR="00CD797D" w:rsidRDefault="00CD797D" w:rsidP="003F398F">
      <w:pPr>
        <w:spacing w:after="0"/>
        <w:rPr>
          <w:rStyle w:val="SubtleEmphasis"/>
          <w:rFonts w:ascii="Times New Roman" w:hAnsi="Times New Roman"/>
          <w:b w:val="0"/>
          <w:i w:val="0"/>
          <w:iCs w:val="0"/>
          <w:sz w:val="24"/>
          <w:szCs w:val="24"/>
        </w:rPr>
      </w:pPr>
    </w:p>
    <w:p w14:paraId="45020557" w14:textId="4D854657" w:rsidR="00D736EC" w:rsidRPr="00D736EC" w:rsidRDefault="00D736EC" w:rsidP="003F398F">
      <w:pPr>
        <w:spacing w:after="0"/>
        <w:rPr>
          <w:rStyle w:val="SubtleEmphasis"/>
          <w:rFonts w:ascii="Times New Roman" w:hAnsi="Times New Roman"/>
          <w:b w:val="0"/>
          <w:i w:val="0"/>
          <w:iCs w:val="0"/>
          <w:sz w:val="24"/>
          <w:szCs w:val="24"/>
        </w:rPr>
      </w:pPr>
      <w:r w:rsidRPr="00D736EC">
        <w:rPr>
          <w:rStyle w:val="SubtleEmphasis"/>
          <w:rFonts w:ascii="Times New Roman" w:hAnsi="Times New Roman"/>
          <w:b w:val="0"/>
          <w:i w:val="0"/>
          <w:iCs w:val="0"/>
          <w:sz w:val="24"/>
          <w:szCs w:val="24"/>
        </w:rPr>
        <w:t xml:space="preserve">In Poland, since the 2016 reform, we have seen a steady increase in the number of consumer bankruptcies, as well as a strong interest among entrepreneurs in restructuring proceedings. </w:t>
      </w:r>
    </w:p>
    <w:p w14:paraId="2B0FF4F1" w14:textId="77777777" w:rsidR="00CD797D" w:rsidRDefault="00CD797D" w:rsidP="003F398F">
      <w:pPr>
        <w:spacing w:after="0"/>
        <w:rPr>
          <w:rStyle w:val="SubtleEmphasis"/>
          <w:rFonts w:ascii="Times New Roman" w:hAnsi="Times New Roman"/>
          <w:b w:val="0"/>
          <w:i w:val="0"/>
          <w:iCs w:val="0"/>
          <w:sz w:val="24"/>
          <w:szCs w:val="24"/>
        </w:rPr>
      </w:pPr>
    </w:p>
    <w:p w14:paraId="324A8D6A" w14:textId="4B720D08" w:rsidR="00D736EC" w:rsidRPr="00D736EC" w:rsidRDefault="00D736EC" w:rsidP="003F398F">
      <w:pPr>
        <w:spacing w:after="0"/>
        <w:rPr>
          <w:rStyle w:val="SubtleEmphasis"/>
          <w:rFonts w:ascii="Times New Roman" w:hAnsi="Times New Roman"/>
          <w:b w:val="0"/>
          <w:i w:val="0"/>
          <w:iCs w:val="0"/>
          <w:sz w:val="24"/>
          <w:szCs w:val="24"/>
        </w:rPr>
      </w:pPr>
      <w:r w:rsidRPr="00D736EC">
        <w:rPr>
          <w:rStyle w:val="SubtleEmphasis"/>
          <w:rFonts w:ascii="Times New Roman" w:hAnsi="Times New Roman"/>
          <w:b w:val="0"/>
          <w:i w:val="0"/>
          <w:iCs w:val="0"/>
          <w:sz w:val="24"/>
          <w:szCs w:val="24"/>
        </w:rPr>
        <w:t>An important change in this regard was the introduction of an electronic system for handling bankruptcy and restructuring proceedings – the National Debtors Register – as of 1 December 2021.</w:t>
      </w:r>
      <w:r w:rsidR="00CD797D">
        <w:rPr>
          <w:rStyle w:val="SubtleEmphasis"/>
          <w:rFonts w:ascii="Times New Roman" w:hAnsi="Times New Roman"/>
          <w:b w:val="0"/>
          <w:i w:val="0"/>
          <w:iCs w:val="0"/>
          <w:sz w:val="24"/>
          <w:szCs w:val="24"/>
        </w:rPr>
        <w:t xml:space="preserve"> </w:t>
      </w:r>
      <w:r w:rsidRPr="00D736EC">
        <w:rPr>
          <w:rStyle w:val="SubtleEmphasis"/>
          <w:rFonts w:ascii="Times New Roman" w:hAnsi="Times New Roman"/>
          <w:b w:val="0"/>
          <w:i w:val="0"/>
          <w:iCs w:val="0"/>
          <w:sz w:val="24"/>
          <w:szCs w:val="24"/>
        </w:rPr>
        <w:t>During the period of its operation, until 12 March 2023, entrepreneurs filed 1,523 bankruptcy applications, while only 196 entrepreneurs were declared bankrupt. Applications for judicial restructuring (i.e. accelerated arrangement proceedings, composition proceedings and remedial proceedings) are 438 cases, and open proceedings 183.</w:t>
      </w:r>
    </w:p>
    <w:p w14:paraId="29CEEF70" w14:textId="77777777" w:rsidR="00CD797D" w:rsidRDefault="00CD797D" w:rsidP="003F398F">
      <w:pPr>
        <w:spacing w:after="0"/>
        <w:rPr>
          <w:rStyle w:val="SubtleEmphasis"/>
          <w:rFonts w:ascii="Times New Roman" w:hAnsi="Times New Roman"/>
          <w:b w:val="0"/>
          <w:i w:val="0"/>
          <w:iCs w:val="0"/>
          <w:sz w:val="24"/>
          <w:szCs w:val="24"/>
        </w:rPr>
      </w:pPr>
    </w:p>
    <w:p w14:paraId="711FF259" w14:textId="716AD088" w:rsidR="00D736EC" w:rsidRPr="00D736EC" w:rsidRDefault="00D736EC" w:rsidP="003F398F">
      <w:pPr>
        <w:spacing w:after="0"/>
        <w:rPr>
          <w:rStyle w:val="SubtleEmphasis"/>
          <w:rFonts w:ascii="Times New Roman" w:hAnsi="Times New Roman"/>
          <w:b w:val="0"/>
          <w:i w:val="0"/>
          <w:iCs w:val="0"/>
          <w:sz w:val="24"/>
          <w:szCs w:val="24"/>
        </w:rPr>
      </w:pPr>
      <w:r w:rsidRPr="00D736EC">
        <w:rPr>
          <w:rStyle w:val="SubtleEmphasis"/>
          <w:rFonts w:ascii="Times New Roman" w:hAnsi="Times New Roman"/>
          <w:b w:val="0"/>
          <w:i w:val="0"/>
          <w:iCs w:val="0"/>
          <w:sz w:val="24"/>
          <w:szCs w:val="24"/>
        </w:rPr>
        <w:t>During the same period, there were 2,974 notices of opening proceedings for the approval of an arrangement, which in 1,269 cases resulted in the approval of the arrangement. As of 12 March 2023, Polish courts have approved 422 arrangements, and refused approval in only 51 cases.</w:t>
      </w:r>
    </w:p>
    <w:p w14:paraId="43202D45" w14:textId="77777777" w:rsidR="00CD797D" w:rsidRDefault="00CD797D" w:rsidP="003F398F">
      <w:pPr>
        <w:spacing w:after="0"/>
        <w:rPr>
          <w:rStyle w:val="SubtleEmphasis"/>
          <w:rFonts w:ascii="Times New Roman" w:hAnsi="Times New Roman"/>
          <w:b w:val="0"/>
          <w:i w:val="0"/>
          <w:iCs w:val="0"/>
          <w:sz w:val="24"/>
          <w:szCs w:val="24"/>
        </w:rPr>
      </w:pPr>
    </w:p>
    <w:p w14:paraId="71A12E2D" w14:textId="02C46340" w:rsidR="00D736EC" w:rsidRPr="00D736EC" w:rsidRDefault="00D736EC" w:rsidP="003F398F">
      <w:pPr>
        <w:spacing w:after="0"/>
        <w:rPr>
          <w:rStyle w:val="SubtleEmphasis"/>
          <w:rFonts w:ascii="Times New Roman" w:hAnsi="Times New Roman"/>
          <w:b w:val="0"/>
          <w:i w:val="0"/>
          <w:iCs w:val="0"/>
          <w:sz w:val="24"/>
          <w:szCs w:val="24"/>
        </w:rPr>
      </w:pPr>
      <w:r w:rsidRPr="00D736EC">
        <w:rPr>
          <w:rStyle w:val="SubtleEmphasis"/>
          <w:rFonts w:ascii="Times New Roman" w:hAnsi="Times New Roman"/>
          <w:b w:val="0"/>
          <w:i w:val="0"/>
          <w:iCs w:val="0"/>
          <w:sz w:val="24"/>
          <w:szCs w:val="24"/>
        </w:rPr>
        <w:t>Such high popularity of the procedure for approval of an arrangement shows that Polish entrepreneurs need an efficient restructuring tool they can use when courts are becoming less and less efficient due to the significant number of consumer proceedings – 15,6 thousand in 2022 and as many as 18,2 thousand in 2021. The decrease in 2022 was due to the entry into force of the National Debtors Register system.</w:t>
      </w:r>
    </w:p>
    <w:p w14:paraId="6D5DA4C3" w14:textId="77777777" w:rsidR="00CD797D" w:rsidRDefault="00CD797D" w:rsidP="003F398F">
      <w:pPr>
        <w:spacing w:after="0"/>
        <w:rPr>
          <w:rStyle w:val="SubtleEmphasis"/>
          <w:rFonts w:ascii="Times New Roman" w:hAnsi="Times New Roman"/>
          <w:b w:val="0"/>
          <w:i w:val="0"/>
          <w:iCs w:val="0"/>
          <w:sz w:val="24"/>
          <w:szCs w:val="24"/>
        </w:rPr>
      </w:pPr>
    </w:p>
    <w:p w14:paraId="4F755947" w14:textId="4475918D" w:rsidR="00D736EC" w:rsidRPr="00D736EC" w:rsidRDefault="00D736EC" w:rsidP="003F398F">
      <w:pPr>
        <w:spacing w:after="0"/>
        <w:rPr>
          <w:rStyle w:val="SubtleEmphasis"/>
          <w:rFonts w:ascii="Times New Roman" w:hAnsi="Times New Roman"/>
          <w:b w:val="0"/>
          <w:i w:val="0"/>
          <w:iCs w:val="0"/>
          <w:sz w:val="24"/>
          <w:szCs w:val="24"/>
        </w:rPr>
      </w:pPr>
      <w:r w:rsidRPr="00D736EC">
        <w:rPr>
          <w:rStyle w:val="SubtleEmphasis"/>
          <w:rFonts w:ascii="Times New Roman" w:hAnsi="Times New Roman"/>
          <w:b w:val="0"/>
          <w:i w:val="0"/>
          <w:iCs w:val="0"/>
          <w:sz w:val="24"/>
          <w:szCs w:val="24"/>
        </w:rPr>
        <w:t xml:space="preserve">Statistics show that restructuring and bankruptcy can be effectively and efficiently carried out, but only with the provision of adequate infrastructure, and most importantly, with the retention of competent and qualified staff. </w:t>
      </w:r>
    </w:p>
    <w:p w14:paraId="19471E66" w14:textId="77777777" w:rsidR="00CD797D" w:rsidRDefault="00CD797D" w:rsidP="003F398F">
      <w:pPr>
        <w:spacing w:after="0"/>
        <w:rPr>
          <w:rStyle w:val="SubtleEmphasis"/>
          <w:rFonts w:ascii="Times New Roman" w:hAnsi="Times New Roman"/>
          <w:b w:val="0"/>
          <w:i w:val="0"/>
          <w:iCs w:val="0"/>
          <w:sz w:val="24"/>
          <w:szCs w:val="24"/>
        </w:rPr>
      </w:pPr>
    </w:p>
    <w:p w14:paraId="63EEC60B" w14:textId="3C86C52D" w:rsidR="00D736EC" w:rsidRPr="00D736EC" w:rsidRDefault="00D736EC" w:rsidP="003F398F">
      <w:pPr>
        <w:spacing w:after="0"/>
        <w:rPr>
          <w:rStyle w:val="SubtleEmphasis"/>
          <w:rFonts w:ascii="Times New Roman" w:hAnsi="Times New Roman"/>
          <w:b w:val="0"/>
          <w:i w:val="0"/>
          <w:iCs w:val="0"/>
          <w:sz w:val="24"/>
          <w:szCs w:val="24"/>
        </w:rPr>
      </w:pPr>
      <w:r w:rsidRPr="00D736EC">
        <w:rPr>
          <w:rStyle w:val="SubtleEmphasis"/>
          <w:rFonts w:ascii="Times New Roman" w:hAnsi="Times New Roman"/>
          <w:b w:val="0"/>
          <w:i w:val="0"/>
          <w:iCs w:val="0"/>
          <w:sz w:val="24"/>
          <w:szCs w:val="24"/>
        </w:rPr>
        <w:t>In addition, it is worth pointing out that the regulation ordering the conduct of proceedings also in the absence of funds – the so-called poverty of the bankruptcy estate – does not seem apt. In such situations, the bankruptcy court could inform the competent registry court that the entrepreneur in question could be deleted from the register without conducting liquidation proceedings. Dismissal on the grounds of the so-called ‘poverty of the mass’ should not be applied to sole proprietors, since in their case it is reasonable to dismiss (discharge) the debt.</w:t>
      </w:r>
    </w:p>
    <w:p w14:paraId="5B50C34E" w14:textId="77777777" w:rsidR="00CD797D" w:rsidRDefault="00CD797D" w:rsidP="003F398F">
      <w:pPr>
        <w:spacing w:after="0"/>
        <w:rPr>
          <w:rStyle w:val="SubtleEmphasis"/>
          <w:rFonts w:ascii="Times New Roman" w:hAnsi="Times New Roman"/>
          <w:b w:val="0"/>
          <w:i w:val="0"/>
          <w:iCs w:val="0"/>
          <w:sz w:val="24"/>
          <w:szCs w:val="24"/>
        </w:rPr>
      </w:pPr>
    </w:p>
    <w:p w14:paraId="5761A948" w14:textId="5865FABB" w:rsidR="0047439B" w:rsidRPr="00D736EC" w:rsidRDefault="00D736EC" w:rsidP="003F398F">
      <w:pPr>
        <w:spacing w:after="0"/>
        <w:rPr>
          <w:rFonts w:ascii="Times New Roman" w:hAnsi="Times New Roman"/>
          <w:sz w:val="24"/>
          <w:szCs w:val="24"/>
        </w:rPr>
      </w:pPr>
      <w:r w:rsidRPr="00D736EC">
        <w:rPr>
          <w:rStyle w:val="SubtleEmphasis"/>
          <w:rFonts w:ascii="Times New Roman" w:hAnsi="Times New Roman"/>
          <w:b w:val="0"/>
          <w:i w:val="0"/>
          <w:iCs w:val="0"/>
          <w:sz w:val="24"/>
          <w:szCs w:val="24"/>
        </w:rPr>
        <w:t xml:space="preserve">In the context of a simplified procedure for micro-entrepreneurs, it would also be possible to introduce a model of a consumer arrangement or liquidation arrangement proceedings - that </w:t>
      </w:r>
      <w:r w:rsidRPr="00D736EC">
        <w:rPr>
          <w:rStyle w:val="SubtleEmphasis"/>
          <w:rFonts w:ascii="Times New Roman" w:hAnsi="Times New Roman"/>
          <w:b w:val="0"/>
          <w:i w:val="0"/>
          <w:iCs w:val="0"/>
          <w:sz w:val="24"/>
          <w:szCs w:val="24"/>
        </w:rPr>
        <w:lastRenderedPageBreak/>
        <w:t>is, essentially an out-of-court procedure for making arrangements or agreements with creditors, in which the burden of conducting administrative proceedings would be on restructuring advisors, and the effects of the sale of assets in such an arrangement would be linked to the effects of an execution sale, with minimal court involvement (approval of the arrangement).</w:t>
      </w:r>
    </w:p>
    <w:sectPr w:rsidR="0047439B" w:rsidRPr="00D736EC"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3DFC1" w14:textId="77777777" w:rsidR="00D5099E" w:rsidRDefault="00D5099E">
      <w:r>
        <w:separator/>
      </w:r>
    </w:p>
  </w:endnote>
  <w:endnote w:type="continuationSeparator" w:id="0">
    <w:p w14:paraId="5426BBA0" w14:textId="77777777" w:rsidR="00D5099E" w:rsidRDefault="00D50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auto"/>
    <w:pitch w:val="variable"/>
    <w:sig w:usb0="E0002AFF" w:usb1="C0007841"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3B34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0C565" w14:textId="77777777" w:rsidR="00D5099E" w:rsidRDefault="00D5099E">
      <w:r>
        <w:separator/>
      </w:r>
    </w:p>
  </w:footnote>
  <w:footnote w:type="continuationSeparator" w:id="0">
    <w:p w14:paraId="6072C35F" w14:textId="77777777" w:rsidR="00D5099E" w:rsidRDefault="00D5099E">
      <w:r>
        <w:continuationSeparator/>
      </w:r>
    </w:p>
  </w:footnote>
  <w:footnote w:id="1">
    <w:p w14:paraId="67D746B3" w14:textId="6E433417" w:rsidR="00D736EC" w:rsidRPr="003F398F" w:rsidRDefault="00D736EC" w:rsidP="00D736EC">
      <w:pPr>
        <w:pStyle w:val="FootnoteText"/>
        <w:rPr>
          <w:rFonts w:ascii="Times New Roman" w:hAnsi="Times New Roman"/>
        </w:rPr>
      </w:pPr>
      <w:r w:rsidRPr="003F398F">
        <w:rPr>
          <w:rStyle w:val="FootnoteReference"/>
          <w:rFonts w:ascii="Times New Roman" w:hAnsi="Times New Roman"/>
        </w:rPr>
        <w:footnoteRef/>
      </w:r>
      <w:r w:rsidRPr="003F398F">
        <w:rPr>
          <w:rFonts w:ascii="Times New Roman" w:hAnsi="Times New Roman"/>
        </w:rPr>
        <w:t xml:space="preserve"> Brussels Document, 7.12.2022, COM(2022) 702 final, 2022/0408 (COD), available at: </w:t>
      </w:r>
      <w:hyperlink r:id="rId1" w:history="1">
        <w:r w:rsidRPr="003F398F">
          <w:rPr>
            <w:rStyle w:val="Hyperlink"/>
            <w:rFonts w:ascii="Times New Roman" w:hAnsi="Times New Roman"/>
          </w:rPr>
          <w:t>https://ec.europa.eu/info/law/better-regulation/have-your-say/initiatives/12592-Insolvency-laws-increasing-convergence-of-national-laws-to-encourage-cross-border-investment_en</w:t>
        </w:r>
      </w:hyperlink>
      <w:r w:rsidRPr="003F398F">
        <w:rPr>
          <w:rFonts w:ascii="Times New Roman" w:hAnsi="Times New Roman"/>
        </w:rPr>
        <w:t xml:space="preserve"> (“Proposal”).</w:t>
      </w:r>
    </w:p>
  </w:footnote>
  <w:footnote w:id="2">
    <w:p w14:paraId="4C6D859F" w14:textId="77777777" w:rsidR="00D736EC" w:rsidRPr="003F398F" w:rsidRDefault="00D736EC" w:rsidP="00D736EC">
      <w:pPr>
        <w:pStyle w:val="FootnoteText"/>
        <w:rPr>
          <w:rFonts w:ascii="Times New Roman" w:hAnsi="Times New Roman"/>
          <w:lang w:val="en-US"/>
        </w:rPr>
      </w:pPr>
      <w:r w:rsidRPr="003F398F">
        <w:rPr>
          <w:rStyle w:val="FootnoteReference"/>
          <w:rFonts w:ascii="Times New Roman" w:hAnsi="Times New Roman"/>
        </w:rPr>
        <w:footnoteRef/>
      </w:r>
      <w:r w:rsidRPr="003F398F">
        <w:rPr>
          <w:rFonts w:ascii="Times New Roman" w:hAnsi="Times New Roman"/>
          <w:lang w:val="en-US"/>
        </w:rPr>
        <w:t xml:space="preserve"> The Committee on Economic and Monetary Affairs (ECON) is a committee of the European Parliament which is responsible for the regulation of financial services, the free movement of capital and payments, taxation and competition policies, oversight of the European Central Bank, and the international financial system. 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8C893" w14:textId="6627DBEE" w:rsidR="00D90E9D" w:rsidRDefault="00BF3D3E" w:rsidP="00D90E9D">
    <w:pPr>
      <w:pStyle w:val="Header"/>
      <w:spacing w:after="0"/>
      <w:rPr>
        <w:rFonts w:ascii="Arial" w:hAnsi="Arial" w:cs="Arial"/>
        <w:b/>
        <w:sz w:val="20"/>
      </w:rPr>
    </w:pPr>
    <w:r w:rsidRPr="002331CA">
      <w:rPr>
        <w:rFonts w:ascii="Arial" w:hAnsi="Arial" w:cs="Arial"/>
        <w:b/>
        <w:sz w:val="20"/>
      </w:rPr>
      <w:t>Inside Story (</w:t>
    </w:r>
    <w:r w:rsidR="00236FF2">
      <w:rPr>
        <w:rFonts w:ascii="Arial" w:hAnsi="Arial" w:cs="Arial"/>
        <w:b/>
        <w:sz w:val="20"/>
      </w:rPr>
      <w:t>October</w:t>
    </w:r>
    <w:r w:rsidR="002A5779" w:rsidRPr="002331CA">
      <w:rPr>
        <w:rFonts w:ascii="Arial" w:hAnsi="Arial" w:cs="Arial"/>
        <w:b/>
        <w:sz w:val="20"/>
      </w:rPr>
      <w:t xml:space="preserve"> 20</w:t>
    </w:r>
    <w:r w:rsidR="00087612" w:rsidRPr="002331CA">
      <w:rPr>
        <w:rFonts w:ascii="Arial" w:hAnsi="Arial" w:cs="Arial"/>
        <w:b/>
        <w:sz w:val="20"/>
      </w:rPr>
      <w:t>2</w:t>
    </w:r>
    <w:r w:rsidR="00D736EC">
      <w:rPr>
        <w:rFonts w:ascii="Arial" w:hAnsi="Arial" w:cs="Arial"/>
        <w:b/>
        <w:sz w:val="20"/>
      </w:rPr>
      <w:t>4</w:t>
    </w:r>
    <w:r w:rsidR="00D90E9D">
      <w:rPr>
        <w:rFonts w:ascii="Arial" w:hAnsi="Arial" w:cs="Arial"/>
        <w:b/>
        <w:sz w:val="20"/>
      </w:rPr>
      <w:t>)</w:t>
    </w:r>
  </w:p>
  <w:p w14:paraId="0F2C5C5A" w14:textId="20C79801" w:rsidR="00BF3D3E" w:rsidRPr="0011226B" w:rsidRDefault="00D736EC" w:rsidP="00D90E9D">
    <w:pPr>
      <w:pStyle w:val="Header"/>
      <w:spacing w:after="0"/>
      <w:rPr>
        <w:rFonts w:ascii="Arial" w:hAnsi="Arial" w:cs="Arial"/>
        <w:b/>
        <w:sz w:val="20"/>
        <w:lang w:val="fr-FR"/>
      </w:rPr>
    </w:pPr>
    <w:r>
      <w:rPr>
        <w:rFonts w:ascii="Arial" w:hAnsi="Arial" w:cs="Arial"/>
        <w:b/>
        <w:sz w:val="20"/>
      </w:rPr>
      <w:t xml:space="preserve">Paweł Kuglarz and </w:t>
    </w:r>
    <w:r w:rsidR="0011226B" w:rsidRPr="0011226B">
      <w:rPr>
        <w:rFonts w:ascii="Arial" w:hAnsi="Arial" w:cs="Arial"/>
        <w:b/>
        <w:sz w:val="20"/>
      </w:rPr>
      <w:t>Mateusz Kaliński</w:t>
    </w:r>
    <w:r w:rsidR="0011226B" w:rsidRPr="0011226B">
      <w:rPr>
        <w:rFonts w:ascii="Arial" w:hAnsi="Arial" w:cs="Arial"/>
        <w:b/>
        <w:sz w:val="20"/>
        <w:lang w:val="fr-FR"/>
      </w:rPr>
      <w:t xml:space="preserve"> </w:t>
    </w:r>
    <w:r w:rsidR="00640EFC" w:rsidRPr="0011226B">
      <w:rPr>
        <w:rFonts w:ascii="Arial" w:hAnsi="Arial" w:cs="Arial"/>
        <w:b/>
        <w:sz w:val="20"/>
        <w:lang w:val="fr-FR"/>
      </w:rPr>
      <w:t>(</w:t>
    </w:r>
    <w:r w:rsidR="0011226B" w:rsidRPr="0011226B">
      <w:rPr>
        <w:rFonts w:ascii="Arial" w:hAnsi="Arial" w:cs="Arial"/>
        <w:b/>
        <w:sz w:val="20"/>
        <w:lang w:val="fr-FR"/>
      </w:rPr>
      <w:t>PL</w:t>
    </w:r>
    <w:r w:rsidR="00BF3D3E" w:rsidRPr="0011226B">
      <w:rPr>
        <w:rFonts w:ascii="Arial" w:hAnsi="Arial" w:cs="Arial"/>
        <w:b/>
        <w:sz w:val="20"/>
        <w:lang w:val="fr-F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1E96E526"/>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1A77C2"/>
    <w:multiLevelType w:val="hybridMultilevel"/>
    <w:tmpl w:val="199AA478"/>
    <w:lvl w:ilvl="0" w:tplc="89D656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767F4E"/>
    <w:multiLevelType w:val="hybridMultilevel"/>
    <w:tmpl w:val="725CC10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7A74F4A"/>
    <w:multiLevelType w:val="hybridMultilevel"/>
    <w:tmpl w:val="45FEA5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F14876"/>
    <w:multiLevelType w:val="hybridMultilevel"/>
    <w:tmpl w:val="2356F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840B7F"/>
    <w:multiLevelType w:val="hybridMultilevel"/>
    <w:tmpl w:val="E620E25E"/>
    <w:lvl w:ilvl="0" w:tplc="AF80537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C066818"/>
    <w:multiLevelType w:val="hybridMultilevel"/>
    <w:tmpl w:val="A9BC44DE"/>
    <w:lvl w:ilvl="0" w:tplc="E564CF20">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30316CA"/>
    <w:multiLevelType w:val="hybridMultilevel"/>
    <w:tmpl w:val="4C90B5A4"/>
    <w:lvl w:ilvl="0" w:tplc="C3E230AA">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3666FBE"/>
    <w:multiLevelType w:val="hybridMultilevel"/>
    <w:tmpl w:val="1584AA5A"/>
    <w:lvl w:ilvl="0" w:tplc="AD9CF0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16" w15:restartNumberingAfterBreak="0">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8" w15:restartNumberingAfterBreak="0">
    <w:nsid w:val="1F5D6789"/>
    <w:multiLevelType w:val="hybridMultilevel"/>
    <w:tmpl w:val="85963F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2600123"/>
    <w:multiLevelType w:val="hybridMultilevel"/>
    <w:tmpl w:val="8DE2A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6170A4A"/>
    <w:multiLevelType w:val="hybridMultilevel"/>
    <w:tmpl w:val="51DE230E"/>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2" w15:restartNumberingAfterBreak="0">
    <w:nsid w:val="32CE37F3"/>
    <w:multiLevelType w:val="hybridMultilevel"/>
    <w:tmpl w:val="297E24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0BF2113"/>
    <w:multiLevelType w:val="hybridMultilevel"/>
    <w:tmpl w:val="5D3A0458"/>
    <w:lvl w:ilvl="0" w:tplc="5DEA4A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4C209D3"/>
    <w:multiLevelType w:val="hybridMultilevel"/>
    <w:tmpl w:val="A55A20CC"/>
    <w:lvl w:ilvl="0" w:tplc="A19ED8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D6447E7"/>
    <w:multiLevelType w:val="hybridMultilevel"/>
    <w:tmpl w:val="4556686C"/>
    <w:lvl w:ilvl="0" w:tplc="B226FDA8">
      <w:start w:val="1"/>
      <w:numFmt w:val="bullet"/>
      <w:lvlText w:val="-"/>
      <w:lvlJc w:val="left"/>
      <w:pPr>
        <w:ind w:left="720" w:hanging="360"/>
      </w:pPr>
      <w:rPr>
        <w:rFonts w:ascii="Tahoma" w:eastAsiaTheme="minorHAnsi" w:hAnsi="Tahoma" w:cs="Tahom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31" w15:restartNumberingAfterBreak="0">
    <w:nsid w:val="52622E5C"/>
    <w:multiLevelType w:val="hybridMultilevel"/>
    <w:tmpl w:val="4CEA025C"/>
    <w:lvl w:ilvl="0" w:tplc="8B5A78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C5730A6"/>
    <w:multiLevelType w:val="multilevel"/>
    <w:tmpl w:val="1B6A0F2A"/>
    <w:lvl w:ilvl="0">
      <w:start w:val="1"/>
      <w:numFmt w:val="bullet"/>
      <w:pStyle w:val="DPBullet"/>
      <w:lvlText w:val=""/>
      <w:lvlJc w:val="left"/>
      <w:pPr>
        <w:ind w:left="340" w:hanging="340"/>
      </w:pPr>
      <w:rPr>
        <w:rFonts w:ascii="Symbol" w:hAnsi="Symbol" w:hint="default"/>
      </w:rPr>
    </w:lvl>
    <w:lvl w:ilvl="1">
      <w:start w:val="1"/>
      <w:numFmt w:val="bullet"/>
      <w:pStyle w:val="DPBullet1"/>
      <w:lvlText w:val="−"/>
      <w:lvlJc w:val="left"/>
      <w:pPr>
        <w:ind w:left="680" w:hanging="340"/>
      </w:pPr>
      <w:rPr>
        <w:rFonts w:ascii="Times New Roman" w:hAnsi="Times New Roman" w:cs="Times New Roman" w:hint="default"/>
      </w:rPr>
    </w:lvl>
    <w:lvl w:ilvl="2">
      <w:start w:val="1"/>
      <w:numFmt w:val="bullet"/>
      <w:pStyle w:val="DPBullet2"/>
      <w:lvlText w:val="−"/>
      <w:lvlJc w:val="left"/>
      <w:pPr>
        <w:ind w:left="1021" w:hanging="341"/>
      </w:pPr>
      <w:rPr>
        <w:rFonts w:ascii="Times New Roman" w:hAnsi="Times New Roman" w:cs="Times New Roman"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35" w15:restartNumberingAfterBreak="0">
    <w:nsid w:val="61386B6E"/>
    <w:multiLevelType w:val="hybridMultilevel"/>
    <w:tmpl w:val="5C5815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17B6BD9"/>
    <w:multiLevelType w:val="hybridMultilevel"/>
    <w:tmpl w:val="E44824D4"/>
    <w:lvl w:ilvl="0" w:tplc="7526BE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CF01050"/>
    <w:multiLevelType w:val="hybridMultilevel"/>
    <w:tmpl w:val="989867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16cid:durableId="840268990">
    <w:abstractNumId w:val="15"/>
  </w:num>
  <w:num w:numId="2" w16cid:durableId="349381495">
    <w:abstractNumId w:val="10"/>
  </w:num>
  <w:num w:numId="3" w16cid:durableId="980620207">
    <w:abstractNumId w:val="37"/>
  </w:num>
  <w:num w:numId="4" w16cid:durableId="837578752">
    <w:abstractNumId w:val="17"/>
  </w:num>
  <w:num w:numId="5" w16cid:durableId="1507161705">
    <w:abstractNumId w:val="21"/>
  </w:num>
  <w:num w:numId="6" w16cid:durableId="842747469">
    <w:abstractNumId w:val="39"/>
  </w:num>
  <w:num w:numId="7" w16cid:durableId="1790512037">
    <w:abstractNumId w:val="0"/>
  </w:num>
  <w:num w:numId="8" w16cid:durableId="1846750564">
    <w:abstractNumId w:val="14"/>
  </w:num>
  <w:num w:numId="9" w16cid:durableId="289478994">
    <w:abstractNumId w:val="2"/>
  </w:num>
  <w:num w:numId="10" w16cid:durableId="2134639103">
    <w:abstractNumId w:val="1"/>
  </w:num>
  <w:num w:numId="11" w16cid:durableId="1286229765">
    <w:abstractNumId w:val="32"/>
  </w:num>
  <w:num w:numId="12" w16cid:durableId="638920545">
    <w:abstractNumId w:val="13"/>
  </w:num>
  <w:num w:numId="13" w16cid:durableId="1358775873">
    <w:abstractNumId w:val="30"/>
  </w:num>
  <w:num w:numId="14" w16cid:durableId="290019814">
    <w:abstractNumId w:val="21"/>
  </w:num>
  <w:num w:numId="15" w16cid:durableId="1882204343">
    <w:abstractNumId w:val="21"/>
  </w:num>
  <w:num w:numId="16" w16cid:durableId="950360300">
    <w:abstractNumId w:val="21"/>
  </w:num>
  <w:num w:numId="17" w16cid:durableId="961809866">
    <w:abstractNumId w:val="21"/>
  </w:num>
  <w:num w:numId="18" w16cid:durableId="713886714">
    <w:abstractNumId w:val="21"/>
  </w:num>
  <w:num w:numId="19" w16cid:durableId="1293173727">
    <w:abstractNumId w:val="21"/>
  </w:num>
  <w:num w:numId="20" w16cid:durableId="886184371">
    <w:abstractNumId w:val="10"/>
  </w:num>
  <w:num w:numId="21" w16cid:durableId="52193562">
    <w:abstractNumId w:val="37"/>
  </w:num>
  <w:num w:numId="22" w16cid:durableId="225341737">
    <w:abstractNumId w:val="21"/>
  </w:num>
  <w:num w:numId="23" w16cid:durableId="1113017901">
    <w:abstractNumId w:val="17"/>
  </w:num>
  <w:num w:numId="24" w16cid:durableId="298414777">
    <w:abstractNumId w:val="33"/>
  </w:num>
  <w:num w:numId="25" w16cid:durableId="1375230132">
    <w:abstractNumId w:val="25"/>
  </w:num>
  <w:num w:numId="26" w16cid:durableId="298653016">
    <w:abstractNumId w:val="28"/>
  </w:num>
  <w:num w:numId="27" w16cid:durableId="1135758420">
    <w:abstractNumId w:val="23"/>
  </w:num>
  <w:num w:numId="28" w16cid:durableId="833766591">
    <w:abstractNumId w:val="26"/>
  </w:num>
  <w:num w:numId="29" w16cid:durableId="1370649304">
    <w:abstractNumId w:val="8"/>
  </w:num>
  <w:num w:numId="30" w16cid:durableId="346952349">
    <w:abstractNumId w:val="16"/>
  </w:num>
  <w:num w:numId="31" w16cid:durableId="202598049">
    <w:abstractNumId w:val="4"/>
  </w:num>
  <w:num w:numId="32" w16cid:durableId="73599949">
    <w:abstractNumId w:val="3"/>
  </w:num>
  <w:num w:numId="33" w16cid:durableId="1609847264">
    <w:abstractNumId w:val="36"/>
  </w:num>
  <w:num w:numId="34" w16cid:durableId="230773280">
    <w:abstractNumId w:val="27"/>
  </w:num>
  <w:num w:numId="35" w16cid:durableId="848641484">
    <w:abstractNumId w:val="31"/>
  </w:num>
  <w:num w:numId="36" w16cid:durableId="339699845">
    <w:abstractNumId w:val="12"/>
  </w:num>
  <w:num w:numId="37" w16cid:durableId="1265577061">
    <w:abstractNumId w:val="5"/>
  </w:num>
  <w:num w:numId="38" w16cid:durableId="179902894">
    <w:abstractNumId w:val="19"/>
  </w:num>
  <w:num w:numId="39" w16cid:durableId="1963732885">
    <w:abstractNumId w:val="6"/>
  </w:num>
  <w:num w:numId="40" w16cid:durableId="2099592858">
    <w:abstractNumId w:val="34"/>
  </w:num>
  <w:num w:numId="41" w16cid:durableId="165436536">
    <w:abstractNumId w:val="35"/>
  </w:num>
  <w:num w:numId="42" w16cid:durableId="1903176585">
    <w:abstractNumId w:val="18"/>
  </w:num>
  <w:num w:numId="43" w16cid:durableId="722020780">
    <w:abstractNumId w:val="9"/>
  </w:num>
  <w:num w:numId="44" w16cid:durableId="1474910222">
    <w:abstractNumId w:val="24"/>
  </w:num>
  <w:num w:numId="45" w16cid:durableId="1274052024">
    <w:abstractNumId w:val="20"/>
  </w:num>
  <w:num w:numId="46" w16cid:durableId="1452356071">
    <w:abstractNumId w:val="29"/>
  </w:num>
  <w:num w:numId="47" w16cid:durableId="1424490603">
    <w:abstractNumId w:val="11"/>
  </w:num>
  <w:num w:numId="48" w16cid:durableId="2032099013">
    <w:abstractNumId w:val="22"/>
  </w:num>
  <w:num w:numId="49" w16cid:durableId="923876849">
    <w:abstractNumId w:val="7"/>
  </w:num>
  <w:num w:numId="50" w16cid:durableId="700597235">
    <w:abstractNumId w:val="3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33C5"/>
    <w:rsid w:val="00001C5A"/>
    <w:rsid w:val="000033DF"/>
    <w:rsid w:val="00065DA6"/>
    <w:rsid w:val="00086E49"/>
    <w:rsid w:val="00087612"/>
    <w:rsid w:val="000921F0"/>
    <w:rsid w:val="00092307"/>
    <w:rsid w:val="000C4532"/>
    <w:rsid w:val="000C7620"/>
    <w:rsid w:val="000D3C8B"/>
    <w:rsid w:val="00104015"/>
    <w:rsid w:val="0011181C"/>
    <w:rsid w:val="0011226B"/>
    <w:rsid w:val="001258A8"/>
    <w:rsid w:val="00127C4A"/>
    <w:rsid w:val="00141375"/>
    <w:rsid w:val="00145356"/>
    <w:rsid w:val="0016531A"/>
    <w:rsid w:val="00167198"/>
    <w:rsid w:val="001835B2"/>
    <w:rsid w:val="001934CC"/>
    <w:rsid w:val="001A713B"/>
    <w:rsid w:val="001A72DC"/>
    <w:rsid w:val="001B1AA8"/>
    <w:rsid w:val="001C5080"/>
    <w:rsid w:val="001D3A90"/>
    <w:rsid w:val="001E7A6F"/>
    <w:rsid w:val="001F119D"/>
    <w:rsid w:val="0020085B"/>
    <w:rsid w:val="00222353"/>
    <w:rsid w:val="002331CA"/>
    <w:rsid w:val="00236FF2"/>
    <w:rsid w:val="00247BAC"/>
    <w:rsid w:val="002756AD"/>
    <w:rsid w:val="00276632"/>
    <w:rsid w:val="00280030"/>
    <w:rsid w:val="00284601"/>
    <w:rsid w:val="002A4C95"/>
    <w:rsid w:val="002A5779"/>
    <w:rsid w:val="002A5C92"/>
    <w:rsid w:val="002E09E9"/>
    <w:rsid w:val="002F54CA"/>
    <w:rsid w:val="003021B6"/>
    <w:rsid w:val="003217E3"/>
    <w:rsid w:val="0032563F"/>
    <w:rsid w:val="003267D1"/>
    <w:rsid w:val="00340FF0"/>
    <w:rsid w:val="003441B9"/>
    <w:rsid w:val="003518FD"/>
    <w:rsid w:val="00355F21"/>
    <w:rsid w:val="003666A0"/>
    <w:rsid w:val="00367985"/>
    <w:rsid w:val="00372D4C"/>
    <w:rsid w:val="00380748"/>
    <w:rsid w:val="0039013D"/>
    <w:rsid w:val="00395D89"/>
    <w:rsid w:val="00396E5A"/>
    <w:rsid w:val="003978ED"/>
    <w:rsid w:val="003B0263"/>
    <w:rsid w:val="003C284E"/>
    <w:rsid w:val="003C338F"/>
    <w:rsid w:val="003C69AB"/>
    <w:rsid w:val="003F398F"/>
    <w:rsid w:val="00404D9A"/>
    <w:rsid w:val="004131ED"/>
    <w:rsid w:val="00415AEE"/>
    <w:rsid w:val="00415DDB"/>
    <w:rsid w:val="00424A47"/>
    <w:rsid w:val="004356E2"/>
    <w:rsid w:val="00437BFE"/>
    <w:rsid w:val="004408B0"/>
    <w:rsid w:val="00440CF8"/>
    <w:rsid w:val="004433C5"/>
    <w:rsid w:val="00470254"/>
    <w:rsid w:val="0047439B"/>
    <w:rsid w:val="00484F6D"/>
    <w:rsid w:val="00492065"/>
    <w:rsid w:val="004B3FED"/>
    <w:rsid w:val="004D1D7E"/>
    <w:rsid w:val="004F1265"/>
    <w:rsid w:val="004F57B8"/>
    <w:rsid w:val="00535342"/>
    <w:rsid w:val="00540D53"/>
    <w:rsid w:val="00557280"/>
    <w:rsid w:val="00557A0F"/>
    <w:rsid w:val="005649F9"/>
    <w:rsid w:val="00565029"/>
    <w:rsid w:val="00573EFA"/>
    <w:rsid w:val="005764A7"/>
    <w:rsid w:val="00577785"/>
    <w:rsid w:val="00581DAF"/>
    <w:rsid w:val="00593E77"/>
    <w:rsid w:val="0059441E"/>
    <w:rsid w:val="005D6C09"/>
    <w:rsid w:val="005D783E"/>
    <w:rsid w:val="005D79E3"/>
    <w:rsid w:val="005E270C"/>
    <w:rsid w:val="005E7C6B"/>
    <w:rsid w:val="00603657"/>
    <w:rsid w:val="00617533"/>
    <w:rsid w:val="00623598"/>
    <w:rsid w:val="00631F24"/>
    <w:rsid w:val="00640EFC"/>
    <w:rsid w:val="006441B0"/>
    <w:rsid w:val="00657FC0"/>
    <w:rsid w:val="00674D11"/>
    <w:rsid w:val="00694350"/>
    <w:rsid w:val="006945CB"/>
    <w:rsid w:val="006B7ABD"/>
    <w:rsid w:val="006D0A86"/>
    <w:rsid w:val="006E7E8D"/>
    <w:rsid w:val="00703D03"/>
    <w:rsid w:val="00707113"/>
    <w:rsid w:val="007203F3"/>
    <w:rsid w:val="00740F50"/>
    <w:rsid w:val="00752792"/>
    <w:rsid w:val="00753FB5"/>
    <w:rsid w:val="00772427"/>
    <w:rsid w:val="00772DFE"/>
    <w:rsid w:val="00782731"/>
    <w:rsid w:val="00785E77"/>
    <w:rsid w:val="00786CA6"/>
    <w:rsid w:val="00790DFB"/>
    <w:rsid w:val="007A0387"/>
    <w:rsid w:val="007C4484"/>
    <w:rsid w:val="007D39E7"/>
    <w:rsid w:val="007E1590"/>
    <w:rsid w:val="00807744"/>
    <w:rsid w:val="00825991"/>
    <w:rsid w:val="008432D1"/>
    <w:rsid w:val="00847988"/>
    <w:rsid w:val="008506FC"/>
    <w:rsid w:val="008609CB"/>
    <w:rsid w:val="00867725"/>
    <w:rsid w:val="00872A8B"/>
    <w:rsid w:val="00876BCD"/>
    <w:rsid w:val="00877CBB"/>
    <w:rsid w:val="00886023"/>
    <w:rsid w:val="008979BB"/>
    <w:rsid w:val="008A229B"/>
    <w:rsid w:val="008B0583"/>
    <w:rsid w:val="00900A95"/>
    <w:rsid w:val="009069C9"/>
    <w:rsid w:val="009224B4"/>
    <w:rsid w:val="00933B42"/>
    <w:rsid w:val="0093601D"/>
    <w:rsid w:val="009542ED"/>
    <w:rsid w:val="009656AB"/>
    <w:rsid w:val="00976F27"/>
    <w:rsid w:val="00977889"/>
    <w:rsid w:val="0098305D"/>
    <w:rsid w:val="00994086"/>
    <w:rsid w:val="009B447C"/>
    <w:rsid w:val="009B5E68"/>
    <w:rsid w:val="009D62BA"/>
    <w:rsid w:val="009E51C4"/>
    <w:rsid w:val="009F52F0"/>
    <w:rsid w:val="00A07FE0"/>
    <w:rsid w:val="00A21078"/>
    <w:rsid w:val="00A34959"/>
    <w:rsid w:val="00A3654A"/>
    <w:rsid w:val="00A36F76"/>
    <w:rsid w:val="00A708AD"/>
    <w:rsid w:val="00A81F5B"/>
    <w:rsid w:val="00AA741E"/>
    <w:rsid w:val="00AD3470"/>
    <w:rsid w:val="00AD6AE4"/>
    <w:rsid w:val="00B021F0"/>
    <w:rsid w:val="00B05548"/>
    <w:rsid w:val="00B10912"/>
    <w:rsid w:val="00B37C12"/>
    <w:rsid w:val="00B40F88"/>
    <w:rsid w:val="00B46BCC"/>
    <w:rsid w:val="00B53B8D"/>
    <w:rsid w:val="00B64744"/>
    <w:rsid w:val="00B80DEB"/>
    <w:rsid w:val="00B903CC"/>
    <w:rsid w:val="00BA1EF1"/>
    <w:rsid w:val="00BC225C"/>
    <w:rsid w:val="00BC4C0D"/>
    <w:rsid w:val="00BD0697"/>
    <w:rsid w:val="00BE2B07"/>
    <w:rsid w:val="00BF3D3E"/>
    <w:rsid w:val="00C16DFA"/>
    <w:rsid w:val="00C2522B"/>
    <w:rsid w:val="00C378D4"/>
    <w:rsid w:val="00C900E1"/>
    <w:rsid w:val="00C96534"/>
    <w:rsid w:val="00CA2E89"/>
    <w:rsid w:val="00CA53BB"/>
    <w:rsid w:val="00CB7636"/>
    <w:rsid w:val="00CC02EB"/>
    <w:rsid w:val="00CD797D"/>
    <w:rsid w:val="00CE09C4"/>
    <w:rsid w:val="00D03DC1"/>
    <w:rsid w:val="00D05F7C"/>
    <w:rsid w:val="00D2584B"/>
    <w:rsid w:val="00D31877"/>
    <w:rsid w:val="00D32C99"/>
    <w:rsid w:val="00D5099E"/>
    <w:rsid w:val="00D5309A"/>
    <w:rsid w:val="00D6291C"/>
    <w:rsid w:val="00D736EC"/>
    <w:rsid w:val="00D74A36"/>
    <w:rsid w:val="00D90E9D"/>
    <w:rsid w:val="00DE5F99"/>
    <w:rsid w:val="00E007BF"/>
    <w:rsid w:val="00E0090D"/>
    <w:rsid w:val="00E22801"/>
    <w:rsid w:val="00E2501C"/>
    <w:rsid w:val="00E37A5D"/>
    <w:rsid w:val="00E53ABF"/>
    <w:rsid w:val="00E64EE0"/>
    <w:rsid w:val="00E71E7B"/>
    <w:rsid w:val="00EA5386"/>
    <w:rsid w:val="00EA585B"/>
    <w:rsid w:val="00EB6116"/>
    <w:rsid w:val="00EF5D02"/>
    <w:rsid w:val="00EF6269"/>
    <w:rsid w:val="00F07427"/>
    <w:rsid w:val="00F20AC6"/>
    <w:rsid w:val="00F36532"/>
    <w:rsid w:val="00F419E1"/>
    <w:rsid w:val="00F55F2D"/>
    <w:rsid w:val="00F76C1F"/>
    <w:rsid w:val="00F77372"/>
    <w:rsid w:val="00F90C01"/>
    <w:rsid w:val="00FA08CE"/>
    <w:rsid w:val="00FA16B1"/>
    <w:rsid w:val="00FB5C70"/>
    <w:rsid w:val="00FB7C3C"/>
    <w:rsid w:val="00FD0D6F"/>
    <w:rsid w:val="00FD1151"/>
    <w:rsid w:val="00FD4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C33E90"/>
  <w15:docId w15:val="{236A4FBB-290B-4B2B-BAC7-040F139B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uiPriority w:val="99"/>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aliases w:val="Carattere,Carattere Carattere Carattere Carattere,Testo nota a piè di pagina Carattere Carattere,Testo nota a piè di pagina Carattere Carattere Carattere Carattere,Testo nota a piè di pagina Carattere1 Carattere Carattere"/>
    <w:basedOn w:val="Normal"/>
    <w:link w:val="FootnoteTextChar"/>
    <w:uiPriority w:val="99"/>
    <w:qFormat/>
    <w:rsid w:val="00740F50"/>
    <w:pPr>
      <w:spacing w:after="0"/>
    </w:pPr>
    <w:rPr>
      <w:sz w:val="20"/>
    </w:rPr>
  </w:style>
  <w:style w:type="character" w:customStyle="1" w:styleId="FootnoteTextChar">
    <w:name w:val="Footnote Text Char"/>
    <w:aliases w:val="Carattere Char,Carattere Carattere Carattere Carattere Char,Testo nota a piè di pagina Carattere Carattere Char,Testo nota a piè di pagina Carattere Carattere Carattere Carattere Char"/>
    <w:basedOn w:val="DefaultParagraphFont"/>
    <w:link w:val="FootnoteText"/>
    <w:uiPriority w:val="99"/>
    <w:rsid w:val="00740F50"/>
    <w:rPr>
      <w:rFonts w:ascii="Calibri" w:hAnsi="Calibri"/>
      <w:sz w:val="20"/>
      <w:szCs w:val="20"/>
    </w:rPr>
  </w:style>
  <w:style w:type="character" w:styleId="FootnoteReference">
    <w:name w:val="footnote reference"/>
    <w:aliases w:val="Footnote Refernece,BVI fnr,callout,16 Point,Superscript 6 Point,Footnote Reference Superscript,Ref,de nota al pie,-E Fußnotenzeichen,number,SUPERS,EN Footnote Reference,-E Fuﬂnotenzeichen,-E Fuûnotenzeichen,Footnote number,F"/>
    <w:basedOn w:val="DefaultParagraphFont"/>
    <w:uiPriority w:val="99"/>
    <w:qFormat/>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character" w:styleId="Strong">
    <w:name w:val="Strong"/>
    <w:basedOn w:val="DefaultParagraphFont"/>
    <w:uiPriority w:val="22"/>
    <w:qFormat/>
    <w:rsid w:val="00B05548"/>
    <w:rPr>
      <w:b/>
      <w:bCs/>
    </w:rPr>
  </w:style>
  <w:style w:type="character" w:customStyle="1" w:styleId="tlid-translation">
    <w:name w:val="tlid-translation"/>
    <w:basedOn w:val="DefaultParagraphFont"/>
    <w:rsid w:val="00631F24"/>
  </w:style>
  <w:style w:type="paragraph" w:styleId="NoSpacing">
    <w:name w:val="No Spacing"/>
    <w:uiPriority w:val="1"/>
    <w:qFormat/>
    <w:rsid w:val="00631F24"/>
    <w:rPr>
      <w:rFonts w:asciiTheme="minorHAnsi" w:eastAsiaTheme="minorHAnsi" w:hAnsiTheme="minorHAnsi" w:cstheme="minorBidi"/>
      <w:sz w:val="22"/>
      <w:szCs w:val="22"/>
      <w:lang w:val="en-US" w:eastAsia="en-US"/>
    </w:rPr>
  </w:style>
  <w:style w:type="character" w:customStyle="1" w:styleId="st">
    <w:name w:val="st"/>
    <w:basedOn w:val="DefaultParagraphFont"/>
    <w:rsid w:val="00631F24"/>
  </w:style>
  <w:style w:type="character" w:customStyle="1" w:styleId="gt-baf-cell">
    <w:name w:val="gt-baf-cell"/>
    <w:basedOn w:val="DefaultParagraphFont"/>
    <w:rsid w:val="00782731"/>
  </w:style>
  <w:style w:type="character" w:styleId="UnresolvedMention">
    <w:name w:val="Unresolved Mention"/>
    <w:basedOn w:val="DefaultParagraphFont"/>
    <w:uiPriority w:val="99"/>
    <w:semiHidden/>
    <w:unhideWhenUsed/>
    <w:rsid w:val="00492065"/>
    <w:rPr>
      <w:color w:val="605E5C"/>
      <w:shd w:val="clear" w:color="auto" w:fill="E1DFDD"/>
    </w:rPr>
  </w:style>
  <w:style w:type="character" w:customStyle="1" w:styleId="text">
    <w:name w:val="text"/>
    <w:basedOn w:val="DefaultParagraphFont"/>
    <w:rsid w:val="00492065"/>
  </w:style>
  <w:style w:type="character" w:styleId="Emphasis">
    <w:name w:val="Emphasis"/>
    <w:basedOn w:val="DefaultParagraphFont"/>
    <w:uiPriority w:val="20"/>
    <w:qFormat/>
    <w:rsid w:val="00492065"/>
    <w:rPr>
      <w:i/>
      <w:iCs/>
    </w:rPr>
  </w:style>
  <w:style w:type="paragraph" w:customStyle="1" w:styleId="DPBullet">
    <w:name w:val="DPBullet"/>
    <w:basedOn w:val="Normal"/>
    <w:uiPriority w:val="6"/>
    <w:qFormat/>
    <w:rsid w:val="008609CB"/>
    <w:pPr>
      <w:numPr>
        <w:numId w:val="40"/>
      </w:numPr>
      <w:spacing w:after="120" w:line="264" w:lineRule="auto"/>
      <w:contextualSpacing/>
      <w:jc w:val="left"/>
    </w:pPr>
    <w:rPr>
      <w:rFonts w:ascii="Garamond" w:eastAsiaTheme="minorHAnsi" w:hAnsi="Garamond"/>
      <w:lang w:eastAsia="en-US"/>
    </w:rPr>
  </w:style>
  <w:style w:type="paragraph" w:customStyle="1" w:styleId="DPBullet1">
    <w:name w:val="DPBullet1"/>
    <w:basedOn w:val="Normal"/>
    <w:uiPriority w:val="6"/>
    <w:rsid w:val="008609CB"/>
    <w:pPr>
      <w:numPr>
        <w:ilvl w:val="1"/>
        <w:numId w:val="40"/>
      </w:numPr>
      <w:spacing w:after="120" w:line="264" w:lineRule="auto"/>
      <w:contextualSpacing/>
      <w:jc w:val="left"/>
    </w:pPr>
    <w:rPr>
      <w:rFonts w:ascii="Garamond" w:eastAsiaTheme="minorHAnsi" w:hAnsi="Garamond"/>
      <w:lang w:eastAsia="en-US"/>
    </w:rPr>
  </w:style>
  <w:style w:type="paragraph" w:customStyle="1" w:styleId="DPBullet2">
    <w:name w:val="DPBullet2"/>
    <w:basedOn w:val="Normal"/>
    <w:uiPriority w:val="6"/>
    <w:rsid w:val="008609CB"/>
    <w:pPr>
      <w:numPr>
        <w:ilvl w:val="2"/>
        <w:numId w:val="40"/>
      </w:numPr>
      <w:spacing w:after="120" w:line="264" w:lineRule="auto"/>
      <w:contextualSpacing/>
      <w:jc w:val="left"/>
    </w:pPr>
    <w:rPr>
      <w:rFonts w:ascii="Garamond" w:eastAsiaTheme="minorHAnsi" w:hAnsi="Garamond"/>
      <w:lang w:eastAsia="en-US"/>
    </w:rPr>
  </w:style>
  <w:style w:type="paragraph" w:customStyle="1" w:styleId="DPHead2">
    <w:name w:val="DPHead2"/>
    <w:basedOn w:val="Normal"/>
    <w:next w:val="DPBodytxt"/>
    <w:uiPriority w:val="2"/>
    <w:qFormat/>
    <w:rsid w:val="008609CB"/>
    <w:pPr>
      <w:spacing w:after="60"/>
      <w:jc w:val="left"/>
      <w:outlineLvl w:val="2"/>
    </w:pPr>
    <w:rPr>
      <w:rFonts w:ascii="Arial" w:eastAsiaTheme="minorHAnsi" w:hAnsi="Arial" w:cs="Arial"/>
      <w:color w:val="4BACC6" w:themeColor="accent5"/>
      <w:sz w:val="24"/>
      <w:szCs w:val="24"/>
      <w:lang w:eastAsia="en-US"/>
    </w:rPr>
  </w:style>
  <w:style w:type="paragraph" w:customStyle="1" w:styleId="DPOpeningPara">
    <w:name w:val="DPOpeningPara"/>
    <w:basedOn w:val="Normal"/>
    <w:next w:val="DPBodytxt"/>
    <w:uiPriority w:val="5"/>
    <w:qFormat/>
    <w:rsid w:val="008609CB"/>
    <w:pPr>
      <w:spacing w:after="120" w:line="264" w:lineRule="auto"/>
      <w:jc w:val="left"/>
    </w:pPr>
    <w:rPr>
      <w:rFonts w:ascii="Garamond" w:eastAsiaTheme="minorHAnsi" w:hAnsi="Garamond" w:cs="Arial"/>
      <w:sz w:val="30"/>
      <w:lang w:eastAsia="en-US"/>
    </w:rPr>
  </w:style>
  <w:style w:type="paragraph" w:customStyle="1" w:styleId="DPBodytxt">
    <w:name w:val="DPBodytxt"/>
    <w:basedOn w:val="Normal"/>
    <w:uiPriority w:val="6"/>
    <w:qFormat/>
    <w:rsid w:val="008609CB"/>
    <w:pPr>
      <w:spacing w:after="120" w:line="264" w:lineRule="auto"/>
      <w:jc w:val="left"/>
    </w:pPr>
    <w:rPr>
      <w:rFonts w:ascii="Arial" w:eastAsiaTheme="minorHAnsi" w:hAnsi="Arial"/>
      <w:lang w:eastAsia="en-US"/>
    </w:rPr>
  </w:style>
  <w:style w:type="paragraph" w:customStyle="1" w:styleId="Bullet">
    <w:name w:val="Bullet"/>
    <w:basedOn w:val="DPBullet"/>
    <w:rsid w:val="008609CB"/>
    <w:pPr>
      <w:jc w:val="both"/>
    </w:pPr>
    <w:rPr>
      <w:rFonts w:ascii="Arial" w:hAnsi="Arial"/>
    </w:rPr>
  </w:style>
  <w:style w:type="character" w:customStyle="1" w:styleId="jlqj4b">
    <w:name w:val="jlqj4b"/>
    <w:basedOn w:val="DefaultParagraphFont"/>
    <w:rsid w:val="00D90E9D"/>
  </w:style>
  <w:style w:type="character" w:customStyle="1" w:styleId="hps">
    <w:name w:val="hps"/>
    <w:basedOn w:val="DefaultParagraphFont"/>
    <w:rsid w:val="00D90E9D"/>
  </w:style>
  <w:style w:type="character" w:customStyle="1" w:styleId="hgkelc">
    <w:name w:val="hgkelc"/>
    <w:basedOn w:val="DefaultParagraphFont"/>
    <w:rsid w:val="00D90E9D"/>
  </w:style>
  <w:style w:type="character" w:customStyle="1" w:styleId="Nmerodepgina1">
    <w:name w:val="Número de página1"/>
    <w:rsid w:val="00D90E9D"/>
    <w:rPr>
      <w:lang w:val="en-US"/>
    </w:rPr>
  </w:style>
  <w:style w:type="character" w:customStyle="1" w:styleId="FootnoteTextChar1">
    <w:name w:val="Footnote Text Char1"/>
    <w:uiPriority w:val="99"/>
    <w:rsid w:val="009224B4"/>
    <w:rPr>
      <w:rFonts w:ascii="Times New Roman" w:hAnsi="Times New Roman"/>
      <w:sz w:val="16"/>
    </w:rPr>
  </w:style>
  <w:style w:type="character" w:styleId="FollowedHyperlink">
    <w:name w:val="FollowedHyperlink"/>
    <w:basedOn w:val="DefaultParagraphFont"/>
    <w:semiHidden/>
    <w:unhideWhenUsed/>
    <w:rsid w:val="002F54CA"/>
    <w:rPr>
      <w:color w:val="800080" w:themeColor="followedHyperlink"/>
      <w:u w:val="single"/>
    </w:rPr>
  </w:style>
  <w:style w:type="character" w:styleId="SubtleEmphasis">
    <w:name w:val="Subtle Emphasis"/>
    <w:basedOn w:val="DefaultParagraphFont"/>
    <w:uiPriority w:val="19"/>
    <w:qFormat/>
    <w:rsid w:val="0016531A"/>
    <w:rPr>
      <w:rFonts w:ascii="Arial" w:hAnsi="Arial"/>
      <w:b/>
      <w:i/>
      <w:iCs/>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178665220">
      <w:bodyDiv w:val="1"/>
      <w:marLeft w:val="0"/>
      <w:marRight w:val="0"/>
      <w:marTop w:val="0"/>
      <w:marBottom w:val="0"/>
      <w:divBdr>
        <w:top w:val="none" w:sz="0" w:space="0" w:color="auto"/>
        <w:left w:val="none" w:sz="0" w:space="0" w:color="auto"/>
        <w:bottom w:val="none" w:sz="0" w:space="0" w:color="auto"/>
        <w:right w:val="none" w:sz="0" w:space="0" w:color="auto"/>
      </w:divBdr>
    </w:div>
    <w:div w:id="1851983977">
      <w:bodyDiv w:val="1"/>
      <w:marLeft w:val="0"/>
      <w:marRight w:val="0"/>
      <w:marTop w:val="0"/>
      <w:marBottom w:val="0"/>
      <w:divBdr>
        <w:top w:val="none" w:sz="0" w:space="0" w:color="auto"/>
        <w:left w:val="none" w:sz="0" w:space="0" w:color="auto"/>
        <w:bottom w:val="none" w:sz="0" w:space="0" w:color="auto"/>
        <w:right w:val="none" w:sz="0" w:space="0" w:color="auto"/>
      </w:divBdr>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law/better-regulation/have-your-say/initiatives/12592-Insolvency-laws-increasing-convergence-of-national-laws-to-encourage-cross-border-investment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058C5-F18C-4648-9382-4F38F400B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6</Pages>
  <Words>2201</Words>
  <Characters>12176</Characters>
  <Application>Microsoft Office Word</Application>
  <DocSecurity>0</DocSecurity>
  <PresentationFormat/>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14349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Newson</cp:lastModifiedBy>
  <cp:revision>15</cp:revision>
  <cp:lastPrinted>2017-11-20T20:14:00Z</cp:lastPrinted>
  <dcterms:created xsi:type="dcterms:W3CDTF">2021-05-25T19:44:00Z</dcterms:created>
  <dcterms:modified xsi:type="dcterms:W3CDTF">2024-10-22T13:06:00Z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