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2A3D" w14:textId="77777777" w:rsidR="005D783E" w:rsidRPr="00AA5888" w:rsidRDefault="005D783E" w:rsidP="00AA741E">
      <w:pPr>
        <w:spacing w:after="0"/>
        <w:rPr>
          <w:rFonts w:ascii="Times New Roman" w:hAnsi="Times New Roman"/>
          <w:sz w:val="24"/>
          <w:szCs w:val="24"/>
        </w:rPr>
      </w:pPr>
    </w:p>
    <w:p w14:paraId="44A10E9D" w14:textId="77777777" w:rsidR="00D847D8" w:rsidRPr="00AA5888" w:rsidRDefault="00D847D8" w:rsidP="00D847D8">
      <w:pPr>
        <w:spacing w:after="0"/>
        <w:contextualSpacing/>
        <w:jc w:val="center"/>
        <w:rPr>
          <w:rFonts w:ascii="Times New Roman" w:hAnsi="Times New Roman"/>
          <w:b/>
          <w:sz w:val="24"/>
          <w:szCs w:val="24"/>
        </w:rPr>
      </w:pPr>
      <w:r w:rsidRPr="00AA5888">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AA5888" w:rsidRDefault="00617533" w:rsidP="00AA741E">
      <w:pPr>
        <w:spacing w:after="0"/>
        <w:jc w:val="center"/>
        <w:rPr>
          <w:rFonts w:ascii="Times New Roman" w:hAnsi="Times New Roman"/>
          <w:b/>
          <w:sz w:val="24"/>
          <w:szCs w:val="24"/>
        </w:rPr>
      </w:pPr>
    </w:p>
    <w:p w14:paraId="545E44B6" w14:textId="24E6C1B3" w:rsidR="00617533" w:rsidRPr="00AA5888" w:rsidRDefault="00617533" w:rsidP="00AA741E">
      <w:pPr>
        <w:spacing w:after="0"/>
        <w:jc w:val="center"/>
        <w:rPr>
          <w:rFonts w:ascii="Times New Roman" w:hAnsi="Times New Roman"/>
          <w:b/>
          <w:sz w:val="36"/>
          <w:szCs w:val="36"/>
        </w:rPr>
      </w:pPr>
      <w:r w:rsidRPr="00AA5888">
        <w:rPr>
          <w:rFonts w:ascii="Times New Roman" w:hAnsi="Times New Roman"/>
          <w:b/>
          <w:sz w:val="36"/>
          <w:szCs w:val="36"/>
        </w:rPr>
        <w:t xml:space="preserve">Inside Story – </w:t>
      </w:r>
      <w:r w:rsidR="000A146B">
        <w:rPr>
          <w:rFonts w:ascii="Times New Roman" w:hAnsi="Times New Roman"/>
          <w:b/>
          <w:sz w:val="36"/>
          <w:szCs w:val="36"/>
        </w:rPr>
        <w:t>Nov</w:t>
      </w:r>
      <w:r w:rsidR="005D2A1D" w:rsidRPr="00AA5888">
        <w:rPr>
          <w:rFonts w:ascii="Times New Roman" w:hAnsi="Times New Roman"/>
          <w:b/>
          <w:sz w:val="36"/>
          <w:szCs w:val="36"/>
        </w:rPr>
        <w:t>ember</w:t>
      </w:r>
      <w:r w:rsidRPr="00AA5888">
        <w:rPr>
          <w:rFonts w:ascii="Times New Roman" w:hAnsi="Times New Roman"/>
          <w:b/>
          <w:sz w:val="36"/>
          <w:szCs w:val="36"/>
        </w:rPr>
        <w:t xml:space="preserve"> 20</w:t>
      </w:r>
      <w:r w:rsidR="00C50AF8" w:rsidRPr="00AA5888">
        <w:rPr>
          <w:rFonts w:ascii="Times New Roman" w:hAnsi="Times New Roman"/>
          <w:b/>
          <w:sz w:val="36"/>
          <w:szCs w:val="36"/>
        </w:rPr>
        <w:t>2</w:t>
      </w:r>
      <w:r w:rsidR="000A146B">
        <w:rPr>
          <w:rFonts w:ascii="Times New Roman" w:hAnsi="Times New Roman"/>
          <w:b/>
          <w:sz w:val="36"/>
          <w:szCs w:val="36"/>
        </w:rPr>
        <w:t>4</w:t>
      </w:r>
    </w:p>
    <w:p w14:paraId="3F7EEBFB" w14:textId="77777777" w:rsidR="00617533" w:rsidRPr="00AA5888" w:rsidRDefault="00617533" w:rsidP="00AA741E">
      <w:pPr>
        <w:spacing w:after="0"/>
        <w:jc w:val="center"/>
        <w:rPr>
          <w:rFonts w:ascii="Times New Roman" w:hAnsi="Times New Roman"/>
          <w:b/>
          <w:sz w:val="24"/>
          <w:szCs w:val="24"/>
        </w:rPr>
      </w:pPr>
    </w:p>
    <w:p w14:paraId="79B2F271" w14:textId="4240C218" w:rsidR="00865CA7" w:rsidRPr="00AA5888" w:rsidRDefault="000A146B" w:rsidP="00865CA7">
      <w:pPr>
        <w:spacing w:after="0"/>
        <w:jc w:val="center"/>
        <w:rPr>
          <w:rFonts w:ascii="Times New Roman" w:hAnsi="Times New Roman"/>
          <w:b/>
          <w:sz w:val="28"/>
          <w:szCs w:val="28"/>
        </w:rPr>
      </w:pPr>
      <w:r>
        <w:rPr>
          <w:rFonts w:ascii="Times New Roman" w:hAnsi="Times New Roman"/>
          <w:b/>
          <w:bCs/>
          <w:sz w:val="28"/>
          <w:szCs w:val="28"/>
          <w:lang w:eastAsia="en-US"/>
        </w:rPr>
        <w:t>Saving the Business through Share Deals: The Use of Asset Transfers under Hungarian Law</w:t>
      </w:r>
    </w:p>
    <w:p w14:paraId="032FD235" w14:textId="053B7A2A" w:rsidR="005D783E" w:rsidRPr="00AA5888" w:rsidRDefault="005D783E" w:rsidP="00AA741E">
      <w:pPr>
        <w:spacing w:after="0"/>
        <w:jc w:val="center"/>
        <w:rPr>
          <w:rFonts w:ascii="Times New Roman" w:hAnsi="Times New Roman"/>
          <w:b/>
          <w:sz w:val="24"/>
          <w:szCs w:val="24"/>
        </w:rPr>
      </w:pPr>
    </w:p>
    <w:p w14:paraId="0B9464FF" w14:textId="6ECF643F" w:rsidR="002A635A" w:rsidRPr="000A146B" w:rsidRDefault="000A146B" w:rsidP="000A146B">
      <w:pPr>
        <w:pStyle w:val="PlainText"/>
        <w:jc w:val="center"/>
        <w:rPr>
          <w:rFonts w:ascii="Times New Roman" w:hAnsi="Times New Roman"/>
          <w:bCs/>
          <w:i/>
          <w:iCs/>
          <w:sz w:val="24"/>
          <w:szCs w:val="24"/>
        </w:rPr>
      </w:pPr>
      <w:r w:rsidRPr="000A146B">
        <w:rPr>
          <w:rFonts w:ascii="Times New Roman" w:hAnsi="Times New Roman"/>
          <w:i/>
          <w:iCs/>
          <w:sz w:val="24"/>
          <w:szCs w:val="24"/>
          <w:lang w:val="en-GB"/>
        </w:rPr>
        <w:t>Marcell Valasty</w:t>
      </w:r>
      <w:r w:rsidRPr="000A146B">
        <w:rPr>
          <w:rFonts w:ascii="Times New Roman" w:hAnsi="Times New Roman"/>
          <w:bCs/>
          <w:i/>
          <w:iCs/>
          <w:sz w:val="24"/>
          <w:szCs w:val="24"/>
        </w:rPr>
        <w:t>á</w:t>
      </w:r>
      <w:r w:rsidRPr="000A146B">
        <w:rPr>
          <w:rFonts w:ascii="Times New Roman" w:hAnsi="Times New Roman"/>
          <w:bCs/>
          <w:i/>
          <w:iCs/>
          <w:sz w:val="24"/>
          <w:szCs w:val="24"/>
        </w:rPr>
        <w:t>n</w:t>
      </w:r>
      <w:r w:rsidR="00D976DE" w:rsidRPr="000A146B">
        <w:rPr>
          <w:rFonts w:ascii="Times New Roman" w:hAnsi="Times New Roman"/>
          <w:i/>
          <w:iCs/>
          <w:sz w:val="24"/>
          <w:szCs w:val="24"/>
          <w:lang w:val="en-GB"/>
        </w:rPr>
        <w:t xml:space="preserve">, </w:t>
      </w:r>
      <w:r>
        <w:rPr>
          <w:rFonts w:ascii="Times New Roman" w:hAnsi="Times New Roman"/>
          <w:i/>
          <w:iCs/>
          <w:sz w:val="24"/>
          <w:szCs w:val="24"/>
          <w:lang w:val="en-GB"/>
        </w:rPr>
        <w:t>Junior Associate</w:t>
      </w:r>
      <w:r w:rsidR="00D976DE" w:rsidRPr="000A146B">
        <w:rPr>
          <w:rFonts w:ascii="Times New Roman" w:hAnsi="Times New Roman"/>
          <w:i/>
          <w:iCs/>
          <w:sz w:val="24"/>
          <w:szCs w:val="24"/>
          <w:lang w:val="en-GB"/>
        </w:rPr>
        <w:t>, DLA Piper, Hungary &lt;</w:t>
      </w:r>
      <w:r>
        <w:rPr>
          <w:rFonts w:ascii="Times New Roman" w:hAnsi="Times New Roman"/>
          <w:i/>
          <w:iCs/>
          <w:sz w:val="24"/>
          <w:szCs w:val="24"/>
          <w:lang w:val="en-GB"/>
        </w:rPr>
        <w:t>marcell</w:t>
      </w:r>
      <w:r w:rsidR="00D976DE" w:rsidRPr="000A146B">
        <w:rPr>
          <w:rFonts w:ascii="Times New Roman" w:hAnsi="Times New Roman"/>
          <w:i/>
          <w:iCs/>
          <w:sz w:val="24"/>
          <w:szCs w:val="24"/>
          <w:lang w:val="en-GB"/>
        </w:rPr>
        <w:t>.</w:t>
      </w:r>
      <w:r>
        <w:rPr>
          <w:rFonts w:ascii="Times New Roman" w:hAnsi="Times New Roman"/>
          <w:i/>
          <w:iCs/>
          <w:sz w:val="24"/>
          <w:szCs w:val="24"/>
          <w:lang w:val="en-GB"/>
        </w:rPr>
        <w:t>valastyan</w:t>
      </w:r>
      <w:r w:rsidR="00D976DE" w:rsidRPr="000A146B">
        <w:rPr>
          <w:rFonts w:ascii="Times New Roman" w:hAnsi="Times New Roman"/>
          <w:i/>
          <w:iCs/>
          <w:sz w:val="24"/>
          <w:szCs w:val="24"/>
          <w:lang w:val="en-GB"/>
        </w:rPr>
        <w:t xml:space="preserve">@dlapiper.com&gt;; </w:t>
      </w:r>
    </w:p>
    <w:p w14:paraId="4C0F3661" w14:textId="77777777" w:rsidR="00617533" w:rsidRPr="000A146B" w:rsidRDefault="00617533" w:rsidP="00C54799">
      <w:pPr>
        <w:spacing w:after="0"/>
        <w:jc w:val="center"/>
        <w:rPr>
          <w:rFonts w:ascii="Times New Roman" w:hAnsi="Times New Roman"/>
          <w:b/>
          <w:sz w:val="24"/>
          <w:szCs w:val="24"/>
        </w:rPr>
      </w:pPr>
    </w:p>
    <w:p w14:paraId="6DE3035C" w14:textId="68FDE813" w:rsidR="00C54799" w:rsidRPr="000A146B" w:rsidRDefault="00C54799" w:rsidP="00865CA7">
      <w:pPr>
        <w:pStyle w:val="Body"/>
        <w:jc w:val="both"/>
        <w:rPr>
          <w:rFonts w:cs="Times New Roman"/>
          <w:b/>
          <w:bCs/>
          <w:color w:val="auto"/>
          <w:sz w:val="24"/>
          <w:szCs w:val="24"/>
          <w:lang w:val="en-GB"/>
        </w:rPr>
      </w:pPr>
      <w:r w:rsidRPr="000A146B">
        <w:rPr>
          <w:rFonts w:cs="Times New Roman"/>
          <w:bCs/>
          <w:i/>
          <w:color w:val="auto"/>
          <w:sz w:val="24"/>
          <w:szCs w:val="24"/>
          <w:lang w:val="en-GB"/>
        </w:rPr>
        <w:t>Introduction</w:t>
      </w:r>
    </w:p>
    <w:p w14:paraId="25054542" w14:textId="058EA757" w:rsidR="00560963" w:rsidRPr="000A146B" w:rsidRDefault="00560963" w:rsidP="00D976DE">
      <w:pPr>
        <w:spacing w:after="0"/>
        <w:rPr>
          <w:rFonts w:ascii="Times New Roman" w:hAnsi="Times New Roman"/>
          <w:sz w:val="24"/>
          <w:szCs w:val="24"/>
        </w:rPr>
      </w:pPr>
    </w:p>
    <w:p w14:paraId="0C629E6A" w14:textId="3E458DD8" w:rsid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Hungarian lawmakers have frequently sought to implement legislative solutions to save the economic activities of businesses in financial difficulty.</w:t>
      </w:r>
      <w:r w:rsidR="001D3B09">
        <w:rPr>
          <w:rFonts w:ascii="Times New Roman" w:hAnsi="Times New Roman"/>
          <w:sz w:val="24"/>
          <w:szCs w:val="24"/>
          <w:lang w:val="en-US"/>
        </w:rPr>
        <w:t xml:space="preserve"> </w:t>
      </w:r>
      <w:r w:rsidRPr="000A146B">
        <w:rPr>
          <w:rFonts w:ascii="Times New Roman" w:hAnsi="Times New Roman"/>
          <w:sz w:val="24"/>
          <w:szCs w:val="24"/>
          <w:lang w:val="en-US"/>
        </w:rPr>
        <w:t>In recent years, three notable regulatory changes have been implemented in order to save such businesses:</w:t>
      </w:r>
    </w:p>
    <w:p w14:paraId="7950249C" w14:textId="77777777" w:rsidR="000A146B" w:rsidRDefault="000A146B" w:rsidP="000A146B">
      <w:pPr>
        <w:spacing w:after="0"/>
        <w:rPr>
          <w:rFonts w:ascii="Times New Roman" w:hAnsi="Times New Roman"/>
          <w:sz w:val="24"/>
          <w:szCs w:val="24"/>
          <w:lang w:val="en-US"/>
        </w:rPr>
      </w:pPr>
    </w:p>
    <w:p w14:paraId="3D19D80F" w14:textId="1921FB4A" w:rsidR="000A146B" w:rsidRPr="000A146B" w:rsidRDefault="000A146B" w:rsidP="000A146B">
      <w:pPr>
        <w:pStyle w:val="ListParagraph"/>
        <w:numPr>
          <w:ilvl w:val="0"/>
          <w:numId w:val="33"/>
        </w:numPr>
        <w:spacing w:after="0"/>
        <w:jc w:val="both"/>
        <w:rPr>
          <w:rFonts w:ascii="Times New Roman" w:hAnsi="Times New Roman"/>
          <w:sz w:val="24"/>
          <w:szCs w:val="24"/>
          <w:lang w:val="en-US"/>
        </w:rPr>
      </w:pPr>
      <w:r w:rsidRPr="000A146B">
        <w:rPr>
          <w:rFonts w:ascii="Times New Roman" w:hAnsi="Times New Roman"/>
          <w:sz w:val="24"/>
          <w:szCs w:val="24"/>
          <w:lang w:val="en-US"/>
        </w:rPr>
        <w:t>disconnection pursuant to Act XCIX of 2021 on transitional rules related to emergency situations (</w:t>
      </w:r>
      <w:r w:rsidR="001D3B09">
        <w:rPr>
          <w:rFonts w:ascii="Times New Roman" w:hAnsi="Times New Roman"/>
          <w:sz w:val="24"/>
          <w:szCs w:val="24"/>
          <w:lang w:val="en-US"/>
        </w:rPr>
        <w:t>“</w:t>
      </w:r>
      <w:r w:rsidRPr="000A146B">
        <w:rPr>
          <w:rFonts w:ascii="Times New Roman" w:hAnsi="Times New Roman"/>
          <w:b/>
          <w:bCs/>
          <w:sz w:val="24"/>
          <w:szCs w:val="24"/>
          <w:lang w:val="en-US"/>
        </w:rPr>
        <w:t>disconnection</w:t>
      </w:r>
      <w:r w:rsidR="001D3B09">
        <w:rPr>
          <w:rFonts w:ascii="Times New Roman" w:hAnsi="Times New Roman"/>
          <w:sz w:val="24"/>
          <w:szCs w:val="24"/>
          <w:lang w:val="en-US"/>
        </w:rPr>
        <w:t>”</w:t>
      </w:r>
      <w:r w:rsidRPr="000A146B">
        <w:rPr>
          <w:rFonts w:ascii="Times New Roman" w:hAnsi="Times New Roman"/>
          <w:sz w:val="24"/>
          <w:szCs w:val="24"/>
          <w:lang w:val="en-US"/>
        </w:rPr>
        <w:t xml:space="preserve">; in Hungarian: </w:t>
      </w:r>
      <w:r w:rsidR="001D3B09">
        <w:rPr>
          <w:rFonts w:ascii="Times New Roman" w:hAnsi="Times New Roman"/>
          <w:sz w:val="24"/>
          <w:szCs w:val="24"/>
          <w:lang w:val="en-US"/>
        </w:rPr>
        <w:t>“</w:t>
      </w:r>
      <w:r w:rsidRPr="000A146B">
        <w:rPr>
          <w:rFonts w:ascii="Times New Roman" w:hAnsi="Times New Roman"/>
          <w:i/>
          <w:iCs/>
          <w:sz w:val="24"/>
          <w:szCs w:val="24"/>
          <w:lang w:val="en-US"/>
        </w:rPr>
        <w:t>leválasztás</w:t>
      </w:r>
      <w:r w:rsidR="001D3B09">
        <w:rPr>
          <w:rFonts w:ascii="Times New Roman" w:hAnsi="Times New Roman"/>
          <w:sz w:val="24"/>
          <w:szCs w:val="24"/>
          <w:lang w:val="en-US"/>
        </w:rPr>
        <w:t>”</w:t>
      </w:r>
      <w:r w:rsidRPr="000A146B">
        <w:rPr>
          <w:rFonts w:ascii="Times New Roman" w:hAnsi="Times New Roman"/>
          <w:sz w:val="24"/>
          <w:szCs w:val="24"/>
          <w:lang w:val="en-US"/>
        </w:rPr>
        <w:t xml:space="preserve">); </w:t>
      </w:r>
    </w:p>
    <w:p w14:paraId="7DD82FD4" w14:textId="78DDDC35" w:rsidR="000A146B" w:rsidRDefault="000A146B" w:rsidP="000A146B">
      <w:pPr>
        <w:pStyle w:val="ListParagraph"/>
        <w:numPr>
          <w:ilvl w:val="0"/>
          <w:numId w:val="33"/>
        </w:numPr>
        <w:spacing w:after="0"/>
        <w:jc w:val="both"/>
        <w:rPr>
          <w:rFonts w:ascii="Times New Roman" w:hAnsi="Times New Roman"/>
          <w:sz w:val="24"/>
          <w:szCs w:val="24"/>
          <w:lang w:val="en-US"/>
        </w:rPr>
      </w:pPr>
      <w:r w:rsidRPr="000A146B">
        <w:rPr>
          <w:rFonts w:ascii="Times New Roman" w:hAnsi="Times New Roman"/>
          <w:sz w:val="24"/>
          <w:szCs w:val="24"/>
          <w:lang w:val="en-US"/>
        </w:rPr>
        <w:t>establishment for the purpose of sale pursuant to Government Decree 129 of 2023 (IV. 17.) on emergency rules of sale in order to continue the economic activity of the debtor in the course of winding-up proceedings (</w:t>
      </w:r>
      <w:r w:rsidR="001D3B09">
        <w:rPr>
          <w:rFonts w:ascii="Times New Roman" w:hAnsi="Times New Roman"/>
          <w:sz w:val="24"/>
          <w:szCs w:val="24"/>
          <w:lang w:val="en-US"/>
        </w:rPr>
        <w:t>“</w:t>
      </w:r>
      <w:r w:rsidRPr="000A146B">
        <w:rPr>
          <w:rFonts w:ascii="Times New Roman" w:hAnsi="Times New Roman"/>
          <w:b/>
          <w:bCs/>
          <w:sz w:val="24"/>
          <w:szCs w:val="24"/>
          <w:lang w:val="en-US"/>
        </w:rPr>
        <w:t>establishment for the purpose of sale</w:t>
      </w:r>
      <w:r w:rsidR="001D3B09">
        <w:rPr>
          <w:rFonts w:ascii="Times New Roman" w:hAnsi="Times New Roman"/>
          <w:sz w:val="24"/>
          <w:szCs w:val="24"/>
          <w:lang w:val="en-US"/>
        </w:rPr>
        <w:t>”</w:t>
      </w:r>
      <w:r w:rsidRPr="000A146B">
        <w:rPr>
          <w:rFonts w:ascii="Times New Roman" w:hAnsi="Times New Roman"/>
          <w:sz w:val="24"/>
          <w:szCs w:val="24"/>
          <w:lang w:val="en-US"/>
        </w:rPr>
        <w:t xml:space="preserve">; in Hungarian: </w:t>
      </w:r>
      <w:r w:rsidR="001D3B09">
        <w:rPr>
          <w:rFonts w:ascii="Times New Roman" w:hAnsi="Times New Roman"/>
          <w:sz w:val="24"/>
          <w:szCs w:val="24"/>
          <w:lang w:val="en-US"/>
        </w:rPr>
        <w:t>“</w:t>
      </w:r>
      <w:r w:rsidRPr="000A146B">
        <w:rPr>
          <w:rFonts w:ascii="Times New Roman" w:hAnsi="Times New Roman"/>
          <w:i/>
          <w:iCs/>
          <w:sz w:val="24"/>
          <w:szCs w:val="24"/>
          <w:lang w:val="en-US"/>
        </w:rPr>
        <w:t>alapításos értékesítés</w:t>
      </w:r>
      <w:r w:rsidR="001D3B09">
        <w:rPr>
          <w:rFonts w:ascii="Times New Roman" w:hAnsi="Times New Roman"/>
          <w:sz w:val="24"/>
          <w:szCs w:val="24"/>
          <w:lang w:val="en-US"/>
        </w:rPr>
        <w:t>”</w:t>
      </w:r>
      <w:r w:rsidRPr="000A146B">
        <w:rPr>
          <w:rFonts w:ascii="Times New Roman" w:hAnsi="Times New Roman"/>
          <w:sz w:val="24"/>
          <w:szCs w:val="24"/>
          <w:lang w:val="en-US"/>
        </w:rPr>
        <w:t xml:space="preserve">); and </w:t>
      </w:r>
    </w:p>
    <w:p w14:paraId="6D8684B3" w14:textId="15E06251" w:rsidR="000A146B" w:rsidRPr="000A146B" w:rsidRDefault="000A146B" w:rsidP="000A146B">
      <w:pPr>
        <w:pStyle w:val="ListParagraph"/>
        <w:numPr>
          <w:ilvl w:val="0"/>
          <w:numId w:val="33"/>
        </w:numPr>
        <w:spacing w:after="0"/>
        <w:jc w:val="both"/>
        <w:rPr>
          <w:rFonts w:ascii="Times New Roman" w:hAnsi="Times New Roman"/>
          <w:sz w:val="24"/>
          <w:szCs w:val="24"/>
          <w:lang w:val="en-US"/>
        </w:rPr>
      </w:pPr>
      <w:r w:rsidRPr="000A146B">
        <w:rPr>
          <w:rFonts w:ascii="Times New Roman" w:hAnsi="Times New Roman"/>
          <w:sz w:val="24"/>
          <w:szCs w:val="24"/>
          <w:lang w:val="en-US"/>
        </w:rPr>
        <w:t>spin-off pursuant to Act V of 2013 on the Civil Code (</w:t>
      </w:r>
      <w:r w:rsidR="001D3B09">
        <w:rPr>
          <w:rFonts w:ascii="Times New Roman" w:hAnsi="Times New Roman"/>
          <w:sz w:val="24"/>
          <w:szCs w:val="24"/>
          <w:lang w:val="en-US"/>
        </w:rPr>
        <w:t>“</w:t>
      </w:r>
      <w:r w:rsidRPr="000A146B">
        <w:rPr>
          <w:rFonts w:ascii="Times New Roman" w:hAnsi="Times New Roman"/>
          <w:b/>
          <w:bCs/>
          <w:sz w:val="24"/>
          <w:szCs w:val="24"/>
          <w:lang w:val="en-US"/>
        </w:rPr>
        <w:t>spin-off</w:t>
      </w:r>
      <w:r w:rsidR="001D3B09">
        <w:rPr>
          <w:rFonts w:ascii="Times New Roman" w:hAnsi="Times New Roman"/>
          <w:sz w:val="24"/>
          <w:szCs w:val="24"/>
          <w:lang w:val="en-US"/>
        </w:rPr>
        <w:t>”</w:t>
      </w:r>
      <w:r w:rsidRPr="000A146B">
        <w:rPr>
          <w:rFonts w:ascii="Times New Roman" w:hAnsi="Times New Roman"/>
          <w:sz w:val="24"/>
          <w:szCs w:val="24"/>
          <w:lang w:val="en-US"/>
        </w:rPr>
        <w:t xml:space="preserve">; in Hungarian: </w:t>
      </w:r>
      <w:r w:rsidR="001D3B09">
        <w:rPr>
          <w:rFonts w:ascii="Times New Roman" w:hAnsi="Times New Roman"/>
          <w:sz w:val="24"/>
          <w:szCs w:val="24"/>
          <w:lang w:val="en-US"/>
        </w:rPr>
        <w:t>“</w:t>
      </w:r>
      <w:r w:rsidRPr="000A146B">
        <w:rPr>
          <w:rFonts w:ascii="Times New Roman" w:hAnsi="Times New Roman"/>
          <w:i/>
          <w:iCs/>
          <w:sz w:val="24"/>
          <w:szCs w:val="24"/>
          <w:lang w:val="en-US"/>
        </w:rPr>
        <w:t>leválás</w:t>
      </w:r>
      <w:r w:rsidR="001D3B09">
        <w:rPr>
          <w:rFonts w:ascii="Times New Roman" w:hAnsi="Times New Roman"/>
          <w:sz w:val="24"/>
          <w:szCs w:val="24"/>
          <w:lang w:val="en-US"/>
        </w:rPr>
        <w:t>”</w:t>
      </w:r>
      <w:r w:rsidRPr="000A146B">
        <w:rPr>
          <w:rFonts w:ascii="Times New Roman" w:hAnsi="Times New Roman"/>
          <w:sz w:val="24"/>
          <w:szCs w:val="24"/>
          <w:lang w:val="en-US"/>
        </w:rPr>
        <w:t>).</w:t>
      </w:r>
    </w:p>
    <w:p w14:paraId="4E8334F5" w14:textId="77777777" w:rsidR="000A146B" w:rsidRDefault="000A146B" w:rsidP="000A146B">
      <w:pPr>
        <w:spacing w:after="0"/>
        <w:rPr>
          <w:rFonts w:ascii="Times New Roman" w:hAnsi="Times New Roman"/>
          <w:sz w:val="24"/>
          <w:szCs w:val="24"/>
          <w:lang w:val="en-US"/>
        </w:rPr>
      </w:pPr>
    </w:p>
    <w:p w14:paraId="5C9DB2FF" w14:textId="2ACBA316" w:rsid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abovementioned three regulatory changes provide different aspects of the transfer of the debtors</w:t>
      </w:r>
      <w:r w:rsidR="001D3B09">
        <w:rPr>
          <w:rFonts w:ascii="Times New Roman" w:hAnsi="Times New Roman"/>
          <w:sz w:val="24"/>
          <w:szCs w:val="24"/>
          <w:lang w:val="en-US"/>
        </w:rPr>
        <w:t>’</w:t>
      </w:r>
      <w:r w:rsidRPr="000A146B">
        <w:rPr>
          <w:rFonts w:ascii="Times New Roman" w:hAnsi="Times New Roman"/>
          <w:sz w:val="24"/>
          <w:szCs w:val="24"/>
          <w:lang w:val="en-US"/>
        </w:rPr>
        <w:t xml:space="preserve"> assets in the form of share deals. In this </w:t>
      </w:r>
      <w:r w:rsidR="001D3B09">
        <w:rPr>
          <w:rFonts w:ascii="Times New Roman" w:hAnsi="Times New Roman"/>
          <w:sz w:val="24"/>
          <w:szCs w:val="24"/>
          <w:lang w:val="en-US"/>
        </w:rPr>
        <w:t>Inside Story</w:t>
      </w:r>
      <w:r w:rsidRPr="000A146B">
        <w:rPr>
          <w:rFonts w:ascii="Times New Roman" w:hAnsi="Times New Roman"/>
          <w:sz w:val="24"/>
          <w:szCs w:val="24"/>
          <w:lang w:val="en-US"/>
        </w:rPr>
        <w:t xml:space="preserve">, </w:t>
      </w:r>
      <w:r w:rsidR="001D3B09">
        <w:rPr>
          <w:rFonts w:ascii="Times New Roman" w:hAnsi="Times New Roman"/>
          <w:sz w:val="24"/>
          <w:szCs w:val="24"/>
          <w:lang w:val="en-US"/>
        </w:rPr>
        <w:t xml:space="preserve">a </w:t>
      </w:r>
      <w:r w:rsidRPr="000A146B">
        <w:rPr>
          <w:rFonts w:ascii="Times New Roman" w:hAnsi="Times New Roman"/>
          <w:sz w:val="24"/>
          <w:szCs w:val="24"/>
          <w:lang w:val="en-US"/>
        </w:rPr>
        <w:t>brief analy</w:t>
      </w:r>
      <w:r w:rsidR="001D3B09">
        <w:rPr>
          <w:rFonts w:ascii="Times New Roman" w:hAnsi="Times New Roman"/>
          <w:sz w:val="24"/>
          <w:szCs w:val="24"/>
          <w:lang w:val="en-US"/>
        </w:rPr>
        <w:t xml:space="preserve">sis is provided of </w:t>
      </w:r>
      <w:r w:rsidR="003771FB">
        <w:rPr>
          <w:rFonts w:ascii="Times New Roman" w:hAnsi="Times New Roman"/>
          <w:sz w:val="24"/>
          <w:szCs w:val="24"/>
          <w:lang w:val="en-US"/>
        </w:rPr>
        <w:t>the</w:t>
      </w:r>
      <w:r w:rsidR="003771FB" w:rsidRPr="000A146B">
        <w:rPr>
          <w:rFonts w:ascii="Times New Roman" w:hAnsi="Times New Roman"/>
          <w:sz w:val="24"/>
          <w:szCs w:val="24"/>
          <w:lang w:val="en-US"/>
        </w:rPr>
        <w:t>se</w:t>
      </w:r>
      <w:r w:rsidRPr="000A146B">
        <w:rPr>
          <w:rFonts w:ascii="Times New Roman" w:hAnsi="Times New Roman"/>
          <w:sz w:val="24"/>
          <w:szCs w:val="24"/>
          <w:lang w:val="en-US"/>
        </w:rPr>
        <w:t xml:space="preserve"> three regulatory changes and their connection with each other.</w:t>
      </w:r>
    </w:p>
    <w:p w14:paraId="28D0734B" w14:textId="77777777" w:rsidR="000A146B" w:rsidRPr="000A146B" w:rsidRDefault="000A146B" w:rsidP="000A146B">
      <w:pPr>
        <w:spacing w:after="0"/>
        <w:rPr>
          <w:rFonts w:ascii="Times New Roman" w:hAnsi="Times New Roman"/>
          <w:sz w:val="24"/>
          <w:szCs w:val="24"/>
          <w:lang w:val="en-US"/>
        </w:rPr>
      </w:pPr>
    </w:p>
    <w:p w14:paraId="28E8D71A" w14:textId="77777777" w:rsidR="000A146B" w:rsidRPr="000A146B" w:rsidRDefault="000A146B" w:rsidP="000A146B">
      <w:pPr>
        <w:spacing w:after="0"/>
        <w:rPr>
          <w:rFonts w:ascii="Times New Roman" w:hAnsi="Times New Roman"/>
          <w:b/>
          <w:bCs/>
          <w:sz w:val="24"/>
          <w:szCs w:val="24"/>
          <w:lang w:val="en-US"/>
        </w:rPr>
      </w:pPr>
      <w:r w:rsidRPr="000A146B">
        <w:rPr>
          <w:rFonts w:ascii="Times New Roman" w:hAnsi="Times New Roman"/>
          <w:i/>
          <w:iCs/>
          <w:sz w:val="24"/>
          <w:szCs w:val="24"/>
          <w:lang w:val="en-US"/>
        </w:rPr>
        <w:t>Disconnection</w:t>
      </w:r>
    </w:p>
    <w:p w14:paraId="70F0CC2B" w14:textId="77777777" w:rsidR="000A146B" w:rsidRDefault="000A146B" w:rsidP="000A146B">
      <w:pPr>
        <w:spacing w:after="0"/>
        <w:rPr>
          <w:rFonts w:ascii="Times New Roman" w:hAnsi="Times New Roman"/>
          <w:sz w:val="24"/>
          <w:szCs w:val="24"/>
          <w:lang w:val="en-US"/>
        </w:rPr>
      </w:pPr>
    </w:p>
    <w:p w14:paraId="7023FB8A" w14:textId="77777777" w:rsidR="001D3B09"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first regulatory change concerns disconnection. This legal institution was introduced into Hungarian law in 2021. Disconnection means that a company is being created by the separation of the debtor subject to winding-up proceedings, with the debtor preserving its legal entity, but a part of its assets is transferred to the successor company created by the separation.</w:t>
      </w:r>
    </w:p>
    <w:p w14:paraId="58263913" w14:textId="77777777" w:rsidR="001D3B09" w:rsidRDefault="001D3B09" w:rsidP="000A146B">
      <w:pPr>
        <w:spacing w:after="0"/>
        <w:rPr>
          <w:rFonts w:ascii="Times New Roman" w:hAnsi="Times New Roman"/>
          <w:sz w:val="24"/>
          <w:szCs w:val="24"/>
          <w:lang w:val="en-US"/>
        </w:rPr>
      </w:pPr>
    </w:p>
    <w:p w14:paraId="0790BA98" w14:textId="3087E422" w:rsid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The assets of the debtor – that are capable of continuing economic activities and are capable of being sold as an independently functioning unit – will be operated by the liquidator in winding-up proceedings of high strategic importance, by means of the company created by the separation </w:t>
      </w:r>
      <w:r w:rsidRPr="000A146B">
        <w:rPr>
          <w:rFonts w:ascii="Times New Roman" w:hAnsi="Times New Roman"/>
          <w:sz w:val="24"/>
          <w:szCs w:val="24"/>
          <w:lang w:val="en-US"/>
        </w:rPr>
        <w:lastRenderedPageBreak/>
        <w:t>of the debtor.</w:t>
      </w:r>
      <w:r w:rsidRPr="000A146B">
        <w:rPr>
          <w:rStyle w:val="FootnoteReference"/>
          <w:rFonts w:ascii="Times New Roman" w:hAnsi="Times New Roman"/>
          <w:sz w:val="24"/>
          <w:szCs w:val="24"/>
          <w:lang w:val="en-US"/>
        </w:rPr>
        <w:footnoteReference w:id="1"/>
      </w:r>
      <w:r w:rsidRPr="000A146B">
        <w:rPr>
          <w:rFonts w:ascii="Times New Roman" w:hAnsi="Times New Roman"/>
          <w:sz w:val="24"/>
          <w:szCs w:val="24"/>
          <w:lang w:val="en-US"/>
        </w:rPr>
        <w:t xml:space="preserve"> Disconnection is, therefore, </w:t>
      </w:r>
      <w:r w:rsidR="001D3B09">
        <w:rPr>
          <w:rFonts w:ascii="Times New Roman" w:hAnsi="Times New Roman"/>
          <w:sz w:val="24"/>
          <w:szCs w:val="24"/>
          <w:lang w:val="en-US"/>
        </w:rPr>
        <w:t xml:space="preserve">a </w:t>
      </w:r>
      <w:r w:rsidRPr="000A146B">
        <w:rPr>
          <w:rFonts w:ascii="Times New Roman" w:hAnsi="Times New Roman"/>
          <w:sz w:val="24"/>
          <w:szCs w:val="24"/>
          <w:lang w:val="en-US"/>
        </w:rPr>
        <w:t xml:space="preserve">technique of identifying a well-defined set of assets of value, capable of functioning independently, and their </w:t>
      </w:r>
      <w:r w:rsidR="001D3B09">
        <w:rPr>
          <w:rFonts w:ascii="Times New Roman" w:hAnsi="Times New Roman"/>
          <w:sz w:val="24"/>
          <w:szCs w:val="24"/>
          <w:lang w:val="en-US"/>
        </w:rPr>
        <w:t>“</w:t>
      </w:r>
      <w:r w:rsidRPr="000A146B">
        <w:rPr>
          <w:rFonts w:ascii="Times New Roman" w:hAnsi="Times New Roman"/>
          <w:sz w:val="24"/>
          <w:szCs w:val="24"/>
          <w:lang w:val="en-US"/>
        </w:rPr>
        <w:t>bailing out</w:t>
      </w:r>
      <w:r w:rsidR="001D3B09">
        <w:rPr>
          <w:rFonts w:ascii="Times New Roman" w:hAnsi="Times New Roman"/>
          <w:sz w:val="24"/>
          <w:szCs w:val="24"/>
          <w:lang w:val="en-US"/>
        </w:rPr>
        <w:t>”</w:t>
      </w:r>
      <w:r w:rsidRPr="000A146B">
        <w:rPr>
          <w:rFonts w:ascii="Times New Roman" w:hAnsi="Times New Roman"/>
          <w:sz w:val="24"/>
          <w:szCs w:val="24"/>
          <w:lang w:val="en-US"/>
        </w:rPr>
        <w:t xml:space="preserve"> into a new successor company, and then selling the shares in that company and using the proceeds to satisfy the claims of the creditors of the predecessor.</w:t>
      </w:r>
      <w:r w:rsidRPr="000A146B">
        <w:rPr>
          <w:rStyle w:val="FootnoteReference"/>
          <w:rFonts w:ascii="Times New Roman" w:hAnsi="Times New Roman"/>
          <w:sz w:val="24"/>
          <w:szCs w:val="24"/>
          <w:lang w:val="en-US"/>
        </w:rPr>
        <w:footnoteReference w:id="2"/>
      </w:r>
    </w:p>
    <w:p w14:paraId="25544E6C" w14:textId="77777777" w:rsidR="001D3B09" w:rsidRPr="000A146B" w:rsidRDefault="001D3B09" w:rsidP="000A146B">
      <w:pPr>
        <w:spacing w:after="0"/>
        <w:rPr>
          <w:rFonts w:ascii="Times New Roman" w:hAnsi="Times New Roman"/>
          <w:sz w:val="24"/>
          <w:szCs w:val="24"/>
          <w:lang w:val="en-US"/>
        </w:rPr>
      </w:pPr>
    </w:p>
    <w:p w14:paraId="56530AE5" w14:textId="0D2401AB"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sole member (shareholder) of the company created by the separation of the debtor is the debtor.</w:t>
      </w:r>
      <w:r w:rsidRPr="000A146B">
        <w:rPr>
          <w:rStyle w:val="FootnoteReference"/>
          <w:rFonts w:ascii="Times New Roman" w:hAnsi="Times New Roman"/>
          <w:sz w:val="24"/>
          <w:szCs w:val="24"/>
          <w:lang w:val="en-US"/>
        </w:rPr>
        <w:footnoteReference w:id="3"/>
      </w:r>
      <w:r w:rsidRPr="000A146B">
        <w:rPr>
          <w:rFonts w:ascii="Times New Roman" w:hAnsi="Times New Roman"/>
          <w:sz w:val="24"/>
          <w:szCs w:val="24"/>
          <w:lang w:val="en-US"/>
        </w:rPr>
        <w:t xml:space="preserve"> The company created by the separation may take the legal form of a limited liability company or a private company limited by shares.</w:t>
      </w:r>
      <w:r w:rsidRPr="000A146B">
        <w:rPr>
          <w:rStyle w:val="FootnoteReference"/>
          <w:rFonts w:ascii="Times New Roman" w:hAnsi="Times New Roman"/>
          <w:sz w:val="24"/>
          <w:szCs w:val="24"/>
          <w:lang w:val="en-US"/>
        </w:rPr>
        <w:footnoteReference w:id="4"/>
      </w:r>
      <w:r w:rsidRPr="000A146B">
        <w:rPr>
          <w:rFonts w:ascii="Times New Roman" w:hAnsi="Times New Roman"/>
          <w:sz w:val="24"/>
          <w:szCs w:val="24"/>
          <w:lang w:val="en-US"/>
        </w:rPr>
        <w:t xml:space="preserve"> The company created by the separation is established solely by the provision of </w:t>
      </w:r>
      <w:r w:rsidR="001D3B09">
        <w:rPr>
          <w:rFonts w:ascii="Times New Roman" w:hAnsi="Times New Roman"/>
          <w:sz w:val="24"/>
          <w:szCs w:val="24"/>
          <w:lang w:val="en-US"/>
        </w:rPr>
        <w:t xml:space="preserve">a </w:t>
      </w:r>
      <w:r w:rsidRPr="000A146B">
        <w:rPr>
          <w:rFonts w:ascii="Times New Roman" w:hAnsi="Times New Roman"/>
          <w:sz w:val="24"/>
          <w:szCs w:val="24"/>
          <w:lang w:val="en-US"/>
        </w:rPr>
        <w:t>non-monetary contribution.</w:t>
      </w:r>
      <w:r w:rsidRPr="000A146B">
        <w:rPr>
          <w:rStyle w:val="FootnoteReference"/>
          <w:rFonts w:ascii="Times New Roman" w:hAnsi="Times New Roman"/>
          <w:sz w:val="24"/>
          <w:szCs w:val="24"/>
          <w:lang w:val="en-US"/>
        </w:rPr>
        <w:footnoteReference w:id="5"/>
      </w:r>
      <w:r w:rsidRPr="000A146B">
        <w:rPr>
          <w:rFonts w:ascii="Times New Roman" w:hAnsi="Times New Roman"/>
          <w:sz w:val="24"/>
          <w:szCs w:val="24"/>
          <w:lang w:val="en-US"/>
        </w:rPr>
        <w:t xml:space="preserve"> The liquidator is the representative of the debtor in proceedings relating to the registration of the separation in the company register. The non-monetary contribution shall be provided to the company by the liquidator on behalf of the debtor until the application for the registration is submitted to the court.</w:t>
      </w:r>
      <w:r w:rsidRPr="000A146B">
        <w:rPr>
          <w:rStyle w:val="FootnoteReference"/>
          <w:rFonts w:ascii="Times New Roman" w:hAnsi="Times New Roman"/>
          <w:sz w:val="24"/>
          <w:szCs w:val="24"/>
          <w:lang w:val="en-US"/>
        </w:rPr>
        <w:footnoteReference w:id="6"/>
      </w:r>
      <w:r w:rsidRPr="000A146B">
        <w:rPr>
          <w:rFonts w:ascii="Times New Roman" w:hAnsi="Times New Roman"/>
          <w:sz w:val="24"/>
          <w:szCs w:val="24"/>
          <w:lang w:val="en-US"/>
        </w:rPr>
        <w:t xml:space="preserve"> The costs incurred by the debtor in connection with the establishment and operation of the company are charged by the liquidator as liquidation costs.</w:t>
      </w:r>
      <w:r w:rsidRPr="000A146B">
        <w:rPr>
          <w:rStyle w:val="FootnoteReference"/>
          <w:rFonts w:ascii="Times New Roman" w:hAnsi="Times New Roman"/>
          <w:sz w:val="24"/>
          <w:szCs w:val="24"/>
          <w:lang w:val="en-US"/>
        </w:rPr>
        <w:footnoteReference w:id="7"/>
      </w:r>
    </w:p>
    <w:p w14:paraId="7FAB50BF" w14:textId="77777777" w:rsidR="001D3B09" w:rsidRDefault="001D3B09" w:rsidP="000A146B">
      <w:pPr>
        <w:spacing w:after="0"/>
        <w:rPr>
          <w:rFonts w:ascii="Times New Roman" w:hAnsi="Times New Roman"/>
          <w:sz w:val="24"/>
          <w:szCs w:val="24"/>
          <w:lang w:val="en-US"/>
        </w:rPr>
      </w:pPr>
    </w:p>
    <w:p w14:paraId="4AD5DD70" w14:textId="2FDFA610" w:rsidR="000A146B" w:rsidRPr="000A146B" w:rsidRDefault="001D3B09" w:rsidP="000A146B">
      <w:pPr>
        <w:spacing w:after="0"/>
        <w:rPr>
          <w:rFonts w:ascii="Times New Roman" w:hAnsi="Times New Roman"/>
          <w:sz w:val="24"/>
          <w:szCs w:val="24"/>
          <w:lang w:val="en-US"/>
        </w:rPr>
      </w:pPr>
      <w:r>
        <w:rPr>
          <w:rFonts w:ascii="Times New Roman" w:hAnsi="Times New Roman"/>
          <w:sz w:val="24"/>
          <w:szCs w:val="24"/>
          <w:lang w:val="en-US"/>
        </w:rPr>
        <w:t>I</w:t>
      </w:r>
      <w:r w:rsidR="000A146B" w:rsidRPr="000A146B">
        <w:rPr>
          <w:rFonts w:ascii="Times New Roman" w:hAnsi="Times New Roman"/>
          <w:sz w:val="24"/>
          <w:szCs w:val="24"/>
          <w:lang w:val="en-US"/>
        </w:rPr>
        <w:t>n the plan of separation</w:t>
      </w:r>
      <w:r>
        <w:rPr>
          <w:rFonts w:ascii="Times New Roman" w:hAnsi="Times New Roman"/>
          <w:sz w:val="24"/>
          <w:szCs w:val="24"/>
          <w:lang w:val="en-US"/>
        </w:rPr>
        <w:t>, t</w:t>
      </w:r>
      <w:r w:rsidRPr="000A146B">
        <w:rPr>
          <w:rFonts w:ascii="Times New Roman" w:hAnsi="Times New Roman"/>
          <w:sz w:val="24"/>
          <w:szCs w:val="24"/>
          <w:lang w:val="en-US"/>
        </w:rPr>
        <w:t>he liquidator determines</w:t>
      </w:r>
      <w:r w:rsidR="000A146B" w:rsidRPr="000A146B">
        <w:rPr>
          <w:rFonts w:ascii="Times New Roman" w:hAnsi="Times New Roman"/>
          <w:sz w:val="24"/>
          <w:szCs w:val="24"/>
          <w:lang w:val="en-US"/>
        </w:rPr>
        <w:t xml:space="preserve"> the movable and immovable assets and rights of pecuniary value that ensure the continued operation of the economic activity and segregates such assets for the purpose of separation.</w:t>
      </w:r>
      <w:r w:rsidR="000A146B" w:rsidRPr="000A146B">
        <w:rPr>
          <w:rStyle w:val="FootnoteReference"/>
          <w:rFonts w:ascii="Times New Roman" w:hAnsi="Times New Roman"/>
          <w:sz w:val="24"/>
          <w:szCs w:val="24"/>
          <w:lang w:val="en-US"/>
        </w:rPr>
        <w:footnoteReference w:id="8"/>
      </w:r>
      <w:r w:rsidR="000A146B" w:rsidRPr="000A146B">
        <w:rPr>
          <w:rFonts w:ascii="Times New Roman" w:hAnsi="Times New Roman"/>
          <w:sz w:val="24"/>
          <w:szCs w:val="24"/>
          <w:lang w:val="en-US"/>
        </w:rPr>
        <w:t xml:space="preserve"> In other words, the liquidator identifies the assets of the debtor that will be used later as </w:t>
      </w:r>
      <w:r>
        <w:rPr>
          <w:rFonts w:ascii="Times New Roman" w:hAnsi="Times New Roman"/>
          <w:sz w:val="24"/>
          <w:szCs w:val="24"/>
          <w:lang w:val="en-US"/>
        </w:rPr>
        <w:t xml:space="preserve">a </w:t>
      </w:r>
      <w:r w:rsidR="000A146B" w:rsidRPr="000A146B">
        <w:rPr>
          <w:rFonts w:ascii="Times New Roman" w:hAnsi="Times New Roman"/>
          <w:sz w:val="24"/>
          <w:szCs w:val="24"/>
          <w:lang w:val="en-US"/>
        </w:rPr>
        <w:t>non-monetary contribution into the company created by separation. In determining the value of the non-monetary contribution, the assets shall be taken into account at book value.</w:t>
      </w:r>
      <w:r w:rsidR="000A146B" w:rsidRPr="000A146B">
        <w:rPr>
          <w:rStyle w:val="FootnoteReference"/>
          <w:rFonts w:ascii="Times New Roman" w:hAnsi="Times New Roman"/>
          <w:sz w:val="24"/>
          <w:szCs w:val="24"/>
          <w:lang w:val="en-US"/>
        </w:rPr>
        <w:footnoteReference w:id="9"/>
      </w:r>
    </w:p>
    <w:p w14:paraId="0F9EB7E6" w14:textId="77777777" w:rsidR="001D3B09" w:rsidRDefault="001D3B09" w:rsidP="000A146B">
      <w:pPr>
        <w:spacing w:after="0"/>
        <w:rPr>
          <w:rFonts w:ascii="Times New Roman" w:hAnsi="Times New Roman"/>
          <w:sz w:val="24"/>
          <w:szCs w:val="24"/>
          <w:lang w:val="en-US"/>
        </w:rPr>
      </w:pPr>
    </w:p>
    <w:p w14:paraId="099D0142" w14:textId="17BC4766"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Another notable feature of disconnection is the powers of creditors over the procedure. Despite the fact that disconnection does not require the approval of the creditors</w:t>
      </w:r>
      <w:r w:rsidR="001D3B09">
        <w:rPr>
          <w:rFonts w:ascii="Times New Roman" w:hAnsi="Times New Roman"/>
          <w:sz w:val="24"/>
          <w:szCs w:val="24"/>
          <w:lang w:val="en-US"/>
        </w:rPr>
        <w:t>’</w:t>
      </w:r>
      <w:r w:rsidRPr="000A146B">
        <w:rPr>
          <w:rFonts w:ascii="Times New Roman" w:hAnsi="Times New Roman"/>
          <w:sz w:val="24"/>
          <w:szCs w:val="24"/>
          <w:lang w:val="en-US"/>
        </w:rPr>
        <w:t xml:space="preserve"> assembly,</w:t>
      </w:r>
      <w:r w:rsidRPr="000A146B">
        <w:rPr>
          <w:rStyle w:val="FootnoteReference"/>
          <w:rFonts w:ascii="Times New Roman" w:hAnsi="Times New Roman"/>
          <w:sz w:val="24"/>
          <w:szCs w:val="24"/>
          <w:lang w:val="en-US"/>
        </w:rPr>
        <w:footnoteReference w:id="10"/>
      </w:r>
      <w:r w:rsidRPr="000A146B">
        <w:rPr>
          <w:rFonts w:ascii="Times New Roman" w:hAnsi="Times New Roman"/>
          <w:sz w:val="24"/>
          <w:szCs w:val="24"/>
          <w:lang w:val="en-US"/>
        </w:rPr>
        <w:t xml:space="preserve"> the disconnection is subject to the written notification and approval of certain qualified creditors.</w:t>
      </w:r>
      <w:r w:rsidRPr="000A146B">
        <w:rPr>
          <w:rStyle w:val="FootnoteReference"/>
          <w:rFonts w:ascii="Times New Roman" w:hAnsi="Times New Roman"/>
          <w:sz w:val="24"/>
          <w:szCs w:val="24"/>
          <w:lang w:val="en-US"/>
        </w:rPr>
        <w:footnoteReference w:id="11"/>
      </w:r>
      <w:r w:rsidRPr="000A146B">
        <w:rPr>
          <w:rFonts w:ascii="Times New Roman" w:hAnsi="Times New Roman"/>
          <w:sz w:val="24"/>
          <w:szCs w:val="24"/>
          <w:lang w:val="en-US"/>
        </w:rPr>
        <w:t xml:space="preserve"> The company created by the separation may only take out a loan or </w:t>
      </w:r>
      <w:r w:rsidR="001D3B09">
        <w:rPr>
          <w:rFonts w:ascii="Times New Roman" w:hAnsi="Times New Roman"/>
          <w:sz w:val="24"/>
          <w:szCs w:val="24"/>
          <w:lang w:val="en-US"/>
        </w:rPr>
        <w:t xml:space="preserve">obtain </w:t>
      </w:r>
      <w:r w:rsidRPr="000A146B">
        <w:rPr>
          <w:rFonts w:ascii="Times New Roman" w:hAnsi="Times New Roman"/>
          <w:sz w:val="24"/>
          <w:szCs w:val="24"/>
          <w:lang w:val="en-US"/>
        </w:rPr>
        <w:t>credit after the prior approval of certain qualified creditors.</w:t>
      </w:r>
      <w:r w:rsidRPr="000A146B">
        <w:rPr>
          <w:rStyle w:val="FootnoteReference"/>
          <w:rFonts w:ascii="Times New Roman" w:hAnsi="Times New Roman"/>
          <w:sz w:val="24"/>
          <w:szCs w:val="24"/>
          <w:lang w:val="en-US"/>
        </w:rPr>
        <w:footnoteReference w:id="12"/>
      </w:r>
      <w:r w:rsidRPr="000A146B">
        <w:rPr>
          <w:rFonts w:ascii="Times New Roman" w:hAnsi="Times New Roman"/>
          <w:sz w:val="24"/>
          <w:szCs w:val="24"/>
          <w:lang w:val="en-US"/>
        </w:rPr>
        <w:t xml:space="preserve"> The liquidator shall report quarterly in writing on the economic activity of the company created by the separation to certain qualified creditors prior to its sale.</w:t>
      </w:r>
      <w:r w:rsidRPr="000A146B">
        <w:rPr>
          <w:rStyle w:val="FootnoteReference"/>
          <w:rFonts w:ascii="Times New Roman" w:hAnsi="Times New Roman"/>
          <w:sz w:val="24"/>
          <w:szCs w:val="24"/>
          <w:lang w:val="en-US"/>
        </w:rPr>
        <w:footnoteReference w:id="13"/>
      </w:r>
      <w:r w:rsidRPr="000A146B">
        <w:rPr>
          <w:rFonts w:ascii="Times New Roman" w:hAnsi="Times New Roman"/>
          <w:sz w:val="24"/>
          <w:szCs w:val="24"/>
          <w:lang w:val="en-US"/>
        </w:rPr>
        <w:t xml:space="preserve"> When the debtor sells its share in the company created by the separation, the minimum price may not be lower than as approved by the abovementioned creditors.</w:t>
      </w:r>
      <w:r w:rsidRPr="000A146B">
        <w:rPr>
          <w:rStyle w:val="FootnoteReference"/>
          <w:rFonts w:ascii="Times New Roman" w:hAnsi="Times New Roman"/>
          <w:sz w:val="24"/>
          <w:szCs w:val="24"/>
          <w:lang w:val="en-US"/>
        </w:rPr>
        <w:footnoteReference w:id="14"/>
      </w:r>
    </w:p>
    <w:p w14:paraId="1523E74B" w14:textId="77777777" w:rsidR="001D3B09" w:rsidRDefault="001D3B09" w:rsidP="000A146B">
      <w:pPr>
        <w:spacing w:after="0"/>
        <w:rPr>
          <w:rFonts w:ascii="Times New Roman" w:hAnsi="Times New Roman"/>
          <w:sz w:val="24"/>
          <w:szCs w:val="24"/>
          <w:lang w:val="en-US"/>
        </w:rPr>
      </w:pPr>
    </w:p>
    <w:p w14:paraId="67460635" w14:textId="740C40EE"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When selling the debtor</w:t>
      </w:r>
      <w:r w:rsidR="001D3B09">
        <w:rPr>
          <w:rFonts w:ascii="Times New Roman" w:hAnsi="Times New Roman"/>
          <w:sz w:val="24"/>
          <w:szCs w:val="24"/>
          <w:lang w:val="en-US"/>
        </w:rPr>
        <w:t>’</w:t>
      </w:r>
      <w:r w:rsidRPr="000A146B">
        <w:rPr>
          <w:rFonts w:ascii="Times New Roman" w:hAnsi="Times New Roman"/>
          <w:sz w:val="24"/>
          <w:szCs w:val="24"/>
          <w:lang w:val="en-US"/>
        </w:rPr>
        <w:t>s shares in the company created by the separation, the liquidator shall obtain the opinion of an independent expert to determine the current market value of the shares.</w:t>
      </w:r>
      <w:r w:rsidRPr="000A146B">
        <w:rPr>
          <w:rStyle w:val="FootnoteReference"/>
          <w:rFonts w:ascii="Times New Roman" w:hAnsi="Times New Roman"/>
          <w:sz w:val="24"/>
          <w:szCs w:val="24"/>
          <w:lang w:val="en-US"/>
        </w:rPr>
        <w:footnoteReference w:id="15"/>
      </w:r>
      <w:r w:rsidRPr="000A146B">
        <w:rPr>
          <w:rFonts w:ascii="Times New Roman" w:hAnsi="Times New Roman"/>
          <w:sz w:val="24"/>
          <w:szCs w:val="24"/>
          <w:lang w:val="en-US"/>
        </w:rPr>
        <w:t xml:space="preserve"> Within 365 days of the registration of the separation, the liquidator sells the debtor</w:t>
      </w:r>
      <w:r w:rsidR="001D3B09">
        <w:rPr>
          <w:rFonts w:ascii="Times New Roman" w:hAnsi="Times New Roman"/>
          <w:sz w:val="24"/>
          <w:szCs w:val="24"/>
          <w:lang w:val="en-US"/>
        </w:rPr>
        <w:t>’</w:t>
      </w:r>
      <w:r w:rsidRPr="000A146B">
        <w:rPr>
          <w:rFonts w:ascii="Times New Roman" w:hAnsi="Times New Roman"/>
          <w:sz w:val="24"/>
          <w:szCs w:val="24"/>
          <w:lang w:val="en-US"/>
        </w:rPr>
        <w:t>s shares in the company created by the separation.</w:t>
      </w:r>
      <w:r w:rsidRPr="000A146B">
        <w:rPr>
          <w:rStyle w:val="FootnoteReference"/>
          <w:rFonts w:ascii="Times New Roman" w:hAnsi="Times New Roman"/>
          <w:sz w:val="24"/>
          <w:szCs w:val="24"/>
          <w:lang w:val="en-US"/>
        </w:rPr>
        <w:footnoteReference w:id="16"/>
      </w:r>
    </w:p>
    <w:p w14:paraId="77C27102" w14:textId="77777777" w:rsidR="001D3B09" w:rsidRDefault="001D3B09" w:rsidP="000A146B">
      <w:pPr>
        <w:spacing w:after="0"/>
        <w:rPr>
          <w:rFonts w:ascii="Times New Roman" w:hAnsi="Times New Roman"/>
          <w:sz w:val="24"/>
          <w:szCs w:val="24"/>
          <w:lang w:val="en-US"/>
        </w:rPr>
      </w:pPr>
    </w:p>
    <w:p w14:paraId="0469192B" w14:textId="1D6CF367"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Finally, it is worth noting that the legal institution of disconnection may appear not only in winding-up proceedings of high strategic importance, but also in the so-called public reorganization proceedings.</w:t>
      </w:r>
      <w:r w:rsidRPr="000A146B">
        <w:rPr>
          <w:rStyle w:val="FootnoteReference"/>
          <w:rFonts w:ascii="Times New Roman" w:hAnsi="Times New Roman"/>
          <w:sz w:val="24"/>
          <w:szCs w:val="24"/>
          <w:lang w:val="en-US"/>
        </w:rPr>
        <w:footnoteReference w:id="17"/>
      </w:r>
    </w:p>
    <w:p w14:paraId="223F9F0B" w14:textId="77777777" w:rsidR="001D3B09" w:rsidRDefault="001D3B09" w:rsidP="001D3B09">
      <w:pPr>
        <w:spacing w:after="0"/>
        <w:rPr>
          <w:rFonts w:ascii="Times New Roman" w:hAnsi="Times New Roman"/>
          <w:b/>
          <w:bCs/>
          <w:sz w:val="24"/>
          <w:szCs w:val="24"/>
          <w:lang w:val="en-US"/>
        </w:rPr>
      </w:pPr>
    </w:p>
    <w:p w14:paraId="4EF7280A" w14:textId="29A4252C" w:rsidR="000A146B" w:rsidRPr="001D3B09" w:rsidRDefault="000A146B" w:rsidP="001D3B09">
      <w:pPr>
        <w:spacing w:after="0"/>
        <w:rPr>
          <w:rFonts w:ascii="Times New Roman" w:hAnsi="Times New Roman"/>
          <w:i/>
          <w:iCs/>
          <w:sz w:val="24"/>
          <w:szCs w:val="24"/>
          <w:lang w:val="en-US"/>
        </w:rPr>
      </w:pPr>
      <w:r w:rsidRPr="001D3B09">
        <w:rPr>
          <w:rFonts w:ascii="Times New Roman" w:hAnsi="Times New Roman"/>
          <w:i/>
          <w:iCs/>
          <w:sz w:val="24"/>
          <w:szCs w:val="24"/>
          <w:lang w:val="en-US"/>
        </w:rPr>
        <w:t xml:space="preserve">Establishment for the </w:t>
      </w:r>
      <w:r w:rsidR="001D3B09" w:rsidRPr="001D3B09">
        <w:rPr>
          <w:rFonts w:ascii="Times New Roman" w:hAnsi="Times New Roman"/>
          <w:i/>
          <w:iCs/>
          <w:sz w:val="24"/>
          <w:szCs w:val="24"/>
          <w:lang w:val="en-US"/>
        </w:rPr>
        <w:t>P</w:t>
      </w:r>
      <w:r w:rsidRPr="001D3B09">
        <w:rPr>
          <w:rFonts w:ascii="Times New Roman" w:hAnsi="Times New Roman"/>
          <w:i/>
          <w:iCs/>
          <w:sz w:val="24"/>
          <w:szCs w:val="24"/>
          <w:lang w:val="en-US"/>
        </w:rPr>
        <w:t xml:space="preserve">urpose of </w:t>
      </w:r>
      <w:r w:rsidR="001D3B09" w:rsidRPr="001D3B09">
        <w:rPr>
          <w:rFonts w:ascii="Times New Roman" w:hAnsi="Times New Roman"/>
          <w:i/>
          <w:iCs/>
          <w:sz w:val="24"/>
          <w:szCs w:val="24"/>
          <w:lang w:val="en-US"/>
        </w:rPr>
        <w:t>S</w:t>
      </w:r>
      <w:r w:rsidRPr="001D3B09">
        <w:rPr>
          <w:rFonts w:ascii="Times New Roman" w:hAnsi="Times New Roman"/>
          <w:i/>
          <w:iCs/>
          <w:sz w:val="24"/>
          <w:szCs w:val="24"/>
          <w:lang w:val="en-US"/>
        </w:rPr>
        <w:t>ale</w:t>
      </w:r>
    </w:p>
    <w:p w14:paraId="4DEFE473" w14:textId="77777777" w:rsidR="001D3B09" w:rsidRDefault="001D3B09" w:rsidP="000A146B">
      <w:pPr>
        <w:spacing w:after="0"/>
        <w:rPr>
          <w:rFonts w:ascii="Times New Roman" w:hAnsi="Times New Roman"/>
          <w:sz w:val="24"/>
          <w:szCs w:val="24"/>
          <w:lang w:val="en-US"/>
        </w:rPr>
      </w:pPr>
    </w:p>
    <w:p w14:paraId="7D18716B" w14:textId="77777777" w:rsidR="001D3B09"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second regulatory change concerns establishment for the purpose of sale. The government decree which constituted this form of transferring the debtor</w:t>
      </w:r>
      <w:r w:rsidR="001D3B09">
        <w:rPr>
          <w:rFonts w:ascii="Times New Roman" w:hAnsi="Times New Roman"/>
          <w:sz w:val="24"/>
          <w:szCs w:val="24"/>
          <w:lang w:val="en-US"/>
        </w:rPr>
        <w:t>’</w:t>
      </w:r>
      <w:r w:rsidRPr="000A146B">
        <w:rPr>
          <w:rFonts w:ascii="Times New Roman" w:hAnsi="Times New Roman"/>
          <w:sz w:val="24"/>
          <w:szCs w:val="24"/>
          <w:lang w:val="en-US"/>
        </w:rPr>
        <w:t>s assets entered into force in 2023. Under establishment for the purpose of sale, the liquidator may establish a limited liability company on behalf of the debtor which continues the economic activity of the debtor, for the sole purpose of selling the debtor</w:t>
      </w:r>
      <w:r w:rsidR="001D3B09">
        <w:rPr>
          <w:rFonts w:ascii="Times New Roman" w:hAnsi="Times New Roman"/>
          <w:sz w:val="24"/>
          <w:szCs w:val="24"/>
          <w:lang w:val="en-US"/>
        </w:rPr>
        <w:t>’</w:t>
      </w:r>
      <w:r w:rsidRPr="000A146B">
        <w:rPr>
          <w:rFonts w:ascii="Times New Roman" w:hAnsi="Times New Roman"/>
          <w:sz w:val="24"/>
          <w:szCs w:val="24"/>
          <w:lang w:val="en-US"/>
        </w:rPr>
        <w:t>s assets. The established limited liability company may receive the debtor</w:t>
      </w:r>
      <w:r w:rsidR="001D3B09">
        <w:rPr>
          <w:rFonts w:ascii="Times New Roman" w:hAnsi="Times New Roman"/>
          <w:sz w:val="24"/>
          <w:szCs w:val="24"/>
          <w:lang w:val="en-US"/>
        </w:rPr>
        <w:t>’</w:t>
      </w:r>
      <w:r w:rsidRPr="000A146B">
        <w:rPr>
          <w:rFonts w:ascii="Times New Roman" w:hAnsi="Times New Roman"/>
          <w:sz w:val="24"/>
          <w:szCs w:val="24"/>
          <w:lang w:val="en-US"/>
        </w:rPr>
        <w:t>s assets as a non-monetary contribution, and it is endowed with an amount of capital that ensures the conditions of the commencement of the operations. The debtor</w:t>
      </w:r>
      <w:r w:rsidR="001D3B09">
        <w:rPr>
          <w:rFonts w:ascii="Times New Roman" w:hAnsi="Times New Roman"/>
          <w:sz w:val="24"/>
          <w:szCs w:val="24"/>
          <w:lang w:val="en-US"/>
        </w:rPr>
        <w:t>’</w:t>
      </w:r>
      <w:r w:rsidRPr="000A146B">
        <w:rPr>
          <w:rFonts w:ascii="Times New Roman" w:hAnsi="Times New Roman"/>
          <w:sz w:val="24"/>
          <w:szCs w:val="24"/>
          <w:lang w:val="en-US"/>
        </w:rPr>
        <w:t>s share in the company established for the purpose of sale is exclusive.</w:t>
      </w:r>
      <w:r w:rsidRPr="000A146B">
        <w:rPr>
          <w:rStyle w:val="FootnoteReference"/>
          <w:rFonts w:ascii="Times New Roman" w:hAnsi="Times New Roman"/>
          <w:sz w:val="24"/>
          <w:szCs w:val="24"/>
          <w:lang w:val="en-US"/>
        </w:rPr>
        <w:footnoteReference w:id="18"/>
      </w:r>
    </w:p>
    <w:p w14:paraId="5755FFA6" w14:textId="77777777" w:rsidR="001D3B09" w:rsidRDefault="001D3B09" w:rsidP="000A146B">
      <w:pPr>
        <w:spacing w:after="0"/>
        <w:rPr>
          <w:rFonts w:ascii="Times New Roman" w:hAnsi="Times New Roman"/>
          <w:sz w:val="24"/>
          <w:szCs w:val="24"/>
          <w:lang w:val="en-US"/>
        </w:rPr>
      </w:pPr>
    </w:p>
    <w:p w14:paraId="7AC7E1EB" w14:textId="2DC41B3F"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Establishment for the purpose of sale is therefore another technique of identifying functioning assets and </w:t>
      </w:r>
      <w:r w:rsidR="001D3B09">
        <w:rPr>
          <w:rFonts w:ascii="Times New Roman" w:hAnsi="Times New Roman"/>
          <w:sz w:val="24"/>
          <w:szCs w:val="24"/>
          <w:lang w:val="en-US"/>
        </w:rPr>
        <w:t>“</w:t>
      </w:r>
      <w:r w:rsidRPr="000A146B">
        <w:rPr>
          <w:rFonts w:ascii="Times New Roman" w:hAnsi="Times New Roman"/>
          <w:sz w:val="24"/>
          <w:szCs w:val="24"/>
          <w:lang w:val="en-US"/>
        </w:rPr>
        <w:t>bailing them out</w:t>
      </w:r>
      <w:r w:rsidR="001D3B09">
        <w:rPr>
          <w:rFonts w:ascii="Times New Roman" w:hAnsi="Times New Roman"/>
          <w:sz w:val="24"/>
          <w:szCs w:val="24"/>
          <w:lang w:val="en-US"/>
        </w:rPr>
        <w:t>”</w:t>
      </w:r>
      <w:r w:rsidRPr="000A146B">
        <w:rPr>
          <w:rFonts w:ascii="Times New Roman" w:hAnsi="Times New Roman"/>
          <w:sz w:val="24"/>
          <w:szCs w:val="24"/>
          <w:lang w:val="en-US"/>
        </w:rPr>
        <w:t xml:space="preserve"> into another entity, then selling the shares in that entity to satisfy creditor</w:t>
      </w:r>
      <w:r w:rsidR="001D3B09">
        <w:rPr>
          <w:rFonts w:ascii="Times New Roman" w:hAnsi="Times New Roman"/>
          <w:sz w:val="24"/>
          <w:szCs w:val="24"/>
          <w:lang w:val="en-US"/>
        </w:rPr>
        <w:t>’</w:t>
      </w:r>
      <w:r w:rsidRPr="000A146B">
        <w:rPr>
          <w:rFonts w:ascii="Times New Roman" w:hAnsi="Times New Roman"/>
          <w:sz w:val="24"/>
          <w:szCs w:val="24"/>
          <w:lang w:val="en-US"/>
        </w:rPr>
        <w:t>s claims of the debtor.</w:t>
      </w:r>
    </w:p>
    <w:p w14:paraId="657B1FF6" w14:textId="77777777" w:rsidR="001D3B09" w:rsidRDefault="001D3B09" w:rsidP="000A146B">
      <w:pPr>
        <w:spacing w:after="0"/>
        <w:rPr>
          <w:rFonts w:ascii="Times New Roman" w:hAnsi="Times New Roman"/>
          <w:sz w:val="24"/>
          <w:szCs w:val="24"/>
          <w:lang w:val="en-US"/>
        </w:rPr>
      </w:pPr>
    </w:p>
    <w:p w14:paraId="3E5F6AC2" w14:textId="2149D2E0" w:rsidR="001D3B09"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This legal institution </w:t>
      </w:r>
      <w:r w:rsidR="001D3B09">
        <w:rPr>
          <w:rFonts w:ascii="Times New Roman" w:hAnsi="Times New Roman"/>
          <w:sz w:val="24"/>
          <w:szCs w:val="24"/>
          <w:lang w:val="en-US"/>
        </w:rPr>
        <w:t>bears</w:t>
      </w:r>
      <w:r w:rsidRPr="000A146B">
        <w:rPr>
          <w:rFonts w:ascii="Times New Roman" w:hAnsi="Times New Roman"/>
          <w:sz w:val="24"/>
          <w:szCs w:val="24"/>
          <w:lang w:val="en-US"/>
        </w:rPr>
        <w:t xml:space="preserve"> similarities to the abovementioned disconnection</w:t>
      </w:r>
      <w:r w:rsidR="001D3B09">
        <w:rPr>
          <w:rFonts w:ascii="Times New Roman" w:hAnsi="Times New Roman"/>
          <w:sz w:val="24"/>
          <w:szCs w:val="24"/>
          <w:lang w:val="en-US"/>
        </w:rPr>
        <w:t>.</w:t>
      </w:r>
      <w:r w:rsidRPr="000A146B">
        <w:rPr>
          <w:rFonts w:ascii="Times New Roman" w:hAnsi="Times New Roman"/>
          <w:sz w:val="24"/>
          <w:szCs w:val="24"/>
          <w:lang w:val="en-US"/>
        </w:rPr>
        <w:t xml:space="preserve"> </w:t>
      </w:r>
      <w:r w:rsidR="001D3B09">
        <w:rPr>
          <w:rFonts w:ascii="Times New Roman" w:hAnsi="Times New Roman"/>
          <w:sz w:val="24"/>
          <w:szCs w:val="24"/>
          <w:lang w:val="en-US"/>
        </w:rPr>
        <w:t>H</w:t>
      </w:r>
      <w:r w:rsidRPr="000A146B">
        <w:rPr>
          <w:rFonts w:ascii="Times New Roman" w:hAnsi="Times New Roman"/>
          <w:sz w:val="24"/>
          <w:szCs w:val="24"/>
          <w:lang w:val="en-US"/>
        </w:rPr>
        <w:t>owever, some differences are apparent. Establishment with the purpose of sale only applies to debtors, the winding-up proceedings of which have been initiated under specific government decrees of emergency.</w:t>
      </w:r>
      <w:r w:rsidRPr="000A146B">
        <w:rPr>
          <w:rStyle w:val="FootnoteReference"/>
          <w:rFonts w:ascii="Times New Roman" w:hAnsi="Times New Roman"/>
          <w:sz w:val="24"/>
          <w:szCs w:val="24"/>
          <w:lang w:val="en-US"/>
        </w:rPr>
        <w:footnoteReference w:id="19"/>
      </w:r>
      <w:r w:rsidRPr="000A146B">
        <w:rPr>
          <w:rFonts w:ascii="Times New Roman" w:hAnsi="Times New Roman"/>
          <w:sz w:val="24"/>
          <w:szCs w:val="24"/>
          <w:lang w:val="en-US"/>
        </w:rPr>
        <w:t xml:space="preserve"> The company established for the purpose of sale may only take the legal form of a limited liability company, and may not be established in the form of a private company limited by shares. This company may also be established by the provision of monetary contribution, not solely non-monetary contribution.</w:t>
      </w:r>
      <w:r w:rsidRPr="000A146B">
        <w:rPr>
          <w:rStyle w:val="FootnoteReference"/>
          <w:rFonts w:ascii="Times New Roman" w:hAnsi="Times New Roman"/>
          <w:sz w:val="24"/>
          <w:szCs w:val="24"/>
          <w:lang w:val="en-US"/>
        </w:rPr>
        <w:footnoteReference w:id="20"/>
      </w:r>
    </w:p>
    <w:p w14:paraId="33A19E6D" w14:textId="77777777" w:rsidR="001D3B09" w:rsidRDefault="001D3B09" w:rsidP="000A146B">
      <w:pPr>
        <w:spacing w:after="0"/>
        <w:rPr>
          <w:rFonts w:ascii="Times New Roman" w:hAnsi="Times New Roman"/>
          <w:sz w:val="24"/>
          <w:szCs w:val="24"/>
          <w:lang w:val="en-US"/>
        </w:rPr>
      </w:pPr>
    </w:p>
    <w:p w14:paraId="6132EFDA" w14:textId="6D8F75A8"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representative of the debtor in the proceedings relating to the registration of the establishment in the company register is the liquidator, as in the case of disconnection.</w:t>
      </w:r>
      <w:r w:rsidRPr="000A146B">
        <w:rPr>
          <w:rStyle w:val="FootnoteReference"/>
          <w:rFonts w:ascii="Times New Roman" w:hAnsi="Times New Roman"/>
          <w:sz w:val="24"/>
          <w:szCs w:val="24"/>
          <w:lang w:val="en-US"/>
        </w:rPr>
        <w:footnoteReference w:id="21"/>
      </w:r>
      <w:r w:rsidRPr="000A146B">
        <w:rPr>
          <w:rFonts w:ascii="Times New Roman" w:hAnsi="Times New Roman"/>
          <w:sz w:val="24"/>
          <w:szCs w:val="24"/>
          <w:lang w:val="en-US"/>
        </w:rPr>
        <w:t xml:space="preserve"> However, in the case of establishment for the purpose of sale, the total amount of the non-monetary contribution is not required to be provided to the company until the application for the registration is submitted to the court.</w:t>
      </w:r>
      <w:r w:rsidRPr="000A146B">
        <w:rPr>
          <w:rStyle w:val="FootnoteReference"/>
          <w:rFonts w:ascii="Times New Roman" w:hAnsi="Times New Roman"/>
          <w:sz w:val="24"/>
          <w:szCs w:val="24"/>
          <w:lang w:val="en-US"/>
        </w:rPr>
        <w:footnoteReference w:id="22"/>
      </w:r>
      <w:r w:rsidRPr="000A146B">
        <w:rPr>
          <w:rFonts w:ascii="Times New Roman" w:hAnsi="Times New Roman"/>
          <w:sz w:val="24"/>
          <w:szCs w:val="24"/>
          <w:lang w:val="en-US"/>
        </w:rPr>
        <w:t xml:space="preserve"> In line with disconnection, the costs incurred by the debtor in connection with the establishment and operation of the company are charged by the liquidator as liquidation costs.</w:t>
      </w:r>
      <w:r w:rsidRPr="000A146B">
        <w:rPr>
          <w:rStyle w:val="FootnoteReference"/>
          <w:rFonts w:ascii="Times New Roman" w:hAnsi="Times New Roman"/>
          <w:sz w:val="24"/>
          <w:szCs w:val="24"/>
          <w:lang w:val="en-US"/>
        </w:rPr>
        <w:footnoteReference w:id="23"/>
      </w:r>
    </w:p>
    <w:p w14:paraId="04235F0F" w14:textId="77777777" w:rsidR="001D3B09" w:rsidRDefault="001D3B09" w:rsidP="000A146B">
      <w:pPr>
        <w:spacing w:after="0"/>
        <w:rPr>
          <w:rFonts w:ascii="Times New Roman" w:hAnsi="Times New Roman"/>
          <w:sz w:val="24"/>
          <w:szCs w:val="24"/>
          <w:lang w:val="en-US"/>
        </w:rPr>
      </w:pPr>
    </w:p>
    <w:p w14:paraId="7A286538" w14:textId="5A4780C1"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As in the case of disconnection, the liquidator identifies the assets of the debtor that will be used later as non-monetary contribution into the company established for the purpose of sale.</w:t>
      </w:r>
      <w:r w:rsidRPr="000A146B">
        <w:rPr>
          <w:rStyle w:val="FootnoteReference"/>
          <w:rFonts w:ascii="Times New Roman" w:hAnsi="Times New Roman"/>
          <w:sz w:val="24"/>
          <w:szCs w:val="24"/>
          <w:lang w:val="en-US"/>
        </w:rPr>
        <w:footnoteReference w:id="24"/>
      </w:r>
      <w:r w:rsidRPr="000A146B">
        <w:rPr>
          <w:rFonts w:ascii="Times New Roman" w:hAnsi="Times New Roman"/>
          <w:sz w:val="24"/>
          <w:szCs w:val="24"/>
          <w:lang w:val="en-US"/>
        </w:rPr>
        <w:t xml:space="preserve"> Nevertheless, when determining the value of the non-monetary contribution to be provided to the company, instead of book value, the debtor</w:t>
      </w:r>
      <w:r w:rsidR="001D3B09">
        <w:rPr>
          <w:rFonts w:ascii="Times New Roman" w:hAnsi="Times New Roman"/>
          <w:sz w:val="24"/>
          <w:szCs w:val="24"/>
          <w:lang w:val="en-US"/>
        </w:rPr>
        <w:t>’</w:t>
      </w:r>
      <w:r w:rsidRPr="000A146B">
        <w:rPr>
          <w:rFonts w:ascii="Times New Roman" w:hAnsi="Times New Roman"/>
          <w:sz w:val="24"/>
          <w:szCs w:val="24"/>
          <w:lang w:val="en-US"/>
        </w:rPr>
        <w:t>s assets shall be taken into account</w:t>
      </w:r>
      <w:r w:rsidRPr="000A146B">
        <w:rPr>
          <w:rFonts w:ascii="Times New Roman" w:hAnsi="Times New Roman"/>
          <w:sz w:val="24"/>
          <w:szCs w:val="24"/>
        </w:rPr>
        <w:t xml:space="preserve"> </w:t>
      </w:r>
      <w:r w:rsidRPr="000A146B">
        <w:rPr>
          <w:rFonts w:ascii="Times New Roman" w:hAnsi="Times New Roman"/>
          <w:sz w:val="24"/>
          <w:szCs w:val="24"/>
          <w:lang w:val="en-US"/>
        </w:rPr>
        <w:t>at their value as determined by an independent expert opinion, free of encumbrances.</w:t>
      </w:r>
      <w:r w:rsidRPr="000A146B">
        <w:rPr>
          <w:rStyle w:val="FootnoteReference"/>
          <w:rFonts w:ascii="Times New Roman" w:hAnsi="Times New Roman"/>
          <w:sz w:val="24"/>
          <w:szCs w:val="24"/>
          <w:lang w:val="en-US"/>
        </w:rPr>
        <w:footnoteReference w:id="25"/>
      </w:r>
      <w:r w:rsidRPr="000A146B">
        <w:rPr>
          <w:rFonts w:ascii="Times New Roman" w:hAnsi="Times New Roman"/>
          <w:sz w:val="24"/>
          <w:szCs w:val="24"/>
          <w:lang w:val="en-US"/>
        </w:rPr>
        <w:t xml:space="preserve"> As regards the powers of creditors of the procedure, establishment for the purpose of sale does not require the approval of the creditors</w:t>
      </w:r>
      <w:r w:rsidR="001D3B09">
        <w:rPr>
          <w:rFonts w:ascii="Times New Roman" w:hAnsi="Times New Roman"/>
          <w:sz w:val="24"/>
          <w:szCs w:val="24"/>
          <w:lang w:val="en-US"/>
        </w:rPr>
        <w:t>’</w:t>
      </w:r>
      <w:r w:rsidRPr="000A146B">
        <w:rPr>
          <w:rFonts w:ascii="Times New Roman" w:hAnsi="Times New Roman"/>
          <w:sz w:val="24"/>
          <w:szCs w:val="24"/>
          <w:lang w:val="en-US"/>
        </w:rPr>
        <w:t xml:space="preserve"> assembly either.</w:t>
      </w:r>
      <w:r w:rsidRPr="000A146B">
        <w:rPr>
          <w:rStyle w:val="FootnoteReference"/>
          <w:rFonts w:ascii="Times New Roman" w:hAnsi="Times New Roman"/>
          <w:sz w:val="24"/>
          <w:szCs w:val="24"/>
          <w:lang w:val="en-US"/>
        </w:rPr>
        <w:footnoteReference w:id="26"/>
      </w:r>
      <w:r w:rsidRPr="000A146B">
        <w:rPr>
          <w:rFonts w:ascii="Times New Roman" w:hAnsi="Times New Roman"/>
          <w:sz w:val="24"/>
          <w:szCs w:val="24"/>
          <w:lang w:val="en-US"/>
        </w:rPr>
        <w:t xml:space="preserve"> Furthermore, the Government Decree does not provide for any additional powers of creditors of a similar nature as referred to under disconnection.</w:t>
      </w:r>
    </w:p>
    <w:p w14:paraId="635C2ED3" w14:textId="77777777" w:rsidR="001D3B09" w:rsidRDefault="001D3B09" w:rsidP="000A146B">
      <w:pPr>
        <w:spacing w:after="0"/>
        <w:rPr>
          <w:rFonts w:ascii="Times New Roman" w:hAnsi="Times New Roman"/>
          <w:sz w:val="24"/>
          <w:szCs w:val="24"/>
          <w:lang w:val="en-US"/>
        </w:rPr>
      </w:pPr>
    </w:p>
    <w:p w14:paraId="7AC00C2D" w14:textId="773F6B83" w:rsid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In regard </w:t>
      </w:r>
      <w:r w:rsidR="001D3B09">
        <w:rPr>
          <w:rFonts w:ascii="Times New Roman" w:hAnsi="Times New Roman"/>
          <w:sz w:val="24"/>
          <w:szCs w:val="24"/>
          <w:lang w:val="en-US"/>
        </w:rPr>
        <w:t>t</w:t>
      </w:r>
      <w:r w:rsidRPr="000A146B">
        <w:rPr>
          <w:rFonts w:ascii="Times New Roman" w:hAnsi="Times New Roman"/>
          <w:sz w:val="24"/>
          <w:szCs w:val="24"/>
          <w:lang w:val="en-US"/>
        </w:rPr>
        <w:t>o the rules on selling the debtor</w:t>
      </w:r>
      <w:r w:rsidR="001D3B09">
        <w:rPr>
          <w:rFonts w:ascii="Times New Roman" w:hAnsi="Times New Roman"/>
          <w:sz w:val="24"/>
          <w:szCs w:val="24"/>
          <w:lang w:val="en-US"/>
        </w:rPr>
        <w:t>’</w:t>
      </w:r>
      <w:r w:rsidRPr="000A146B">
        <w:rPr>
          <w:rFonts w:ascii="Times New Roman" w:hAnsi="Times New Roman"/>
          <w:sz w:val="24"/>
          <w:szCs w:val="24"/>
          <w:lang w:val="en-US"/>
        </w:rPr>
        <w:t>s shares in the company, a few similarities may be identified. The liquidator shall complete the sale of the debtor</w:t>
      </w:r>
      <w:r w:rsidR="001D3B09">
        <w:rPr>
          <w:rFonts w:ascii="Times New Roman" w:hAnsi="Times New Roman"/>
          <w:sz w:val="24"/>
          <w:szCs w:val="24"/>
          <w:lang w:val="en-US"/>
        </w:rPr>
        <w:t>’</w:t>
      </w:r>
      <w:r w:rsidRPr="000A146B">
        <w:rPr>
          <w:rFonts w:ascii="Times New Roman" w:hAnsi="Times New Roman"/>
          <w:sz w:val="24"/>
          <w:szCs w:val="24"/>
          <w:lang w:val="en-US"/>
        </w:rPr>
        <w:t>s shares in the established company no later than 365 days after the registration of the company in the company register.</w:t>
      </w:r>
      <w:r w:rsidRPr="000A146B">
        <w:rPr>
          <w:rStyle w:val="FootnoteReference"/>
          <w:rFonts w:ascii="Times New Roman" w:hAnsi="Times New Roman"/>
          <w:sz w:val="24"/>
          <w:szCs w:val="24"/>
          <w:lang w:val="en-US"/>
        </w:rPr>
        <w:footnoteReference w:id="27"/>
      </w:r>
      <w:r w:rsidRPr="000A146B">
        <w:rPr>
          <w:rFonts w:ascii="Times New Roman" w:hAnsi="Times New Roman"/>
          <w:sz w:val="24"/>
          <w:szCs w:val="24"/>
          <w:lang w:val="en-US"/>
        </w:rPr>
        <w:t xml:space="preserve"> To determine the value of the shares, the liquidator shall obtain independent expert opinions.</w:t>
      </w:r>
      <w:r w:rsidRPr="000A146B">
        <w:rPr>
          <w:rStyle w:val="FootnoteReference"/>
          <w:rFonts w:ascii="Times New Roman" w:hAnsi="Times New Roman"/>
          <w:sz w:val="24"/>
          <w:szCs w:val="24"/>
          <w:lang w:val="en-US"/>
        </w:rPr>
        <w:footnoteReference w:id="28"/>
      </w:r>
    </w:p>
    <w:p w14:paraId="140690E5" w14:textId="77777777" w:rsidR="001D3B09" w:rsidRPr="000A146B" w:rsidRDefault="001D3B09" w:rsidP="000A146B">
      <w:pPr>
        <w:spacing w:after="0"/>
        <w:rPr>
          <w:rFonts w:ascii="Times New Roman" w:hAnsi="Times New Roman"/>
          <w:sz w:val="24"/>
          <w:szCs w:val="24"/>
          <w:lang w:val="en-US"/>
        </w:rPr>
      </w:pPr>
    </w:p>
    <w:p w14:paraId="34A01DD9" w14:textId="77777777" w:rsidR="000A146B" w:rsidRPr="001D3B09" w:rsidRDefault="000A146B" w:rsidP="001D3B09">
      <w:pPr>
        <w:spacing w:after="0"/>
        <w:rPr>
          <w:rFonts w:ascii="Times New Roman" w:hAnsi="Times New Roman"/>
          <w:i/>
          <w:iCs/>
          <w:sz w:val="24"/>
          <w:szCs w:val="24"/>
          <w:lang w:val="en-US"/>
        </w:rPr>
      </w:pPr>
      <w:r w:rsidRPr="001D3B09">
        <w:rPr>
          <w:rFonts w:ascii="Times New Roman" w:hAnsi="Times New Roman"/>
          <w:i/>
          <w:iCs/>
          <w:sz w:val="24"/>
          <w:szCs w:val="24"/>
          <w:lang w:val="en-US"/>
        </w:rPr>
        <w:t>Spin-off</w:t>
      </w:r>
    </w:p>
    <w:p w14:paraId="127F8506" w14:textId="77777777" w:rsidR="001D3B09" w:rsidRDefault="001D3B09" w:rsidP="000A146B">
      <w:pPr>
        <w:spacing w:after="0"/>
        <w:rPr>
          <w:rFonts w:ascii="Times New Roman" w:hAnsi="Times New Roman"/>
          <w:sz w:val="24"/>
          <w:szCs w:val="24"/>
          <w:lang w:val="en-US"/>
        </w:rPr>
      </w:pPr>
    </w:p>
    <w:p w14:paraId="7DA5DF47" w14:textId="20D475F2"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The third regulatory change concerns spin-off. The amendment of the Civil Code on spin-off entered into force on 1 January 2024. This amendment differs from the previous two regulatory changes in the sense that it does not contain specific rules on the provisions detailed in comparison </w:t>
      </w:r>
      <w:r w:rsidR="00462D69">
        <w:rPr>
          <w:rFonts w:ascii="Times New Roman" w:hAnsi="Times New Roman"/>
          <w:sz w:val="24"/>
          <w:szCs w:val="24"/>
          <w:lang w:val="en-US"/>
        </w:rPr>
        <w:t xml:space="preserve">to the </w:t>
      </w:r>
      <w:r w:rsidRPr="000A146B">
        <w:rPr>
          <w:rFonts w:ascii="Times New Roman" w:hAnsi="Times New Roman"/>
          <w:sz w:val="24"/>
          <w:szCs w:val="24"/>
          <w:lang w:val="en-US"/>
        </w:rPr>
        <w:t>above</w:t>
      </w:r>
      <w:r w:rsidR="00462D69">
        <w:rPr>
          <w:rFonts w:ascii="Times New Roman" w:hAnsi="Times New Roman"/>
          <w:sz w:val="24"/>
          <w:szCs w:val="24"/>
          <w:lang w:val="en-US"/>
        </w:rPr>
        <w:t>.</w:t>
      </w:r>
      <w:r w:rsidRPr="000A146B">
        <w:rPr>
          <w:rFonts w:ascii="Times New Roman" w:hAnsi="Times New Roman"/>
          <w:sz w:val="24"/>
          <w:szCs w:val="24"/>
          <w:lang w:val="en-US"/>
        </w:rPr>
        <w:t xml:space="preserve"> </w:t>
      </w:r>
      <w:r w:rsidR="00462D69">
        <w:rPr>
          <w:rFonts w:ascii="Times New Roman" w:hAnsi="Times New Roman"/>
          <w:sz w:val="24"/>
          <w:szCs w:val="24"/>
          <w:lang w:val="en-US"/>
        </w:rPr>
        <w:t>H</w:t>
      </w:r>
      <w:r w:rsidRPr="000A146B">
        <w:rPr>
          <w:rFonts w:ascii="Times New Roman" w:hAnsi="Times New Roman"/>
          <w:sz w:val="24"/>
          <w:szCs w:val="24"/>
          <w:lang w:val="en-US"/>
        </w:rPr>
        <w:t>owever, some characteristics can be defined by the general rules of corporate law.</w:t>
      </w:r>
    </w:p>
    <w:p w14:paraId="5C7B856A" w14:textId="77777777" w:rsidR="001D3B09" w:rsidRDefault="001D3B09" w:rsidP="000A146B">
      <w:pPr>
        <w:spacing w:after="0"/>
        <w:rPr>
          <w:rFonts w:ascii="Times New Roman" w:hAnsi="Times New Roman"/>
          <w:sz w:val="24"/>
          <w:szCs w:val="24"/>
          <w:lang w:val="en-US"/>
        </w:rPr>
      </w:pPr>
    </w:p>
    <w:p w14:paraId="5F7391A4" w14:textId="411EFA77"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Spin-off is a subtype of separation. Pursuant to the Civil Code, separation may be implemented in a way where the legal person being divided continues to exist, and it establishes the successor legal person using a certain part of its assets, in which it will be the sole member.</w:t>
      </w:r>
      <w:r w:rsidRPr="000A146B">
        <w:rPr>
          <w:rStyle w:val="FootnoteReference"/>
          <w:rFonts w:ascii="Times New Roman" w:hAnsi="Times New Roman"/>
          <w:sz w:val="24"/>
          <w:szCs w:val="24"/>
          <w:lang w:val="en-US"/>
        </w:rPr>
        <w:footnoteReference w:id="29"/>
      </w:r>
      <w:r w:rsidRPr="000A146B">
        <w:rPr>
          <w:rFonts w:ascii="Times New Roman" w:hAnsi="Times New Roman"/>
          <w:sz w:val="24"/>
          <w:szCs w:val="24"/>
          <w:lang w:val="en-US"/>
        </w:rPr>
        <w:t xml:space="preserve"> Pursuant to the reasoning of the amendment act, in the course of spin-off, the assets separated from the assets of the predecessor legal person, restructured into a separate legal person and registered as such, are not owned by the members of the predecessor legal person, but by the legal person itself, which continues to operate or sells them as such.</w:t>
      </w:r>
      <w:r w:rsidRPr="000A146B">
        <w:rPr>
          <w:rStyle w:val="FootnoteReference"/>
          <w:rFonts w:ascii="Times New Roman" w:hAnsi="Times New Roman"/>
          <w:sz w:val="24"/>
          <w:szCs w:val="24"/>
          <w:lang w:val="en-US"/>
        </w:rPr>
        <w:footnoteReference w:id="30"/>
      </w:r>
    </w:p>
    <w:p w14:paraId="43792BAA" w14:textId="77777777" w:rsidR="001D3B09" w:rsidRDefault="001D3B09" w:rsidP="000A146B">
      <w:pPr>
        <w:spacing w:after="0"/>
        <w:rPr>
          <w:rFonts w:ascii="Times New Roman" w:hAnsi="Times New Roman"/>
          <w:sz w:val="24"/>
          <w:szCs w:val="24"/>
          <w:lang w:val="en-US"/>
        </w:rPr>
      </w:pPr>
    </w:p>
    <w:p w14:paraId="61E2D33E" w14:textId="77777777" w:rsidR="001D3B09"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Spin-off is available to any forms of companies under corporate law, therefore, the material scope of spin-off is not limited to debtors subject to certain proceedings.</w:t>
      </w:r>
      <w:r w:rsidRPr="000A146B">
        <w:rPr>
          <w:rStyle w:val="FootnoteReference"/>
          <w:rFonts w:ascii="Times New Roman" w:hAnsi="Times New Roman"/>
          <w:sz w:val="24"/>
          <w:szCs w:val="24"/>
          <w:lang w:val="en-US"/>
        </w:rPr>
        <w:footnoteReference w:id="31"/>
      </w:r>
      <w:r w:rsidRPr="000A146B">
        <w:rPr>
          <w:rFonts w:ascii="Times New Roman" w:hAnsi="Times New Roman"/>
          <w:sz w:val="24"/>
          <w:szCs w:val="24"/>
          <w:lang w:val="en-US"/>
        </w:rPr>
        <w:t xml:space="preserve"> The company created by the spin-off may take the legal form of a limited liability company and a private company limited by shares, as these are the company forms that may be established by a sole member (shareholder) under Hungarian law.</w:t>
      </w:r>
      <w:r w:rsidRPr="000A146B">
        <w:rPr>
          <w:rStyle w:val="FootnoteReference"/>
          <w:rFonts w:ascii="Times New Roman" w:hAnsi="Times New Roman"/>
          <w:sz w:val="24"/>
          <w:szCs w:val="24"/>
          <w:lang w:val="en-US"/>
        </w:rPr>
        <w:footnoteReference w:id="32"/>
      </w:r>
    </w:p>
    <w:p w14:paraId="79737F6B" w14:textId="77777777" w:rsidR="001D3B09" w:rsidRDefault="001D3B09" w:rsidP="000A146B">
      <w:pPr>
        <w:spacing w:after="0"/>
        <w:rPr>
          <w:rFonts w:ascii="Times New Roman" w:hAnsi="Times New Roman"/>
          <w:sz w:val="24"/>
          <w:szCs w:val="24"/>
          <w:lang w:val="en-US"/>
        </w:rPr>
      </w:pPr>
    </w:p>
    <w:p w14:paraId="6FA71B50" w14:textId="55CECBF6"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 xml:space="preserve">The company created by the spin-off may be established either by monetary or non-monetary contribution, as the legislation does not lay down any specific rules thereon. If, at the time of </w:t>
      </w:r>
      <w:r w:rsidRPr="000A146B">
        <w:rPr>
          <w:rFonts w:ascii="Times New Roman" w:hAnsi="Times New Roman"/>
          <w:sz w:val="24"/>
          <w:szCs w:val="24"/>
          <w:lang w:val="en-US"/>
        </w:rPr>
        <w:lastRenderedPageBreak/>
        <w:t>incorporation, the value of the non-monetary contribution is equal to or exceeds half of the registered capital, the non-monetary contribution shall be made available in full to the company before the application for registration is filed.</w:t>
      </w:r>
      <w:r w:rsidRPr="000A146B">
        <w:rPr>
          <w:rStyle w:val="FootnoteReference"/>
          <w:rFonts w:ascii="Times New Roman" w:hAnsi="Times New Roman"/>
          <w:sz w:val="24"/>
          <w:szCs w:val="24"/>
          <w:lang w:val="en-US"/>
        </w:rPr>
        <w:footnoteReference w:id="33"/>
      </w:r>
    </w:p>
    <w:p w14:paraId="26215E1E" w14:textId="77777777" w:rsidR="001D3B09" w:rsidRDefault="001D3B09" w:rsidP="000A146B">
      <w:pPr>
        <w:spacing w:after="0"/>
        <w:rPr>
          <w:rFonts w:ascii="Times New Roman" w:hAnsi="Times New Roman"/>
          <w:sz w:val="24"/>
          <w:szCs w:val="24"/>
          <w:lang w:val="en-US"/>
        </w:rPr>
      </w:pPr>
    </w:p>
    <w:p w14:paraId="78CFCAFD" w14:textId="5EEC3104" w:rsidR="000A146B" w:rsidRPr="000A146B" w:rsidRDefault="000A146B" w:rsidP="000A146B">
      <w:pPr>
        <w:spacing w:after="0"/>
        <w:rPr>
          <w:rFonts w:ascii="Times New Roman" w:hAnsi="Times New Roman"/>
          <w:sz w:val="24"/>
          <w:szCs w:val="24"/>
          <w:lang w:val="en-US"/>
        </w:rPr>
      </w:pPr>
      <w:r w:rsidRPr="000A146B">
        <w:rPr>
          <w:rFonts w:ascii="Times New Roman" w:hAnsi="Times New Roman"/>
          <w:sz w:val="24"/>
          <w:szCs w:val="24"/>
          <w:lang w:val="en-US"/>
        </w:rPr>
        <w:t>The amendment of the Civil Code does not determine any specific rules on the calculation of the value of the non-monetary contribution, the abovementioned powers of creditors or selling the debtor</w:t>
      </w:r>
      <w:r w:rsidR="001D3B09">
        <w:rPr>
          <w:rFonts w:ascii="Times New Roman" w:hAnsi="Times New Roman"/>
          <w:sz w:val="24"/>
          <w:szCs w:val="24"/>
          <w:lang w:val="en-US"/>
        </w:rPr>
        <w:t>’</w:t>
      </w:r>
      <w:r w:rsidRPr="000A146B">
        <w:rPr>
          <w:rFonts w:ascii="Times New Roman" w:hAnsi="Times New Roman"/>
          <w:sz w:val="24"/>
          <w:szCs w:val="24"/>
          <w:lang w:val="en-US"/>
        </w:rPr>
        <w:t>s shares in the company either.</w:t>
      </w:r>
    </w:p>
    <w:p w14:paraId="46B3BF47" w14:textId="77777777" w:rsidR="001D3B09" w:rsidRDefault="001D3B09" w:rsidP="001D3B09">
      <w:pPr>
        <w:spacing w:after="0"/>
        <w:rPr>
          <w:rFonts w:ascii="Times New Roman" w:hAnsi="Times New Roman"/>
          <w:b/>
          <w:bCs/>
          <w:sz w:val="24"/>
          <w:szCs w:val="24"/>
          <w:lang w:val="en-US"/>
        </w:rPr>
      </w:pPr>
    </w:p>
    <w:p w14:paraId="56AB40B9" w14:textId="18606FF5" w:rsidR="000A146B" w:rsidRPr="001D3B09" w:rsidRDefault="000A146B" w:rsidP="001D3B09">
      <w:pPr>
        <w:spacing w:after="0"/>
        <w:rPr>
          <w:rFonts w:ascii="Times New Roman" w:hAnsi="Times New Roman"/>
          <w:b/>
          <w:bCs/>
          <w:sz w:val="24"/>
          <w:szCs w:val="24"/>
          <w:lang w:val="en-US"/>
        </w:rPr>
      </w:pPr>
      <w:r w:rsidRPr="001D3B09">
        <w:rPr>
          <w:rFonts w:ascii="Times New Roman" w:hAnsi="Times New Roman"/>
          <w:i/>
          <w:iCs/>
          <w:sz w:val="24"/>
          <w:szCs w:val="24"/>
          <w:lang w:val="en-US"/>
        </w:rPr>
        <w:t>Summary</w:t>
      </w:r>
    </w:p>
    <w:p w14:paraId="28370ED3" w14:textId="77777777" w:rsidR="001D3B09" w:rsidRDefault="001D3B09" w:rsidP="000A146B">
      <w:pPr>
        <w:pStyle w:val="MarginText"/>
        <w:spacing w:after="0" w:line="240" w:lineRule="auto"/>
        <w:rPr>
          <w:sz w:val="24"/>
          <w:szCs w:val="24"/>
          <w:lang w:val="en-US"/>
        </w:rPr>
      </w:pPr>
    </w:p>
    <w:p w14:paraId="4CB66010" w14:textId="78BDE640" w:rsidR="002A635A" w:rsidRPr="000A146B" w:rsidRDefault="000A146B" w:rsidP="000A146B">
      <w:pPr>
        <w:pStyle w:val="MarginText"/>
        <w:spacing w:after="0" w:line="240" w:lineRule="auto"/>
        <w:rPr>
          <w:sz w:val="24"/>
          <w:szCs w:val="24"/>
        </w:rPr>
      </w:pPr>
      <w:r w:rsidRPr="000A146B">
        <w:rPr>
          <w:sz w:val="24"/>
          <w:szCs w:val="24"/>
          <w:lang w:val="en-US"/>
        </w:rPr>
        <w:t>To summarize, Hungarian lawmakers are exploring various options to save the businesses which struggle financially. In the course of this exploration, they have implemented several legislative measures for the continuance of the economic activity and achievements of the debtor subject to winding-up proceedings. The common feature of the three regulatory changes analyzed in this article is that a new legal entity is established, which acquires certain assets of the debtor for economic purposes. These regulatory changes intend to meet economic demands, such as job security or supply chain security. Time will tell which of these regulatory changes will prove to be successful in practice.</w:t>
      </w:r>
    </w:p>
    <w:sectPr w:rsidR="002A635A" w:rsidRPr="000A146B"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FAA04" w14:textId="77777777" w:rsidR="00E33168" w:rsidRDefault="00E33168">
      <w:r>
        <w:separator/>
      </w:r>
    </w:p>
  </w:endnote>
  <w:endnote w:type="continuationSeparator" w:id="0">
    <w:p w14:paraId="70F6592C" w14:textId="77777777" w:rsidR="00E33168" w:rsidRDefault="00E3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7E16" w14:textId="77777777" w:rsidR="00E33168" w:rsidRDefault="00E33168">
      <w:r>
        <w:separator/>
      </w:r>
    </w:p>
  </w:footnote>
  <w:footnote w:type="continuationSeparator" w:id="0">
    <w:p w14:paraId="07911D01" w14:textId="77777777" w:rsidR="00E33168" w:rsidRDefault="00E33168">
      <w:r>
        <w:continuationSeparator/>
      </w:r>
    </w:p>
  </w:footnote>
  <w:footnote w:id="1">
    <w:p w14:paraId="3A5BB922" w14:textId="00E73D4B"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Article 76(1)</w:t>
      </w:r>
      <w:r w:rsidR="00FE5B73" w:rsidRPr="00FE5B73">
        <w:rPr>
          <w:rFonts w:ascii="Times New Roman" w:hAnsi="Times New Roman"/>
          <w:lang w:val="en-US"/>
        </w:rPr>
        <w:t>,</w:t>
      </w:r>
      <w:r w:rsidRPr="00FE5B73">
        <w:rPr>
          <w:rFonts w:ascii="Times New Roman" w:hAnsi="Times New Roman"/>
          <w:lang w:val="en-US"/>
        </w:rPr>
        <w:t xml:space="preserve"> Act XCIX of 2021 on transitional rules related to emergency situations (</w:t>
      </w:r>
      <w:r w:rsidR="001D3B09" w:rsidRPr="00FE5B73">
        <w:rPr>
          <w:rFonts w:ascii="Times New Roman" w:hAnsi="Times New Roman"/>
          <w:lang w:val="en-US"/>
        </w:rPr>
        <w:t>“</w:t>
      </w:r>
      <w:r w:rsidRPr="00FE5B73">
        <w:rPr>
          <w:rFonts w:ascii="Times New Roman" w:hAnsi="Times New Roman"/>
          <w:b/>
          <w:bCs/>
          <w:lang w:val="en-US"/>
        </w:rPr>
        <w:t>Emergency Act</w:t>
      </w:r>
      <w:r w:rsidR="001D3B09" w:rsidRPr="00FE5B73">
        <w:rPr>
          <w:rFonts w:ascii="Times New Roman" w:hAnsi="Times New Roman"/>
          <w:lang w:val="en-US"/>
        </w:rPr>
        <w:t>”</w:t>
      </w:r>
      <w:r w:rsidRPr="00FE5B73">
        <w:rPr>
          <w:rFonts w:ascii="Times New Roman" w:hAnsi="Times New Roman"/>
          <w:lang w:val="en-US"/>
        </w:rPr>
        <w:t>).</w:t>
      </w:r>
    </w:p>
  </w:footnote>
  <w:footnote w:id="2">
    <w:p w14:paraId="6BDA2B3D" w14:textId="3D93336B" w:rsidR="000A146B" w:rsidRPr="00FE5B73" w:rsidRDefault="000A146B" w:rsidP="000A146B">
      <w:pPr>
        <w:pStyle w:val="FootnoteText"/>
        <w:rPr>
          <w:rFonts w:ascii="Times New Roman" w:hAnsi="Times New Roman"/>
        </w:rPr>
      </w:pPr>
      <w:r w:rsidRPr="00FE5B73">
        <w:rPr>
          <w:rStyle w:val="FootnoteReference"/>
          <w:rFonts w:ascii="Times New Roman" w:hAnsi="Times New Roman"/>
        </w:rPr>
        <w:footnoteRef/>
      </w:r>
      <w:r w:rsidRPr="00FE5B73">
        <w:rPr>
          <w:rFonts w:ascii="Times New Roman" w:hAnsi="Times New Roman"/>
        </w:rPr>
        <w:t xml:space="preserve"> Zoltán</w:t>
      </w:r>
      <w:r w:rsidR="00071336">
        <w:rPr>
          <w:rFonts w:ascii="Times New Roman" w:hAnsi="Times New Roman"/>
        </w:rPr>
        <w:t xml:space="preserve"> </w:t>
      </w:r>
      <w:r w:rsidR="00071336" w:rsidRPr="00FE5B73">
        <w:rPr>
          <w:rFonts w:ascii="Times New Roman" w:hAnsi="Times New Roman"/>
        </w:rPr>
        <w:t>Fabók</w:t>
      </w:r>
      <w:r w:rsidR="00071336">
        <w:rPr>
          <w:rFonts w:ascii="Times New Roman" w:hAnsi="Times New Roman"/>
        </w:rPr>
        <w:t xml:space="preserve"> and</w:t>
      </w:r>
      <w:r w:rsidRPr="00FE5B73">
        <w:rPr>
          <w:rFonts w:ascii="Times New Roman" w:hAnsi="Times New Roman"/>
        </w:rPr>
        <w:t xml:space="preserve"> Márk</w:t>
      </w:r>
      <w:r w:rsidR="00071336">
        <w:rPr>
          <w:rFonts w:ascii="Times New Roman" w:hAnsi="Times New Roman"/>
        </w:rPr>
        <w:t xml:space="preserve"> </w:t>
      </w:r>
      <w:r w:rsidR="00071336" w:rsidRPr="00FE5B73">
        <w:rPr>
          <w:rFonts w:ascii="Times New Roman" w:hAnsi="Times New Roman"/>
        </w:rPr>
        <w:t>Seres</w:t>
      </w:r>
      <w:r w:rsidR="003771FB">
        <w:rPr>
          <w:rFonts w:ascii="Times New Roman" w:hAnsi="Times New Roman"/>
        </w:rPr>
        <w:t>,</w:t>
      </w:r>
      <w:r w:rsidRPr="00FE5B73">
        <w:rPr>
          <w:rFonts w:ascii="Times New Roman" w:hAnsi="Times New Roman"/>
        </w:rPr>
        <w:t xml:space="preserve"> </w:t>
      </w:r>
      <w:r w:rsidR="00071336" w:rsidRPr="00071336">
        <w:rPr>
          <w:rFonts w:ascii="Times New Roman" w:hAnsi="Times New Roman"/>
        </w:rPr>
        <w:t>‘</w:t>
      </w:r>
      <w:r w:rsidRPr="00071336">
        <w:rPr>
          <w:rFonts w:ascii="Times New Roman" w:hAnsi="Times New Roman"/>
        </w:rPr>
        <w:t>A Covid–19-világjárvány hatása a magyar fizetésképtelenségi jog fejlődésére – a reorganizáció mint új intézmény</w:t>
      </w:r>
      <w:r w:rsidR="00071336" w:rsidRPr="00071336">
        <w:rPr>
          <w:rFonts w:ascii="Times New Roman" w:hAnsi="Times New Roman"/>
        </w:rPr>
        <w:t>’</w:t>
      </w:r>
      <w:r w:rsidR="00071336">
        <w:rPr>
          <w:rFonts w:ascii="Times New Roman" w:hAnsi="Times New Roman"/>
        </w:rPr>
        <w:t>,</w:t>
      </w:r>
      <w:r w:rsidRPr="00FE5B73">
        <w:rPr>
          <w:rFonts w:ascii="Times New Roman" w:hAnsi="Times New Roman"/>
        </w:rPr>
        <w:t xml:space="preserve"> </w:t>
      </w:r>
      <w:r w:rsidR="00071336">
        <w:rPr>
          <w:rFonts w:ascii="Times New Roman" w:hAnsi="Times New Roman"/>
        </w:rPr>
        <w:t>i</w:t>
      </w:r>
      <w:r w:rsidRPr="00FE5B73">
        <w:rPr>
          <w:rFonts w:ascii="Times New Roman" w:hAnsi="Times New Roman"/>
        </w:rPr>
        <w:t>n Balázs</w:t>
      </w:r>
      <w:r w:rsidR="00071336">
        <w:rPr>
          <w:rFonts w:ascii="Times New Roman" w:hAnsi="Times New Roman"/>
        </w:rPr>
        <w:t xml:space="preserve"> </w:t>
      </w:r>
      <w:r w:rsidR="00071336" w:rsidRPr="00FE5B73">
        <w:rPr>
          <w:rFonts w:ascii="Times New Roman" w:hAnsi="Times New Roman"/>
        </w:rPr>
        <w:t xml:space="preserve">Bodzási </w:t>
      </w:r>
      <w:r w:rsidR="00071336">
        <w:rPr>
          <w:rFonts w:ascii="Times New Roman" w:hAnsi="Times New Roman"/>
        </w:rPr>
        <w:t>and</w:t>
      </w:r>
      <w:r w:rsidRPr="00FE5B73">
        <w:rPr>
          <w:rFonts w:ascii="Times New Roman" w:hAnsi="Times New Roman"/>
        </w:rPr>
        <w:t xml:space="preserve"> Zoltán</w:t>
      </w:r>
      <w:r w:rsidR="00071336">
        <w:rPr>
          <w:rFonts w:ascii="Times New Roman" w:hAnsi="Times New Roman"/>
        </w:rPr>
        <w:t xml:space="preserve"> </w:t>
      </w:r>
      <w:r w:rsidR="00071336" w:rsidRPr="00FE5B73">
        <w:rPr>
          <w:rFonts w:ascii="Times New Roman" w:hAnsi="Times New Roman"/>
        </w:rPr>
        <w:t>Csehi</w:t>
      </w:r>
      <w:r w:rsidR="00071336">
        <w:rPr>
          <w:rFonts w:ascii="Times New Roman" w:hAnsi="Times New Roman"/>
        </w:rPr>
        <w:t xml:space="preserve"> (eds)</w:t>
      </w:r>
      <w:r w:rsidRPr="00FE5B73">
        <w:rPr>
          <w:rFonts w:ascii="Times New Roman" w:hAnsi="Times New Roman"/>
        </w:rPr>
        <w:t xml:space="preserve"> </w:t>
      </w:r>
      <w:r w:rsidRPr="00FE5B73">
        <w:rPr>
          <w:rFonts w:ascii="Times New Roman" w:hAnsi="Times New Roman"/>
          <w:i/>
          <w:iCs/>
        </w:rPr>
        <w:t>A Covid-19 és a gazdasági jog. A koronavírus-járvány és a rendkívüli jogrend hatása a magyar gazdasági jogi szabályozásra</w:t>
      </w:r>
      <w:r w:rsidRPr="00FE5B73">
        <w:rPr>
          <w:rFonts w:ascii="Times New Roman" w:hAnsi="Times New Roman"/>
        </w:rPr>
        <w:t xml:space="preserve"> (Magyar Jogász Egylet, 2023</w:t>
      </w:r>
      <w:r w:rsidR="00071336">
        <w:rPr>
          <w:rFonts w:ascii="Times New Roman" w:hAnsi="Times New Roman"/>
        </w:rPr>
        <w:t>)</w:t>
      </w:r>
      <w:r w:rsidR="00FE5B73">
        <w:rPr>
          <w:rFonts w:ascii="Times New Roman" w:hAnsi="Times New Roman"/>
        </w:rPr>
        <w:t>,</w:t>
      </w:r>
      <w:r w:rsidRPr="00FE5B73">
        <w:rPr>
          <w:rFonts w:ascii="Times New Roman" w:hAnsi="Times New Roman"/>
        </w:rPr>
        <w:t xml:space="preserve"> 144.</w:t>
      </w:r>
    </w:p>
  </w:footnote>
  <w:footnote w:id="3">
    <w:p w14:paraId="2BB9A47E" w14:textId="08469819" w:rsidR="000A146B" w:rsidRPr="00FE5B73" w:rsidRDefault="000A146B" w:rsidP="000A146B">
      <w:pPr>
        <w:pStyle w:val="FootnoteText"/>
        <w:rPr>
          <w:rFonts w:ascii="Times New Roman" w:hAnsi="Times New Roman"/>
        </w:rPr>
      </w:pPr>
      <w:r w:rsidRPr="00FE5B73">
        <w:rPr>
          <w:rStyle w:val="FootnoteReference"/>
          <w:rFonts w:ascii="Times New Roman" w:hAnsi="Times New Roman"/>
        </w:rPr>
        <w:footnoteRef/>
      </w:r>
      <w:r w:rsidRPr="00FE5B73">
        <w:rPr>
          <w:rFonts w:ascii="Times New Roman" w:hAnsi="Times New Roman"/>
        </w:rPr>
        <w:t xml:space="preserve"> </w:t>
      </w:r>
      <w:r w:rsidRPr="00FE5B73">
        <w:rPr>
          <w:rFonts w:ascii="Times New Roman" w:hAnsi="Times New Roman"/>
          <w:lang w:val="en-US"/>
        </w:rPr>
        <w:t>Article 76(3)e)</w:t>
      </w:r>
      <w:r w:rsidR="00FE5B73">
        <w:rPr>
          <w:rFonts w:ascii="Times New Roman" w:hAnsi="Times New Roman"/>
          <w:lang w:val="en-US"/>
        </w:rPr>
        <w:t>,</w:t>
      </w:r>
      <w:r w:rsidRPr="00FE5B73">
        <w:rPr>
          <w:rFonts w:ascii="Times New Roman" w:hAnsi="Times New Roman"/>
          <w:lang w:val="en-US"/>
        </w:rPr>
        <w:t xml:space="preserve"> Emergency Act.</w:t>
      </w:r>
    </w:p>
  </w:footnote>
  <w:footnote w:id="4">
    <w:p w14:paraId="0BE84DD1" w14:textId="40F5664E"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76(3)</w:t>
      </w:r>
      <w:r w:rsidR="00FE5B73">
        <w:rPr>
          <w:rFonts w:ascii="Times New Roman" w:hAnsi="Times New Roman"/>
          <w:lang w:val="en-US"/>
        </w:rPr>
        <w:t>(</w:t>
      </w:r>
      <w:r w:rsidRPr="00FE5B73">
        <w:rPr>
          <w:rFonts w:ascii="Times New Roman" w:hAnsi="Times New Roman"/>
          <w:lang w:val="en-US"/>
        </w:rPr>
        <w:t>d).</w:t>
      </w:r>
    </w:p>
  </w:footnote>
  <w:footnote w:id="5">
    <w:p w14:paraId="69FE0ECF" w14:textId="2DE445D8"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76(7).</w:t>
      </w:r>
    </w:p>
  </w:footnote>
  <w:footnote w:id="6">
    <w:p w14:paraId="528B0AC4" w14:textId="49734BA2"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I</w:t>
      </w:r>
      <w:r w:rsidR="00FE5B73">
        <w:rPr>
          <w:rFonts w:ascii="Times New Roman" w:hAnsi="Times New Roman"/>
          <w:lang w:val="en-US"/>
        </w:rPr>
        <w:t>dem</w:t>
      </w:r>
      <w:r w:rsidRPr="00FE5B73">
        <w:rPr>
          <w:rFonts w:ascii="Times New Roman" w:hAnsi="Times New Roman"/>
          <w:lang w:val="en-US"/>
        </w:rPr>
        <w:t>.</w:t>
      </w:r>
    </w:p>
  </w:footnote>
  <w:footnote w:id="7">
    <w:p w14:paraId="3B28ECCD" w14:textId="1D94AF52"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Idem</w:t>
      </w:r>
      <w:r w:rsidRPr="00FE5B73">
        <w:rPr>
          <w:rFonts w:ascii="Times New Roman" w:hAnsi="Times New Roman"/>
          <w:lang w:val="en-US"/>
        </w:rPr>
        <w:t>.</w:t>
      </w:r>
    </w:p>
  </w:footnote>
  <w:footnote w:id="8">
    <w:p w14:paraId="2C114805" w14:textId="3C160AEE"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76(4).</w:t>
      </w:r>
    </w:p>
  </w:footnote>
  <w:footnote w:id="9">
    <w:p w14:paraId="2E04AF99" w14:textId="194D9AA5"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76(6).</w:t>
      </w:r>
    </w:p>
  </w:footnote>
  <w:footnote w:id="10">
    <w:p w14:paraId="04D15AE0" w14:textId="2D575992"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Idem</w:t>
      </w:r>
      <w:r w:rsidRPr="00FE5B73">
        <w:rPr>
          <w:rFonts w:ascii="Times New Roman" w:hAnsi="Times New Roman"/>
          <w:lang w:val="en-US"/>
        </w:rPr>
        <w:t>. In Hungarian law, creditors may form a creditors</w:t>
      </w:r>
      <w:r w:rsidR="001D3B09" w:rsidRPr="00FE5B73">
        <w:rPr>
          <w:rFonts w:ascii="Times New Roman" w:hAnsi="Times New Roman"/>
          <w:lang w:val="en-US"/>
        </w:rPr>
        <w:t>’</w:t>
      </w:r>
      <w:r w:rsidRPr="00FE5B73">
        <w:rPr>
          <w:rFonts w:ascii="Times New Roman" w:hAnsi="Times New Roman"/>
          <w:lang w:val="en-US"/>
        </w:rPr>
        <w:t xml:space="preserve"> assembly to ensure their representation and the protection of their interests. The creditors</w:t>
      </w:r>
      <w:r w:rsidR="001D3B09" w:rsidRPr="00FE5B73">
        <w:rPr>
          <w:rFonts w:ascii="Times New Roman" w:hAnsi="Times New Roman"/>
          <w:lang w:val="en-US"/>
        </w:rPr>
        <w:t>’</w:t>
      </w:r>
      <w:r w:rsidRPr="00FE5B73">
        <w:rPr>
          <w:rFonts w:ascii="Times New Roman" w:hAnsi="Times New Roman"/>
          <w:lang w:val="en-US"/>
        </w:rPr>
        <w:t xml:space="preserve"> assembly also examines the activities of the liquidator and has the power to submit objection against the liquidator</w:t>
      </w:r>
      <w:r w:rsidR="001D3B09" w:rsidRPr="00FE5B73">
        <w:rPr>
          <w:rFonts w:ascii="Times New Roman" w:hAnsi="Times New Roman"/>
          <w:lang w:val="en-US"/>
        </w:rPr>
        <w:t>’</w:t>
      </w:r>
      <w:r w:rsidRPr="00FE5B73">
        <w:rPr>
          <w:rFonts w:ascii="Times New Roman" w:hAnsi="Times New Roman"/>
          <w:lang w:val="en-US"/>
        </w:rPr>
        <w:t>s activities before the court</w:t>
      </w:r>
      <w:r w:rsidR="00FE5B73">
        <w:rPr>
          <w:rFonts w:ascii="Times New Roman" w:hAnsi="Times New Roman"/>
          <w:lang w:val="en-US"/>
        </w:rPr>
        <w:t>:</w:t>
      </w:r>
      <w:r w:rsidRPr="00FE5B73">
        <w:rPr>
          <w:rFonts w:ascii="Times New Roman" w:hAnsi="Times New Roman"/>
          <w:lang w:val="en-US"/>
        </w:rPr>
        <w:t xml:space="preserve"> Article 5/A(1)</w:t>
      </w:r>
      <w:r w:rsidR="00FE5B73">
        <w:rPr>
          <w:rFonts w:ascii="Times New Roman" w:hAnsi="Times New Roman"/>
          <w:lang w:val="en-US"/>
        </w:rPr>
        <w:t>,</w:t>
      </w:r>
      <w:r w:rsidRPr="00FE5B73">
        <w:rPr>
          <w:rFonts w:ascii="Times New Roman" w:hAnsi="Times New Roman"/>
          <w:lang w:val="en-US"/>
        </w:rPr>
        <w:t xml:space="preserve"> Act XLIX of 1991 on Bankruptcy Proceedings and Liquidation Proceedings; Andrea</w:t>
      </w:r>
      <w:r w:rsidR="00071336">
        <w:rPr>
          <w:rFonts w:ascii="Times New Roman" w:hAnsi="Times New Roman"/>
          <w:lang w:val="en-US"/>
        </w:rPr>
        <w:t xml:space="preserve"> </w:t>
      </w:r>
      <w:r w:rsidR="00071336" w:rsidRPr="00FE5B73">
        <w:rPr>
          <w:rFonts w:ascii="Times New Roman" w:hAnsi="Times New Roman"/>
          <w:lang w:val="en-US"/>
        </w:rPr>
        <w:t>Csőke</w:t>
      </w:r>
      <w:r w:rsidR="00071336">
        <w:rPr>
          <w:rFonts w:ascii="Times New Roman" w:hAnsi="Times New Roman"/>
          <w:lang w:val="en-US"/>
        </w:rPr>
        <w:t xml:space="preserve"> and</w:t>
      </w:r>
      <w:r w:rsidRPr="00FE5B73">
        <w:rPr>
          <w:rFonts w:ascii="Times New Roman" w:hAnsi="Times New Roman"/>
          <w:lang w:val="en-US"/>
        </w:rPr>
        <w:t xml:space="preserve"> Róbert</w:t>
      </w:r>
      <w:r w:rsidR="00071336">
        <w:rPr>
          <w:rFonts w:ascii="Times New Roman" w:hAnsi="Times New Roman"/>
          <w:lang w:val="en-US"/>
        </w:rPr>
        <w:t xml:space="preserve"> </w:t>
      </w:r>
      <w:r w:rsidR="00071336" w:rsidRPr="00FE5B73">
        <w:rPr>
          <w:rFonts w:ascii="Times New Roman" w:hAnsi="Times New Roman"/>
          <w:lang w:val="en-US"/>
        </w:rPr>
        <w:t>Muzsalyi</w:t>
      </w:r>
      <w:r w:rsidR="00071336">
        <w:rPr>
          <w:rFonts w:ascii="Times New Roman" w:hAnsi="Times New Roman"/>
          <w:lang w:val="en-US"/>
        </w:rPr>
        <w:t>,</w:t>
      </w:r>
      <w:r w:rsidRPr="00FE5B73">
        <w:rPr>
          <w:rFonts w:ascii="Times New Roman" w:hAnsi="Times New Roman"/>
          <w:lang w:val="en-US"/>
        </w:rPr>
        <w:t xml:space="preserve"> </w:t>
      </w:r>
      <w:r w:rsidRPr="00FE5B73">
        <w:rPr>
          <w:rFonts w:ascii="Times New Roman" w:hAnsi="Times New Roman"/>
          <w:i/>
          <w:iCs/>
          <w:lang w:val="en-US"/>
        </w:rPr>
        <w:t>Nagykommentár a csődeljárásról és a felszámolási eljárásról szóló 1991. évi XLIX. törvényhez</w:t>
      </w:r>
      <w:r w:rsidRPr="00FE5B73">
        <w:rPr>
          <w:rFonts w:ascii="Times New Roman" w:hAnsi="Times New Roman"/>
          <w:lang w:val="en-US"/>
        </w:rPr>
        <w:t>, commentary under Article 5/A as of 1 July 2022.</w:t>
      </w:r>
    </w:p>
  </w:footnote>
  <w:footnote w:id="11">
    <w:p w14:paraId="6E97F221" w14:textId="2A77E230"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Article 76(2)</w:t>
      </w:r>
      <w:r w:rsidR="00FE5B73">
        <w:rPr>
          <w:rFonts w:ascii="Times New Roman" w:hAnsi="Times New Roman"/>
          <w:lang w:val="en-US"/>
        </w:rPr>
        <w:t>,</w:t>
      </w:r>
      <w:r w:rsidRPr="00FE5B73">
        <w:rPr>
          <w:rFonts w:ascii="Times New Roman" w:hAnsi="Times New Roman"/>
          <w:lang w:val="en-US"/>
        </w:rPr>
        <w:t xml:space="preserve"> Emergency Act.</w:t>
      </w:r>
    </w:p>
  </w:footnote>
  <w:footnote w:id="12">
    <w:p w14:paraId="5630C303" w14:textId="62A5AA58"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76(9).</w:t>
      </w:r>
    </w:p>
  </w:footnote>
  <w:footnote w:id="13">
    <w:p w14:paraId="27B64101" w14:textId="6AC207E7"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76(10).</w:t>
      </w:r>
    </w:p>
  </w:footnote>
  <w:footnote w:id="14">
    <w:p w14:paraId="15E880F5" w14:textId="53CDC48A"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76(11).</w:t>
      </w:r>
    </w:p>
  </w:footnote>
  <w:footnote w:id="15">
    <w:p w14:paraId="13A7F652" w14:textId="66CEE189"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76(11).</w:t>
      </w:r>
    </w:p>
  </w:footnote>
  <w:footnote w:id="16">
    <w:p w14:paraId="2DA16DEC" w14:textId="40D6BA15"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76(12).</w:t>
      </w:r>
    </w:p>
  </w:footnote>
  <w:footnote w:id="17">
    <w:p w14:paraId="2502D12D" w14:textId="45A611FD" w:rsidR="000A146B" w:rsidRPr="00FE5B73" w:rsidRDefault="000A146B" w:rsidP="000A146B">
      <w:pPr>
        <w:pStyle w:val="FootnoteText"/>
        <w:rPr>
          <w:rFonts w:ascii="Times New Roman" w:hAnsi="Times New Roman"/>
        </w:rPr>
      </w:pPr>
      <w:r w:rsidRPr="00FE5B73">
        <w:rPr>
          <w:rStyle w:val="FootnoteReference"/>
          <w:rFonts w:ascii="Times New Roman" w:hAnsi="Times New Roman"/>
        </w:rPr>
        <w:footnoteRef/>
      </w:r>
      <w:r w:rsidRPr="00FE5B73">
        <w:rPr>
          <w:rFonts w:ascii="Times New Roman" w:hAnsi="Times New Roman"/>
        </w:rPr>
        <w:t xml:space="preserve"> Fabók</w:t>
      </w:r>
      <w:r w:rsidR="00FE5B73">
        <w:rPr>
          <w:rFonts w:ascii="Times New Roman" w:hAnsi="Times New Roman"/>
        </w:rPr>
        <w:t xml:space="preserve"> and Seres (above note 2)</w:t>
      </w:r>
      <w:r w:rsidRPr="00FE5B73">
        <w:rPr>
          <w:rFonts w:ascii="Times New Roman" w:hAnsi="Times New Roman"/>
        </w:rPr>
        <w:t>, 143.</w:t>
      </w:r>
    </w:p>
  </w:footnote>
  <w:footnote w:id="18">
    <w:p w14:paraId="781F6809" w14:textId="7EFE2199"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Article 3(1)</w:t>
      </w:r>
      <w:r w:rsidR="00FE5B73">
        <w:rPr>
          <w:rFonts w:ascii="Times New Roman" w:hAnsi="Times New Roman"/>
          <w:lang w:val="en-US"/>
        </w:rPr>
        <w:t>,</w:t>
      </w:r>
      <w:r w:rsidRPr="00FE5B73">
        <w:rPr>
          <w:rFonts w:ascii="Times New Roman" w:hAnsi="Times New Roman"/>
          <w:lang w:val="en-US"/>
        </w:rPr>
        <w:t xml:space="preserve"> Government Decree 129 of 2023 (IV. 17.) on emergency rules of sale in order to continue the economic activity of the debtor in the course of winding-up proceedings (</w:t>
      </w:r>
      <w:r w:rsidR="001D3B09" w:rsidRPr="00FE5B73">
        <w:rPr>
          <w:rFonts w:ascii="Times New Roman" w:hAnsi="Times New Roman"/>
          <w:lang w:val="en-US"/>
        </w:rPr>
        <w:t>“</w:t>
      </w:r>
      <w:r w:rsidRPr="00FE5B73">
        <w:rPr>
          <w:rFonts w:ascii="Times New Roman" w:hAnsi="Times New Roman"/>
          <w:b/>
          <w:bCs/>
          <w:lang w:val="en-US"/>
        </w:rPr>
        <w:t>Government Decree</w:t>
      </w:r>
      <w:r w:rsidR="001D3B09" w:rsidRPr="00FE5B73">
        <w:rPr>
          <w:rFonts w:ascii="Times New Roman" w:hAnsi="Times New Roman"/>
          <w:lang w:val="en-US"/>
        </w:rPr>
        <w:t>”</w:t>
      </w:r>
      <w:r w:rsidRPr="00FE5B73">
        <w:rPr>
          <w:rFonts w:ascii="Times New Roman" w:hAnsi="Times New Roman"/>
          <w:lang w:val="en-US"/>
        </w:rPr>
        <w:t>).</w:t>
      </w:r>
    </w:p>
  </w:footnote>
  <w:footnote w:id="19">
    <w:p w14:paraId="67E7266A" w14:textId="402E08A0"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2.</w:t>
      </w:r>
    </w:p>
  </w:footnote>
  <w:footnote w:id="20">
    <w:p w14:paraId="29B9A82C" w14:textId="462D4D32"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3(3).</w:t>
      </w:r>
    </w:p>
  </w:footnote>
  <w:footnote w:id="21">
    <w:p w14:paraId="52755688" w14:textId="769A91A2"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3(4).</w:t>
      </w:r>
    </w:p>
  </w:footnote>
  <w:footnote w:id="22">
    <w:p w14:paraId="7A85823C" w14:textId="6AD4971B"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3(3).</w:t>
      </w:r>
    </w:p>
  </w:footnote>
  <w:footnote w:id="23">
    <w:p w14:paraId="6EE22809" w14:textId="75AE4CEF"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3(4).</w:t>
      </w:r>
    </w:p>
  </w:footnote>
  <w:footnote w:id="24">
    <w:p w14:paraId="7526E55D" w14:textId="0218FF0E"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3(2).</w:t>
      </w:r>
    </w:p>
  </w:footnote>
  <w:footnote w:id="25">
    <w:p w14:paraId="703A29FA" w14:textId="7A777276"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3(3).</w:t>
      </w:r>
    </w:p>
  </w:footnote>
  <w:footnote w:id="26">
    <w:p w14:paraId="02694C24" w14:textId="66B1A9D6"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3(6).</w:t>
      </w:r>
    </w:p>
  </w:footnote>
  <w:footnote w:id="27">
    <w:p w14:paraId="1C9ABF59" w14:textId="0CE318E4"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6(1).</w:t>
      </w:r>
    </w:p>
  </w:footnote>
  <w:footnote w:id="28">
    <w:p w14:paraId="77AB6AA2" w14:textId="215AC604"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w:t>
      </w:r>
      <w:r w:rsidR="00FE5B73">
        <w:rPr>
          <w:rFonts w:ascii="Times New Roman" w:hAnsi="Times New Roman"/>
          <w:lang w:val="en-US"/>
        </w:rPr>
        <w:t xml:space="preserve">Ibid., </w:t>
      </w:r>
      <w:r w:rsidRPr="00FE5B73">
        <w:rPr>
          <w:rFonts w:ascii="Times New Roman" w:hAnsi="Times New Roman"/>
          <w:lang w:val="en-US"/>
        </w:rPr>
        <w:t>Article 6(2).</w:t>
      </w:r>
    </w:p>
  </w:footnote>
  <w:footnote w:id="29">
    <w:p w14:paraId="0626CDA1" w14:textId="590AF3C0"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Article 3:45(1a)</w:t>
      </w:r>
      <w:r w:rsidR="00FE5B73">
        <w:rPr>
          <w:rFonts w:ascii="Times New Roman" w:hAnsi="Times New Roman"/>
          <w:lang w:val="en-US"/>
        </w:rPr>
        <w:t>,</w:t>
      </w:r>
      <w:r w:rsidRPr="00FE5B73">
        <w:rPr>
          <w:rFonts w:ascii="Times New Roman" w:hAnsi="Times New Roman"/>
          <w:lang w:val="en-US"/>
        </w:rPr>
        <w:t xml:space="preserve"> Act V of 2013 on the Civil Code (</w:t>
      </w:r>
      <w:r w:rsidR="001D3B09" w:rsidRPr="00FE5B73">
        <w:rPr>
          <w:rFonts w:ascii="Times New Roman" w:hAnsi="Times New Roman"/>
          <w:lang w:val="en-US"/>
        </w:rPr>
        <w:t>“</w:t>
      </w:r>
      <w:r w:rsidRPr="00FE5B73">
        <w:rPr>
          <w:rFonts w:ascii="Times New Roman" w:hAnsi="Times New Roman"/>
          <w:b/>
          <w:bCs/>
          <w:lang w:val="en-US"/>
        </w:rPr>
        <w:t>Civil Code</w:t>
      </w:r>
      <w:r w:rsidR="001D3B09" w:rsidRPr="00FE5B73">
        <w:rPr>
          <w:rFonts w:ascii="Times New Roman" w:hAnsi="Times New Roman"/>
          <w:lang w:val="en-US"/>
        </w:rPr>
        <w:t>”</w:t>
      </w:r>
      <w:r w:rsidRPr="00FE5B73">
        <w:rPr>
          <w:rFonts w:ascii="Times New Roman" w:hAnsi="Times New Roman"/>
          <w:lang w:val="en-US"/>
        </w:rPr>
        <w:t>).</w:t>
      </w:r>
    </w:p>
  </w:footnote>
  <w:footnote w:id="30">
    <w:p w14:paraId="19AB47DF" w14:textId="4725682E" w:rsidR="000A146B" w:rsidRPr="00FE5B73" w:rsidRDefault="000A146B" w:rsidP="000A146B">
      <w:pPr>
        <w:pStyle w:val="FootnoteText"/>
        <w:rPr>
          <w:rFonts w:ascii="Times New Roman" w:hAnsi="Times New Roman"/>
          <w:lang w:val="en-US"/>
        </w:rPr>
      </w:pPr>
      <w:r w:rsidRPr="00FE5B73">
        <w:rPr>
          <w:rStyle w:val="FootnoteReference"/>
          <w:rFonts w:ascii="Times New Roman" w:hAnsi="Times New Roman"/>
          <w:lang w:val="en-US"/>
        </w:rPr>
        <w:footnoteRef/>
      </w:r>
      <w:r w:rsidRPr="00FE5B73">
        <w:rPr>
          <w:rFonts w:ascii="Times New Roman" w:hAnsi="Times New Roman"/>
          <w:lang w:val="en-US"/>
        </w:rPr>
        <w:t xml:space="preserve"> Reasoning of Act XXXIX of 2023 on legislative amendments to increase the competitiveness of the economy [</w:t>
      </w:r>
      <w:r w:rsidRPr="00FE5B73">
        <w:rPr>
          <w:rFonts w:ascii="Times New Roman" w:hAnsi="Times New Roman"/>
          <w:i/>
          <w:iCs/>
          <w:lang w:val="en-US"/>
        </w:rPr>
        <w:t>which amended the Civil Code – the author</w:t>
      </w:r>
      <w:r w:rsidR="001D3B09" w:rsidRPr="00FE5B73">
        <w:rPr>
          <w:rFonts w:ascii="Times New Roman" w:hAnsi="Times New Roman"/>
          <w:i/>
          <w:iCs/>
          <w:lang w:val="en-US"/>
        </w:rPr>
        <w:t>’</w:t>
      </w:r>
      <w:r w:rsidRPr="00FE5B73">
        <w:rPr>
          <w:rFonts w:ascii="Times New Roman" w:hAnsi="Times New Roman"/>
          <w:i/>
          <w:iCs/>
          <w:lang w:val="en-US"/>
        </w:rPr>
        <w:t>s note</w:t>
      </w:r>
      <w:r w:rsidRPr="00FE5B73">
        <w:rPr>
          <w:rFonts w:ascii="Times New Roman" w:hAnsi="Times New Roman"/>
          <w:lang w:val="en-US"/>
        </w:rPr>
        <w:t>].</w:t>
      </w:r>
    </w:p>
  </w:footnote>
  <w:footnote w:id="31">
    <w:p w14:paraId="5AF0FA32" w14:textId="621B757E" w:rsidR="000A146B" w:rsidRPr="00FE5B73" w:rsidRDefault="000A146B" w:rsidP="000A146B">
      <w:pPr>
        <w:pStyle w:val="FootnoteText"/>
        <w:rPr>
          <w:rFonts w:ascii="Times New Roman" w:hAnsi="Times New Roman"/>
        </w:rPr>
      </w:pPr>
      <w:r w:rsidRPr="00FE5B73">
        <w:rPr>
          <w:rStyle w:val="FootnoteReference"/>
          <w:rFonts w:ascii="Times New Roman" w:hAnsi="Times New Roman"/>
        </w:rPr>
        <w:footnoteRef/>
      </w:r>
      <w:r w:rsidRPr="00FE5B73">
        <w:rPr>
          <w:rFonts w:ascii="Times New Roman" w:hAnsi="Times New Roman"/>
        </w:rPr>
        <w:t xml:space="preserve"> </w:t>
      </w:r>
      <w:r w:rsidRPr="00FE5B73">
        <w:rPr>
          <w:rFonts w:ascii="Times New Roman" w:hAnsi="Times New Roman"/>
          <w:lang w:val="en-US"/>
        </w:rPr>
        <w:t>Mária</w:t>
      </w:r>
      <w:r w:rsidR="00071336">
        <w:rPr>
          <w:rFonts w:ascii="Times New Roman" w:hAnsi="Times New Roman"/>
          <w:lang w:val="en-US"/>
        </w:rPr>
        <w:t xml:space="preserve"> </w:t>
      </w:r>
      <w:r w:rsidR="00071336" w:rsidRPr="00FE5B73">
        <w:rPr>
          <w:rFonts w:ascii="Times New Roman" w:hAnsi="Times New Roman"/>
          <w:lang w:val="en-US"/>
        </w:rPr>
        <w:t>Bodor</w:t>
      </w:r>
      <w:r w:rsidR="00071336">
        <w:rPr>
          <w:rFonts w:ascii="Times New Roman" w:hAnsi="Times New Roman"/>
          <w:lang w:val="en-US"/>
        </w:rPr>
        <w:t>,</w:t>
      </w:r>
      <w:r w:rsidRPr="00FE5B73">
        <w:rPr>
          <w:rFonts w:ascii="Times New Roman" w:hAnsi="Times New Roman"/>
          <w:lang w:val="en-US"/>
        </w:rPr>
        <w:t xml:space="preserve"> </w:t>
      </w:r>
      <w:r w:rsidR="00071336" w:rsidRPr="00071336">
        <w:rPr>
          <w:rFonts w:ascii="Times New Roman" w:hAnsi="Times New Roman"/>
          <w:lang w:val="en-US"/>
        </w:rPr>
        <w:t>‘</w:t>
      </w:r>
      <w:r w:rsidRPr="00071336">
        <w:rPr>
          <w:rFonts w:ascii="Times New Roman" w:hAnsi="Times New Roman"/>
          <w:lang w:val="en-US"/>
        </w:rPr>
        <w:t>A leválás, mint régi-új jogintézmény az átalakulás jogában</w:t>
      </w:r>
      <w:r w:rsidR="00071336">
        <w:rPr>
          <w:rFonts w:ascii="Times New Roman" w:hAnsi="Times New Roman"/>
          <w:lang w:val="en-US"/>
        </w:rPr>
        <w:t>’</w:t>
      </w:r>
      <w:r w:rsidRPr="00FE5B73">
        <w:rPr>
          <w:rFonts w:ascii="Times New Roman" w:hAnsi="Times New Roman"/>
          <w:lang w:val="en-US"/>
        </w:rPr>
        <w:t xml:space="preserve"> </w:t>
      </w:r>
      <w:r w:rsidR="00071336">
        <w:rPr>
          <w:rFonts w:ascii="Times New Roman" w:hAnsi="Times New Roman"/>
          <w:lang w:val="en-US"/>
        </w:rPr>
        <w:t xml:space="preserve">(2023) 7-8 </w:t>
      </w:r>
      <w:r w:rsidRPr="00071336">
        <w:rPr>
          <w:rFonts w:ascii="Times New Roman" w:hAnsi="Times New Roman"/>
          <w:i/>
          <w:iCs/>
          <w:lang w:val="en-US"/>
        </w:rPr>
        <w:t>Gazdaság és Jog</w:t>
      </w:r>
      <w:r w:rsidR="00FE5B73">
        <w:rPr>
          <w:rFonts w:ascii="Times New Roman" w:hAnsi="Times New Roman"/>
          <w:lang w:val="en-US"/>
        </w:rPr>
        <w:t>,</w:t>
      </w:r>
      <w:r w:rsidRPr="00FE5B73">
        <w:rPr>
          <w:rFonts w:ascii="Times New Roman" w:hAnsi="Times New Roman"/>
          <w:lang w:val="en-US"/>
        </w:rPr>
        <w:t xml:space="preserve"> 59.</w:t>
      </w:r>
    </w:p>
  </w:footnote>
  <w:footnote w:id="32">
    <w:p w14:paraId="69BB353D" w14:textId="53287818" w:rsidR="000A146B" w:rsidRPr="00FE5B73" w:rsidRDefault="000A146B" w:rsidP="000A146B">
      <w:pPr>
        <w:pStyle w:val="FootnoteText"/>
        <w:rPr>
          <w:rFonts w:ascii="Times New Roman" w:hAnsi="Times New Roman"/>
        </w:rPr>
      </w:pPr>
      <w:r w:rsidRPr="00FE5B73">
        <w:rPr>
          <w:rStyle w:val="FootnoteReference"/>
          <w:rFonts w:ascii="Times New Roman" w:hAnsi="Times New Roman"/>
          <w:lang w:val="en-US"/>
        </w:rPr>
        <w:footnoteRef/>
      </w:r>
      <w:r w:rsidRPr="00FE5B73">
        <w:rPr>
          <w:rFonts w:ascii="Times New Roman" w:hAnsi="Times New Roman"/>
        </w:rPr>
        <w:t xml:space="preserve"> </w:t>
      </w:r>
      <w:r w:rsidR="00FE5B73">
        <w:rPr>
          <w:rFonts w:ascii="Times New Roman" w:hAnsi="Times New Roman"/>
        </w:rPr>
        <w:t xml:space="preserve">Ibid., </w:t>
      </w:r>
      <w:r w:rsidRPr="00FE5B73">
        <w:rPr>
          <w:rFonts w:ascii="Times New Roman" w:hAnsi="Times New Roman"/>
        </w:rPr>
        <w:t>59; Marianna</w:t>
      </w:r>
      <w:r w:rsidR="00071336">
        <w:rPr>
          <w:rFonts w:ascii="Times New Roman" w:hAnsi="Times New Roman"/>
        </w:rPr>
        <w:t xml:space="preserve"> </w:t>
      </w:r>
      <w:r w:rsidR="00071336" w:rsidRPr="00FE5B73">
        <w:rPr>
          <w:rFonts w:ascii="Times New Roman" w:hAnsi="Times New Roman"/>
        </w:rPr>
        <w:t>Dzsula</w:t>
      </w:r>
      <w:r w:rsidR="00071336">
        <w:rPr>
          <w:rFonts w:ascii="Times New Roman" w:hAnsi="Times New Roman"/>
        </w:rPr>
        <w:t>,</w:t>
      </w:r>
      <w:r w:rsidRPr="00FE5B73">
        <w:rPr>
          <w:rFonts w:ascii="Times New Roman" w:hAnsi="Times New Roman"/>
        </w:rPr>
        <w:t xml:space="preserve"> </w:t>
      </w:r>
      <w:r w:rsidRPr="00FE5B73">
        <w:rPr>
          <w:rFonts w:ascii="Times New Roman" w:hAnsi="Times New Roman"/>
          <w:i/>
          <w:iCs/>
        </w:rPr>
        <w:t>Nagykommentár az egyes jogi személyek átalakulásáról, egyesüléséről, szétválásáról szóló 2013. évi CLXXVI. törvényhez</w:t>
      </w:r>
      <w:r w:rsidRPr="00FE5B73">
        <w:rPr>
          <w:rFonts w:ascii="Times New Roman" w:hAnsi="Times New Roman"/>
        </w:rPr>
        <w:t>, commentary under Article 18/A as of 1 January 2024.</w:t>
      </w:r>
    </w:p>
  </w:footnote>
  <w:footnote w:id="33">
    <w:p w14:paraId="4DF666A3" w14:textId="692BBE7A" w:rsidR="000A146B" w:rsidRPr="00FE5B73" w:rsidRDefault="000A146B" w:rsidP="000A146B">
      <w:pPr>
        <w:pStyle w:val="FootnoteText"/>
        <w:rPr>
          <w:rFonts w:ascii="Times New Roman" w:hAnsi="Times New Roman"/>
        </w:rPr>
      </w:pPr>
      <w:r w:rsidRPr="00FE5B73">
        <w:rPr>
          <w:rStyle w:val="FootnoteReference"/>
          <w:rFonts w:ascii="Times New Roman" w:hAnsi="Times New Roman"/>
          <w:lang w:val="en-US"/>
        </w:rPr>
        <w:footnoteRef/>
      </w:r>
      <w:r w:rsidRPr="00FE5B73">
        <w:rPr>
          <w:rFonts w:ascii="Times New Roman" w:hAnsi="Times New Roman"/>
          <w:lang w:val="en-US"/>
        </w:rPr>
        <w:t xml:space="preserve"> Article 3:163(1)</w:t>
      </w:r>
      <w:r w:rsidR="00FE5B73">
        <w:rPr>
          <w:rFonts w:ascii="Times New Roman" w:hAnsi="Times New Roman"/>
          <w:lang w:val="en-US"/>
        </w:rPr>
        <w:t>,</w:t>
      </w:r>
      <w:r w:rsidRPr="00FE5B73">
        <w:rPr>
          <w:rFonts w:ascii="Times New Roman" w:hAnsi="Times New Roman"/>
          <w:lang w:val="en-US"/>
        </w:rPr>
        <w:t xml:space="preserve"> Civil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0D0DD" w14:textId="4634B642" w:rsidR="00BF3D3E" w:rsidRPr="00C2522B" w:rsidRDefault="00BF3D3E" w:rsidP="00C2522B">
    <w:pPr>
      <w:pStyle w:val="Header"/>
      <w:spacing w:after="0"/>
      <w:rPr>
        <w:rFonts w:ascii="Arial" w:hAnsi="Arial" w:cs="Arial"/>
        <w:b/>
      </w:rPr>
    </w:pPr>
    <w:r w:rsidRPr="00C2522B">
      <w:rPr>
        <w:rFonts w:ascii="Arial" w:hAnsi="Arial" w:cs="Arial"/>
        <w:b/>
      </w:rPr>
      <w:t>Inside Story (</w:t>
    </w:r>
    <w:r w:rsidR="000A146B">
      <w:rPr>
        <w:rFonts w:ascii="Arial" w:hAnsi="Arial" w:cs="Arial"/>
        <w:b/>
      </w:rPr>
      <w:t>Nov</w:t>
    </w:r>
    <w:r w:rsidR="00D976DE">
      <w:rPr>
        <w:rFonts w:ascii="Arial" w:hAnsi="Arial" w:cs="Arial"/>
        <w:b/>
      </w:rPr>
      <w:t>ember</w:t>
    </w:r>
    <w:r w:rsidR="001B33AD">
      <w:rPr>
        <w:rFonts w:ascii="Arial" w:hAnsi="Arial" w:cs="Arial"/>
        <w:b/>
      </w:rPr>
      <w:t xml:space="preserve"> </w:t>
    </w:r>
    <w:r w:rsidR="003666A0">
      <w:rPr>
        <w:rFonts w:ascii="Arial" w:hAnsi="Arial" w:cs="Arial"/>
        <w:b/>
      </w:rPr>
      <w:t>20</w:t>
    </w:r>
    <w:r w:rsidR="00C50AF8">
      <w:rPr>
        <w:rFonts w:ascii="Arial" w:hAnsi="Arial" w:cs="Arial"/>
        <w:b/>
      </w:rPr>
      <w:t>2</w:t>
    </w:r>
    <w:r w:rsidR="000A146B">
      <w:rPr>
        <w:rFonts w:ascii="Arial" w:hAnsi="Arial" w:cs="Arial"/>
        <w:b/>
      </w:rPr>
      <w:t>4</w:t>
    </w:r>
    <w:r w:rsidRPr="00C2522B">
      <w:rPr>
        <w:rFonts w:ascii="Arial" w:hAnsi="Arial" w:cs="Arial"/>
        <w:b/>
      </w:rPr>
      <w:t>)</w:t>
    </w:r>
  </w:p>
  <w:p w14:paraId="5CB97EE8" w14:textId="2410D9E1" w:rsidR="00BF3D3E" w:rsidRPr="00C2522B" w:rsidRDefault="000A146B" w:rsidP="00C2522B">
    <w:pPr>
      <w:pStyle w:val="Header"/>
      <w:spacing w:after="0"/>
      <w:rPr>
        <w:rFonts w:ascii="Arial" w:hAnsi="Arial" w:cs="Arial"/>
        <w:b/>
      </w:rPr>
    </w:pPr>
    <w:r>
      <w:rPr>
        <w:rFonts w:ascii="Arial" w:hAnsi="Arial" w:cs="Arial"/>
        <w:b/>
      </w:rPr>
      <w:t xml:space="preserve">Marcell Valastyán </w:t>
    </w:r>
    <w:r w:rsidR="00BF3D3E" w:rsidRPr="00C2522B">
      <w:rPr>
        <w:rFonts w:ascii="Arial" w:hAnsi="Arial" w:cs="Arial"/>
        <w:b/>
      </w:rPr>
      <w:t>(</w:t>
    </w:r>
    <w:r w:rsidR="00D976DE">
      <w:rPr>
        <w:rFonts w:ascii="Arial" w:hAnsi="Arial" w:cs="Arial"/>
        <w:b/>
      </w:rPr>
      <w:t>Hungary</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79448BC"/>
    <w:multiLevelType w:val="hybridMultilevel"/>
    <w:tmpl w:val="E2E87F00"/>
    <w:lvl w:ilvl="0" w:tplc="78B2A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278437FE"/>
    <w:multiLevelType w:val="hybridMultilevel"/>
    <w:tmpl w:val="300CC820"/>
    <w:lvl w:ilvl="0" w:tplc="1500256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2121297704">
    <w:abstractNumId w:val="7"/>
  </w:num>
  <w:num w:numId="2" w16cid:durableId="1363359085">
    <w:abstractNumId w:val="4"/>
  </w:num>
  <w:num w:numId="3" w16cid:durableId="1411854337">
    <w:abstractNumId w:val="21"/>
  </w:num>
  <w:num w:numId="4" w16cid:durableId="1932198755">
    <w:abstractNumId w:val="10"/>
  </w:num>
  <w:num w:numId="5" w16cid:durableId="1793790779">
    <w:abstractNumId w:val="12"/>
  </w:num>
  <w:num w:numId="6" w16cid:durableId="1651638743">
    <w:abstractNumId w:val="22"/>
  </w:num>
  <w:num w:numId="7" w16cid:durableId="939872828">
    <w:abstractNumId w:val="0"/>
  </w:num>
  <w:num w:numId="8" w16cid:durableId="424956039">
    <w:abstractNumId w:val="6"/>
  </w:num>
  <w:num w:numId="9" w16cid:durableId="1101335498">
    <w:abstractNumId w:val="2"/>
  </w:num>
  <w:num w:numId="10" w16cid:durableId="1401053181">
    <w:abstractNumId w:val="1"/>
  </w:num>
  <w:num w:numId="11" w16cid:durableId="267352727">
    <w:abstractNumId w:val="18"/>
  </w:num>
  <w:num w:numId="12" w16cid:durableId="817572794">
    <w:abstractNumId w:val="5"/>
  </w:num>
  <w:num w:numId="13" w16cid:durableId="1372027230">
    <w:abstractNumId w:val="17"/>
  </w:num>
  <w:num w:numId="14" w16cid:durableId="2122990948">
    <w:abstractNumId w:val="12"/>
  </w:num>
  <w:num w:numId="15" w16cid:durableId="355473828">
    <w:abstractNumId w:val="12"/>
  </w:num>
  <w:num w:numId="16" w16cid:durableId="692653099">
    <w:abstractNumId w:val="12"/>
  </w:num>
  <w:num w:numId="17" w16cid:durableId="212815272">
    <w:abstractNumId w:val="12"/>
  </w:num>
  <w:num w:numId="18" w16cid:durableId="1793556114">
    <w:abstractNumId w:val="12"/>
  </w:num>
  <w:num w:numId="19" w16cid:durableId="73356983">
    <w:abstractNumId w:val="12"/>
  </w:num>
  <w:num w:numId="20" w16cid:durableId="957563467">
    <w:abstractNumId w:val="4"/>
  </w:num>
  <w:num w:numId="21" w16cid:durableId="950284534">
    <w:abstractNumId w:val="21"/>
  </w:num>
  <w:num w:numId="22" w16cid:durableId="1618753981">
    <w:abstractNumId w:val="12"/>
  </w:num>
  <w:num w:numId="23" w16cid:durableId="636958369">
    <w:abstractNumId w:val="10"/>
  </w:num>
  <w:num w:numId="24" w16cid:durableId="781730562">
    <w:abstractNumId w:val="20"/>
  </w:num>
  <w:num w:numId="25" w16cid:durableId="955523585">
    <w:abstractNumId w:val="14"/>
  </w:num>
  <w:num w:numId="26" w16cid:durableId="902325579">
    <w:abstractNumId w:val="16"/>
  </w:num>
  <w:num w:numId="27" w16cid:durableId="1634677223">
    <w:abstractNumId w:val="13"/>
  </w:num>
  <w:num w:numId="28" w16cid:durableId="1243949935">
    <w:abstractNumId w:val="15"/>
  </w:num>
  <w:num w:numId="29" w16cid:durableId="1183275689">
    <w:abstractNumId w:val="3"/>
  </w:num>
  <w:num w:numId="30" w16cid:durableId="485126479">
    <w:abstractNumId w:val="9"/>
  </w:num>
  <w:num w:numId="31" w16cid:durableId="773552926">
    <w:abstractNumId w:val="19"/>
  </w:num>
  <w:num w:numId="32" w16cid:durableId="1944724759">
    <w:abstractNumId w:val="11"/>
  </w:num>
  <w:num w:numId="33" w16cid:durableId="166751518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55219"/>
    <w:rsid w:val="00071336"/>
    <w:rsid w:val="00086E49"/>
    <w:rsid w:val="000921F0"/>
    <w:rsid w:val="00092307"/>
    <w:rsid w:val="000A146B"/>
    <w:rsid w:val="000B27DE"/>
    <w:rsid w:val="000C4532"/>
    <w:rsid w:val="000D3C8B"/>
    <w:rsid w:val="00106A4F"/>
    <w:rsid w:val="001258A8"/>
    <w:rsid w:val="00127C4A"/>
    <w:rsid w:val="00141375"/>
    <w:rsid w:val="00142A99"/>
    <w:rsid w:val="00145356"/>
    <w:rsid w:val="00161EA8"/>
    <w:rsid w:val="00165980"/>
    <w:rsid w:val="00173A72"/>
    <w:rsid w:val="001835B2"/>
    <w:rsid w:val="001934CC"/>
    <w:rsid w:val="001A713B"/>
    <w:rsid w:val="001A79B0"/>
    <w:rsid w:val="001B33AD"/>
    <w:rsid w:val="001C30BB"/>
    <w:rsid w:val="001C5080"/>
    <w:rsid w:val="001C7EFA"/>
    <w:rsid w:val="001D3A90"/>
    <w:rsid w:val="001D3B09"/>
    <w:rsid w:val="001E0189"/>
    <w:rsid w:val="001F119D"/>
    <w:rsid w:val="00207BAF"/>
    <w:rsid w:val="00244BC4"/>
    <w:rsid w:val="00247BAC"/>
    <w:rsid w:val="002510D8"/>
    <w:rsid w:val="00276632"/>
    <w:rsid w:val="00277B0D"/>
    <w:rsid w:val="00280030"/>
    <w:rsid w:val="002A635A"/>
    <w:rsid w:val="002E09E9"/>
    <w:rsid w:val="003021B6"/>
    <w:rsid w:val="00310F8E"/>
    <w:rsid w:val="003217E3"/>
    <w:rsid w:val="003218D0"/>
    <w:rsid w:val="0032563F"/>
    <w:rsid w:val="00334BA9"/>
    <w:rsid w:val="00340FF0"/>
    <w:rsid w:val="00343960"/>
    <w:rsid w:val="003518FD"/>
    <w:rsid w:val="00353A7E"/>
    <w:rsid w:val="003666A0"/>
    <w:rsid w:val="00367985"/>
    <w:rsid w:val="003771FB"/>
    <w:rsid w:val="00395D89"/>
    <w:rsid w:val="00396E5A"/>
    <w:rsid w:val="003978ED"/>
    <w:rsid w:val="003C284E"/>
    <w:rsid w:val="003C69AB"/>
    <w:rsid w:val="003E3EAC"/>
    <w:rsid w:val="00404D9A"/>
    <w:rsid w:val="00415AEE"/>
    <w:rsid w:val="00415DDB"/>
    <w:rsid w:val="00434808"/>
    <w:rsid w:val="00437BFE"/>
    <w:rsid w:val="00440777"/>
    <w:rsid w:val="00440CF8"/>
    <w:rsid w:val="004433C5"/>
    <w:rsid w:val="00462D69"/>
    <w:rsid w:val="00470254"/>
    <w:rsid w:val="00484F6D"/>
    <w:rsid w:val="004B33DA"/>
    <w:rsid w:val="004B3FED"/>
    <w:rsid w:val="004C1D5E"/>
    <w:rsid w:val="004D1D7E"/>
    <w:rsid w:val="004F57B8"/>
    <w:rsid w:val="00525C8B"/>
    <w:rsid w:val="00535342"/>
    <w:rsid w:val="005452A1"/>
    <w:rsid w:val="00557280"/>
    <w:rsid w:val="00557A0F"/>
    <w:rsid w:val="00560963"/>
    <w:rsid w:val="00570073"/>
    <w:rsid w:val="005764A7"/>
    <w:rsid w:val="00577785"/>
    <w:rsid w:val="00593E77"/>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C4484"/>
    <w:rsid w:val="007D5F6C"/>
    <w:rsid w:val="007E1590"/>
    <w:rsid w:val="00807744"/>
    <w:rsid w:val="008432D1"/>
    <w:rsid w:val="00847988"/>
    <w:rsid w:val="00865CA7"/>
    <w:rsid w:val="00867725"/>
    <w:rsid w:val="00876BCD"/>
    <w:rsid w:val="00877CBB"/>
    <w:rsid w:val="00886023"/>
    <w:rsid w:val="008C6394"/>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52F0"/>
    <w:rsid w:val="00A0599F"/>
    <w:rsid w:val="00A14E9E"/>
    <w:rsid w:val="00A34959"/>
    <w:rsid w:val="00A3654A"/>
    <w:rsid w:val="00A81F5B"/>
    <w:rsid w:val="00AA5888"/>
    <w:rsid w:val="00AA741E"/>
    <w:rsid w:val="00AD3470"/>
    <w:rsid w:val="00AD6AE4"/>
    <w:rsid w:val="00AE7905"/>
    <w:rsid w:val="00B10912"/>
    <w:rsid w:val="00B113A0"/>
    <w:rsid w:val="00B40F88"/>
    <w:rsid w:val="00B46BCC"/>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976DE"/>
    <w:rsid w:val="00DA66F6"/>
    <w:rsid w:val="00DE3F8B"/>
    <w:rsid w:val="00DE5F99"/>
    <w:rsid w:val="00DE7BB0"/>
    <w:rsid w:val="00E007BF"/>
    <w:rsid w:val="00E2501C"/>
    <w:rsid w:val="00E33168"/>
    <w:rsid w:val="00E37A5D"/>
    <w:rsid w:val="00E53ABF"/>
    <w:rsid w:val="00E6510B"/>
    <w:rsid w:val="00EB1C4C"/>
    <w:rsid w:val="00EB6116"/>
    <w:rsid w:val="00EC1075"/>
    <w:rsid w:val="00ED21A7"/>
    <w:rsid w:val="00F173BA"/>
    <w:rsid w:val="00F20AC6"/>
    <w:rsid w:val="00F36532"/>
    <w:rsid w:val="00F55F2D"/>
    <w:rsid w:val="00F77372"/>
    <w:rsid w:val="00F90C01"/>
    <w:rsid w:val="00FB7C3C"/>
    <w:rsid w:val="00FC7C4F"/>
    <w:rsid w:val="00FD1151"/>
    <w:rsid w:val="00FD50FE"/>
    <w:rsid w:val="00FE08BF"/>
    <w:rsid w:val="00FE4E82"/>
    <w:rsid w:val="00FE5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 w:type="paragraph" w:styleId="BodyTextIndent">
    <w:name w:val="Body Text Indent"/>
    <w:basedOn w:val="Normal"/>
    <w:link w:val="BodyTextIndentChar"/>
    <w:semiHidden/>
    <w:unhideWhenUsed/>
    <w:rsid w:val="00D976DE"/>
    <w:pPr>
      <w:spacing w:after="120"/>
      <w:ind w:left="283"/>
    </w:pPr>
  </w:style>
  <w:style w:type="character" w:customStyle="1" w:styleId="BodyTextIndentChar">
    <w:name w:val="Body Text Indent Char"/>
    <w:basedOn w:val="DefaultParagraphFont"/>
    <w:link w:val="BodyTextIndent"/>
    <w:semiHidden/>
    <w:rsid w:val="00D976DE"/>
    <w:rPr>
      <w:rFonts w:ascii="Calibri" w:hAnsi="Calibri"/>
      <w:sz w:val="21"/>
      <w:szCs w:val="20"/>
    </w:rPr>
  </w:style>
  <w:style w:type="paragraph" w:customStyle="1" w:styleId="MarginText">
    <w:name w:val="Margin Text"/>
    <w:basedOn w:val="Normal"/>
    <w:rsid w:val="00D976DE"/>
    <w:pPr>
      <w:adjustRightInd w:val="0"/>
      <w:spacing w:line="360" w:lineRule="auto"/>
    </w:pPr>
    <w:rPr>
      <w:rFonts w:ascii="Times New Roman" w:eastAsia="STZhongsong" w:hAnsi="Times New Roman"/>
      <w:kern w:val="28"/>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E1DC-3F04-4278-A332-2B2A3889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9398</Characters>
  <Application>Microsoft Office Word</Application>
  <DocSecurity>0</DocSecurity>
  <PresentationFormat/>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14</cp:revision>
  <cp:lastPrinted>2017-11-20T20:14:00Z</cp:lastPrinted>
  <dcterms:created xsi:type="dcterms:W3CDTF">2020-04-01T13:31:00Z</dcterms:created>
  <dcterms:modified xsi:type="dcterms:W3CDTF">2024-09-04T11:28:00Z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