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654568" w:rsidRDefault="00492065" w:rsidP="008609CB">
      <w:pPr>
        <w:spacing w:after="0"/>
        <w:contextualSpacing/>
        <w:jc w:val="center"/>
        <w:rPr>
          <w:rFonts w:ascii="Times New Roman" w:hAnsi="Times New Roman"/>
          <w:b/>
          <w:sz w:val="24"/>
          <w:szCs w:val="24"/>
        </w:rPr>
      </w:pPr>
      <w:r w:rsidRPr="00654568">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654568" w:rsidRDefault="00617533" w:rsidP="008609CB">
      <w:pPr>
        <w:spacing w:after="0"/>
        <w:contextualSpacing/>
        <w:jc w:val="center"/>
        <w:rPr>
          <w:rFonts w:ascii="Times New Roman" w:hAnsi="Times New Roman"/>
          <w:b/>
          <w:sz w:val="24"/>
          <w:szCs w:val="24"/>
        </w:rPr>
      </w:pPr>
    </w:p>
    <w:p w14:paraId="2C7EFD65" w14:textId="5B362DDD" w:rsidR="00617533" w:rsidRPr="00654568" w:rsidRDefault="00617533" w:rsidP="008609CB">
      <w:pPr>
        <w:spacing w:after="0"/>
        <w:contextualSpacing/>
        <w:jc w:val="center"/>
        <w:rPr>
          <w:rFonts w:ascii="Times New Roman" w:hAnsi="Times New Roman"/>
          <w:b/>
          <w:sz w:val="36"/>
          <w:szCs w:val="36"/>
        </w:rPr>
      </w:pPr>
      <w:r w:rsidRPr="00654568">
        <w:rPr>
          <w:rFonts w:ascii="Times New Roman" w:hAnsi="Times New Roman"/>
          <w:b/>
          <w:sz w:val="36"/>
          <w:szCs w:val="36"/>
        </w:rPr>
        <w:t xml:space="preserve">Inside Story – </w:t>
      </w:r>
      <w:r w:rsidR="000E6FB9" w:rsidRPr="00654568">
        <w:rPr>
          <w:rFonts w:ascii="Times New Roman" w:hAnsi="Times New Roman"/>
          <w:b/>
          <w:sz w:val="36"/>
          <w:szCs w:val="36"/>
        </w:rPr>
        <w:t>June</w:t>
      </w:r>
      <w:r w:rsidR="00786CA6" w:rsidRPr="00654568">
        <w:rPr>
          <w:rFonts w:ascii="Times New Roman" w:hAnsi="Times New Roman"/>
          <w:b/>
          <w:sz w:val="36"/>
          <w:szCs w:val="36"/>
        </w:rPr>
        <w:t xml:space="preserve"> </w:t>
      </w:r>
      <w:r w:rsidRPr="00654568">
        <w:rPr>
          <w:rFonts w:ascii="Times New Roman" w:hAnsi="Times New Roman"/>
          <w:b/>
          <w:sz w:val="36"/>
          <w:szCs w:val="36"/>
        </w:rPr>
        <w:t>20</w:t>
      </w:r>
      <w:r w:rsidR="00782731" w:rsidRPr="00654568">
        <w:rPr>
          <w:rFonts w:ascii="Times New Roman" w:hAnsi="Times New Roman"/>
          <w:b/>
          <w:sz w:val="36"/>
          <w:szCs w:val="36"/>
        </w:rPr>
        <w:t>2</w:t>
      </w:r>
      <w:r w:rsidR="00183674" w:rsidRPr="00654568">
        <w:rPr>
          <w:rFonts w:ascii="Times New Roman" w:hAnsi="Times New Roman"/>
          <w:b/>
          <w:sz w:val="36"/>
          <w:szCs w:val="36"/>
        </w:rPr>
        <w:t>4</w:t>
      </w:r>
    </w:p>
    <w:p w14:paraId="1ECBC4F0" w14:textId="77777777" w:rsidR="00617533" w:rsidRPr="00654568" w:rsidRDefault="00617533" w:rsidP="008609CB">
      <w:pPr>
        <w:spacing w:after="0"/>
        <w:contextualSpacing/>
        <w:jc w:val="center"/>
        <w:rPr>
          <w:rFonts w:ascii="Times New Roman" w:hAnsi="Times New Roman"/>
          <w:b/>
          <w:sz w:val="24"/>
          <w:szCs w:val="24"/>
        </w:rPr>
      </w:pPr>
    </w:p>
    <w:p w14:paraId="419043F1" w14:textId="6DF33334" w:rsidR="00640EFC" w:rsidRPr="00654568" w:rsidRDefault="000E6FB9" w:rsidP="00640EFC">
      <w:pPr>
        <w:spacing w:after="0"/>
        <w:jc w:val="center"/>
        <w:rPr>
          <w:rFonts w:ascii="Times New Roman" w:hAnsi="Times New Roman"/>
          <w:b/>
          <w:bCs/>
          <w:sz w:val="32"/>
          <w:szCs w:val="32"/>
        </w:rPr>
      </w:pPr>
      <w:r w:rsidRPr="00654568">
        <w:rPr>
          <w:rFonts w:ascii="Times New Roman" w:hAnsi="Times New Roman"/>
          <w:b/>
          <w:bCs/>
          <w:sz w:val="32"/>
          <w:szCs w:val="32"/>
        </w:rPr>
        <w:t xml:space="preserve">Navigating Uncertainty in Belgian Insolvency: Technology-Driven Businesses and the Enigma of Software </w:t>
      </w:r>
      <w:r w:rsidR="00061FBC">
        <w:rPr>
          <w:rFonts w:ascii="Times New Roman" w:hAnsi="Times New Roman"/>
          <w:b/>
          <w:bCs/>
          <w:sz w:val="32"/>
          <w:szCs w:val="32"/>
        </w:rPr>
        <w:t>Licence</w:t>
      </w:r>
      <w:r w:rsidRPr="00654568">
        <w:rPr>
          <w:rFonts w:ascii="Times New Roman" w:hAnsi="Times New Roman"/>
          <w:b/>
          <w:bCs/>
          <w:sz w:val="32"/>
          <w:szCs w:val="32"/>
        </w:rPr>
        <w:t>s</w:t>
      </w:r>
    </w:p>
    <w:p w14:paraId="75DFE654" w14:textId="77777777" w:rsidR="00E71E7B" w:rsidRPr="00654568" w:rsidRDefault="00E71E7B" w:rsidP="008609CB">
      <w:pPr>
        <w:spacing w:after="0"/>
        <w:contextualSpacing/>
        <w:jc w:val="center"/>
        <w:rPr>
          <w:rFonts w:ascii="Times New Roman" w:hAnsi="Times New Roman"/>
          <w:sz w:val="24"/>
          <w:szCs w:val="24"/>
        </w:rPr>
      </w:pPr>
    </w:p>
    <w:p w14:paraId="0DAE9D3B" w14:textId="3637ECDB" w:rsidR="0011226B" w:rsidRPr="00654568" w:rsidRDefault="000E6FB9" w:rsidP="0011226B">
      <w:pPr>
        <w:pStyle w:val="NoSpacing"/>
        <w:jc w:val="center"/>
        <w:rPr>
          <w:rFonts w:ascii="Times New Roman" w:hAnsi="Times New Roman" w:cs="Times New Roman"/>
          <w:i/>
          <w:iCs/>
          <w:sz w:val="24"/>
          <w:szCs w:val="24"/>
          <w:shd w:val="clear" w:color="auto" w:fill="FFFFFF"/>
          <w:lang w:val="en-GB"/>
        </w:rPr>
      </w:pPr>
      <w:r w:rsidRPr="00654568">
        <w:rPr>
          <w:rFonts w:ascii="Times New Roman" w:hAnsi="Times New Roman" w:cs="Times New Roman"/>
          <w:i/>
          <w:sz w:val="24"/>
          <w:szCs w:val="24"/>
          <w:lang w:val="en-GB"/>
        </w:rPr>
        <w:t xml:space="preserve">Jente Dengler, </w:t>
      </w:r>
      <w:r w:rsidR="0097553C" w:rsidRPr="0097553C">
        <w:rPr>
          <w:rFonts w:ascii="Times New Roman" w:hAnsi="Times New Roman" w:cs="Times New Roman"/>
          <w:i/>
          <w:sz w:val="24"/>
          <w:szCs w:val="24"/>
          <w:lang w:val="en-GB"/>
        </w:rPr>
        <w:t xml:space="preserve">Senior Associate, Insolvency &amp; Restructuring, </w:t>
      </w:r>
      <w:proofErr w:type="spellStart"/>
      <w:r w:rsidR="0097553C" w:rsidRPr="0097553C">
        <w:rPr>
          <w:rFonts w:ascii="Times New Roman" w:hAnsi="Times New Roman" w:cs="Times New Roman"/>
          <w:i/>
          <w:sz w:val="24"/>
          <w:szCs w:val="24"/>
          <w:lang w:val="en-GB"/>
        </w:rPr>
        <w:t>Monard</w:t>
      </w:r>
      <w:proofErr w:type="spellEnd"/>
      <w:r w:rsidR="0097553C" w:rsidRPr="0097553C">
        <w:rPr>
          <w:rFonts w:ascii="Times New Roman" w:hAnsi="Times New Roman" w:cs="Times New Roman"/>
          <w:i/>
          <w:sz w:val="24"/>
          <w:szCs w:val="24"/>
          <w:lang w:val="en-GB"/>
        </w:rPr>
        <w:t xml:space="preserve"> Law, Belgium. </w:t>
      </w:r>
      <w:r w:rsidR="0097553C">
        <w:rPr>
          <w:rFonts w:ascii="Times New Roman" w:hAnsi="Times New Roman" w:cs="Times New Roman"/>
          <w:i/>
          <w:sz w:val="24"/>
          <w:szCs w:val="24"/>
          <w:lang w:val="en-GB"/>
        </w:rPr>
        <w:br/>
      </w:r>
      <w:r w:rsidR="0097553C" w:rsidRPr="0097553C">
        <w:rPr>
          <w:rFonts w:ascii="Times New Roman" w:hAnsi="Times New Roman" w:cs="Times New Roman"/>
          <w:i/>
          <w:sz w:val="24"/>
          <w:szCs w:val="24"/>
          <w:lang w:val="en-GB"/>
        </w:rPr>
        <w:t>Email: &lt;jente.dengler@monardlaw.be&gt;</w:t>
      </w:r>
      <w:r w:rsidR="0011226B" w:rsidRPr="00654568">
        <w:rPr>
          <w:rFonts w:ascii="Times New Roman" w:hAnsi="Times New Roman" w:cs="Times New Roman"/>
          <w:i/>
          <w:iCs/>
          <w:sz w:val="24"/>
          <w:szCs w:val="24"/>
          <w:shd w:val="clear" w:color="auto" w:fill="FFFFFF"/>
          <w:lang w:val="en-GB"/>
        </w:rPr>
        <w:t>.</w:t>
      </w:r>
    </w:p>
    <w:p w14:paraId="716971A7" w14:textId="5C26573A" w:rsidR="00104015" w:rsidRPr="00654568"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654568" w:rsidRDefault="00E71E7B" w:rsidP="001E7A6F">
      <w:pPr>
        <w:spacing w:after="0"/>
        <w:contextualSpacing/>
        <w:rPr>
          <w:rFonts w:ascii="Times New Roman" w:hAnsi="Times New Roman"/>
          <w:i/>
          <w:sz w:val="24"/>
          <w:szCs w:val="24"/>
        </w:rPr>
      </w:pPr>
    </w:p>
    <w:p w14:paraId="72C659A2" w14:textId="33005707" w:rsidR="00183674" w:rsidRPr="00654568" w:rsidRDefault="00E71E7B" w:rsidP="00E26614">
      <w:pPr>
        <w:spacing w:after="0"/>
        <w:contextualSpacing/>
        <w:rPr>
          <w:rFonts w:ascii="Times New Roman" w:hAnsi="Times New Roman"/>
          <w:sz w:val="24"/>
          <w:szCs w:val="24"/>
        </w:rPr>
      </w:pPr>
      <w:r w:rsidRPr="00654568">
        <w:rPr>
          <w:rFonts w:ascii="Times New Roman" w:hAnsi="Times New Roman"/>
          <w:i/>
          <w:iCs/>
          <w:sz w:val="24"/>
          <w:szCs w:val="24"/>
        </w:rPr>
        <w:t>Introduction</w:t>
      </w:r>
    </w:p>
    <w:p w14:paraId="67CDE97A" w14:textId="77777777" w:rsidR="00E26614" w:rsidRPr="00654568" w:rsidRDefault="00E26614" w:rsidP="00CC2668">
      <w:pPr>
        <w:spacing w:after="0"/>
        <w:rPr>
          <w:rFonts w:ascii="Times New Roman" w:hAnsi="Times New Roman"/>
          <w:sz w:val="24"/>
          <w:szCs w:val="24"/>
        </w:rPr>
      </w:pPr>
    </w:p>
    <w:p w14:paraId="20409E73" w14:textId="74D064B9"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In today</w:t>
      </w:r>
      <w:r w:rsidR="004D0EBA" w:rsidRPr="00654568">
        <w:rPr>
          <w:rFonts w:ascii="Times New Roman" w:hAnsi="Times New Roman"/>
          <w:sz w:val="24"/>
          <w:szCs w:val="24"/>
        </w:rPr>
        <w:t>’</w:t>
      </w:r>
      <w:r w:rsidRPr="00654568">
        <w:rPr>
          <w:rFonts w:ascii="Times New Roman" w:hAnsi="Times New Roman"/>
          <w:sz w:val="24"/>
          <w:szCs w:val="24"/>
        </w:rPr>
        <w:t>s rapidly evolving business landscape, businesses find themselves at the intersection of technological innovation and geopolitical and economic turbulence. Despite the increased reliance on software systems and digital infrastructure, it remains peculiar that</w:t>
      </w:r>
      <w:r w:rsidR="00797291" w:rsidRPr="00654568">
        <w:rPr>
          <w:rFonts w:ascii="Times New Roman" w:hAnsi="Times New Roman"/>
          <w:sz w:val="24"/>
          <w:szCs w:val="24"/>
        </w:rPr>
        <w:t>,</w:t>
      </w:r>
      <w:r w:rsidRPr="00654568">
        <w:rPr>
          <w:rFonts w:ascii="Times New Roman" w:hAnsi="Times New Roman"/>
          <w:sz w:val="24"/>
          <w:szCs w:val="24"/>
        </w:rPr>
        <w:t xml:space="preserve"> in many EU Member States</w:t>
      </w:r>
      <w:r w:rsidR="00797291" w:rsidRPr="00654568">
        <w:rPr>
          <w:rFonts w:ascii="Times New Roman" w:hAnsi="Times New Roman"/>
          <w:sz w:val="24"/>
          <w:szCs w:val="24"/>
        </w:rPr>
        <w:t>,</w:t>
      </w:r>
      <w:r w:rsidRPr="00654568">
        <w:rPr>
          <w:rFonts w:ascii="Times New Roman" w:hAnsi="Times New Roman"/>
          <w:sz w:val="24"/>
          <w:szCs w:val="24"/>
        </w:rPr>
        <w:t xml:space="preserve"> there is still no clear framework for handling software </w:t>
      </w:r>
      <w:r w:rsidR="00061FBC">
        <w:rPr>
          <w:rFonts w:ascii="Times New Roman" w:hAnsi="Times New Roman"/>
          <w:sz w:val="24"/>
          <w:szCs w:val="24"/>
        </w:rPr>
        <w:t>licence</w:t>
      </w:r>
      <w:r w:rsidRPr="00654568">
        <w:rPr>
          <w:rFonts w:ascii="Times New Roman" w:hAnsi="Times New Roman"/>
          <w:sz w:val="24"/>
          <w:szCs w:val="24"/>
        </w:rPr>
        <w:t xml:space="preserve">s in insolvency. This article explores the enigma of software </w:t>
      </w:r>
      <w:r w:rsidR="00061FBC">
        <w:rPr>
          <w:rFonts w:ascii="Times New Roman" w:hAnsi="Times New Roman"/>
          <w:sz w:val="24"/>
          <w:szCs w:val="24"/>
        </w:rPr>
        <w:t>licence</w:t>
      </w:r>
      <w:r w:rsidRPr="00654568">
        <w:rPr>
          <w:rFonts w:ascii="Times New Roman" w:hAnsi="Times New Roman"/>
          <w:sz w:val="24"/>
          <w:szCs w:val="24"/>
        </w:rPr>
        <w:t>s under Belgian insolvency law in a wider EU context, demonstrating the need to bridge the gap between legal frameworks and technological realities as to ensure that software assets receive the attention they deserve in times of financial distress.</w:t>
      </w:r>
    </w:p>
    <w:p w14:paraId="3B193F7F" w14:textId="77777777" w:rsidR="004D0EBA" w:rsidRPr="00654568" w:rsidRDefault="004D0EBA" w:rsidP="00CC2668">
      <w:pPr>
        <w:spacing w:after="0"/>
        <w:rPr>
          <w:rFonts w:ascii="Times New Roman" w:hAnsi="Times New Roman"/>
          <w:sz w:val="24"/>
          <w:szCs w:val="24"/>
        </w:rPr>
      </w:pPr>
    </w:p>
    <w:p w14:paraId="6A0B77A5" w14:textId="77777777"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Status Quo in the EU and Belgium</w:t>
      </w:r>
    </w:p>
    <w:p w14:paraId="3C1D9CC3" w14:textId="77777777" w:rsidR="004D0EBA" w:rsidRPr="00654568" w:rsidRDefault="004D0EBA" w:rsidP="00CC2668">
      <w:pPr>
        <w:spacing w:after="0"/>
        <w:rPr>
          <w:rFonts w:ascii="Times New Roman" w:hAnsi="Times New Roman"/>
          <w:sz w:val="24"/>
          <w:szCs w:val="24"/>
        </w:rPr>
      </w:pPr>
    </w:p>
    <w:p w14:paraId="54F9D4EC" w14:textId="3F5C6BEA"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The most recent EU initiatives acknowledge the economic reality and the pivotal role that software plays in the operations of businesses. The EU Restructuring Directive 2019/1023 of 20 June 2019 for the first time explicitly qualifies </w:t>
      </w:r>
      <w:r w:rsidR="00061FBC">
        <w:rPr>
          <w:rFonts w:ascii="Times New Roman" w:hAnsi="Times New Roman"/>
          <w:sz w:val="24"/>
          <w:szCs w:val="24"/>
        </w:rPr>
        <w:t>licence</w:t>
      </w:r>
      <w:r w:rsidRPr="00654568">
        <w:rPr>
          <w:rFonts w:ascii="Times New Roman" w:hAnsi="Times New Roman"/>
          <w:sz w:val="24"/>
          <w:szCs w:val="24"/>
        </w:rPr>
        <w:t xml:space="preserve">s as </w:t>
      </w:r>
      <w:r w:rsidR="004D0EBA" w:rsidRPr="00654568">
        <w:rPr>
          <w:rFonts w:ascii="Times New Roman" w:hAnsi="Times New Roman"/>
          <w:i/>
          <w:iCs/>
          <w:sz w:val="24"/>
          <w:szCs w:val="24"/>
        </w:rPr>
        <w:t>“</w:t>
      </w:r>
      <w:r w:rsidRPr="00654568">
        <w:rPr>
          <w:rFonts w:ascii="Times New Roman" w:hAnsi="Times New Roman"/>
          <w:i/>
          <w:iCs/>
          <w:sz w:val="24"/>
          <w:szCs w:val="24"/>
        </w:rPr>
        <w:t>executory contracts</w:t>
      </w:r>
      <w:r w:rsidR="004D0EBA" w:rsidRPr="00654568">
        <w:rPr>
          <w:rFonts w:ascii="Times New Roman" w:hAnsi="Times New Roman"/>
          <w:i/>
          <w:iCs/>
          <w:sz w:val="24"/>
          <w:szCs w:val="24"/>
        </w:rPr>
        <w:t>”</w:t>
      </w:r>
      <w:r w:rsidRPr="00654568">
        <w:rPr>
          <w:rFonts w:ascii="Times New Roman" w:hAnsi="Times New Roman"/>
          <w:i/>
          <w:iCs/>
          <w:sz w:val="24"/>
          <w:szCs w:val="24"/>
        </w:rPr>
        <w:t xml:space="preserve">, </w:t>
      </w:r>
      <w:r w:rsidRPr="00654568">
        <w:rPr>
          <w:rFonts w:ascii="Times New Roman" w:hAnsi="Times New Roman"/>
          <w:sz w:val="24"/>
          <w:szCs w:val="24"/>
        </w:rPr>
        <w:t>meaning a contract under which the parties still have obligations to perform</w:t>
      </w:r>
      <w:r w:rsidR="004D0EBA" w:rsidRPr="00654568">
        <w:rPr>
          <w:rFonts w:ascii="Times New Roman" w:hAnsi="Times New Roman"/>
          <w:sz w:val="24"/>
          <w:szCs w:val="24"/>
        </w:rPr>
        <w:t>.</w:t>
      </w:r>
      <w:r w:rsidRPr="00654568">
        <w:rPr>
          <w:rStyle w:val="FootnoteReference"/>
          <w:rFonts w:ascii="Times New Roman" w:hAnsi="Times New Roman"/>
          <w:sz w:val="24"/>
          <w:szCs w:val="24"/>
        </w:rPr>
        <w:footnoteReference w:id="1"/>
      </w:r>
      <w:r w:rsidRPr="00654568">
        <w:rPr>
          <w:rFonts w:ascii="Times New Roman" w:hAnsi="Times New Roman"/>
          <w:sz w:val="24"/>
          <w:szCs w:val="24"/>
        </w:rPr>
        <w:t xml:space="preserve"> The importance of this qualification cannot be overstated</w:t>
      </w:r>
      <w:r w:rsidR="00797291" w:rsidRPr="00654568">
        <w:rPr>
          <w:rFonts w:ascii="Times New Roman" w:hAnsi="Times New Roman"/>
          <w:sz w:val="24"/>
          <w:szCs w:val="24"/>
        </w:rPr>
        <w:t>,</w:t>
      </w:r>
      <w:r w:rsidRPr="00654568">
        <w:rPr>
          <w:rFonts w:ascii="Times New Roman" w:hAnsi="Times New Roman"/>
          <w:sz w:val="24"/>
          <w:szCs w:val="24"/>
        </w:rPr>
        <w:t xml:space="preserve"> as Member States have to ensure that executory contracts cannot be terminated solely because of a debtor</w:t>
      </w:r>
      <w:r w:rsidR="004D0EBA" w:rsidRPr="00654568">
        <w:rPr>
          <w:rFonts w:ascii="Times New Roman" w:hAnsi="Times New Roman"/>
          <w:sz w:val="24"/>
          <w:szCs w:val="24"/>
        </w:rPr>
        <w:t>’</w:t>
      </w:r>
      <w:r w:rsidRPr="00654568">
        <w:rPr>
          <w:rFonts w:ascii="Times New Roman" w:hAnsi="Times New Roman"/>
          <w:sz w:val="24"/>
          <w:szCs w:val="24"/>
        </w:rPr>
        <w:t>s petition for restructuring proceedings (</w:t>
      </w:r>
      <w:r w:rsidRPr="00654568">
        <w:rPr>
          <w:rFonts w:ascii="Times New Roman" w:hAnsi="Times New Roman"/>
          <w:i/>
          <w:iCs/>
          <w:sz w:val="24"/>
          <w:szCs w:val="24"/>
        </w:rPr>
        <w:t>i.e.,</w:t>
      </w:r>
      <w:r w:rsidRPr="00654568">
        <w:rPr>
          <w:rFonts w:ascii="Times New Roman" w:hAnsi="Times New Roman"/>
          <w:sz w:val="24"/>
          <w:szCs w:val="24"/>
        </w:rPr>
        <w:t xml:space="preserve"> a limitation of</w:t>
      </w:r>
      <w:r w:rsidRPr="00654568">
        <w:rPr>
          <w:rFonts w:ascii="Times New Roman" w:hAnsi="Times New Roman"/>
          <w:i/>
          <w:iCs/>
          <w:sz w:val="24"/>
          <w:szCs w:val="24"/>
        </w:rPr>
        <w:t xml:space="preserve"> ipso facto</w:t>
      </w:r>
      <w:r w:rsidRPr="00654568">
        <w:rPr>
          <w:rFonts w:ascii="Times New Roman" w:hAnsi="Times New Roman"/>
          <w:sz w:val="24"/>
          <w:szCs w:val="24"/>
        </w:rPr>
        <w:t xml:space="preserve"> clauses).</w:t>
      </w:r>
      <w:r w:rsidRPr="00654568">
        <w:rPr>
          <w:rStyle w:val="FootnoteReference"/>
          <w:rFonts w:ascii="Times New Roman" w:hAnsi="Times New Roman"/>
          <w:sz w:val="24"/>
          <w:szCs w:val="24"/>
        </w:rPr>
        <w:footnoteReference w:id="2"/>
      </w:r>
      <w:r w:rsidR="004D0EBA" w:rsidRPr="00654568">
        <w:rPr>
          <w:rFonts w:ascii="Times New Roman" w:hAnsi="Times New Roman"/>
          <w:sz w:val="24"/>
          <w:szCs w:val="24"/>
        </w:rPr>
        <w:t xml:space="preserve"> </w:t>
      </w:r>
      <w:r w:rsidRPr="00654568">
        <w:rPr>
          <w:rFonts w:ascii="Times New Roman" w:hAnsi="Times New Roman"/>
          <w:sz w:val="24"/>
          <w:szCs w:val="24"/>
        </w:rPr>
        <w:t>Moreover, Member States should particularly safeguard the debtor</w:t>
      </w:r>
      <w:r w:rsidR="004D0EBA" w:rsidRPr="00654568">
        <w:rPr>
          <w:rFonts w:ascii="Times New Roman" w:hAnsi="Times New Roman"/>
          <w:sz w:val="24"/>
          <w:szCs w:val="24"/>
        </w:rPr>
        <w:t>’</w:t>
      </w:r>
      <w:r w:rsidRPr="00654568">
        <w:rPr>
          <w:rFonts w:ascii="Times New Roman" w:hAnsi="Times New Roman"/>
          <w:sz w:val="24"/>
          <w:szCs w:val="24"/>
        </w:rPr>
        <w:t xml:space="preserve">s </w:t>
      </w:r>
      <w:r w:rsidR="004D0EBA" w:rsidRPr="00654568">
        <w:rPr>
          <w:rFonts w:ascii="Times New Roman" w:hAnsi="Times New Roman"/>
          <w:i/>
          <w:iCs/>
          <w:sz w:val="24"/>
          <w:szCs w:val="24"/>
        </w:rPr>
        <w:t>“</w:t>
      </w:r>
      <w:r w:rsidRPr="00654568">
        <w:rPr>
          <w:rFonts w:ascii="Times New Roman" w:hAnsi="Times New Roman"/>
          <w:b/>
          <w:bCs/>
          <w:i/>
          <w:iCs/>
          <w:sz w:val="24"/>
          <w:szCs w:val="24"/>
        </w:rPr>
        <w:t>essential</w:t>
      </w:r>
      <w:r w:rsidRPr="00654568">
        <w:rPr>
          <w:rFonts w:ascii="Times New Roman" w:hAnsi="Times New Roman"/>
          <w:i/>
          <w:iCs/>
          <w:sz w:val="24"/>
          <w:szCs w:val="24"/>
        </w:rPr>
        <w:t xml:space="preserve"> executory contracts</w:t>
      </w:r>
      <w:r w:rsidR="004D0EBA" w:rsidRPr="00654568">
        <w:rPr>
          <w:rFonts w:ascii="Times New Roman" w:hAnsi="Times New Roman"/>
          <w:i/>
          <w:iCs/>
          <w:sz w:val="24"/>
          <w:szCs w:val="24"/>
        </w:rPr>
        <w:t>”</w:t>
      </w:r>
      <w:r w:rsidR="00797291" w:rsidRPr="00654568">
        <w:rPr>
          <w:rFonts w:ascii="Times New Roman" w:hAnsi="Times New Roman"/>
          <w:sz w:val="24"/>
          <w:szCs w:val="24"/>
        </w:rPr>
        <w:t>,</w:t>
      </w:r>
      <w:r w:rsidRPr="00654568">
        <w:rPr>
          <w:rStyle w:val="FootnoteReference"/>
          <w:rFonts w:ascii="Times New Roman" w:hAnsi="Times New Roman"/>
          <w:sz w:val="24"/>
          <w:szCs w:val="24"/>
        </w:rPr>
        <w:footnoteReference w:id="3"/>
      </w:r>
      <w:r w:rsidRPr="00654568">
        <w:rPr>
          <w:rFonts w:ascii="Times New Roman" w:hAnsi="Times New Roman"/>
          <w:sz w:val="24"/>
          <w:szCs w:val="24"/>
        </w:rPr>
        <w:t xml:space="preserve"> which will increasingly include </w:t>
      </w:r>
      <w:r w:rsidR="00061FBC">
        <w:rPr>
          <w:rFonts w:ascii="Times New Roman" w:hAnsi="Times New Roman"/>
          <w:sz w:val="24"/>
          <w:szCs w:val="24"/>
        </w:rPr>
        <w:t>licence</w:t>
      </w:r>
      <w:r w:rsidRPr="00654568">
        <w:rPr>
          <w:rFonts w:ascii="Times New Roman" w:hAnsi="Times New Roman"/>
          <w:sz w:val="24"/>
          <w:szCs w:val="24"/>
        </w:rPr>
        <w:t>s in today</w:t>
      </w:r>
      <w:r w:rsidR="004D0EBA" w:rsidRPr="00654568">
        <w:rPr>
          <w:rFonts w:ascii="Times New Roman" w:hAnsi="Times New Roman"/>
          <w:sz w:val="24"/>
          <w:szCs w:val="24"/>
        </w:rPr>
        <w:t>’</w:t>
      </w:r>
      <w:r w:rsidRPr="00654568">
        <w:rPr>
          <w:rFonts w:ascii="Times New Roman" w:hAnsi="Times New Roman"/>
          <w:sz w:val="24"/>
          <w:szCs w:val="24"/>
        </w:rPr>
        <w:t xml:space="preserve">s </w:t>
      </w:r>
      <w:r w:rsidRPr="00654568">
        <w:rPr>
          <w:rFonts w:ascii="Times New Roman" w:hAnsi="Times New Roman"/>
          <w:sz w:val="24"/>
          <w:szCs w:val="24"/>
        </w:rPr>
        <w:lastRenderedPageBreak/>
        <w:t>information society</w:t>
      </w:r>
      <w:r w:rsidR="004D0EBA" w:rsidRPr="00654568">
        <w:rPr>
          <w:rFonts w:ascii="Times New Roman" w:hAnsi="Times New Roman"/>
          <w:sz w:val="24"/>
          <w:szCs w:val="24"/>
        </w:rPr>
        <w:t>,</w:t>
      </w:r>
      <w:r w:rsidRPr="00654568">
        <w:rPr>
          <w:rFonts w:ascii="Times New Roman" w:hAnsi="Times New Roman"/>
          <w:sz w:val="24"/>
          <w:szCs w:val="24"/>
        </w:rPr>
        <w:t xml:space="preserve"> by preventing creditors from terminating or withholding performance due to non-payment of debts existing prior to the commencement of such proceedings.</w:t>
      </w:r>
    </w:p>
    <w:p w14:paraId="31A076EC" w14:textId="77777777" w:rsidR="004D0EBA" w:rsidRPr="00654568" w:rsidRDefault="004D0EBA" w:rsidP="00CC2668">
      <w:pPr>
        <w:spacing w:after="0"/>
        <w:rPr>
          <w:rFonts w:ascii="Times New Roman" w:hAnsi="Times New Roman"/>
          <w:sz w:val="24"/>
          <w:szCs w:val="24"/>
        </w:rPr>
      </w:pPr>
    </w:p>
    <w:p w14:paraId="0F6A55BA" w14:textId="36E31AEC"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Also, the latest Proposal 2022/0408 (COD) for a Directive harmonising certain aspects of insolvency law of 7 December 2022 devotes greater attention to software </w:t>
      </w:r>
      <w:r w:rsidR="00061FBC">
        <w:rPr>
          <w:rFonts w:ascii="Times New Roman" w:hAnsi="Times New Roman"/>
          <w:sz w:val="24"/>
          <w:szCs w:val="24"/>
        </w:rPr>
        <w:t>licence</w:t>
      </w:r>
      <w:r w:rsidRPr="00654568">
        <w:rPr>
          <w:rFonts w:ascii="Times New Roman" w:hAnsi="Times New Roman"/>
          <w:sz w:val="24"/>
          <w:szCs w:val="24"/>
        </w:rPr>
        <w:t xml:space="preserve">s. It expressly prohibits the termination of intellectual property </w:t>
      </w:r>
      <w:r w:rsidR="00061FBC">
        <w:rPr>
          <w:rFonts w:ascii="Times New Roman" w:hAnsi="Times New Roman"/>
          <w:sz w:val="24"/>
          <w:szCs w:val="24"/>
        </w:rPr>
        <w:t>licence</w:t>
      </w:r>
      <w:r w:rsidRPr="00654568">
        <w:rPr>
          <w:rFonts w:ascii="Times New Roman" w:hAnsi="Times New Roman"/>
          <w:sz w:val="24"/>
          <w:szCs w:val="24"/>
        </w:rPr>
        <w:t xml:space="preserve">s of the debtor </w:t>
      </w:r>
      <w:r w:rsidR="004D0EBA" w:rsidRPr="00654568">
        <w:rPr>
          <w:rFonts w:ascii="Times New Roman" w:hAnsi="Times New Roman"/>
          <w:sz w:val="24"/>
          <w:szCs w:val="24"/>
        </w:rPr>
        <w:t>“</w:t>
      </w:r>
      <w:r w:rsidRPr="00654568">
        <w:rPr>
          <w:rFonts w:ascii="Times New Roman" w:hAnsi="Times New Roman"/>
          <w:i/>
          <w:iCs/>
          <w:sz w:val="24"/>
          <w:szCs w:val="24"/>
        </w:rPr>
        <w:t>as they are usually key components of the operations of the business being sold</w:t>
      </w:r>
      <w:r w:rsidR="004D0EBA" w:rsidRPr="00654568">
        <w:rPr>
          <w:rFonts w:ascii="Times New Roman" w:hAnsi="Times New Roman"/>
          <w:i/>
          <w:iCs/>
          <w:sz w:val="24"/>
          <w:szCs w:val="24"/>
        </w:rPr>
        <w:t>”</w:t>
      </w:r>
      <w:r w:rsidRPr="00654568">
        <w:rPr>
          <w:rStyle w:val="FootnoteReference"/>
          <w:rFonts w:ascii="Times New Roman" w:hAnsi="Times New Roman"/>
          <w:sz w:val="24"/>
          <w:szCs w:val="24"/>
        </w:rPr>
        <w:t xml:space="preserve"> </w:t>
      </w:r>
      <w:r w:rsidRPr="00654568">
        <w:rPr>
          <w:rStyle w:val="FootnoteReference"/>
          <w:rFonts w:ascii="Times New Roman" w:hAnsi="Times New Roman"/>
          <w:sz w:val="24"/>
          <w:szCs w:val="24"/>
          <w:lang w:val="nl-BE"/>
        </w:rPr>
        <w:footnoteReference w:id="4"/>
      </w:r>
      <w:r w:rsidRPr="00654568">
        <w:rPr>
          <w:rFonts w:ascii="Times New Roman" w:hAnsi="Times New Roman"/>
          <w:sz w:val="24"/>
          <w:szCs w:val="24"/>
        </w:rPr>
        <w:t xml:space="preserve"> and facilitates pre-pack reorganisations by no longer requiring the counterparty</w:t>
      </w:r>
      <w:r w:rsidR="004D0EBA" w:rsidRPr="00654568">
        <w:rPr>
          <w:rFonts w:ascii="Times New Roman" w:hAnsi="Times New Roman"/>
          <w:sz w:val="24"/>
          <w:szCs w:val="24"/>
        </w:rPr>
        <w:t>’</w:t>
      </w:r>
      <w:r w:rsidRPr="00654568">
        <w:rPr>
          <w:rFonts w:ascii="Times New Roman" w:hAnsi="Times New Roman"/>
          <w:sz w:val="24"/>
          <w:szCs w:val="24"/>
        </w:rPr>
        <w:t>s consent when transferring these business-critical agreements.</w:t>
      </w:r>
      <w:r w:rsidRPr="00654568">
        <w:rPr>
          <w:rStyle w:val="FootnoteReference"/>
          <w:rFonts w:ascii="Times New Roman" w:hAnsi="Times New Roman"/>
          <w:sz w:val="24"/>
          <w:szCs w:val="24"/>
        </w:rPr>
        <w:footnoteReference w:id="5"/>
      </w:r>
    </w:p>
    <w:p w14:paraId="673B1CD8" w14:textId="77777777" w:rsidR="004D0EBA" w:rsidRPr="00654568" w:rsidRDefault="004D0EBA" w:rsidP="00CC2668">
      <w:pPr>
        <w:spacing w:after="0"/>
        <w:rPr>
          <w:rFonts w:ascii="Times New Roman" w:hAnsi="Times New Roman"/>
          <w:sz w:val="24"/>
          <w:szCs w:val="24"/>
        </w:rPr>
      </w:pPr>
    </w:p>
    <w:p w14:paraId="7D677AF0" w14:textId="4BA00618"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Whilst Belgian insolvency law does not contain specific provisions addressing the issue of </w:t>
      </w:r>
      <w:r w:rsidR="00061FBC">
        <w:rPr>
          <w:rFonts w:ascii="Times New Roman" w:hAnsi="Times New Roman"/>
          <w:sz w:val="24"/>
          <w:szCs w:val="24"/>
        </w:rPr>
        <w:t>licence</w:t>
      </w:r>
      <w:r w:rsidRPr="00654568">
        <w:rPr>
          <w:rFonts w:ascii="Times New Roman" w:hAnsi="Times New Roman"/>
          <w:sz w:val="24"/>
          <w:szCs w:val="24"/>
        </w:rPr>
        <w:t xml:space="preserve">s, equivalents of the said protection mechanisms have existed for some time in relation to current contracts in general. For instance, </w:t>
      </w:r>
      <w:r w:rsidRPr="00654568">
        <w:rPr>
          <w:rFonts w:ascii="Times New Roman" w:hAnsi="Times New Roman"/>
          <w:i/>
          <w:iCs/>
          <w:sz w:val="24"/>
          <w:szCs w:val="24"/>
        </w:rPr>
        <w:t>ipso facto</w:t>
      </w:r>
      <w:r w:rsidRPr="00654568">
        <w:rPr>
          <w:rFonts w:ascii="Times New Roman" w:hAnsi="Times New Roman"/>
          <w:sz w:val="24"/>
          <w:szCs w:val="24"/>
        </w:rPr>
        <w:t xml:space="preserve"> clauses triggered by the mere fact of petitioning for reorganisation proceedings are ineffective</w:t>
      </w:r>
      <w:r w:rsidR="004D0EBA" w:rsidRPr="00654568">
        <w:rPr>
          <w:rFonts w:ascii="Times New Roman" w:hAnsi="Times New Roman"/>
          <w:sz w:val="24"/>
          <w:szCs w:val="24"/>
        </w:rPr>
        <w:t>.</w:t>
      </w:r>
      <w:r w:rsidRPr="00654568">
        <w:rPr>
          <w:rStyle w:val="FootnoteReference"/>
          <w:rFonts w:ascii="Times New Roman" w:hAnsi="Times New Roman"/>
          <w:sz w:val="24"/>
          <w:szCs w:val="24"/>
        </w:rPr>
        <w:footnoteReference w:id="6"/>
      </w:r>
      <w:r w:rsidRPr="00654568">
        <w:rPr>
          <w:rFonts w:ascii="Times New Roman" w:hAnsi="Times New Roman"/>
          <w:sz w:val="24"/>
          <w:szCs w:val="24"/>
        </w:rPr>
        <w:t xml:space="preserve"> Similarly, in the framework of a court-supervised business transfer, a candidate-acquirer can indicate in its offer the current contracts of the debtor it wishes to take over, assuming the debtor</w:t>
      </w:r>
      <w:r w:rsidR="004D0EBA" w:rsidRPr="00654568">
        <w:rPr>
          <w:rFonts w:ascii="Times New Roman" w:hAnsi="Times New Roman"/>
          <w:sz w:val="24"/>
          <w:szCs w:val="24"/>
        </w:rPr>
        <w:t>’</w:t>
      </w:r>
      <w:r w:rsidRPr="00654568">
        <w:rPr>
          <w:rFonts w:ascii="Times New Roman" w:hAnsi="Times New Roman"/>
          <w:sz w:val="24"/>
          <w:szCs w:val="24"/>
        </w:rPr>
        <w:t>s rights (and obligations) by operation of law.</w:t>
      </w:r>
      <w:r w:rsidRPr="00654568">
        <w:rPr>
          <w:rStyle w:val="FootnoteReference"/>
          <w:rFonts w:ascii="Times New Roman" w:hAnsi="Times New Roman"/>
          <w:sz w:val="24"/>
          <w:szCs w:val="24"/>
          <w:lang w:val="nl-BE"/>
        </w:rPr>
        <w:footnoteReference w:id="7"/>
      </w:r>
    </w:p>
    <w:p w14:paraId="05E43623" w14:textId="77777777" w:rsidR="000E6FB9" w:rsidRPr="00654568" w:rsidRDefault="000E6FB9" w:rsidP="00CC2668">
      <w:pPr>
        <w:spacing w:after="0"/>
        <w:rPr>
          <w:rFonts w:ascii="Times New Roman" w:hAnsi="Times New Roman"/>
          <w:sz w:val="24"/>
          <w:szCs w:val="24"/>
        </w:rPr>
      </w:pPr>
    </w:p>
    <w:p w14:paraId="1EFD9464" w14:textId="77777777"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Insolvency Protection too One-sided?</w:t>
      </w:r>
    </w:p>
    <w:p w14:paraId="37ADA9E4" w14:textId="77777777" w:rsidR="004D0EBA" w:rsidRPr="00654568" w:rsidRDefault="004D0EBA" w:rsidP="00CC2668">
      <w:pPr>
        <w:spacing w:after="0"/>
        <w:rPr>
          <w:rFonts w:ascii="Times New Roman" w:hAnsi="Times New Roman"/>
          <w:sz w:val="24"/>
          <w:szCs w:val="24"/>
        </w:rPr>
      </w:pPr>
    </w:p>
    <w:p w14:paraId="0132723C" w14:textId="1C5B65A0"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These statutory safeguards are undeniably to be encouraged from a corporate rescue perspective. After all, a brief interruption of essential business software can have severe operational ramifications, jeopardizing the debtor</w:t>
      </w:r>
      <w:r w:rsidR="004D0EBA" w:rsidRPr="00654568">
        <w:rPr>
          <w:rFonts w:ascii="Times New Roman" w:hAnsi="Times New Roman"/>
          <w:sz w:val="24"/>
          <w:szCs w:val="24"/>
        </w:rPr>
        <w:t>’</w:t>
      </w:r>
      <w:r w:rsidRPr="00654568">
        <w:rPr>
          <w:rFonts w:ascii="Times New Roman" w:hAnsi="Times New Roman"/>
          <w:sz w:val="24"/>
          <w:szCs w:val="24"/>
        </w:rPr>
        <w:t xml:space="preserve">s restructuring and blocking any </w:t>
      </w:r>
      <w:r w:rsidR="004D0EBA" w:rsidRPr="00654568">
        <w:rPr>
          <w:rFonts w:ascii="Times New Roman" w:hAnsi="Times New Roman"/>
          <w:i/>
          <w:iCs/>
          <w:sz w:val="24"/>
          <w:szCs w:val="24"/>
        </w:rPr>
        <w:t>‘</w:t>
      </w:r>
      <w:r w:rsidRPr="00654568">
        <w:rPr>
          <w:rFonts w:ascii="Times New Roman" w:hAnsi="Times New Roman"/>
          <w:i/>
          <w:iCs/>
          <w:sz w:val="24"/>
          <w:szCs w:val="24"/>
        </w:rPr>
        <w:t>going concern</w:t>
      </w:r>
      <w:r w:rsidR="004D0EBA" w:rsidRPr="00654568">
        <w:rPr>
          <w:rFonts w:ascii="Times New Roman" w:hAnsi="Times New Roman"/>
          <w:i/>
          <w:iCs/>
          <w:sz w:val="24"/>
          <w:szCs w:val="24"/>
        </w:rPr>
        <w:t>’</w:t>
      </w:r>
      <w:r w:rsidRPr="00654568">
        <w:rPr>
          <w:rFonts w:ascii="Times New Roman" w:hAnsi="Times New Roman"/>
          <w:sz w:val="24"/>
          <w:szCs w:val="24"/>
        </w:rPr>
        <w:t xml:space="preserve"> transfer of assets.</w:t>
      </w:r>
    </w:p>
    <w:p w14:paraId="01586D0B" w14:textId="77777777" w:rsidR="004D0EBA" w:rsidRPr="00654568" w:rsidRDefault="004D0EBA" w:rsidP="00CC2668">
      <w:pPr>
        <w:spacing w:after="0"/>
        <w:rPr>
          <w:rFonts w:ascii="Times New Roman" w:hAnsi="Times New Roman"/>
          <w:sz w:val="24"/>
          <w:szCs w:val="24"/>
        </w:rPr>
      </w:pPr>
    </w:p>
    <w:p w14:paraId="07551A3A" w14:textId="5E14F6E6"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But is the current focus on protecting </w:t>
      </w:r>
      <w:r w:rsidR="00061FBC">
        <w:rPr>
          <w:rFonts w:ascii="Times New Roman" w:hAnsi="Times New Roman"/>
          <w:sz w:val="24"/>
          <w:szCs w:val="24"/>
        </w:rPr>
        <w:t>licence</w:t>
      </w:r>
      <w:r w:rsidRPr="00654568">
        <w:rPr>
          <w:rFonts w:ascii="Times New Roman" w:hAnsi="Times New Roman"/>
          <w:sz w:val="24"/>
          <w:szCs w:val="24"/>
        </w:rPr>
        <w:t>s in insolvency perhaps not somewhat too one-sided?</w:t>
      </w:r>
    </w:p>
    <w:p w14:paraId="3B6ED240" w14:textId="77777777" w:rsidR="004D0EBA" w:rsidRPr="00654568" w:rsidRDefault="004D0EBA" w:rsidP="00CC2668">
      <w:pPr>
        <w:spacing w:after="0"/>
        <w:rPr>
          <w:rFonts w:ascii="Times New Roman" w:hAnsi="Times New Roman"/>
          <w:sz w:val="24"/>
          <w:szCs w:val="24"/>
        </w:rPr>
      </w:pPr>
    </w:p>
    <w:p w14:paraId="66DBDFE9" w14:textId="6542B1E5"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These safeguards all depart from the same perspective, being that of an insolvent debtor-</w:t>
      </w:r>
      <w:r w:rsidRPr="00654568">
        <w:rPr>
          <w:rFonts w:ascii="Times New Roman" w:hAnsi="Times New Roman"/>
          <w:i/>
          <w:iCs/>
          <w:sz w:val="24"/>
          <w:szCs w:val="24"/>
        </w:rPr>
        <w:t>licensee</w:t>
      </w:r>
      <w:r w:rsidRPr="00654568">
        <w:rPr>
          <w:rFonts w:ascii="Times New Roman" w:hAnsi="Times New Roman"/>
          <w:sz w:val="24"/>
          <w:szCs w:val="24"/>
        </w:rPr>
        <w:t xml:space="preserve">, and aim to protect its (business-critical) </w:t>
      </w:r>
      <w:r w:rsidR="00061FBC">
        <w:rPr>
          <w:rFonts w:ascii="Times New Roman" w:hAnsi="Times New Roman"/>
          <w:sz w:val="24"/>
          <w:szCs w:val="24"/>
        </w:rPr>
        <w:t>licence</w:t>
      </w:r>
      <w:r w:rsidRPr="00654568">
        <w:rPr>
          <w:rFonts w:ascii="Times New Roman" w:hAnsi="Times New Roman"/>
          <w:sz w:val="24"/>
          <w:szCs w:val="24"/>
        </w:rPr>
        <w:t>s from any actions taken by the licensor. However, practice shows that as many, if not more, legal headaches arise with the demise of the licensor himself.</w:t>
      </w:r>
    </w:p>
    <w:p w14:paraId="6F15DE04" w14:textId="77777777" w:rsidR="004D0EBA" w:rsidRPr="00654568" w:rsidRDefault="004D0EBA" w:rsidP="00CC2668">
      <w:pPr>
        <w:spacing w:after="0"/>
        <w:rPr>
          <w:rFonts w:ascii="Times New Roman" w:hAnsi="Times New Roman"/>
          <w:sz w:val="24"/>
          <w:szCs w:val="24"/>
        </w:rPr>
      </w:pPr>
    </w:p>
    <w:p w14:paraId="1C29E5DF" w14:textId="56E0F01A"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Indeed, unlike other types of commercial agreements and suppliers, switching to an alternative software provider typically requires a considerable degree of expertise, time and resources, and entails a significant risk of business disruption, given the complexity of such widely deployed software.</w:t>
      </w:r>
      <w:r w:rsidRPr="00654568">
        <w:rPr>
          <w:rStyle w:val="FootnoteReference"/>
          <w:rFonts w:ascii="Times New Roman" w:hAnsi="Times New Roman"/>
          <w:sz w:val="24"/>
          <w:szCs w:val="24"/>
        </w:rPr>
        <w:footnoteReference w:id="8"/>
      </w:r>
      <w:r w:rsidRPr="00654568">
        <w:rPr>
          <w:rFonts w:ascii="Times New Roman" w:hAnsi="Times New Roman"/>
          <w:sz w:val="24"/>
          <w:szCs w:val="24"/>
        </w:rPr>
        <w:t xml:space="preserve"> This is particularly the case when the software has been developed specifically for the customer (e.g., tailor-made software for inventory management, </w:t>
      </w:r>
      <w:r w:rsidRPr="00654568">
        <w:rPr>
          <w:rFonts w:ascii="Times New Roman" w:hAnsi="Times New Roman"/>
          <w:sz w:val="24"/>
          <w:szCs w:val="24"/>
        </w:rPr>
        <w:lastRenderedPageBreak/>
        <w:t>payment services or electronic car charging stations</w:t>
      </w:r>
      <w:r w:rsidR="004D0EBA" w:rsidRPr="00654568">
        <w:rPr>
          <w:rFonts w:ascii="Times New Roman" w:hAnsi="Times New Roman"/>
          <w:sz w:val="24"/>
          <w:szCs w:val="24"/>
        </w:rPr>
        <w:t>).</w:t>
      </w:r>
      <w:r w:rsidRPr="00654568">
        <w:rPr>
          <w:rStyle w:val="FootnoteReference"/>
          <w:rFonts w:ascii="Times New Roman" w:hAnsi="Times New Roman"/>
          <w:sz w:val="24"/>
          <w:szCs w:val="24"/>
          <w:lang w:val="nl-BE"/>
        </w:rPr>
        <w:footnoteReference w:id="9"/>
      </w:r>
      <w:r w:rsidRPr="00654568">
        <w:rPr>
          <w:rFonts w:ascii="Times New Roman" w:hAnsi="Times New Roman"/>
          <w:sz w:val="24"/>
          <w:szCs w:val="24"/>
        </w:rPr>
        <w:t xml:space="preserve"> This is all the more relevant in an insolvency context, where the continued availability of knowhow is not guaranteed, given the often-observed phenomenon of </w:t>
      </w:r>
      <w:r w:rsidR="004D0EBA" w:rsidRPr="00654568">
        <w:rPr>
          <w:rFonts w:ascii="Times New Roman" w:hAnsi="Times New Roman"/>
          <w:i/>
          <w:iCs/>
          <w:sz w:val="24"/>
          <w:szCs w:val="24"/>
        </w:rPr>
        <w:t>‘</w:t>
      </w:r>
      <w:r w:rsidRPr="00654568">
        <w:rPr>
          <w:rFonts w:ascii="Times New Roman" w:hAnsi="Times New Roman"/>
          <w:i/>
          <w:iCs/>
          <w:sz w:val="24"/>
          <w:szCs w:val="24"/>
        </w:rPr>
        <w:t>brain drain</w:t>
      </w:r>
      <w:r w:rsidR="004D0EBA" w:rsidRPr="00654568">
        <w:rPr>
          <w:rFonts w:ascii="Times New Roman" w:hAnsi="Times New Roman"/>
          <w:i/>
          <w:iCs/>
          <w:sz w:val="24"/>
          <w:szCs w:val="24"/>
        </w:rPr>
        <w:t>’</w:t>
      </w:r>
      <w:r w:rsidRPr="00654568">
        <w:rPr>
          <w:rFonts w:ascii="Times New Roman" w:hAnsi="Times New Roman"/>
          <w:i/>
          <w:iCs/>
          <w:sz w:val="24"/>
          <w:szCs w:val="24"/>
        </w:rPr>
        <w:t xml:space="preserve"> </w:t>
      </w:r>
      <w:r w:rsidRPr="00654568">
        <w:rPr>
          <w:rFonts w:ascii="Times New Roman" w:hAnsi="Times New Roman"/>
          <w:sz w:val="24"/>
          <w:szCs w:val="24"/>
        </w:rPr>
        <w:t>whereby key employees start leaving the sinking ship.</w:t>
      </w:r>
    </w:p>
    <w:p w14:paraId="481F297B" w14:textId="77777777" w:rsidR="004D0EBA" w:rsidRPr="00654568" w:rsidRDefault="004D0EBA" w:rsidP="00CC2668">
      <w:pPr>
        <w:spacing w:after="0"/>
        <w:rPr>
          <w:rFonts w:ascii="Times New Roman" w:hAnsi="Times New Roman"/>
          <w:sz w:val="24"/>
          <w:szCs w:val="24"/>
        </w:rPr>
      </w:pPr>
    </w:p>
    <w:p w14:paraId="0E644D51" w14:textId="6E87213B"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In addition to these practical obstacles, the legal frameworks in Belgium and across Europe</w:t>
      </w:r>
      <w:r w:rsidRPr="00654568">
        <w:rPr>
          <w:rStyle w:val="FootnoteReference"/>
          <w:rFonts w:ascii="Times New Roman" w:hAnsi="Times New Roman"/>
          <w:sz w:val="24"/>
          <w:szCs w:val="24"/>
        </w:rPr>
        <w:footnoteReference w:id="10"/>
      </w:r>
      <w:r w:rsidRPr="00654568">
        <w:rPr>
          <w:rFonts w:ascii="Times New Roman" w:hAnsi="Times New Roman"/>
          <w:sz w:val="24"/>
          <w:szCs w:val="24"/>
        </w:rPr>
        <w:t xml:space="preserve"> do not seem adequately equipped to address the insolvency of such complex debtor-licensors either.</w:t>
      </w:r>
    </w:p>
    <w:p w14:paraId="5A71632A" w14:textId="77777777" w:rsidR="004D0EBA" w:rsidRPr="00654568" w:rsidRDefault="004D0EBA" w:rsidP="00CC2668">
      <w:pPr>
        <w:spacing w:after="0"/>
        <w:rPr>
          <w:rFonts w:ascii="Times New Roman" w:hAnsi="Times New Roman"/>
          <w:sz w:val="24"/>
          <w:szCs w:val="24"/>
        </w:rPr>
      </w:pPr>
    </w:p>
    <w:p w14:paraId="38F6E3D5" w14:textId="4982923B"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 xml:space="preserve">Legal Qualification of Software </w:t>
      </w:r>
      <w:r w:rsidR="00061FBC">
        <w:rPr>
          <w:rFonts w:ascii="Times New Roman" w:hAnsi="Times New Roman" w:cs="Times New Roman"/>
          <w:b/>
          <w:bCs/>
          <w:sz w:val="24"/>
          <w:szCs w:val="24"/>
          <w:lang w:val="en-GB"/>
        </w:rPr>
        <w:t>Licence</w:t>
      </w:r>
      <w:r w:rsidRPr="00654568">
        <w:rPr>
          <w:rFonts w:ascii="Times New Roman" w:hAnsi="Times New Roman" w:cs="Times New Roman"/>
          <w:b/>
          <w:bCs/>
          <w:sz w:val="24"/>
          <w:szCs w:val="24"/>
          <w:lang w:val="en-GB"/>
        </w:rPr>
        <w:t>s</w:t>
      </w:r>
    </w:p>
    <w:p w14:paraId="61443E5C" w14:textId="77777777" w:rsidR="004D0EBA" w:rsidRPr="00654568" w:rsidRDefault="004D0EBA" w:rsidP="00CC2668">
      <w:pPr>
        <w:spacing w:after="0"/>
        <w:rPr>
          <w:rFonts w:ascii="Times New Roman" w:hAnsi="Times New Roman"/>
          <w:sz w:val="24"/>
          <w:szCs w:val="24"/>
        </w:rPr>
      </w:pPr>
    </w:p>
    <w:p w14:paraId="728F4030" w14:textId="1B58DCEE"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Whereas</w:t>
      </w:r>
      <w:r w:rsidR="00797291" w:rsidRPr="00654568">
        <w:rPr>
          <w:rFonts w:ascii="Times New Roman" w:hAnsi="Times New Roman"/>
          <w:sz w:val="24"/>
          <w:szCs w:val="24"/>
        </w:rPr>
        <w:t>,</w:t>
      </w:r>
      <w:r w:rsidRPr="00654568">
        <w:rPr>
          <w:rFonts w:ascii="Times New Roman" w:hAnsi="Times New Roman"/>
          <w:sz w:val="24"/>
          <w:szCs w:val="24"/>
        </w:rPr>
        <w:t xml:space="preserve"> previously</w:t>
      </w:r>
      <w:r w:rsidR="00797291" w:rsidRPr="00654568">
        <w:rPr>
          <w:rFonts w:ascii="Times New Roman" w:hAnsi="Times New Roman"/>
          <w:sz w:val="24"/>
          <w:szCs w:val="24"/>
        </w:rPr>
        <w:t>,</w:t>
      </w:r>
      <w:r w:rsidRPr="00654568">
        <w:rPr>
          <w:rFonts w:ascii="Times New Roman" w:hAnsi="Times New Roman"/>
          <w:sz w:val="24"/>
          <w:szCs w:val="24"/>
        </w:rPr>
        <w:t xml:space="preserve"> some debate existed on the legal qualification of (software) </w:t>
      </w:r>
      <w:r w:rsidR="00061FBC">
        <w:rPr>
          <w:rFonts w:ascii="Times New Roman" w:hAnsi="Times New Roman"/>
          <w:sz w:val="24"/>
          <w:szCs w:val="24"/>
        </w:rPr>
        <w:t>licence</w:t>
      </w:r>
      <w:r w:rsidRPr="00654568">
        <w:rPr>
          <w:rFonts w:ascii="Times New Roman" w:hAnsi="Times New Roman"/>
          <w:sz w:val="24"/>
          <w:szCs w:val="24"/>
        </w:rPr>
        <w:t>s, there now appears to be a broad consensus that they should be considered as rights</w:t>
      </w:r>
      <w:r w:rsidRPr="00654568">
        <w:rPr>
          <w:rFonts w:ascii="Times New Roman" w:hAnsi="Times New Roman"/>
          <w:i/>
          <w:iCs/>
          <w:sz w:val="24"/>
          <w:szCs w:val="24"/>
        </w:rPr>
        <w:t xml:space="preserve"> in personam</w:t>
      </w:r>
      <w:r w:rsidRPr="00654568">
        <w:rPr>
          <w:rStyle w:val="FootnoteReference"/>
          <w:rFonts w:ascii="Times New Roman" w:hAnsi="Times New Roman"/>
          <w:sz w:val="24"/>
          <w:szCs w:val="24"/>
        </w:rPr>
        <w:footnoteReference w:id="11"/>
      </w:r>
      <w:r w:rsidRPr="00654568">
        <w:rPr>
          <w:rFonts w:ascii="Times New Roman" w:hAnsi="Times New Roman"/>
          <w:sz w:val="24"/>
          <w:szCs w:val="24"/>
        </w:rPr>
        <w:t xml:space="preserve"> and that </w:t>
      </w:r>
      <w:r w:rsidR="00061FBC">
        <w:rPr>
          <w:rFonts w:ascii="Times New Roman" w:hAnsi="Times New Roman"/>
          <w:sz w:val="24"/>
          <w:szCs w:val="24"/>
        </w:rPr>
        <w:t>licence</w:t>
      </w:r>
      <w:r w:rsidRPr="00654568">
        <w:rPr>
          <w:rFonts w:ascii="Times New Roman" w:hAnsi="Times New Roman"/>
          <w:sz w:val="24"/>
          <w:szCs w:val="24"/>
        </w:rPr>
        <w:t xml:space="preserve"> agreements should be regarded as </w:t>
      </w:r>
      <w:r w:rsidR="004D0EBA" w:rsidRPr="00654568">
        <w:rPr>
          <w:rFonts w:ascii="Times New Roman" w:hAnsi="Times New Roman"/>
          <w:sz w:val="24"/>
          <w:szCs w:val="24"/>
        </w:rPr>
        <w:t>‘</w:t>
      </w:r>
      <w:r w:rsidRPr="00654568">
        <w:rPr>
          <w:rFonts w:ascii="Times New Roman" w:hAnsi="Times New Roman"/>
          <w:i/>
          <w:iCs/>
          <w:sz w:val="24"/>
          <w:szCs w:val="24"/>
        </w:rPr>
        <w:t>current</w:t>
      </w:r>
      <w:r w:rsidR="004D0EBA" w:rsidRPr="00654568">
        <w:rPr>
          <w:rFonts w:ascii="Times New Roman" w:hAnsi="Times New Roman"/>
          <w:i/>
          <w:iCs/>
          <w:sz w:val="24"/>
          <w:szCs w:val="24"/>
        </w:rPr>
        <w:t>’</w:t>
      </w:r>
      <w:r w:rsidRPr="00654568">
        <w:rPr>
          <w:rFonts w:ascii="Times New Roman" w:hAnsi="Times New Roman"/>
          <w:sz w:val="24"/>
          <w:szCs w:val="24"/>
        </w:rPr>
        <w:t xml:space="preserve"> or </w:t>
      </w:r>
      <w:r w:rsidR="004D0EBA" w:rsidRPr="00654568">
        <w:rPr>
          <w:rFonts w:ascii="Times New Roman" w:hAnsi="Times New Roman"/>
          <w:i/>
          <w:iCs/>
          <w:sz w:val="24"/>
          <w:szCs w:val="24"/>
        </w:rPr>
        <w:t>‘</w:t>
      </w:r>
      <w:r w:rsidRPr="00654568">
        <w:rPr>
          <w:rFonts w:ascii="Times New Roman" w:hAnsi="Times New Roman"/>
          <w:i/>
          <w:iCs/>
          <w:sz w:val="24"/>
          <w:szCs w:val="24"/>
        </w:rPr>
        <w:t>executory</w:t>
      </w:r>
      <w:r w:rsidR="004D0EBA" w:rsidRPr="00654568">
        <w:rPr>
          <w:rFonts w:ascii="Times New Roman" w:hAnsi="Times New Roman"/>
          <w:i/>
          <w:iCs/>
          <w:sz w:val="24"/>
          <w:szCs w:val="24"/>
        </w:rPr>
        <w:t>’</w:t>
      </w:r>
      <w:r w:rsidRPr="00654568">
        <w:rPr>
          <w:rFonts w:ascii="Times New Roman" w:hAnsi="Times New Roman"/>
          <w:i/>
          <w:iCs/>
          <w:sz w:val="24"/>
          <w:szCs w:val="24"/>
        </w:rPr>
        <w:t xml:space="preserve"> </w:t>
      </w:r>
      <w:r w:rsidRPr="00654568">
        <w:rPr>
          <w:rFonts w:ascii="Times New Roman" w:hAnsi="Times New Roman"/>
          <w:sz w:val="24"/>
          <w:szCs w:val="24"/>
        </w:rPr>
        <w:t>contracts;</w:t>
      </w:r>
      <w:r w:rsidRPr="00654568">
        <w:rPr>
          <w:rStyle w:val="FootnoteReference"/>
          <w:rFonts w:ascii="Times New Roman" w:hAnsi="Times New Roman"/>
          <w:sz w:val="24"/>
          <w:szCs w:val="24"/>
        </w:rPr>
        <w:footnoteReference w:id="12"/>
      </w:r>
      <w:r w:rsidRPr="00654568">
        <w:rPr>
          <w:rFonts w:ascii="Times New Roman" w:hAnsi="Times New Roman"/>
          <w:sz w:val="24"/>
          <w:szCs w:val="24"/>
        </w:rPr>
        <w:t xml:space="preserve"> notwithstanding the licensor</w:t>
      </w:r>
      <w:r w:rsidR="004D0EBA" w:rsidRPr="00654568">
        <w:rPr>
          <w:rFonts w:ascii="Times New Roman" w:hAnsi="Times New Roman"/>
          <w:sz w:val="24"/>
          <w:szCs w:val="24"/>
        </w:rPr>
        <w:t>’</w:t>
      </w:r>
      <w:r w:rsidRPr="00654568">
        <w:rPr>
          <w:rFonts w:ascii="Times New Roman" w:hAnsi="Times New Roman"/>
          <w:sz w:val="24"/>
          <w:szCs w:val="24"/>
        </w:rPr>
        <w:t>s obligations being rather passive and essentially entail refraining from taking any action against the licensee who is lawfully using the licensor</w:t>
      </w:r>
      <w:r w:rsidR="004D0EBA" w:rsidRPr="00654568">
        <w:rPr>
          <w:rFonts w:ascii="Times New Roman" w:hAnsi="Times New Roman"/>
          <w:sz w:val="24"/>
          <w:szCs w:val="24"/>
        </w:rPr>
        <w:t>’</w:t>
      </w:r>
      <w:r w:rsidRPr="00654568">
        <w:rPr>
          <w:rFonts w:ascii="Times New Roman" w:hAnsi="Times New Roman"/>
          <w:sz w:val="24"/>
          <w:szCs w:val="24"/>
        </w:rPr>
        <w:t>s intellectual property rights.</w:t>
      </w:r>
      <w:r w:rsidRPr="00654568">
        <w:rPr>
          <w:rStyle w:val="FootnoteReference"/>
          <w:rFonts w:ascii="Times New Roman" w:hAnsi="Times New Roman"/>
          <w:sz w:val="24"/>
          <w:szCs w:val="24"/>
        </w:rPr>
        <w:footnoteReference w:id="13"/>
      </w:r>
    </w:p>
    <w:p w14:paraId="6E97EFBC" w14:textId="77777777" w:rsidR="004D0EBA" w:rsidRPr="00654568" w:rsidRDefault="004D0EBA" w:rsidP="00CC2668">
      <w:pPr>
        <w:spacing w:after="0"/>
        <w:rPr>
          <w:rFonts w:ascii="Times New Roman" w:hAnsi="Times New Roman"/>
          <w:sz w:val="24"/>
          <w:szCs w:val="24"/>
        </w:rPr>
      </w:pPr>
    </w:p>
    <w:p w14:paraId="7C9E5B28" w14:textId="0018969E"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Yet, this assumption requires some degree of nuance, as several European scholars have concluded from the ECJ</w:t>
      </w:r>
      <w:r w:rsidR="004D0EBA" w:rsidRPr="00654568">
        <w:rPr>
          <w:rFonts w:ascii="Times New Roman" w:hAnsi="Times New Roman"/>
          <w:sz w:val="24"/>
          <w:szCs w:val="24"/>
        </w:rPr>
        <w:t>’</w:t>
      </w:r>
      <w:r w:rsidRPr="00654568">
        <w:rPr>
          <w:rFonts w:ascii="Times New Roman" w:hAnsi="Times New Roman"/>
          <w:sz w:val="24"/>
          <w:szCs w:val="24"/>
        </w:rPr>
        <w:t xml:space="preserve">s ruling in the </w:t>
      </w:r>
      <w:r w:rsidR="004D0EBA" w:rsidRPr="00654568">
        <w:rPr>
          <w:rFonts w:ascii="Times New Roman" w:hAnsi="Times New Roman"/>
          <w:i/>
          <w:iCs/>
          <w:sz w:val="24"/>
          <w:szCs w:val="24"/>
        </w:rPr>
        <w:t>‘</w:t>
      </w:r>
      <w:r w:rsidRPr="00654568">
        <w:rPr>
          <w:rFonts w:ascii="Times New Roman" w:hAnsi="Times New Roman"/>
          <w:i/>
          <w:iCs/>
          <w:sz w:val="24"/>
          <w:szCs w:val="24"/>
        </w:rPr>
        <w:t>UsedSoft</w:t>
      </w:r>
      <w:r w:rsidR="004D0EBA" w:rsidRPr="00654568">
        <w:rPr>
          <w:rFonts w:ascii="Times New Roman" w:hAnsi="Times New Roman"/>
          <w:i/>
          <w:iCs/>
          <w:sz w:val="24"/>
          <w:szCs w:val="24"/>
        </w:rPr>
        <w:t>’</w:t>
      </w:r>
      <w:r w:rsidRPr="00654568">
        <w:rPr>
          <w:rFonts w:ascii="Times New Roman" w:hAnsi="Times New Roman"/>
          <w:sz w:val="24"/>
          <w:szCs w:val="24"/>
        </w:rPr>
        <w:t xml:space="preserve"> case</w:t>
      </w:r>
      <w:r w:rsidR="00740520" w:rsidRPr="00654568">
        <w:rPr>
          <w:rStyle w:val="FootnoteReference"/>
          <w:rFonts w:ascii="Times New Roman" w:hAnsi="Times New Roman"/>
          <w:sz w:val="24"/>
          <w:szCs w:val="24"/>
        </w:rPr>
        <w:footnoteReference w:id="14"/>
      </w:r>
      <w:r w:rsidRPr="00654568">
        <w:rPr>
          <w:rFonts w:ascii="Times New Roman" w:hAnsi="Times New Roman"/>
          <w:sz w:val="24"/>
          <w:szCs w:val="24"/>
        </w:rPr>
        <w:t xml:space="preserve"> (on exhaustion of copyrights) that there is room for some form of </w:t>
      </w:r>
      <w:r w:rsidRPr="00654568">
        <w:rPr>
          <w:rFonts w:ascii="Times New Roman" w:hAnsi="Times New Roman"/>
          <w:i/>
          <w:iCs/>
          <w:sz w:val="24"/>
          <w:szCs w:val="24"/>
        </w:rPr>
        <w:t>in rem</w:t>
      </w:r>
      <w:r w:rsidRPr="00654568">
        <w:rPr>
          <w:rFonts w:ascii="Times New Roman" w:hAnsi="Times New Roman"/>
          <w:sz w:val="24"/>
          <w:szCs w:val="24"/>
        </w:rPr>
        <w:t xml:space="preserve"> effect to fully paid-up perpetual </w:t>
      </w:r>
      <w:r w:rsidR="00061FBC">
        <w:rPr>
          <w:rFonts w:ascii="Times New Roman" w:hAnsi="Times New Roman"/>
          <w:sz w:val="24"/>
          <w:szCs w:val="24"/>
        </w:rPr>
        <w:t>licence</w:t>
      </w:r>
      <w:r w:rsidRPr="00654568">
        <w:rPr>
          <w:rFonts w:ascii="Times New Roman" w:hAnsi="Times New Roman"/>
          <w:sz w:val="24"/>
          <w:szCs w:val="24"/>
        </w:rPr>
        <w:t>s, which would convert a property right on the licensee.</w:t>
      </w:r>
      <w:r w:rsidRPr="00654568">
        <w:rPr>
          <w:rStyle w:val="FootnoteReference"/>
          <w:rFonts w:ascii="Times New Roman" w:hAnsi="Times New Roman"/>
          <w:sz w:val="24"/>
          <w:szCs w:val="24"/>
          <w:lang w:val="nl-BE"/>
        </w:rPr>
        <w:footnoteReference w:id="15"/>
      </w:r>
      <w:r w:rsidRPr="00654568">
        <w:rPr>
          <w:rFonts w:ascii="Times New Roman" w:hAnsi="Times New Roman"/>
          <w:sz w:val="24"/>
          <w:szCs w:val="24"/>
        </w:rPr>
        <w:t xml:space="preserve"> Since rights </w:t>
      </w:r>
      <w:r w:rsidRPr="00654568">
        <w:rPr>
          <w:rFonts w:ascii="Times New Roman" w:hAnsi="Times New Roman"/>
          <w:i/>
          <w:iCs/>
          <w:sz w:val="24"/>
          <w:szCs w:val="24"/>
        </w:rPr>
        <w:t>in rem</w:t>
      </w:r>
      <w:r w:rsidRPr="00654568">
        <w:rPr>
          <w:rFonts w:ascii="Times New Roman" w:hAnsi="Times New Roman"/>
          <w:sz w:val="24"/>
          <w:szCs w:val="24"/>
        </w:rPr>
        <w:t xml:space="preserve"> benefit from third-party</w:t>
      </w:r>
      <w:r w:rsidRPr="00654568">
        <w:rPr>
          <w:rFonts w:ascii="Times New Roman" w:hAnsi="Times New Roman"/>
          <w:i/>
          <w:iCs/>
          <w:sz w:val="24"/>
          <w:szCs w:val="24"/>
        </w:rPr>
        <w:t xml:space="preserve"> </w:t>
      </w:r>
      <w:r w:rsidRPr="00654568">
        <w:rPr>
          <w:rFonts w:ascii="Times New Roman" w:hAnsi="Times New Roman"/>
          <w:sz w:val="24"/>
          <w:szCs w:val="24"/>
        </w:rPr>
        <w:lastRenderedPageBreak/>
        <w:t xml:space="preserve">effectiveness, meaning that they area also opposable vis-à-vis a bankruptcy receiver, this ruling could have important consequences for software </w:t>
      </w:r>
      <w:r w:rsidR="00061FBC">
        <w:rPr>
          <w:rFonts w:ascii="Times New Roman" w:hAnsi="Times New Roman"/>
          <w:sz w:val="24"/>
          <w:szCs w:val="24"/>
        </w:rPr>
        <w:t>licence</w:t>
      </w:r>
      <w:r w:rsidRPr="00654568">
        <w:rPr>
          <w:rFonts w:ascii="Times New Roman" w:hAnsi="Times New Roman"/>
          <w:sz w:val="24"/>
          <w:szCs w:val="24"/>
        </w:rPr>
        <w:t>s in an insolvency context.</w:t>
      </w:r>
      <w:r w:rsidRPr="00654568">
        <w:rPr>
          <w:rStyle w:val="FootnoteReference"/>
          <w:rFonts w:ascii="Times New Roman" w:hAnsi="Times New Roman"/>
          <w:sz w:val="24"/>
          <w:szCs w:val="24"/>
        </w:rPr>
        <w:footnoteReference w:id="16"/>
      </w:r>
    </w:p>
    <w:p w14:paraId="67B3BF4F" w14:textId="77777777" w:rsidR="004D0EBA" w:rsidRPr="00654568" w:rsidRDefault="004D0EBA" w:rsidP="00CC2668">
      <w:pPr>
        <w:spacing w:after="0"/>
        <w:rPr>
          <w:rFonts w:ascii="Times New Roman" w:hAnsi="Times New Roman"/>
          <w:sz w:val="24"/>
          <w:szCs w:val="24"/>
        </w:rPr>
      </w:pPr>
    </w:p>
    <w:p w14:paraId="621C191F" w14:textId="040CADE5"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 xml:space="preserve">Suspending Software </w:t>
      </w:r>
      <w:r w:rsidR="00061FBC">
        <w:rPr>
          <w:rFonts w:ascii="Times New Roman" w:hAnsi="Times New Roman" w:cs="Times New Roman"/>
          <w:b/>
          <w:bCs/>
          <w:sz w:val="24"/>
          <w:szCs w:val="24"/>
          <w:lang w:val="en-GB"/>
        </w:rPr>
        <w:t>Licence</w:t>
      </w:r>
      <w:r w:rsidRPr="00654568">
        <w:rPr>
          <w:rFonts w:ascii="Times New Roman" w:hAnsi="Times New Roman" w:cs="Times New Roman"/>
          <w:b/>
          <w:bCs/>
          <w:sz w:val="24"/>
          <w:szCs w:val="24"/>
          <w:lang w:val="en-GB"/>
        </w:rPr>
        <w:t>s in Reorganisation</w:t>
      </w:r>
    </w:p>
    <w:p w14:paraId="443CC32B" w14:textId="77777777" w:rsidR="004D0EBA" w:rsidRPr="00654568" w:rsidRDefault="004D0EBA" w:rsidP="00CC2668">
      <w:pPr>
        <w:spacing w:after="0"/>
        <w:rPr>
          <w:rFonts w:ascii="Times New Roman" w:hAnsi="Times New Roman"/>
          <w:sz w:val="24"/>
          <w:szCs w:val="24"/>
        </w:rPr>
      </w:pPr>
    </w:p>
    <w:p w14:paraId="6AFCA362" w14:textId="11438906"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Accepting the prevailing view that </w:t>
      </w:r>
      <w:r w:rsidR="00061FBC">
        <w:rPr>
          <w:rFonts w:ascii="Times New Roman" w:hAnsi="Times New Roman"/>
          <w:sz w:val="24"/>
          <w:szCs w:val="24"/>
        </w:rPr>
        <w:t>licence</w:t>
      </w:r>
      <w:r w:rsidRPr="00654568">
        <w:rPr>
          <w:rFonts w:ascii="Times New Roman" w:hAnsi="Times New Roman"/>
          <w:sz w:val="24"/>
          <w:szCs w:val="24"/>
        </w:rPr>
        <w:t xml:space="preserve"> contracts are </w:t>
      </w:r>
      <w:r w:rsidR="004D0EBA" w:rsidRPr="00654568">
        <w:rPr>
          <w:rFonts w:ascii="Times New Roman" w:hAnsi="Times New Roman"/>
          <w:i/>
          <w:iCs/>
          <w:sz w:val="24"/>
          <w:szCs w:val="24"/>
        </w:rPr>
        <w:t>‘</w:t>
      </w:r>
      <w:r w:rsidRPr="00654568">
        <w:rPr>
          <w:rFonts w:ascii="Times New Roman" w:hAnsi="Times New Roman"/>
          <w:i/>
          <w:iCs/>
          <w:sz w:val="24"/>
          <w:szCs w:val="24"/>
        </w:rPr>
        <w:t>current contracts</w:t>
      </w:r>
      <w:r w:rsidR="004D0EBA" w:rsidRPr="00654568">
        <w:rPr>
          <w:rFonts w:ascii="Times New Roman" w:hAnsi="Times New Roman"/>
          <w:i/>
          <w:iCs/>
          <w:sz w:val="24"/>
          <w:szCs w:val="24"/>
        </w:rPr>
        <w:t>’</w:t>
      </w:r>
      <w:r w:rsidRPr="00654568">
        <w:rPr>
          <w:rFonts w:ascii="Times New Roman" w:hAnsi="Times New Roman"/>
          <w:sz w:val="24"/>
          <w:szCs w:val="24"/>
        </w:rPr>
        <w:t xml:space="preserve"> has significant implications for the rights and obligations of the parties to it. For instance, Belgian insolvency law not only prohibit</w:t>
      </w:r>
      <w:r w:rsidR="00797291" w:rsidRPr="00654568">
        <w:rPr>
          <w:rFonts w:ascii="Times New Roman" w:hAnsi="Times New Roman"/>
          <w:sz w:val="24"/>
          <w:szCs w:val="24"/>
        </w:rPr>
        <w:t>s</w:t>
      </w:r>
      <w:r w:rsidRPr="00654568">
        <w:rPr>
          <w:rFonts w:ascii="Times New Roman" w:hAnsi="Times New Roman"/>
          <w:sz w:val="24"/>
          <w:szCs w:val="24"/>
        </w:rPr>
        <w:t xml:space="preserve"> </w:t>
      </w:r>
      <w:r w:rsidRPr="00654568">
        <w:rPr>
          <w:rFonts w:ascii="Times New Roman" w:hAnsi="Times New Roman"/>
          <w:i/>
          <w:iCs/>
          <w:sz w:val="24"/>
          <w:szCs w:val="24"/>
        </w:rPr>
        <w:t>ipso facto</w:t>
      </w:r>
      <w:r w:rsidRPr="00654568">
        <w:rPr>
          <w:rFonts w:ascii="Times New Roman" w:hAnsi="Times New Roman"/>
          <w:sz w:val="24"/>
          <w:szCs w:val="24"/>
        </w:rPr>
        <w:t xml:space="preserve"> clauses solely triggered by a reorganisation request (see </w:t>
      </w:r>
      <w:r w:rsidRPr="00654568">
        <w:rPr>
          <w:rFonts w:ascii="Times New Roman" w:hAnsi="Times New Roman"/>
          <w:i/>
          <w:iCs/>
          <w:sz w:val="24"/>
          <w:szCs w:val="24"/>
        </w:rPr>
        <w:t>supra</w:t>
      </w:r>
      <w:r w:rsidRPr="00654568">
        <w:rPr>
          <w:rFonts w:ascii="Times New Roman" w:hAnsi="Times New Roman"/>
          <w:sz w:val="24"/>
          <w:szCs w:val="24"/>
        </w:rPr>
        <w:t>), but also offers debtors in reorganisation the possibility to suspend the performance of their contractual obligations in the interest of their envisaged reorganisation.</w:t>
      </w:r>
    </w:p>
    <w:p w14:paraId="414E303D" w14:textId="77777777" w:rsidR="004D0EBA" w:rsidRPr="00654568" w:rsidRDefault="004D0EBA" w:rsidP="00CC2668">
      <w:pPr>
        <w:spacing w:after="0"/>
        <w:rPr>
          <w:rFonts w:ascii="Times New Roman" w:hAnsi="Times New Roman"/>
          <w:sz w:val="24"/>
          <w:szCs w:val="24"/>
        </w:rPr>
      </w:pPr>
    </w:p>
    <w:p w14:paraId="7914E0BB" w14:textId="1D67009B"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In the context of software </w:t>
      </w:r>
      <w:r w:rsidR="00061FBC">
        <w:rPr>
          <w:rFonts w:ascii="Times New Roman" w:hAnsi="Times New Roman"/>
          <w:sz w:val="24"/>
          <w:szCs w:val="24"/>
        </w:rPr>
        <w:t>licence</w:t>
      </w:r>
      <w:r w:rsidRPr="00654568">
        <w:rPr>
          <w:rFonts w:ascii="Times New Roman" w:hAnsi="Times New Roman"/>
          <w:sz w:val="24"/>
          <w:szCs w:val="24"/>
        </w:rPr>
        <w:t xml:space="preserve">s, which typically involve regular maintenance obligations (e.g., for updates, bug fixing, etc.), a debtor will consider whether the </w:t>
      </w:r>
      <w:r w:rsidR="00061FBC">
        <w:rPr>
          <w:rFonts w:ascii="Times New Roman" w:hAnsi="Times New Roman"/>
          <w:sz w:val="24"/>
          <w:szCs w:val="24"/>
        </w:rPr>
        <w:t>licence</w:t>
      </w:r>
      <w:r w:rsidRPr="00654568">
        <w:rPr>
          <w:rFonts w:ascii="Times New Roman" w:hAnsi="Times New Roman"/>
          <w:sz w:val="24"/>
          <w:szCs w:val="24"/>
        </w:rPr>
        <w:t xml:space="preserve"> and its maintenance are still aligned with its commercial interest. If the royalties or maintenance fees are too low</w:t>
      </w:r>
      <w:r w:rsidR="004D0EBA" w:rsidRPr="00654568">
        <w:rPr>
          <w:rFonts w:ascii="Times New Roman" w:hAnsi="Times New Roman"/>
          <w:sz w:val="24"/>
          <w:szCs w:val="24"/>
        </w:rPr>
        <w:t>,</w:t>
      </w:r>
      <w:r w:rsidRPr="00654568">
        <w:rPr>
          <w:rStyle w:val="FootnoteReference"/>
          <w:rFonts w:ascii="Times New Roman" w:hAnsi="Times New Roman"/>
          <w:sz w:val="24"/>
          <w:szCs w:val="24"/>
          <w:lang w:val="nl-BE"/>
        </w:rPr>
        <w:footnoteReference w:id="17"/>
      </w:r>
      <w:r w:rsidRPr="00654568">
        <w:rPr>
          <w:rFonts w:ascii="Times New Roman" w:hAnsi="Times New Roman"/>
          <w:sz w:val="24"/>
          <w:szCs w:val="24"/>
        </w:rPr>
        <w:t xml:space="preserve"> software issues frequently arise (rendering the software no longer profitable) or if the know-how is simply no longer available in the business (</w:t>
      </w:r>
      <w:r w:rsidR="004D0EBA" w:rsidRPr="00654568">
        <w:rPr>
          <w:rFonts w:ascii="Times New Roman" w:hAnsi="Times New Roman"/>
          <w:sz w:val="24"/>
          <w:szCs w:val="24"/>
        </w:rPr>
        <w:t>‘</w:t>
      </w:r>
      <w:r w:rsidRPr="00654568">
        <w:rPr>
          <w:rFonts w:ascii="Times New Roman" w:hAnsi="Times New Roman"/>
          <w:i/>
          <w:iCs/>
          <w:sz w:val="24"/>
          <w:szCs w:val="24"/>
        </w:rPr>
        <w:t>brain drain</w:t>
      </w:r>
      <w:r w:rsidR="004D0EBA" w:rsidRPr="00654568">
        <w:rPr>
          <w:rFonts w:ascii="Times New Roman" w:hAnsi="Times New Roman"/>
          <w:sz w:val="24"/>
          <w:szCs w:val="24"/>
        </w:rPr>
        <w:t>’</w:t>
      </w:r>
      <w:r w:rsidRPr="00654568">
        <w:rPr>
          <w:rFonts w:ascii="Times New Roman" w:hAnsi="Times New Roman"/>
          <w:sz w:val="24"/>
          <w:szCs w:val="24"/>
        </w:rPr>
        <w:t>), a debtor in reorganisation may opt to temporarily suspend its contractual obligations.</w:t>
      </w:r>
      <w:r w:rsidRPr="00654568">
        <w:rPr>
          <w:rStyle w:val="FootnoteReference"/>
          <w:rFonts w:ascii="Times New Roman" w:hAnsi="Times New Roman"/>
          <w:sz w:val="24"/>
          <w:szCs w:val="24"/>
          <w:lang w:val="nl-BE"/>
        </w:rPr>
        <w:footnoteReference w:id="18"/>
      </w:r>
      <w:r w:rsidRPr="00654568">
        <w:rPr>
          <w:rFonts w:ascii="Times New Roman" w:hAnsi="Times New Roman"/>
          <w:sz w:val="24"/>
          <w:szCs w:val="24"/>
        </w:rPr>
        <w:t xml:space="preserve"> Although the creditor-licensee could in turn also suspend its own commitments (</w:t>
      </w:r>
      <w:r w:rsidRPr="00654568">
        <w:rPr>
          <w:rFonts w:ascii="Times New Roman" w:hAnsi="Times New Roman"/>
          <w:i/>
          <w:iCs/>
          <w:sz w:val="24"/>
          <w:szCs w:val="24"/>
        </w:rPr>
        <w:t>i.e.,</w:t>
      </w:r>
      <w:r w:rsidRPr="00654568">
        <w:rPr>
          <w:rFonts w:ascii="Times New Roman" w:hAnsi="Times New Roman"/>
          <w:sz w:val="24"/>
          <w:szCs w:val="24"/>
        </w:rPr>
        <w:t xml:space="preserve"> not pay royalties) and even claim damages,</w:t>
      </w:r>
      <w:r w:rsidRPr="00654568">
        <w:rPr>
          <w:rStyle w:val="FootnoteReference"/>
          <w:rFonts w:ascii="Times New Roman" w:hAnsi="Times New Roman"/>
          <w:sz w:val="24"/>
          <w:szCs w:val="24"/>
          <w:lang w:val="nl-BE"/>
        </w:rPr>
        <w:footnoteReference w:id="19"/>
      </w:r>
      <w:r w:rsidRPr="00654568">
        <w:rPr>
          <w:rFonts w:ascii="Times New Roman" w:hAnsi="Times New Roman"/>
          <w:sz w:val="24"/>
          <w:szCs w:val="24"/>
        </w:rPr>
        <w:t xml:space="preserve"> this still does not eliminate the potential inoperability of its software systems and the risk of business disruption.</w:t>
      </w:r>
    </w:p>
    <w:p w14:paraId="758D9680" w14:textId="77777777" w:rsidR="004D0EBA" w:rsidRPr="00654568" w:rsidRDefault="004D0EBA" w:rsidP="00CC2668">
      <w:pPr>
        <w:spacing w:after="0"/>
        <w:rPr>
          <w:rFonts w:ascii="Times New Roman" w:hAnsi="Times New Roman"/>
          <w:sz w:val="24"/>
          <w:szCs w:val="24"/>
        </w:rPr>
      </w:pPr>
    </w:p>
    <w:p w14:paraId="2B14194A" w14:textId="71F0D3E4"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Quickly migrate to an alternative software then - if at all practically possible? Well, given that this temporary suspension does not legally constitute a ground for termination of the </w:t>
      </w:r>
      <w:r w:rsidR="00061FBC">
        <w:rPr>
          <w:rFonts w:ascii="Times New Roman" w:hAnsi="Times New Roman"/>
          <w:sz w:val="24"/>
          <w:szCs w:val="24"/>
        </w:rPr>
        <w:t>licence</w:t>
      </w:r>
      <w:r w:rsidRPr="00654568">
        <w:rPr>
          <w:rFonts w:ascii="Times New Roman" w:hAnsi="Times New Roman"/>
          <w:sz w:val="24"/>
          <w:szCs w:val="24"/>
        </w:rPr>
        <w:t xml:space="preserve"> or maintenance contract, a creditor-licensee will always risk incurring contractual liability himself. Consequently, the licensee will also not be able to rely on conventional cooperation clauses for its transition to another software provider vis-à-vis the debtor-licensor.</w:t>
      </w:r>
    </w:p>
    <w:p w14:paraId="4E540994" w14:textId="77777777" w:rsidR="004D0EBA" w:rsidRPr="00654568" w:rsidRDefault="004D0EBA" w:rsidP="00CC2668">
      <w:pPr>
        <w:spacing w:after="0"/>
        <w:rPr>
          <w:rFonts w:ascii="Times New Roman" w:hAnsi="Times New Roman"/>
          <w:sz w:val="24"/>
          <w:szCs w:val="24"/>
        </w:rPr>
      </w:pPr>
    </w:p>
    <w:p w14:paraId="3D1B00DA" w14:textId="09005F6A"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The licensee is confronted with an impasse: it is uncertain of the quality of its current software, yet transitioning to an alternative provider would present significant legal and organisational challenges.</w:t>
      </w:r>
    </w:p>
    <w:p w14:paraId="6D4DF421" w14:textId="77777777" w:rsidR="004D0EBA" w:rsidRPr="00654568" w:rsidRDefault="004D0EBA" w:rsidP="00CC2668">
      <w:pPr>
        <w:spacing w:after="0"/>
        <w:rPr>
          <w:rFonts w:ascii="Times New Roman" w:hAnsi="Times New Roman"/>
          <w:sz w:val="24"/>
          <w:szCs w:val="24"/>
        </w:rPr>
      </w:pPr>
    </w:p>
    <w:p w14:paraId="4FFC8449" w14:textId="266A3CF4"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 xml:space="preserve">The Fate of Software </w:t>
      </w:r>
      <w:r w:rsidR="00061FBC">
        <w:rPr>
          <w:rFonts w:ascii="Times New Roman" w:hAnsi="Times New Roman" w:cs="Times New Roman"/>
          <w:b/>
          <w:bCs/>
          <w:sz w:val="24"/>
          <w:szCs w:val="24"/>
          <w:lang w:val="en-GB"/>
        </w:rPr>
        <w:t>Licence</w:t>
      </w:r>
      <w:r w:rsidRPr="00654568">
        <w:rPr>
          <w:rFonts w:ascii="Times New Roman" w:hAnsi="Times New Roman" w:cs="Times New Roman"/>
          <w:b/>
          <w:bCs/>
          <w:sz w:val="24"/>
          <w:szCs w:val="24"/>
          <w:lang w:val="en-GB"/>
        </w:rPr>
        <w:t>s in Bankruptcy</w:t>
      </w:r>
    </w:p>
    <w:p w14:paraId="00F85FF0" w14:textId="77777777" w:rsidR="004D0EBA" w:rsidRPr="00654568" w:rsidRDefault="004D0EBA" w:rsidP="00CC2668">
      <w:pPr>
        <w:spacing w:after="0"/>
        <w:rPr>
          <w:rFonts w:ascii="Times New Roman" w:hAnsi="Times New Roman"/>
          <w:sz w:val="24"/>
          <w:szCs w:val="24"/>
        </w:rPr>
      </w:pPr>
    </w:p>
    <w:p w14:paraId="2A2EACBE" w14:textId="77777777" w:rsidR="004D0EBA" w:rsidRPr="00654568" w:rsidRDefault="000E6FB9" w:rsidP="00CC2668">
      <w:pPr>
        <w:spacing w:after="0"/>
        <w:rPr>
          <w:rFonts w:ascii="Times New Roman" w:hAnsi="Times New Roman"/>
          <w:sz w:val="24"/>
          <w:szCs w:val="24"/>
        </w:rPr>
      </w:pPr>
      <w:r w:rsidRPr="00654568">
        <w:rPr>
          <w:rFonts w:ascii="Times New Roman" w:hAnsi="Times New Roman"/>
          <w:sz w:val="24"/>
          <w:szCs w:val="24"/>
        </w:rPr>
        <w:t>Upon the bankruptcy of the debtor-licensor, a bankruptcy receiver will be appointed and take control of the bankrupt software provider.</w:t>
      </w:r>
      <w:r w:rsidRPr="00654568">
        <w:rPr>
          <w:rStyle w:val="FootnoteReference"/>
          <w:rFonts w:ascii="Times New Roman" w:hAnsi="Times New Roman"/>
          <w:sz w:val="24"/>
          <w:szCs w:val="24"/>
        </w:rPr>
        <w:footnoteReference w:id="20"/>
      </w:r>
      <w:r w:rsidRPr="00654568">
        <w:rPr>
          <w:rFonts w:ascii="Times New Roman" w:hAnsi="Times New Roman"/>
          <w:sz w:val="24"/>
          <w:szCs w:val="24"/>
        </w:rPr>
        <w:t xml:space="preserve"> The software</w:t>
      </w:r>
      <w:r w:rsidR="004D0EBA" w:rsidRPr="00654568">
        <w:rPr>
          <w:rFonts w:ascii="Times New Roman" w:hAnsi="Times New Roman"/>
          <w:sz w:val="24"/>
          <w:szCs w:val="24"/>
        </w:rPr>
        <w:t>’</w:t>
      </w:r>
      <w:r w:rsidRPr="00654568">
        <w:rPr>
          <w:rFonts w:ascii="Times New Roman" w:hAnsi="Times New Roman"/>
          <w:sz w:val="24"/>
          <w:szCs w:val="24"/>
        </w:rPr>
        <w:t>s fate will depend on the approach taken by the receiver, who may adopt one of three courses of action:</w:t>
      </w:r>
      <w:r w:rsidRPr="00654568">
        <w:rPr>
          <w:rStyle w:val="FootnoteReference"/>
          <w:rFonts w:ascii="Times New Roman" w:hAnsi="Times New Roman"/>
          <w:sz w:val="24"/>
          <w:szCs w:val="24"/>
          <w:lang w:val="nl-BE"/>
        </w:rPr>
        <w:footnoteReference w:id="21"/>
      </w:r>
    </w:p>
    <w:p w14:paraId="028ACB22" w14:textId="77777777" w:rsidR="004D0EBA" w:rsidRPr="00654568" w:rsidRDefault="004D0EBA" w:rsidP="00CC2668">
      <w:pPr>
        <w:spacing w:after="0"/>
        <w:rPr>
          <w:rFonts w:ascii="Times New Roman" w:hAnsi="Times New Roman"/>
          <w:sz w:val="24"/>
          <w:szCs w:val="24"/>
        </w:rPr>
      </w:pPr>
    </w:p>
    <w:p w14:paraId="1A63FA29" w14:textId="5A54E8F6" w:rsidR="004D0EBA"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(1) either </w:t>
      </w:r>
      <w:r w:rsidR="004D0EBA" w:rsidRPr="00654568">
        <w:rPr>
          <w:rFonts w:ascii="Times New Roman" w:hAnsi="Times New Roman"/>
          <w:sz w:val="24"/>
          <w:szCs w:val="24"/>
        </w:rPr>
        <w:t>s/</w:t>
      </w:r>
      <w:r w:rsidRPr="00654568">
        <w:rPr>
          <w:rFonts w:ascii="Times New Roman" w:hAnsi="Times New Roman"/>
          <w:sz w:val="24"/>
          <w:szCs w:val="24"/>
        </w:rPr>
        <w:t xml:space="preserve">he continues to perform the current contracts of the bankrupt company, e.g. in an attempt to later transfer its activities </w:t>
      </w:r>
      <w:r w:rsidR="004D0EBA" w:rsidRPr="00654568">
        <w:rPr>
          <w:rFonts w:ascii="Times New Roman" w:hAnsi="Times New Roman"/>
          <w:sz w:val="24"/>
          <w:szCs w:val="24"/>
        </w:rPr>
        <w:t>‘</w:t>
      </w:r>
      <w:r w:rsidRPr="00654568">
        <w:rPr>
          <w:rFonts w:ascii="Times New Roman" w:hAnsi="Times New Roman"/>
          <w:i/>
          <w:iCs/>
          <w:sz w:val="24"/>
          <w:szCs w:val="24"/>
        </w:rPr>
        <w:t>in going concern</w:t>
      </w:r>
      <w:r w:rsidR="004D0EBA" w:rsidRPr="00654568">
        <w:rPr>
          <w:rFonts w:ascii="Times New Roman" w:hAnsi="Times New Roman"/>
          <w:i/>
          <w:iCs/>
          <w:sz w:val="24"/>
          <w:szCs w:val="24"/>
        </w:rPr>
        <w:t>’</w:t>
      </w:r>
      <w:r w:rsidR="004D0EBA" w:rsidRPr="00654568">
        <w:rPr>
          <w:rFonts w:ascii="Times New Roman" w:hAnsi="Times New Roman"/>
          <w:sz w:val="24"/>
          <w:szCs w:val="24"/>
        </w:rPr>
        <w:t>;</w:t>
      </w:r>
      <w:r w:rsidRPr="00654568">
        <w:rPr>
          <w:rStyle w:val="FootnoteReference"/>
          <w:rFonts w:ascii="Times New Roman" w:hAnsi="Times New Roman"/>
          <w:sz w:val="24"/>
          <w:szCs w:val="24"/>
          <w:lang w:val="nl-BE"/>
        </w:rPr>
        <w:footnoteReference w:id="22"/>
      </w:r>
    </w:p>
    <w:p w14:paraId="4B8EECC7" w14:textId="2B5ED70F" w:rsidR="004D0EBA"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(2) </w:t>
      </w:r>
      <w:r w:rsidR="004D0EBA" w:rsidRPr="00654568">
        <w:rPr>
          <w:rFonts w:ascii="Times New Roman" w:hAnsi="Times New Roman"/>
          <w:sz w:val="24"/>
          <w:szCs w:val="24"/>
        </w:rPr>
        <w:t>s/</w:t>
      </w:r>
      <w:r w:rsidRPr="00654568">
        <w:rPr>
          <w:rFonts w:ascii="Times New Roman" w:hAnsi="Times New Roman"/>
          <w:sz w:val="24"/>
          <w:szCs w:val="24"/>
        </w:rPr>
        <w:t xml:space="preserve">he decides to remain passive and not to perform the </w:t>
      </w:r>
      <w:r w:rsidR="00061FBC">
        <w:rPr>
          <w:rFonts w:ascii="Times New Roman" w:hAnsi="Times New Roman"/>
          <w:sz w:val="24"/>
          <w:szCs w:val="24"/>
        </w:rPr>
        <w:t>licence</w:t>
      </w:r>
      <w:r w:rsidRPr="00654568">
        <w:rPr>
          <w:rFonts w:ascii="Times New Roman" w:hAnsi="Times New Roman"/>
          <w:sz w:val="24"/>
          <w:szCs w:val="24"/>
        </w:rPr>
        <w:t xml:space="preserve">, nor the maintenance agreement; </w:t>
      </w:r>
      <w:r w:rsidR="004D0EBA" w:rsidRPr="00654568">
        <w:rPr>
          <w:rFonts w:ascii="Times New Roman" w:hAnsi="Times New Roman"/>
          <w:sz w:val="24"/>
          <w:szCs w:val="24"/>
        </w:rPr>
        <w:t>or</w:t>
      </w:r>
    </w:p>
    <w:p w14:paraId="256BBD3D" w14:textId="153FB7E4"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(3) </w:t>
      </w:r>
      <w:r w:rsidR="004D0EBA" w:rsidRPr="00654568">
        <w:rPr>
          <w:rFonts w:ascii="Times New Roman" w:hAnsi="Times New Roman"/>
          <w:sz w:val="24"/>
          <w:szCs w:val="24"/>
        </w:rPr>
        <w:t>s/</w:t>
      </w:r>
      <w:r w:rsidRPr="00654568">
        <w:rPr>
          <w:rFonts w:ascii="Times New Roman" w:hAnsi="Times New Roman"/>
          <w:sz w:val="24"/>
          <w:szCs w:val="24"/>
        </w:rPr>
        <w:t>he unilaterally terminates certain contracts in the interest of the bankruptcy estate.</w:t>
      </w:r>
    </w:p>
    <w:p w14:paraId="33113233" w14:textId="77777777" w:rsidR="004D0EBA" w:rsidRPr="00654568" w:rsidRDefault="004D0EBA" w:rsidP="00CC2668">
      <w:pPr>
        <w:spacing w:after="0"/>
        <w:rPr>
          <w:rFonts w:ascii="Times New Roman" w:hAnsi="Times New Roman"/>
          <w:sz w:val="24"/>
          <w:szCs w:val="24"/>
        </w:rPr>
      </w:pPr>
    </w:p>
    <w:p w14:paraId="31478309" w14:textId="6F63E662"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Whereas the mere </w:t>
      </w:r>
      <w:r w:rsidRPr="00654568">
        <w:rPr>
          <w:rFonts w:ascii="Times New Roman" w:hAnsi="Times New Roman"/>
          <w:b/>
          <w:bCs/>
          <w:sz w:val="24"/>
          <w:szCs w:val="24"/>
        </w:rPr>
        <w:t xml:space="preserve">non-performance </w:t>
      </w:r>
      <w:r w:rsidRPr="00654568">
        <w:rPr>
          <w:rFonts w:ascii="Times New Roman" w:hAnsi="Times New Roman"/>
          <w:sz w:val="24"/>
          <w:szCs w:val="24"/>
        </w:rPr>
        <w:t xml:space="preserve">of a </w:t>
      </w:r>
      <w:r w:rsidR="00061FBC">
        <w:rPr>
          <w:rFonts w:ascii="Times New Roman" w:hAnsi="Times New Roman"/>
          <w:sz w:val="24"/>
          <w:szCs w:val="24"/>
        </w:rPr>
        <w:t>licence</w:t>
      </w:r>
      <w:r w:rsidRPr="00654568">
        <w:rPr>
          <w:rFonts w:ascii="Times New Roman" w:hAnsi="Times New Roman"/>
          <w:sz w:val="24"/>
          <w:szCs w:val="24"/>
        </w:rPr>
        <w:t xml:space="preserve"> agreement will initially pose few problems for customer-licensees (as they can simply continue to use the </w:t>
      </w:r>
      <w:r w:rsidR="00061FBC">
        <w:rPr>
          <w:rFonts w:ascii="Times New Roman" w:hAnsi="Times New Roman"/>
          <w:sz w:val="24"/>
          <w:szCs w:val="24"/>
        </w:rPr>
        <w:t>licence</w:t>
      </w:r>
      <w:r w:rsidRPr="00654568">
        <w:rPr>
          <w:rFonts w:ascii="Times New Roman" w:hAnsi="Times New Roman"/>
          <w:sz w:val="24"/>
          <w:szCs w:val="24"/>
        </w:rPr>
        <w:t>), the software will at some point need to be updated or bugs will need to be fixed. The receiver</w:t>
      </w:r>
      <w:r w:rsidR="004D0EBA" w:rsidRPr="00654568">
        <w:rPr>
          <w:rFonts w:ascii="Times New Roman" w:hAnsi="Times New Roman"/>
          <w:sz w:val="24"/>
          <w:szCs w:val="24"/>
        </w:rPr>
        <w:t>’</w:t>
      </w:r>
      <w:r w:rsidRPr="00654568">
        <w:rPr>
          <w:rFonts w:ascii="Times New Roman" w:hAnsi="Times New Roman"/>
          <w:sz w:val="24"/>
          <w:szCs w:val="24"/>
        </w:rPr>
        <w:t xml:space="preserve">s decision not to perform these (active) obligations will indirectly frustrate the operability and use of the software </w:t>
      </w:r>
      <w:r w:rsidR="00061FBC">
        <w:rPr>
          <w:rFonts w:ascii="Times New Roman" w:hAnsi="Times New Roman"/>
          <w:sz w:val="24"/>
          <w:szCs w:val="24"/>
        </w:rPr>
        <w:t>licence</w:t>
      </w:r>
      <w:r w:rsidRPr="00654568">
        <w:rPr>
          <w:rFonts w:ascii="Times New Roman" w:hAnsi="Times New Roman"/>
          <w:sz w:val="24"/>
          <w:szCs w:val="24"/>
        </w:rPr>
        <w:t>.</w:t>
      </w:r>
      <w:r w:rsidRPr="00654568">
        <w:rPr>
          <w:rStyle w:val="FootnoteReference"/>
          <w:rFonts w:ascii="Times New Roman" w:hAnsi="Times New Roman"/>
          <w:sz w:val="24"/>
          <w:szCs w:val="24"/>
        </w:rPr>
        <w:footnoteReference w:id="23"/>
      </w:r>
    </w:p>
    <w:p w14:paraId="30677B55" w14:textId="77777777" w:rsidR="004D0EBA" w:rsidRPr="00654568" w:rsidRDefault="004D0EBA" w:rsidP="00CC2668">
      <w:pPr>
        <w:spacing w:after="0"/>
        <w:rPr>
          <w:rFonts w:ascii="Times New Roman" w:hAnsi="Times New Roman"/>
          <w:sz w:val="24"/>
          <w:szCs w:val="24"/>
        </w:rPr>
      </w:pPr>
    </w:p>
    <w:p w14:paraId="1F7ABAC0" w14:textId="5EF0AAE9"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Even if the customer were to anticipate this imminent inoperability and terminate the </w:t>
      </w:r>
      <w:r w:rsidR="00061FBC">
        <w:rPr>
          <w:rFonts w:ascii="Times New Roman" w:hAnsi="Times New Roman"/>
          <w:sz w:val="24"/>
          <w:szCs w:val="24"/>
        </w:rPr>
        <w:t>licence</w:t>
      </w:r>
      <w:r w:rsidRPr="00654568">
        <w:rPr>
          <w:rFonts w:ascii="Times New Roman" w:hAnsi="Times New Roman"/>
          <w:sz w:val="24"/>
          <w:szCs w:val="24"/>
        </w:rPr>
        <w:t xml:space="preserve"> </w:t>
      </w:r>
      <w:r w:rsidR="004D0EBA" w:rsidRPr="00654568">
        <w:rPr>
          <w:rFonts w:ascii="Times New Roman" w:hAnsi="Times New Roman"/>
          <w:sz w:val="24"/>
          <w:szCs w:val="24"/>
        </w:rPr>
        <w:t>her/</w:t>
      </w:r>
      <w:r w:rsidRPr="00654568">
        <w:rPr>
          <w:rFonts w:ascii="Times New Roman" w:hAnsi="Times New Roman"/>
          <w:sz w:val="24"/>
          <w:szCs w:val="24"/>
        </w:rPr>
        <w:t>himself in order to migrate its systems to another software provider,</w:t>
      </w:r>
      <w:r w:rsidRPr="00654568">
        <w:rPr>
          <w:rStyle w:val="FootnoteReference"/>
          <w:rFonts w:ascii="Times New Roman" w:hAnsi="Times New Roman"/>
          <w:sz w:val="24"/>
          <w:szCs w:val="24"/>
          <w:lang w:val="nl-BE"/>
        </w:rPr>
        <w:footnoteReference w:id="24"/>
      </w:r>
      <w:r w:rsidR="004D0EBA" w:rsidRPr="00654568">
        <w:rPr>
          <w:rFonts w:ascii="Times New Roman" w:hAnsi="Times New Roman"/>
          <w:sz w:val="24"/>
          <w:szCs w:val="24"/>
        </w:rPr>
        <w:t xml:space="preserve"> </w:t>
      </w:r>
      <w:r w:rsidRPr="00654568">
        <w:rPr>
          <w:rFonts w:ascii="Times New Roman" w:hAnsi="Times New Roman"/>
          <w:sz w:val="24"/>
          <w:szCs w:val="24"/>
        </w:rPr>
        <w:t>the cooperation of the receiver - even if contractually foreseen – could not be enforced, as no (forced) performance in kind can be demanded from a Belgian receiver (and, as stated above, performance by equivalence or compensation will not provide relief in practice)</w:t>
      </w:r>
      <w:r w:rsidR="004D0EBA" w:rsidRPr="00654568">
        <w:rPr>
          <w:rFonts w:ascii="Times New Roman" w:hAnsi="Times New Roman"/>
          <w:sz w:val="24"/>
          <w:szCs w:val="24"/>
        </w:rPr>
        <w:t>.</w:t>
      </w:r>
      <w:r w:rsidRPr="00654568">
        <w:rPr>
          <w:rStyle w:val="FootnoteReference"/>
          <w:rFonts w:ascii="Times New Roman" w:hAnsi="Times New Roman"/>
          <w:sz w:val="24"/>
          <w:szCs w:val="24"/>
          <w:lang w:val="nl-BE"/>
        </w:rPr>
        <w:footnoteReference w:id="25"/>
      </w:r>
    </w:p>
    <w:p w14:paraId="3DD37631" w14:textId="77777777" w:rsidR="004D0EBA" w:rsidRPr="00654568" w:rsidRDefault="004D0EBA" w:rsidP="00CC2668">
      <w:pPr>
        <w:spacing w:after="0"/>
        <w:rPr>
          <w:rFonts w:ascii="Times New Roman" w:hAnsi="Times New Roman"/>
          <w:sz w:val="24"/>
          <w:szCs w:val="24"/>
        </w:rPr>
      </w:pPr>
    </w:p>
    <w:p w14:paraId="425B205B" w14:textId="422F5953"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 xml:space="preserve">The receiver can also decide </w:t>
      </w:r>
      <w:r w:rsidRPr="00654568">
        <w:rPr>
          <w:rFonts w:ascii="Times New Roman" w:hAnsi="Times New Roman"/>
          <w:b/>
          <w:bCs/>
          <w:sz w:val="24"/>
          <w:szCs w:val="24"/>
        </w:rPr>
        <w:t xml:space="preserve">to unilaterally terminate </w:t>
      </w:r>
      <w:r w:rsidRPr="00654568">
        <w:rPr>
          <w:rFonts w:ascii="Times New Roman" w:hAnsi="Times New Roman"/>
          <w:sz w:val="24"/>
          <w:szCs w:val="24"/>
        </w:rPr>
        <w:t>current</w:t>
      </w:r>
      <w:r w:rsidRPr="00654568">
        <w:rPr>
          <w:rFonts w:ascii="Times New Roman" w:hAnsi="Times New Roman"/>
          <w:b/>
          <w:bCs/>
          <w:sz w:val="24"/>
          <w:szCs w:val="24"/>
        </w:rPr>
        <w:t xml:space="preserve"> </w:t>
      </w:r>
      <w:r w:rsidRPr="00654568">
        <w:rPr>
          <w:rFonts w:ascii="Times New Roman" w:hAnsi="Times New Roman"/>
          <w:sz w:val="24"/>
          <w:szCs w:val="24"/>
        </w:rPr>
        <w:t>contracts in the interest of the bankruptcy estate.</w:t>
      </w:r>
      <w:r w:rsidRPr="00654568">
        <w:rPr>
          <w:rStyle w:val="FootnoteReference"/>
          <w:rFonts w:ascii="Times New Roman" w:hAnsi="Times New Roman"/>
          <w:sz w:val="24"/>
          <w:szCs w:val="24"/>
          <w:lang w:val="nl-BE"/>
        </w:rPr>
        <w:footnoteReference w:id="26"/>
      </w:r>
      <w:r w:rsidRPr="00654568">
        <w:rPr>
          <w:rFonts w:ascii="Times New Roman" w:hAnsi="Times New Roman"/>
          <w:sz w:val="24"/>
          <w:szCs w:val="24"/>
        </w:rPr>
        <w:t xml:space="preserve"> However, Belgian case law has been quite divergent on the matter</w:t>
      </w:r>
      <w:r w:rsidRPr="00654568">
        <w:rPr>
          <w:rStyle w:val="FootnoteReference"/>
          <w:rFonts w:ascii="Times New Roman" w:hAnsi="Times New Roman"/>
          <w:sz w:val="24"/>
          <w:szCs w:val="24"/>
          <w:lang w:val="nl-BE"/>
        </w:rPr>
        <w:footnoteReference w:id="27"/>
      </w:r>
      <w:r w:rsidRPr="00654568">
        <w:rPr>
          <w:rFonts w:ascii="Times New Roman" w:hAnsi="Times New Roman"/>
          <w:sz w:val="24"/>
          <w:szCs w:val="24"/>
        </w:rPr>
        <w:t xml:space="preserve"> and no (published) case law on the specific termination of </w:t>
      </w:r>
      <w:r w:rsidR="00061FBC">
        <w:rPr>
          <w:rFonts w:ascii="Times New Roman" w:hAnsi="Times New Roman"/>
          <w:sz w:val="24"/>
          <w:szCs w:val="24"/>
        </w:rPr>
        <w:t>licence</w:t>
      </w:r>
      <w:r w:rsidRPr="00654568">
        <w:rPr>
          <w:rFonts w:ascii="Times New Roman" w:hAnsi="Times New Roman"/>
          <w:sz w:val="24"/>
          <w:szCs w:val="24"/>
        </w:rPr>
        <w:t xml:space="preserve">s by a receiver exists to date. Some scholars contend that the termination of a </w:t>
      </w:r>
      <w:r w:rsidR="00061FBC">
        <w:rPr>
          <w:rFonts w:ascii="Times New Roman" w:hAnsi="Times New Roman"/>
          <w:sz w:val="24"/>
          <w:szCs w:val="24"/>
        </w:rPr>
        <w:t>licence</w:t>
      </w:r>
      <w:r w:rsidRPr="00654568">
        <w:rPr>
          <w:rFonts w:ascii="Times New Roman" w:hAnsi="Times New Roman"/>
          <w:sz w:val="24"/>
          <w:szCs w:val="24"/>
        </w:rPr>
        <w:t xml:space="preserve"> in itself could hardly be justified based on the estate</w:t>
      </w:r>
      <w:r w:rsidR="004D0EBA" w:rsidRPr="00654568">
        <w:rPr>
          <w:rFonts w:ascii="Times New Roman" w:hAnsi="Times New Roman"/>
          <w:sz w:val="24"/>
          <w:szCs w:val="24"/>
        </w:rPr>
        <w:t>’</w:t>
      </w:r>
      <w:r w:rsidRPr="00654568">
        <w:rPr>
          <w:rFonts w:ascii="Times New Roman" w:hAnsi="Times New Roman"/>
          <w:sz w:val="24"/>
          <w:szCs w:val="24"/>
        </w:rPr>
        <w:t xml:space="preserve">s interest, as the mere continued use of a </w:t>
      </w:r>
      <w:r w:rsidR="00061FBC">
        <w:rPr>
          <w:rFonts w:ascii="Times New Roman" w:hAnsi="Times New Roman"/>
          <w:sz w:val="24"/>
          <w:szCs w:val="24"/>
        </w:rPr>
        <w:t>licence</w:t>
      </w:r>
      <w:r w:rsidRPr="00654568">
        <w:rPr>
          <w:rFonts w:ascii="Times New Roman" w:hAnsi="Times New Roman"/>
          <w:sz w:val="24"/>
          <w:szCs w:val="24"/>
        </w:rPr>
        <w:t xml:space="preserve"> by a customer-licensee </w:t>
      </w:r>
      <w:r w:rsidRPr="00654568">
        <w:rPr>
          <w:rFonts w:ascii="Times New Roman" w:hAnsi="Times New Roman"/>
          <w:sz w:val="24"/>
          <w:szCs w:val="24"/>
        </w:rPr>
        <w:lastRenderedPageBreak/>
        <w:t>does not result in any additional (active) obligations, costs or liabilities for the bankruptcy estate.</w:t>
      </w:r>
      <w:r w:rsidRPr="00654568">
        <w:rPr>
          <w:rStyle w:val="FootnoteReference"/>
          <w:rFonts w:ascii="Times New Roman" w:hAnsi="Times New Roman"/>
          <w:sz w:val="24"/>
          <w:szCs w:val="24"/>
        </w:rPr>
        <w:footnoteReference w:id="28"/>
      </w:r>
      <w:r w:rsidRPr="00654568">
        <w:rPr>
          <w:rFonts w:ascii="Times New Roman" w:hAnsi="Times New Roman"/>
          <w:sz w:val="24"/>
          <w:szCs w:val="24"/>
        </w:rPr>
        <w:t xml:space="preserve"> However, as mentioned above, the performance of the related maintenance obligations may no longer be possible or too costly for the estate and thus definitely terminable, leaving </w:t>
      </w:r>
      <w:r w:rsidR="00061FBC">
        <w:rPr>
          <w:rFonts w:ascii="Times New Roman" w:hAnsi="Times New Roman"/>
          <w:sz w:val="24"/>
          <w:szCs w:val="24"/>
        </w:rPr>
        <w:t>license</w:t>
      </w:r>
      <w:r w:rsidR="00061FBC" w:rsidRPr="00654568">
        <w:rPr>
          <w:rFonts w:ascii="Times New Roman" w:hAnsi="Times New Roman"/>
          <w:sz w:val="24"/>
          <w:szCs w:val="24"/>
        </w:rPr>
        <w:t>es</w:t>
      </w:r>
      <w:r w:rsidRPr="00654568">
        <w:rPr>
          <w:rFonts w:ascii="Times New Roman" w:hAnsi="Times New Roman"/>
          <w:sz w:val="24"/>
          <w:szCs w:val="24"/>
        </w:rPr>
        <w:t xml:space="preserve"> again with an inoperable software </w:t>
      </w:r>
      <w:r w:rsidR="00061FBC">
        <w:rPr>
          <w:rFonts w:ascii="Times New Roman" w:hAnsi="Times New Roman"/>
          <w:sz w:val="24"/>
          <w:szCs w:val="24"/>
        </w:rPr>
        <w:t>licence</w:t>
      </w:r>
      <w:r w:rsidRPr="00654568">
        <w:rPr>
          <w:rFonts w:ascii="Times New Roman" w:hAnsi="Times New Roman"/>
          <w:sz w:val="24"/>
          <w:szCs w:val="24"/>
        </w:rPr>
        <w:t>.</w:t>
      </w:r>
      <w:r w:rsidRPr="00654568">
        <w:rPr>
          <w:rStyle w:val="FootnoteReference"/>
          <w:rFonts w:ascii="Times New Roman" w:hAnsi="Times New Roman"/>
          <w:sz w:val="24"/>
          <w:szCs w:val="24"/>
        </w:rPr>
        <w:footnoteReference w:id="29"/>
      </w:r>
      <w:r w:rsidRPr="00654568">
        <w:rPr>
          <w:rFonts w:ascii="Times New Roman" w:hAnsi="Times New Roman"/>
          <w:sz w:val="24"/>
          <w:szCs w:val="24"/>
        </w:rPr>
        <w:t xml:space="preserve"> Also, the lack of third-party effectiveness of a software </w:t>
      </w:r>
      <w:r w:rsidR="00061FBC">
        <w:rPr>
          <w:rFonts w:ascii="Times New Roman" w:hAnsi="Times New Roman"/>
          <w:sz w:val="24"/>
          <w:szCs w:val="24"/>
        </w:rPr>
        <w:t>licence</w:t>
      </w:r>
      <w:r w:rsidRPr="00654568">
        <w:rPr>
          <w:rFonts w:ascii="Times New Roman" w:hAnsi="Times New Roman"/>
          <w:sz w:val="24"/>
          <w:szCs w:val="24"/>
        </w:rPr>
        <w:t xml:space="preserve"> could pose a real risk, especially in case the underlying IP rights are being sold unencumbered after bankruptcy. Without </w:t>
      </w:r>
      <w:r w:rsidRPr="00654568">
        <w:rPr>
          <w:rFonts w:ascii="Times New Roman" w:hAnsi="Times New Roman"/>
          <w:i/>
          <w:iCs/>
          <w:sz w:val="24"/>
          <w:szCs w:val="24"/>
        </w:rPr>
        <w:t>in rem</w:t>
      </w:r>
      <w:r w:rsidRPr="00654568">
        <w:rPr>
          <w:rFonts w:ascii="Times New Roman" w:hAnsi="Times New Roman"/>
          <w:sz w:val="24"/>
          <w:szCs w:val="24"/>
        </w:rPr>
        <w:t xml:space="preserve"> effect, the </w:t>
      </w:r>
      <w:r w:rsidR="00061FBC">
        <w:rPr>
          <w:rFonts w:ascii="Times New Roman" w:hAnsi="Times New Roman"/>
          <w:sz w:val="24"/>
          <w:szCs w:val="24"/>
        </w:rPr>
        <w:t>licence</w:t>
      </w:r>
      <w:r w:rsidRPr="00654568">
        <w:rPr>
          <w:rFonts w:ascii="Times New Roman" w:hAnsi="Times New Roman"/>
          <w:sz w:val="24"/>
          <w:szCs w:val="24"/>
        </w:rPr>
        <w:t xml:space="preserve"> will not be opposable to a third-party acquirer of the software IP rights.</w:t>
      </w:r>
      <w:r w:rsidRPr="00654568">
        <w:rPr>
          <w:rStyle w:val="FootnoteReference"/>
          <w:rFonts w:ascii="Times New Roman" w:hAnsi="Times New Roman"/>
          <w:sz w:val="24"/>
          <w:szCs w:val="24"/>
          <w:lang w:val="nl-BE"/>
        </w:rPr>
        <w:footnoteReference w:id="30"/>
      </w:r>
    </w:p>
    <w:p w14:paraId="3497EC2C" w14:textId="77777777" w:rsidR="004D0EBA" w:rsidRPr="00654568" w:rsidRDefault="004D0EBA" w:rsidP="00CC2668">
      <w:pPr>
        <w:spacing w:after="0"/>
        <w:rPr>
          <w:rFonts w:ascii="Times New Roman" w:hAnsi="Times New Roman"/>
          <w:sz w:val="24"/>
          <w:szCs w:val="24"/>
        </w:rPr>
      </w:pPr>
    </w:p>
    <w:p w14:paraId="3CF51D46" w14:textId="67E437EB"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en-GB"/>
        </w:rPr>
      </w:pPr>
      <w:r w:rsidRPr="00654568">
        <w:rPr>
          <w:rFonts w:ascii="Times New Roman" w:hAnsi="Times New Roman" w:cs="Times New Roman"/>
          <w:b/>
          <w:bCs/>
          <w:sz w:val="24"/>
          <w:szCs w:val="24"/>
          <w:lang w:val="en-GB"/>
        </w:rPr>
        <w:t xml:space="preserve">Contractual </w:t>
      </w:r>
      <w:r w:rsidR="00485D95" w:rsidRPr="00654568">
        <w:rPr>
          <w:rFonts w:ascii="Times New Roman" w:hAnsi="Times New Roman" w:cs="Times New Roman"/>
          <w:b/>
          <w:bCs/>
          <w:sz w:val="24"/>
          <w:szCs w:val="24"/>
          <w:lang w:val="en-GB"/>
        </w:rPr>
        <w:t>P</w:t>
      </w:r>
      <w:r w:rsidRPr="00654568">
        <w:rPr>
          <w:rFonts w:ascii="Times New Roman" w:hAnsi="Times New Roman" w:cs="Times New Roman"/>
          <w:b/>
          <w:bCs/>
          <w:sz w:val="24"/>
          <w:szCs w:val="24"/>
          <w:lang w:val="en-GB"/>
        </w:rPr>
        <w:t>rotection Mechanisms: Flawless?</w:t>
      </w:r>
    </w:p>
    <w:p w14:paraId="5D8C5D8E" w14:textId="77777777" w:rsidR="004D0EBA" w:rsidRPr="00654568" w:rsidRDefault="004D0EBA" w:rsidP="00CC2668">
      <w:pPr>
        <w:spacing w:after="0"/>
        <w:rPr>
          <w:rFonts w:ascii="Times New Roman" w:hAnsi="Times New Roman"/>
          <w:sz w:val="24"/>
          <w:szCs w:val="24"/>
        </w:rPr>
      </w:pPr>
    </w:p>
    <w:p w14:paraId="2270D495" w14:textId="18B3BDD2"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A solution often suggested in practice is to give the software</w:t>
      </w:r>
      <w:r w:rsidR="004D0EBA" w:rsidRPr="00654568">
        <w:rPr>
          <w:rFonts w:ascii="Times New Roman" w:hAnsi="Times New Roman"/>
          <w:sz w:val="24"/>
          <w:szCs w:val="24"/>
        </w:rPr>
        <w:t>’</w:t>
      </w:r>
      <w:r w:rsidRPr="00654568">
        <w:rPr>
          <w:rFonts w:ascii="Times New Roman" w:hAnsi="Times New Roman"/>
          <w:sz w:val="24"/>
          <w:szCs w:val="24"/>
        </w:rPr>
        <w:t>s source code in escrow to a reliable third party.</w:t>
      </w:r>
      <w:r w:rsidRPr="00654568">
        <w:rPr>
          <w:rStyle w:val="FootnoteReference"/>
          <w:rFonts w:ascii="Times New Roman" w:hAnsi="Times New Roman"/>
          <w:sz w:val="24"/>
          <w:szCs w:val="24"/>
          <w:lang w:val="nl-BE"/>
        </w:rPr>
        <w:footnoteReference w:id="31"/>
      </w:r>
      <w:r w:rsidRPr="00654568">
        <w:rPr>
          <w:rFonts w:ascii="Times New Roman" w:hAnsi="Times New Roman"/>
          <w:sz w:val="24"/>
          <w:szCs w:val="24"/>
        </w:rPr>
        <w:t xml:space="preserve"> Upon bankruptcy of the licensor, constituting a </w:t>
      </w:r>
      <w:r w:rsidR="004D0EBA" w:rsidRPr="00654568">
        <w:rPr>
          <w:rFonts w:ascii="Times New Roman" w:hAnsi="Times New Roman"/>
          <w:sz w:val="24"/>
          <w:szCs w:val="24"/>
        </w:rPr>
        <w:t>‘</w:t>
      </w:r>
      <w:r w:rsidRPr="00654568">
        <w:rPr>
          <w:rFonts w:ascii="Times New Roman" w:hAnsi="Times New Roman"/>
          <w:sz w:val="24"/>
          <w:szCs w:val="24"/>
        </w:rPr>
        <w:t>trigger event</w:t>
      </w:r>
      <w:r w:rsidR="004D0EBA" w:rsidRPr="00654568">
        <w:rPr>
          <w:rFonts w:ascii="Times New Roman" w:hAnsi="Times New Roman"/>
          <w:sz w:val="24"/>
          <w:szCs w:val="24"/>
        </w:rPr>
        <w:t>’</w:t>
      </w:r>
      <w:r w:rsidRPr="00654568">
        <w:rPr>
          <w:rFonts w:ascii="Times New Roman" w:hAnsi="Times New Roman"/>
          <w:sz w:val="24"/>
          <w:szCs w:val="24"/>
        </w:rPr>
        <w:t xml:space="preserve"> under the escrow, the escrow agent will release the source code to the licensee, often including a </w:t>
      </w:r>
      <w:r w:rsidR="00061FBC">
        <w:rPr>
          <w:rFonts w:ascii="Times New Roman" w:hAnsi="Times New Roman"/>
          <w:sz w:val="24"/>
          <w:szCs w:val="24"/>
        </w:rPr>
        <w:t>licence</w:t>
      </w:r>
      <w:r w:rsidRPr="00654568">
        <w:rPr>
          <w:rFonts w:ascii="Times New Roman" w:hAnsi="Times New Roman"/>
          <w:sz w:val="24"/>
          <w:szCs w:val="24"/>
        </w:rPr>
        <w:t xml:space="preserve"> to use (and sub</w:t>
      </w:r>
      <w:r w:rsidR="00061FBC">
        <w:rPr>
          <w:rFonts w:ascii="Times New Roman" w:hAnsi="Times New Roman"/>
          <w:sz w:val="24"/>
          <w:szCs w:val="24"/>
        </w:rPr>
        <w:t>licence</w:t>
      </w:r>
      <w:r w:rsidRPr="00654568">
        <w:rPr>
          <w:rFonts w:ascii="Times New Roman" w:hAnsi="Times New Roman"/>
          <w:sz w:val="24"/>
          <w:szCs w:val="24"/>
        </w:rPr>
        <w:t>) as to reconstruct the software from the source code and keep it operable and compatible with the licensee</w:t>
      </w:r>
      <w:r w:rsidR="004D0EBA" w:rsidRPr="00654568">
        <w:rPr>
          <w:rFonts w:ascii="Times New Roman" w:hAnsi="Times New Roman"/>
          <w:sz w:val="24"/>
          <w:szCs w:val="24"/>
        </w:rPr>
        <w:t>’</w:t>
      </w:r>
      <w:r w:rsidRPr="00654568">
        <w:rPr>
          <w:rFonts w:ascii="Times New Roman" w:hAnsi="Times New Roman"/>
          <w:sz w:val="24"/>
          <w:szCs w:val="24"/>
        </w:rPr>
        <w:t>s systems.</w:t>
      </w:r>
    </w:p>
    <w:p w14:paraId="7F022B9C" w14:textId="77777777" w:rsidR="004D0EBA" w:rsidRPr="00654568" w:rsidRDefault="004D0EBA" w:rsidP="00CC2668">
      <w:pPr>
        <w:spacing w:after="0"/>
        <w:rPr>
          <w:rFonts w:ascii="Times New Roman" w:hAnsi="Times New Roman"/>
          <w:sz w:val="24"/>
          <w:szCs w:val="24"/>
        </w:rPr>
      </w:pPr>
    </w:p>
    <w:p w14:paraId="5D981CE9" w14:textId="114FFDC8"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The efficacy of this remedy however depends on the source code being up-to-date and complete, as well as the availability of expertise to decipher and implement it.</w:t>
      </w:r>
      <w:r w:rsidRPr="00654568">
        <w:rPr>
          <w:rStyle w:val="FootnoteReference"/>
          <w:rFonts w:ascii="Times New Roman" w:hAnsi="Times New Roman"/>
          <w:sz w:val="24"/>
          <w:szCs w:val="24"/>
        </w:rPr>
        <w:footnoteReference w:id="32"/>
      </w:r>
      <w:r w:rsidRPr="00654568">
        <w:rPr>
          <w:rFonts w:ascii="Times New Roman" w:hAnsi="Times New Roman"/>
          <w:sz w:val="24"/>
          <w:szCs w:val="24"/>
        </w:rPr>
        <w:t xml:space="preserve"> It is therefore recommended to also foresee step-in rights for customer-licensees to be able to immediately engage with the relevant software developers and, if necessary, waive all non-solicitation clauses agreed in this regard.</w:t>
      </w:r>
      <w:r w:rsidRPr="00654568">
        <w:rPr>
          <w:rStyle w:val="FootnoteReference"/>
          <w:rFonts w:ascii="Times New Roman" w:hAnsi="Times New Roman"/>
          <w:sz w:val="24"/>
          <w:szCs w:val="24"/>
        </w:rPr>
        <w:footnoteReference w:id="33"/>
      </w:r>
    </w:p>
    <w:p w14:paraId="35FC1EAF" w14:textId="77777777" w:rsidR="004D0EBA" w:rsidRPr="00654568" w:rsidRDefault="004D0EBA" w:rsidP="00CC2668">
      <w:pPr>
        <w:spacing w:after="0"/>
        <w:rPr>
          <w:rFonts w:ascii="Times New Roman" w:hAnsi="Times New Roman"/>
          <w:sz w:val="24"/>
          <w:szCs w:val="24"/>
        </w:rPr>
      </w:pPr>
    </w:p>
    <w:p w14:paraId="2F9A0D1C" w14:textId="23F82C9A" w:rsidR="000E6FB9" w:rsidRPr="00654568" w:rsidRDefault="000E6FB9" w:rsidP="00CC2668">
      <w:pPr>
        <w:spacing w:after="0"/>
        <w:rPr>
          <w:rFonts w:ascii="Times New Roman" w:hAnsi="Times New Roman"/>
          <w:sz w:val="24"/>
          <w:szCs w:val="24"/>
        </w:rPr>
      </w:pPr>
      <w:r w:rsidRPr="00654568">
        <w:rPr>
          <w:rFonts w:ascii="Times New Roman" w:hAnsi="Times New Roman"/>
          <w:sz w:val="24"/>
          <w:szCs w:val="24"/>
        </w:rPr>
        <w:t>Still, it will not be inconceivable that a bankruptcy receiver will try to oppose the release of the source code, as it will be the crown jewel and probably the most interesting – if not, the only – saleable asset of the bankrupt software provider.</w:t>
      </w:r>
      <w:r w:rsidRPr="00654568">
        <w:rPr>
          <w:rStyle w:val="FootnoteReference"/>
          <w:rFonts w:ascii="Times New Roman" w:hAnsi="Times New Roman"/>
          <w:sz w:val="24"/>
          <w:szCs w:val="24"/>
        </w:rPr>
        <w:footnoteReference w:id="34"/>
      </w:r>
      <w:r w:rsidRPr="00654568">
        <w:rPr>
          <w:rFonts w:ascii="Times New Roman" w:hAnsi="Times New Roman"/>
          <w:sz w:val="24"/>
          <w:szCs w:val="24"/>
        </w:rPr>
        <w:t xml:space="preserve"> While such opposition will not be </w:t>
      </w:r>
      <w:r w:rsidRPr="00654568">
        <w:rPr>
          <w:rFonts w:ascii="Times New Roman" w:hAnsi="Times New Roman"/>
          <w:sz w:val="24"/>
          <w:szCs w:val="24"/>
        </w:rPr>
        <w:lastRenderedPageBreak/>
        <w:t>evident, as the release is an obligation of the escrow agent (rather than of the debtor)</w:t>
      </w:r>
      <w:r w:rsidRPr="00654568">
        <w:rPr>
          <w:rStyle w:val="FootnoteReference"/>
          <w:rFonts w:ascii="Times New Roman" w:hAnsi="Times New Roman"/>
          <w:sz w:val="24"/>
          <w:szCs w:val="24"/>
          <w:lang w:val="nl-BE"/>
        </w:rPr>
        <w:footnoteReference w:id="35"/>
      </w:r>
      <w:r w:rsidRPr="00654568">
        <w:rPr>
          <w:rFonts w:ascii="Times New Roman" w:hAnsi="Times New Roman"/>
          <w:sz w:val="24"/>
          <w:szCs w:val="24"/>
        </w:rPr>
        <w:t xml:space="preserve">, the </w:t>
      </w:r>
      <w:r w:rsidR="00061FBC">
        <w:rPr>
          <w:rFonts w:ascii="Times New Roman" w:hAnsi="Times New Roman"/>
          <w:sz w:val="24"/>
          <w:szCs w:val="24"/>
        </w:rPr>
        <w:t>licence</w:t>
      </w:r>
      <w:r w:rsidRPr="00654568">
        <w:rPr>
          <w:rFonts w:ascii="Times New Roman" w:hAnsi="Times New Roman"/>
          <w:sz w:val="24"/>
          <w:szCs w:val="24"/>
        </w:rPr>
        <w:t xml:space="preserve"> granted in parallel does constitute an (active) obligation of the bankrupt and thus risks becoming terminated.</w:t>
      </w:r>
    </w:p>
    <w:p w14:paraId="284C1672" w14:textId="77777777" w:rsidR="004D0EBA" w:rsidRPr="00654568" w:rsidRDefault="004D0EBA" w:rsidP="00CC2668">
      <w:pPr>
        <w:spacing w:after="0"/>
        <w:rPr>
          <w:rFonts w:ascii="Times New Roman" w:hAnsi="Times New Roman"/>
          <w:sz w:val="24"/>
          <w:szCs w:val="24"/>
        </w:rPr>
      </w:pPr>
    </w:p>
    <w:p w14:paraId="43F5A551" w14:textId="77777777" w:rsidR="000E6FB9" w:rsidRPr="00654568" w:rsidRDefault="000E6FB9" w:rsidP="00CC2668">
      <w:pPr>
        <w:pStyle w:val="ListParagraph"/>
        <w:numPr>
          <w:ilvl w:val="0"/>
          <w:numId w:val="9"/>
        </w:numPr>
        <w:spacing w:after="0" w:line="240" w:lineRule="auto"/>
        <w:ind w:left="0" w:firstLine="0"/>
        <w:jc w:val="both"/>
        <w:rPr>
          <w:rFonts w:ascii="Times New Roman" w:hAnsi="Times New Roman" w:cs="Times New Roman"/>
          <w:b/>
          <w:bCs/>
          <w:sz w:val="24"/>
          <w:szCs w:val="24"/>
          <w:lang w:val="nl-BE"/>
        </w:rPr>
      </w:pPr>
      <w:r w:rsidRPr="00654568">
        <w:rPr>
          <w:rFonts w:ascii="Times New Roman" w:hAnsi="Times New Roman" w:cs="Times New Roman"/>
          <w:b/>
          <w:bCs/>
          <w:sz w:val="24"/>
          <w:szCs w:val="24"/>
          <w:lang w:val="nl-BE"/>
        </w:rPr>
        <w:t>Concluding Observations</w:t>
      </w:r>
    </w:p>
    <w:p w14:paraId="1E0A43B4" w14:textId="77777777" w:rsidR="004D0EBA" w:rsidRPr="00654568" w:rsidRDefault="004D0EBA" w:rsidP="00CC2668">
      <w:pPr>
        <w:spacing w:after="0"/>
        <w:rPr>
          <w:rFonts w:ascii="Times New Roman" w:hAnsi="Times New Roman"/>
          <w:sz w:val="24"/>
          <w:szCs w:val="24"/>
        </w:rPr>
      </w:pPr>
    </w:p>
    <w:p w14:paraId="5761A948" w14:textId="364AAF79" w:rsidR="0047439B" w:rsidRPr="00CC2668" w:rsidRDefault="000E6FB9" w:rsidP="00CC2668">
      <w:pPr>
        <w:spacing w:after="0"/>
        <w:rPr>
          <w:rFonts w:ascii="Times New Roman" w:hAnsi="Times New Roman"/>
          <w:sz w:val="24"/>
          <w:szCs w:val="24"/>
        </w:rPr>
      </w:pPr>
      <w:r w:rsidRPr="00654568">
        <w:rPr>
          <w:rFonts w:ascii="Times New Roman" w:hAnsi="Times New Roman"/>
          <w:sz w:val="24"/>
          <w:szCs w:val="24"/>
        </w:rPr>
        <w:t xml:space="preserve">There is considerable uncertainty in Belgium (and beyond) regarding the fate of software </w:t>
      </w:r>
      <w:r w:rsidR="00061FBC">
        <w:rPr>
          <w:rFonts w:ascii="Times New Roman" w:hAnsi="Times New Roman"/>
          <w:sz w:val="24"/>
          <w:szCs w:val="24"/>
        </w:rPr>
        <w:t>licence</w:t>
      </w:r>
      <w:r w:rsidRPr="00654568">
        <w:rPr>
          <w:rFonts w:ascii="Times New Roman" w:hAnsi="Times New Roman"/>
          <w:sz w:val="24"/>
          <w:szCs w:val="24"/>
        </w:rPr>
        <w:t>s in the event of a licensor</w:t>
      </w:r>
      <w:r w:rsidR="004D0EBA" w:rsidRPr="00654568">
        <w:rPr>
          <w:rFonts w:ascii="Times New Roman" w:hAnsi="Times New Roman"/>
          <w:sz w:val="24"/>
          <w:szCs w:val="24"/>
        </w:rPr>
        <w:t>’</w:t>
      </w:r>
      <w:r w:rsidRPr="00654568">
        <w:rPr>
          <w:rFonts w:ascii="Times New Roman" w:hAnsi="Times New Roman"/>
          <w:sz w:val="24"/>
          <w:szCs w:val="24"/>
        </w:rPr>
        <w:t xml:space="preserve">s bankruptcy. None of the protection mechanisms used in practice seem entirely satisfactory. The absence of a specific legal framework and a lack of clarity on how to contractually protect oneself against the insolvency of a software provider could potentially </w:t>
      </w:r>
      <w:r w:rsidRPr="00654568">
        <w:rPr>
          <w:rFonts w:ascii="Times New Roman" w:hAnsi="Times New Roman"/>
          <w:i/>
          <w:iCs/>
          <w:sz w:val="24"/>
          <w:szCs w:val="24"/>
        </w:rPr>
        <w:t>ex ante</w:t>
      </w:r>
      <w:r w:rsidRPr="00654568">
        <w:rPr>
          <w:rFonts w:ascii="Times New Roman" w:hAnsi="Times New Roman"/>
          <w:sz w:val="24"/>
          <w:szCs w:val="24"/>
        </w:rPr>
        <w:t xml:space="preserve"> put a brake on investments in new, innovative, and often expensive software, and </w:t>
      </w:r>
      <w:r w:rsidRPr="00654568">
        <w:rPr>
          <w:rFonts w:ascii="Times New Roman" w:hAnsi="Times New Roman"/>
          <w:i/>
          <w:iCs/>
          <w:sz w:val="24"/>
          <w:szCs w:val="24"/>
        </w:rPr>
        <w:t>ex post</w:t>
      </w:r>
      <w:r w:rsidRPr="00654568">
        <w:rPr>
          <w:rFonts w:ascii="Times New Roman" w:hAnsi="Times New Roman"/>
          <w:sz w:val="24"/>
          <w:szCs w:val="24"/>
        </w:rPr>
        <w:t xml:space="preserve"> cause spillover effects to other sectors in a worst-case scenario. While recent years have seen a greater focus on the treatment and protection of </w:t>
      </w:r>
      <w:r w:rsidR="00061FBC">
        <w:rPr>
          <w:rFonts w:ascii="Times New Roman" w:hAnsi="Times New Roman"/>
          <w:sz w:val="24"/>
          <w:szCs w:val="24"/>
        </w:rPr>
        <w:t>licence</w:t>
      </w:r>
      <w:r w:rsidRPr="00654568">
        <w:rPr>
          <w:rFonts w:ascii="Times New Roman" w:hAnsi="Times New Roman"/>
          <w:sz w:val="24"/>
          <w:szCs w:val="24"/>
        </w:rPr>
        <w:t xml:space="preserve">s in the context of restructuring, the current legislative approaches appear somewhat one-sided and overly focused on the insolvency of licensees rather than licensors. Despite the fact that the demise of one licensee appears to have a comparatively smaller impact overall than that of a major software provider-licensor, which are often perceived to be </w:t>
      </w:r>
      <w:r w:rsidR="004D0EBA" w:rsidRPr="00654568">
        <w:rPr>
          <w:rFonts w:ascii="Times New Roman" w:hAnsi="Times New Roman"/>
          <w:sz w:val="24"/>
          <w:szCs w:val="24"/>
        </w:rPr>
        <w:t>“</w:t>
      </w:r>
      <w:r w:rsidRPr="00654568">
        <w:rPr>
          <w:rFonts w:ascii="Times New Roman" w:hAnsi="Times New Roman"/>
          <w:sz w:val="24"/>
          <w:szCs w:val="24"/>
        </w:rPr>
        <w:t>too big to fail</w:t>
      </w:r>
      <w:r w:rsidR="004D0EBA" w:rsidRPr="00654568">
        <w:rPr>
          <w:rFonts w:ascii="Times New Roman" w:hAnsi="Times New Roman"/>
          <w:sz w:val="24"/>
          <w:szCs w:val="24"/>
        </w:rPr>
        <w:t>”</w:t>
      </w:r>
      <w:r w:rsidRPr="00654568">
        <w:rPr>
          <w:rFonts w:ascii="Times New Roman" w:hAnsi="Times New Roman"/>
          <w:sz w:val="24"/>
          <w:szCs w:val="24"/>
        </w:rPr>
        <w:t>, yet on which a significant number of diverse economic players are not rarely heavily dependent.</w:t>
      </w:r>
    </w:p>
    <w:sectPr w:rsidR="0047439B" w:rsidRPr="00CC266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E5E1" w14:textId="77777777" w:rsidR="008876AA" w:rsidRDefault="008876AA">
      <w:r>
        <w:separator/>
      </w:r>
    </w:p>
  </w:endnote>
  <w:endnote w:type="continuationSeparator" w:id="0">
    <w:p w14:paraId="63802F05" w14:textId="77777777" w:rsidR="008876AA" w:rsidRDefault="0088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EBFB" w14:textId="77777777" w:rsidR="008876AA" w:rsidRDefault="008876AA">
      <w:r>
        <w:separator/>
      </w:r>
    </w:p>
  </w:footnote>
  <w:footnote w:type="continuationSeparator" w:id="0">
    <w:p w14:paraId="1B11EE18" w14:textId="77777777" w:rsidR="008876AA" w:rsidRDefault="008876AA">
      <w:r>
        <w:continuationSeparator/>
      </w:r>
    </w:p>
  </w:footnote>
  <w:footnote w:id="1">
    <w:p w14:paraId="3DCAD962" w14:textId="334B9AA4"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Recital 41 and </w:t>
      </w:r>
      <w:r w:rsidR="004D0EBA" w:rsidRPr="00654568">
        <w:rPr>
          <w:rFonts w:ascii="Times New Roman" w:hAnsi="Times New Roman"/>
        </w:rPr>
        <w:t>Article</w:t>
      </w:r>
      <w:r w:rsidRPr="00654568">
        <w:rPr>
          <w:rFonts w:ascii="Times New Roman" w:hAnsi="Times New Roman"/>
        </w:rPr>
        <w:t xml:space="preserve"> 2.1 (5)</w:t>
      </w:r>
      <w:r w:rsidR="004D0EBA" w:rsidRPr="00654568">
        <w:rPr>
          <w:rFonts w:ascii="Times New Roman" w:hAnsi="Times New Roman"/>
        </w:rPr>
        <w:t>,</w:t>
      </w:r>
      <w:r w:rsidRPr="00654568">
        <w:rPr>
          <w:rFonts w:ascii="Times New Roman" w:hAnsi="Times New Roman"/>
        </w:rPr>
        <w:t xml:space="preserve"> Directive 2019/1023.</w:t>
      </w:r>
    </w:p>
  </w:footnote>
  <w:footnote w:id="2">
    <w:p w14:paraId="2A025633" w14:textId="63EF54FF"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D0EBA" w:rsidRPr="00654568">
        <w:rPr>
          <w:rFonts w:ascii="Times New Roman" w:hAnsi="Times New Roman"/>
        </w:rPr>
        <w:t>Article</w:t>
      </w:r>
      <w:r w:rsidRPr="00654568">
        <w:rPr>
          <w:rFonts w:ascii="Times New Roman" w:hAnsi="Times New Roman"/>
        </w:rPr>
        <w:t xml:space="preserve"> 7.5</w:t>
      </w:r>
      <w:r w:rsidR="004D0EBA" w:rsidRPr="00654568">
        <w:rPr>
          <w:rFonts w:ascii="Times New Roman" w:hAnsi="Times New Roman"/>
        </w:rPr>
        <w:t>,</w:t>
      </w:r>
      <w:r w:rsidRPr="00654568">
        <w:rPr>
          <w:rFonts w:ascii="Times New Roman" w:hAnsi="Times New Roman"/>
        </w:rPr>
        <w:t xml:space="preserve"> Directive 2019/1023. Especially, in </w:t>
      </w:r>
      <w:r w:rsidR="00061FBC">
        <w:rPr>
          <w:rFonts w:ascii="Times New Roman" w:hAnsi="Times New Roman"/>
        </w:rPr>
        <w:t>licence</w:t>
      </w:r>
      <w:r w:rsidRPr="00654568">
        <w:rPr>
          <w:rFonts w:ascii="Times New Roman" w:hAnsi="Times New Roman"/>
        </w:rPr>
        <w:t xml:space="preserve"> agreements such clauses are commonly agreed upon due to their long-term perspective, surrounding uncertainty and the high importance of control mechanisms (G. GABRIEL-PIZZARO, </w:t>
      </w:r>
      <w:r w:rsidR="004D0EBA" w:rsidRPr="00654568">
        <w:rPr>
          <w:rFonts w:ascii="Times New Roman" w:hAnsi="Times New Roman"/>
        </w:rPr>
        <w:t>‘</w:t>
      </w:r>
      <w:r w:rsidRPr="00654568">
        <w:rPr>
          <w:rFonts w:ascii="Times New Roman" w:hAnsi="Times New Roman"/>
        </w:rPr>
        <w:t xml:space="preserve">Mirroring the American Bankruptcy Code? IP </w:t>
      </w:r>
      <w:r w:rsidR="00740520" w:rsidRPr="00654568">
        <w:rPr>
          <w:rFonts w:ascii="Times New Roman" w:hAnsi="Times New Roman"/>
        </w:rPr>
        <w:t>License</w:t>
      </w:r>
      <w:r w:rsidRPr="00654568">
        <w:rPr>
          <w:rFonts w:ascii="Times New Roman" w:hAnsi="Times New Roman"/>
        </w:rPr>
        <w:t>s in the European Insolvency Harmonisation Project</w:t>
      </w:r>
      <w:r w:rsidR="004D0EBA" w:rsidRPr="00654568">
        <w:rPr>
          <w:rFonts w:ascii="Times New Roman" w:hAnsi="Times New Roman"/>
        </w:rPr>
        <w:t>’</w:t>
      </w:r>
      <w:r w:rsidRPr="00654568">
        <w:rPr>
          <w:rFonts w:ascii="Times New Roman" w:hAnsi="Times New Roman"/>
        </w:rPr>
        <w:t xml:space="preserve"> (February 2024) 73 (2) </w:t>
      </w:r>
      <w:r w:rsidRPr="00654568">
        <w:rPr>
          <w:rFonts w:ascii="Times New Roman" w:hAnsi="Times New Roman"/>
          <w:i/>
          <w:iCs/>
        </w:rPr>
        <w:t>GRUR International</w:t>
      </w:r>
      <w:r w:rsidRPr="00654568">
        <w:rPr>
          <w:rFonts w:ascii="Times New Roman" w:hAnsi="Times New Roman"/>
        </w:rPr>
        <w:t>, Oxford University Press, 131)</w:t>
      </w:r>
      <w:r w:rsidR="00485D95" w:rsidRPr="00654568">
        <w:rPr>
          <w:rFonts w:ascii="Times New Roman" w:hAnsi="Times New Roman"/>
        </w:rPr>
        <w:t>.</w:t>
      </w:r>
    </w:p>
  </w:footnote>
  <w:footnote w:id="3">
    <w:p w14:paraId="36B1B4F3" w14:textId="40F6221E"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85D95" w:rsidRPr="00654568">
        <w:rPr>
          <w:rFonts w:ascii="Times New Roman" w:hAnsi="Times New Roman"/>
        </w:rPr>
        <w:t xml:space="preserve">Ibid., </w:t>
      </w:r>
      <w:r w:rsidR="004D0EBA" w:rsidRPr="00654568">
        <w:rPr>
          <w:rFonts w:ascii="Times New Roman" w:hAnsi="Times New Roman"/>
        </w:rPr>
        <w:t>Article</w:t>
      </w:r>
      <w:r w:rsidRPr="00654568">
        <w:rPr>
          <w:rFonts w:ascii="Times New Roman" w:hAnsi="Times New Roman"/>
        </w:rPr>
        <w:t xml:space="preserve"> 7.4: </w:t>
      </w:r>
      <w:r w:rsidR="004D0EBA" w:rsidRPr="00654568">
        <w:rPr>
          <w:rFonts w:ascii="Times New Roman" w:hAnsi="Times New Roman"/>
        </w:rPr>
        <w:t>“‘</w:t>
      </w:r>
      <w:r w:rsidRPr="00654568">
        <w:rPr>
          <w:rFonts w:ascii="Times New Roman" w:hAnsi="Times New Roman"/>
        </w:rPr>
        <w:t>Essential executory contracts</w:t>
      </w:r>
      <w:r w:rsidR="004D0EBA" w:rsidRPr="00654568">
        <w:rPr>
          <w:rFonts w:ascii="Times New Roman" w:hAnsi="Times New Roman"/>
        </w:rPr>
        <w:t>’</w:t>
      </w:r>
      <w:r w:rsidRPr="00654568">
        <w:rPr>
          <w:rFonts w:ascii="Times New Roman" w:hAnsi="Times New Roman"/>
        </w:rPr>
        <w:t xml:space="preserve"> shall be understood to mean executory contracts which are necessary for the continuation of the day-to-day operations of the business, including contracts concerning supplies, the suspension of which would lead to the debtor</w:t>
      </w:r>
      <w:r w:rsidR="004D0EBA" w:rsidRPr="00654568">
        <w:rPr>
          <w:rFonts w:ascii="Times New Roman" w:hAnsi="Times New Roman"/>
        </w:rPr>
        <w:t>’</w:t>
      </w:r>
      <w:r w:rsidRPr="00654568">
        <w:rPr>
          <w:rFonts w:ascii="Times New Roman" w:hAnsi="Times New Roman"/>
        </w:rPr>
        <w:t>s activities coming to a standstill.</w:t>
      </w:r>
      <w:r w:rsidR="004D0EBA" w:rsidRPr="00654568">
        <w:rPr>
          <w:rFonts w:ascii="Times New Roman" w:hAnsi="Times New Roman"/>
        </w:rPr>
        <w:t>”</w:t>
      </w:r>
    </w:p>
  </w:footnote>
  <w:footnote w:id="4">
    <w:p w14:paraId="5A77A09F" w14:textId="5212679C" w:rsidR="000E6FB9" w:rsidRPr="00654568" w:rsidRDefault="000E6FB9" w:rsidP="004D0EBA">
      <w:pPr>
        <w:spacing w:after="0"/>
        <w:rPr>
          <w:rFonts w:ascii="Times New Roman" w:hAnsi="Times New Roman"/>
          <w:sz w:val="20"/>
        </w:rPr>
      </w:pPr>
      <w:r w:rsidRPr="00654568">
        <w:rPr>
          <w:rStyle w:val="FootnoteReference"/>
          <w:rFonts w:ascii="Times New Roman" w:hAnsi="Times New Roman"/>
          <w:sz w:val="20"/>
        </w:rPr>
        <w:footnoteRef/>
      </w:r>
      <w:r w:rsidRPr="00654568">
        <w:rPr>
          <w:rFonts w:ascii="Times New Roman" w:hAnsi="Times New Roman"/>
          <w:sz w:val="20"/>
        </w:rPr>
        <w:t xml:space="preserve"> Recital 28 and </w:t>
      </w:r>
      <w:r w:rsidR="004D0EBA" w:rsidRPr="00654568">
        <w:rPr>
          <w:rFonts w:ascii="Times New Roman" w:hAnsi="Times New Roman"/>
          <w:sz w:val="20"/>
        </w:rPr>
        <w:t>Article</w:t>
      </w:r>
      <w:r w:rsidRPr="00654568">
        <w:rPr>
          <w:rFonts w:ascii="Times New Roman" w:hAnsi="Times New Roman"/>
          <w:sz w:val="20"/>
        </w:rPr>
        <w:t xml:space="preserve"> 27.2</w:t>
      </w:r>
      <w:r w:rsidR="00485D95" w:rsidRPr="00654568">
        <w:rPr>
          <w:rFonts w:ascii="Times New Roman" w:hAnsi="Times New Roman"/>
          <w:sz w:val="20"/>
        </w:rPr>
        <w:t>,</w:t>
      </w:r>
      <w:r w:rsidRPr="00654568">
        <w:rPr>
          <w:rFonts w:ascii="Times New Roman" w:hAnsi="Times New Roman"/>
          <w:sz w:val="20"/>
        </w:rPr>
        <w:t xml:space="preserve"> Proposal 2022/0408 (COD)</w:t>
      </w:r>
      <w:r w:rsidR="00485D95" w:rsidRPr="00654568">
        <w:rPr>
          <w:rFonts w:ascii="Times New Roman" w:hAnsi="Times New Roman"/>
          <w:sz w:val="20"/>
        </w:rPr>
        <w:t>.</w:t>
      </w:r>
    </w:p>
  </w:footnote>
  <w:footnote w:id="5">
    <w:p w14:paraId="3A59E581" w14:textId="125D664F"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85D95" w:rsidRPr="00654568">
        <w:rPr>
          <w:rFonts w:ascii="Times New Roman" w:hAnsi="Times New Roman"/>
        </w:rPr>
        <w:t xml:space="preserve">Ibid., </w:t>
      </w:r>
      <w:r w:rsidR="004D0EBA" w:rsidRPr="00654568">
        <w:rPr>
          <w:rFonts w:ascii="Times New Roman" w:hAnsi="Times New Roman"/>
        </w:rPr>
        <w:t>Article</w:t>
      </w:r>
      <w:r w:rsidRPr="00654568">
        <w:rPr>
          <w:rFonts w:ascii="Times New Roman" w:hAnsi="Times New Roman"/>
        </w:rPr>
        <w:t xml:space="preserve"> 27.1</w:t>
      </w:r>
      <w:r w:rsidR="00485D95" w:rsidRPr="00654568">
        <w:rPr>
          <w:rFonts w:ascii="Times New Roman" w:hAnsi="Times New Roman"/>
        </w:rPr>
        <w:t>.</w:t>
      </w:r>
    </w:p>
  </w:footnote>
  <w:footnote w:id="6">
    <w:p w14:paraId="25C6555D" w14:textId="7F313415"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D0EBA" w:rsidRPr="00654568">
        <w:rPr>
          <w:rFonts w:ascii="Times New Roman" w:hAnsi="Times New Roman"/>
        </w:rPr>
        <w:t>Article</w:t>
      </w:r>
      <w:r w:rsidRPr="00654568">
        <w:rPr>
          <w:rFonts w:ascii="Times New Roman" w:hAnsi="Times New Roman"/>
        </w:rPr>
        <w:t xml:space="preserve"> XX.56</w:t>
      </w:r>
      <w:r w:rsidR="00485D95" w:rsidRPr="00654568">
        <w:rPr>
          <w:rFonts w:ascii="Times New Roman" w:hAnsi="Times New Roman"/>
        </w:rPr>
        <w:t>,</w:t>
      </w:r>
      <w:r w:rsidRPr="00654568">
        <w:rPr>
          <w:rFonts w:ascii="Times New Roman" w:hAnsi="Times New Roman"/>
        </w:rPr>
        <w:t xml:space="preserve"> Belgian Code </w:t>
      </w:r>
      <w:r w:rsidR="00485D95" w:rsidRPr="00654568">
        <w:rPr>
          <w:rFonts w:ascii="Times New Roman" w:hAnsi="Times New Roman"/>
        </w:rPr>
        <w:t xml:space="preserve">of </w:t>
      </w:r>
      <w:r w:rsidRPr="00654568">
        <w:rPr>
          <w:rFonts w:ascii="Times New Roman" w:hAnsi="Times New Roman"/>
        </w:rPr>
        <w:t>Economic Law (</w:t>
      </w:r>
      <w:r w:rsidR="004D0EBA" w:rsidRPr="00654568">
        <w:rPr>
          <w:rFonts w:ascii="Times New Roman" w:hAnsi="Times New Roman"/>
        </w:rPr>
        <w:t>‘</w:t>
      </w:r>
      <w:r w:rsidRPr="00654568">
        <w:rPr>
          <w:rFonts w:ascii="Times New Roman" w:hAnsi="Times New Roman"/>
        </w:rPr>
        <w:t>CEL</w:t>
      </w:r>
      <w:r w:rsidR="004D0EBA" w:rsidRPr="00654568">
        <w:rPr>
          <w:rFonts w:ascii="Times New Roman" w:hAnsi="Times New Roman"/>
        </w:rPr>
        <w:t>’</w:t>
      </w:r>
      <w:r w:rsidRPr="00654568">
        <w:rPr>
          <w:rFonts w:ascii="Times New Roman" w:hAnsi="Times New Roman"/>
        </w:rPr>
        <w:t>).</w:t>
      </w:r>
    </w:p>
  </w:footnote>
  <w:footnote w:id="7">
    <w:p w14:paraId="44C59FE9" w14:textId="650CFD16"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85D95" w:rsidRPr="00654568">
        <w:rPr>
          <w:rFonts w:ascii="Times New Roman" w:hAnsi="Times New Roman"/>
        </w:rPr>
        <w:t xml:space="preserve">Ibid., </w:t>
      </w:r>
      <w:r w:rsidR="004D0EBA" w:rsidRPr="00654568">
        <w:rPr>
          <w:rFonts w:ascii="Times New Roman" w:hAnsi="Times New Roman"/>
        </w:rPr>
        <w:t>Article</w:t>
      </w:r>
      <w:r w:rsidRPr="00654568">
        <w:rPr>
          <w:rFonts w:ascii="Times New Roman" w:hAnsi="Times New Roman"/>
        </w:rPr>
        <w:t xml:space="preserve"> XX.87 §3. However, this statutory possibility for a prospective bidder to </w:t>
      </w:r>
      <w:r w:rsidR="004D0EBA" w:rsidRPr="00654568">
        <w:rPr>
          <w:rFonts w:ascii="Times New Roman" w:hAnsi="Times New Roman"/>
        </w:rPr>
        <w:t>‘</w:t>
      </w:r>
      <w:r w:rsidRPr="00654568">
        <w:rPr>
          <w:rFonts w:ascii="Times New Roman" w:hAnsi="Times New Roman"/>
        </w:rPr>
        <w:t>cherry pick</w:t>
      </w:r>
      <w:r w:rsidR="004D0EBA" w:rsidRPr="00654568">
        <w:rPr>
          <w:rFonts w:ascii="Times New Roman" w:hAnsi="Times New Roman"/>
        </w:rPr>
        <w:t>’</w:t>
      </w:r>
      <w:r w:rsidRPr="00654568">
        <w:rPr>
          <w:rFonts w:ascii="Times New Roman" w:hAnsi="Times New Roman"/>
        </w:rPr>
        <w:t xml:space="preserve"> only applies to contracts for which the identity of the debtor was not a decisive element for the counterparty at signing (</w:t>
      </w:r>
      <w:r w:rsidRPr="00654568">
        <w:rPr>
          <w:rFonts w:ascii="Times New Roman" w:hAnsi="Times New Roman"/>
          <w:i/>
          <w:iCs/>
        </w:rPr>
        <w:t>intuitu personae</w:t>
      </w:r>
      <w:r w:rsidRPr="00654568">
        <w:rPr>
          <w:rFonts w:ascii="Times New Roman" w:hAnsi="Times New Roman"/>
        </w:rPr>
        <w:t xml:space="preserve">). In the case of </w:t>
      </w:r>
      <w:r w:rsidRPr="00654568">
        <w:rPr>
          <w:rFonts w:ascii="Times New Roman" w:hAnsi="Times New Roman"/>
          <w:i/>
          <w:iCs/>
        </w:rPr>
        <w:t>intuitu personae</w:t>
      </w:r>
      <w:r w:rsidRPr="00654568">
        <w:rPr>
          <w:rFonts w:ascii="Times New Roman" w:hAnsi="Times New Roman"/>
        </w:rPr>
        <w:t xml:space="preserve"> contracts (which </w:t>
      </w:r>
      <w:r w:rsidR="00061FBC">
        <w:rPr>
          <w:rFonts w:ascii="Times New Roman" w:hAnsi="Times New Roman"/>
        </w:rPr>
        <w:t>licence</w:t>
      </w:r>
      <w:r w:rsidRPr="00654568">
        <w:rPr>
          <w:rFonts w:ascii="Times New Roman" w:hAnsi="Times New Roman"/>
        </w:rPr>
        <w:t>s will typically be) the consent of the counterparty is still required for their transfer.</w:t>
      </w:r>
    </w:p>
  </w:footnote>
  <w:footnote w:id="8">
    <w:p w14:paraId="6C94804A" w14:textId="721874AD"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The fact that not rarely a comprehensive </w:t>
      </w:r>
      <w:r w:rsidR="004D0EBA" w:rsidRPr="00654568">
        <w:rPr>
          <w:rFonts w:ascii="Times New Roman" w:hAnsi="Times New Roman"/>
        </w:rPr>
        <w:t>‘</w:t>
      </w:r>
      <w:r w:rsidRPr="00654568">
        <w:rPr>
          <w:rFonts w:ascii="Times New Roman" w:hAnsi="Times New Roman"/>
        </w:rPr>
        <w:t>Service Level Agreement</w:t>
      </w:r>
      <w:r w:rsidR="004D0EBA" w:rsidRPr="00654568">
        <w:rPr>
          <w:rFonts w:ascii="Times New Roman" w:hAnsi="Times New Roman"/>
        </w:rPr>
        <w:t>’</w:t>
      </w:r>
      <w:r w:rsidRPr="00654568">
        <w:rPr>
          <w:rFonts w:ascii="Times New Roman" w:hAnsi="Times New Roman"/>
        </w:rPr>
        <w:t xml:space="preserve"> is in place (including e.g. the obligation to repair bugs within X days on pain of a contractual penalty) underlines the importance of a software for a business (see M. TRUYENS and S. AERTS, </w:t>
      </w:r>
      <w:r w:rsidR="004D0EBA" w:rsidRPr="00654568">
        <w:rPr>
          <w:rFonts w:ascii="Times New Roman" w:hAnsi="Times New Roman"/>
        </w:rPr>
        <w:t>“</w:t>
      </w:r>
      <w:r w:rsidRPr="00654568">
        <w:rPr>
          <w:rFonts w:ascii="Times New Roman" w:hAnsi="Times New Roman"/>
        </w:rPr>
        <w:t>Informaticacontracten in het faillissementsrecht</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Computerrecht </w:t>
      </w:r>
      <w:r w:rsidRPr="00654568">
        <w:rPr>
          <w:rFonts w:ascii="Times New Roman" w:hAnsi="Times New Roman"/>
        </w:rPr>
        <w:t>2017, ed. 1, 7).</w:t>
      </w:r>
    </w:p>
  </w:footnote>
  <w:footnote w:id="9">
    <w:p w14:paraId="180A7E23" w14:textId="29418A8C"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For instance, in Belgium: </w:t>
      </w:r>
      <w:r w:rsidR="004D0EBA" w:rsidRPr="00654568">
        <w:rPr>
          <w:rFonts w:ascii="Times New Roman" w:hAnsi="Times New Roman"/>
        </w:rPr>
        <w:t>“</w:t>
      </w:r>
      <w:r w:rsidRPr="00654568">
        <w:rPr>
          <w:rFonts w:ascii="Times New Roman" w:hAnsi="Times New Roman"/>
        </w:rPr>
        <w:t>Thousands of charging stations unusable after Powerdale bankruptcy</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Het Laatste Nieuws, </w:t>
      </w:r>
      <w:r w:rsidRPr="00654568">
        <w:rPr>
          <w:rFonts w:ascii="Times New Roman" w:hAnsi="Times New Roman"/>
        </w:rPr>
        <w:t>February 19, 2024) available at</w:t>
      </w:r>
      <w:r w:rsidR="00485D95" w:rsidRPr="00654568">
        <w:rPr>
          <w:rFonts w:ascii="Times New Roman" w:hAnsi="Times New Roman"/>
        </w:rPr>
        <w:t>:</w:t>
      </w:r>
      <w:r w:rsidRPr="00654568">
        <w:rPr>
          <w:rFonts w:ascii="Times New Roman" w:hAnsi="Times New Roman"/>
        </w:rPr>
        <w:t xml:space="preserve"> </w:t>
      </w:r>
      <w:r w:rsidRPr="00654568">
        <w:rPr>
          <w:rFonts w:ascii="Times New Roman" w:hAnsi="Times New Roman"/>
          <w:u w:val="single"/>
        </w:rPr>
        <w:t>https://www.hln.be/video/productie/duizenden-laadpalen-onbruikbaar-na-faillissement-powerdale-428029</w:t>
      </w:r>
      <w:r w:rsidR="00485D95" w:rsidRPr="00654568">
        <w:rPr>
          <w:rFonts w:ascii="Times New Roman" w:hAnsi="Times New Roman"/>
        </w:rPr>
        <w:t>.</w:t>
      </w:r>
    </w:p>
  </w:footnote>
  <w:footnote w:id="10">
    <w:p w14:paraId="6595C3E1" w14:textId="25CCA063"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See also G. GABRIEL-PIZZARO, </w:t>
      </w:r>
      <w:r w:rsidR="004D0EBA" w:rsidRPr="00654568">
        <w:rPr>
          <w:rFonts w:ascii="Times New Roman" w:hAnsi="Times New Roman"/>
        </w:rPr>
        <w:t>‘</w:t>
      </w:r>
      <w:r w:rsidRPr="00654568">
        <w:rPr>
          <w:rFonts w:ascii="Times New Roman" w:hAnsi="Times New Roman"/>
        </w:rPr>
        <w:t xml:space="preserve">Mirroring the American Bankruptcy Code? IP </w:t>
      </w:r>
      <w:r w:rsidR="00740520" w:rsidRPr="00654568">
        <w:rPr>
          <w:rFonts w:ascii="Times New Roman" w:hAnsi="Times New Roman"/>
        </w:rPr>
        <w:t>License</w:t>
      </w:r>
      <w:r w:rsidRPr="00654568">
        <w:rPr>
          <w:rFonts w:ascii="Times New Roman" w:hAnsi="Times New Roman"/>
        </w:rPr>
        <w:t>s in the European Insolvency Harmonisation Project</w:t>
      </w:r>
      <w:r w:rsidR="004D0EBA" w:rsidRPr="00654568">
        <w:rPr>
          <w:rFonts w:ascii="Times New Roman" w:hAnsi="Times New Roman"/>
        </w:rPr>
        <w:t>’</w:t>
      </w:r>
      <w:r w:rsidRPr="00654568">
        <w:rPr>
          <w:rFonts w:ascii="Times New Roman" w:hAnsi="Times New Roman"/>
        </w:rPr>
        <w:t xml:space="preserve"> (February 2024) 73 (2) </w:t>
      </w:r>
      <w:r w:rsidRPr="00654568">
        <w:rPr>
          <w:rFonts w:ascii="Times New Roman" w:hAnsi="Times New Roman"/>
          <w:i/>
          <w:iCs/>
        </w:rPr>
        <w:t>GRUR International</w:t>
      </w:r>
      <w:r w:rsidRPr="00654568">
        <w:rPr>
          <w:rFonts w:ascii="Times New Roman" w:hAnsi="Times New Roman"/>
        </w:rPr>
        <w:t>, Oxford University Press, 133.</w:t>
      </w:r>
    </w:p>
  </w:footnote>
  <w:footnote w:id="11">
    <w:p w14:paraId="3D886D4C" w14:textId="015A2884" w:rsidR="000E6FB9" w:rsidRPr="00654568" w:rsidRDefault="000E6FB9" w:rsidP="004D0EBA">
      <w:pPr>
        <w:pStyle w:val="FootnoteText"/>
        <w:rPr>
          <w:rFonts w:ascii="Times New Roman" w:hAnsi="Times New Roman"/>
          <w:i/>
          <w:iCs/>
          <w:lang w:val="nl-NL"/>
        </w:rPr>
      </w:pPr>
      <w:r w:rsidRPr="00654568">
        <w:rPr>
          <w:rStyle w:val="FootnoteReference"/>
          <w:rFonts w:ascii="Times New Roman" w:hAnsi="Times New Roman"/>
        </w:rPr>
        <w:footnoteRef/>
      </w:r>
      <w:r w:rsidRPr="00654568">
        <w:rPr>
          <w:rFonts w:ascii="Times New Roman" w:hAnsi="Times New Roman"/>
          <w:lang w:val="nl-NL"/>
        </w:rPr>
        <w:t xml:space="preserve"> S. BAEYENS, </w:t>
      </w:r>
      <w:r w:rsidRPr="00654568">
        <w:rPr>
          <w:rFonts w:ascii="Times New Roman" w:hAnsi="Times New Roman"/>
          <w:i/>
          <w:iCs/>
          <w:lang w:val="nl-NL"/>
        </w:rPr>
        <w:t xml:space="preserve">Vermogensrechten en faillissement. Een rechtsvergelijkend onderzoek naar de tegenwerpelijkheid en afdwingbaarheid van verwervingsrechten, gebruiksrechten en verbodsrechten in faillissement, </w:t>
      </w:r>
      <w:r w:rsidRPr="00654568">
        <w:rPr>
          <w:rFonts w:ascii="Times New Roman" w:hAnsi="Times New Roman"/>
          <w:lang w:val="nl-NL"/>
        </w:rPr>
        <w:t xml:space="preserve">Intersentia, 2023, 1st ed., 361, no. 307; M. TRUYENS and S. AERTS, </w:t>
      </w:r>
      <w:r w:rsidR="004D0EBA" w:rsidRPr="00654568">
        <w:rPr>
          <w:rFonts w:ascii="Times New Roman" w:hAnsi="Times New Roman"/>
          <w:lang w:val="nl-NL"/>
        </w:rPr>
        <w:t>“</w:t>
      </w:r>
      <w:r w:rsidRPr="00654568">
        <w:rPr>
          <w:rFonts w:ascii="Times New Roman" w:hAnsi="Times New Roman"/>
          <w:lang w:val="nl-NL"/>
        </w:rPr>
        <w:t>Informaticacontracten in het faillissementsrecht</w:t>
      </w:r>
      <w:r w:rsidR="004D0EBA" w:rsidRPr="00654568">
        <w:rPr>
          <w:rFonts w:ascii="Times New Roman" w:hAnsi="Times New Roman"/>
          <w:lang w:val="nl-NL"/>
        </w:rPr>
        <w:t>”</w:t>
      </w:r>
      <w:r w:rsidRPr="00654568">
        <w:rPr>
          <w:rFonts w:ascii="Times New Roman" w:hAnsi="Times New Roman"/>
          <w:lang w:val="nl-NL"/>
        </w:rPr>
        <w:t xml:space="preserve">, </w:t>
      </w:r>
      <w:r w:rsidRPr="00654568">
        <w:rPr>
          <w:rFonts w:ascii="Times New Roman" w:hAnsi="Times New Roman"/>
          <w:i/>
          <w:iCs/>
          <w:lang w:val="nl-NL"/>
        </w:rPr>
        <w:t xml:space="preserve">Computerrecht </w:t>
      </w:r>
      <w:r w:rsidRPr="00654568">
        <w:rPr>
          <w:rFonts w:ascii="Times New Roman" w:hAnsi="Times New Roman"/>
          <w:lang w:val="nl-NL"/>
        </w:rPr>
        <w:t xml:space="preserve">2017, 1st ed., 13; J.-C. TROUSSEL </w:t>
      </w:r>
      <w:r w:rsidRPr="00654568">
        <w:rPr>
          <w:rFonts w:ascii="Times New Roman" w:hAnsi="Times New Roman"/>
          <w:i/>
          <w:iCs/>
          <w:lang w:val="nl-NL"/>
        </w:rPr>
        <w:t>et al.</w:t>
      </w:r>
      <w:r w:rsidRPr="00654568">
        <w:rPr>
          <w:rFonts w:ascii="Times New Roman" w:hAnsi="Times New Roman"/>
          <w:lang w:val="nl-NL"/>
        </w:rPr>
        <w:t xml:space="preserve">, </w:t>
      </w:r>
      <w:r w:rsidR="004D0EBA" w:rsidRPr="00654568">
        <w:rPr>
          <w:rFonts w:ascii="Times New Roman" w:hAnsi="Times New Roman"/>
          <w:lang w:val="nl-NL"/>
        </w:rPr>
        <w:t>“</w:t>
      </w:r>
      <w:r w:rsidRPr="00654568">
        <w:rPr>
          <w:rFonts w:ascii="Times New Roman" w:hAnsi="Times New Roman"/>
          <w:lang w:val="nl-NL"/>
        </w:rPr>
        <w:t>Licentieovereenkomsten en intellectuele eigendomsrechten in het licht van collectieve insolventieprocedures</w:t>
      </w:r>
      <w:r w:rsidR="004D0EBA" w:rsidRPr="00654568">
        <w:rPr>
          <w:rFonts w:ascii="Times New Roman" w:hAnsi="Times New Roman"/>
          <w:lang w:val="nl-NL"/>
        </w:rPr>
        <w:t>”</w:t>
      </w:r>
      <w:r w:rsidRPr="00654568">
        <w:rPr>
          <w:rFonts w:ascii="Times New Roman" w:hAnsi="Times New Roman"/>
          <w:lang w:val="nl-NL"/>
        </w:rPr>
        <w:t xml:space="preserve">, </w:t>
      </w:r>
      <w:r w:rsidRPr="00654568">
        <w:rPr>
          <w:rFonts w:ascii="Times New Roman" w:hAnsi="Times New Roman"/>
          <w:i/>
          <w:iCs/>
          <w:lang w:val="nl-NL"/>
        </w:rPr>
        <w:t xml:space="preserve">TBH </w:t>
      </w:r>
      <w:r w:rsidRPr="00654568">
        <w:rPr>
          <w:rFonts w:ascii="Times New Roman" w:hAnsi="Times New Roman"/>
          <w:lang w:val="nl-NL"/>
        </w:rPr>
        <w:t xml:space="preserve">2015, 9th ed., 870, no. 16. See also in the Netherlands: P.R.W. SCHAINK, </w:t>
      </w:r>
      <w:r w:rsidR="004D0EBA" w:rsidRPr="00654568">
        <w:rPr>
          <w:rFonts w:ascii="Times New Roman" w:hAnsi="Times New Roman"/>
          <w:lang w:val="nl-NL"/>
        </w:rPr>
        <w:t>“</w:t>
      </w:r>
      <w:r w:rsidRPr="00654568">
        <w:rPr>
          <w:rFonts w:ascii="Times New Roman" w:hAnsi="Times New Roman"/>
          <w:lang w:val="nl-NL"/>
        </w:rPr>
        <w:t>Enkele IE-bespiegelingen door de bril van een faillissementscurator</w:t>
      </w:r>
      <w:r w:rsidR="004D0EBA" w:rsidRPr="00654568">
        <w:rPr>
          <w:rFonts w:ascii="Times New Roman" w:hAnsi="Times New Roman"/>
          <w:lang w:val="nl-NL"/>
        </w:rPr>
        <w:t>”</w:t>
      </w:r>
      <w:r w:rsidRPr="00654568">
        <w:rPr>
          <w:rFonts w:ascii="Times New Roman" w:hAnsi="Times New Roman"/>
          <w:lang w:val="nl-NL"/>
        </w:rPr>
        <w:t xml:space="preserve">, </w:t>
      </w:r>
      <w:r w:rsidRPr="00654568">
        <w:rPr>
          <w:rFonts w:ascii="Times New Roman" w:hAnsi="Times New Roman"/>
          <w:i/>
          <w:iCs/>
          <w:lang w:val="nl-NL"/>
        </w:rPr>
        <w:t xml:space="preserve">IER </w:t>
      </w:r>
      <w:r w:rsidRPr="00654568">
        <w:rPr>
          <w:rFonts w:ascii="Times New Roman" w:hAnsi="Times New Roman"/>
          <w:lang w:val="nl-NL"/>
        </w:rPr>
        <w:t>2009, ed. 6, 297-298; F.C. FOLMER</w:t>
      </w:r>
      <w:r w:rsidRPr="00654568">
        <w:rPr>
          <w:rFonts w:ascii="Times New Roman" w:hAnsi="Times New Roman"/>
          <w:i/>
          <w:iCs/>
          <w:lang w:val="nl-NL"/>
        </w:rPr>
        <w:t>.</w:t>
      </w:r>
      <w:r w:rsidRPr="00654568">
        <w:rPr>
          <w:rFonts w:ascii="Times New Roman" w:hAnsi="Times New Roman"/>
          <w:lang w:val="nl-NL"/>
        </w:rPr>
        <w:t xml:space="preserve">, </w:t>
      </w:r>
      <w:r w:rsidR="004D0EBA" w:rsidRPr="00654568">
        <w:rPr>
          <w:rFonts w:ascii="Times New Roman" w:hAnsi="Times New Roman"/>
          <w:lang w:val="nl-NL"/>
        </w:rPr>
        <w:t>“</w:t>
      </w:r>
      <w:r w:rsidRPr="00654568">
        <w:rPr>
          <w:rFonts w:ascii="Times New Roman" w:hAnsi="Times New Roman"/>
          <w:lang w:val="nl-NL"/>
        </w:rPr>
        <w:t>Overdracht, licenties en derdenwerking in het intellectuele eigendomsrecht</w:t>
      </w:r>
      <w:r w:rsidR="004D0EBA" w:rsidRPr="00654568">
        <w:rPr>
          <w:rFonts w:ascii="Times New Roman" w:hAnsi="Times New Roman"/>
          <w:lang w:val="nl-NL"/>
        </w:rPr>
        <w:t>”</w:t>
      </w:r>
      <w:r w:rsidRPr="00654568">
        <w:rPr>
          <w:rFonts w:ascii="Times New Roman" w:hAnsi="Times New Roman"/>
          <w:lang w:val="nl-NL"/>
        </w:rPr>
        <w:t xml:space="preserve">, </w:t>
      </w:r>
      <w:r w:rsidRPr="00654568">
        <w:rPr>
          <w:rFonts w:ascii="Times New Roman" w:hAnsi="Times New Roman"/>
          <w:i/>
          <w:iCs/>
          <w:lang w:val="nl-NL"/>
        </w:rPr>
        <w:t xml:space="preserve">MvV </w:t>
      </w:r>
      <w:r w:rsidRPr="00654568">
        <w:rPr>
          <w:rFonts w:ascii="Times New Roman" w:hAnsi="Times New Roman"/>
          <w:lang w:val="nl-NL"/>
        </w:rPr>
        <w:t xml:space="preserve">2008, ed. 7-8, 171; J.L.R.A. HUYDECOPER, </w:t>
      </w:r>
      <w:r w:rsidR="004D0EBA" w:rsidRPr="00654568">
        <w:rPr>
          <w:rFonts w:ascii="Times New Roman" w:hAnsi="Times New Roman"/>
          <w:lang w:val="nl-NL"/>
        </w:rPr>
        <w:t>“</w:t>
      </w:r>
      <w:r w:rsidRPr="00654568">
        <w:rPr>
          <w:rFonts w:ascii="Times New Roman" w:hAnsi="Times New Roman"/>
          <w:lang w:val="nl-NL"/>
        </w:rPr>
        <w:t>Insolventie en rechten van intellectuele eigendom</w:t>
      </w:r>
      <w:r w:rsidR="004D0EBA" w:rsidRPr="00654568">
        <w:rPr>
          <w:rFonts w:ascii="Times New Roman" w:hAnsi="Times New Roman"/>
          <w:lang w:val="nl-NL"/>
        </w:rPr>
        <w:t>”</w:t>
      </w:r>
      <w:r w:rsidRPr="00654568">
        <w:rPr>
          <w:rFonts w:ascii="Times New Roman" w:hAnsi="Times New Roman"/>
          <w:lang w:val="nl-NL"/>
        </w:rPr>
        <w:t xml:space="preserve"> in N. E. D. FABER, J. J. VAN HEES, S. C. J. J. KORTMAN, N. S. G. J. VERMUNT and C. A. M. DOMINGUS-SCHWENCKE (eds.), </w:t>
      </w:r>
      <w:r w:rsidRPr="00654568">
        <w:rPr>
          <w:rFonts w:ascii="Times New Roman" w:hAnsi="Times New Roman"/>
          <w:i/>
          <w:iCs/>
          <w:lang w:val="nl-NL"/>
        </w:rPr>
        <w:t>De bewindvoerder, een octopus</w:t>
      </w:r>
      <w:r w:rsidRPr="00654568">
        <w:rPr>
          <w:rFonts w:ascii="Times New Roman" w:hAnsi="Times New Roman"/>
          <w:lang w:val="nl-NL"/>
        </w:rPr>
        <w:t xml:space="preserve">, Deventer, Kluwer, 2008, 656, no. 7; C.J. JAGER and R.E. WEENING, </w:t>
      </w:r>
      <w:r w:rsidR="004D0EBA" w:rsidRPr="00654568">
        <w:rPr>
          <w:rFonts w:ascii="Times New Roman" w:hAnsi="Times New Roman"/>
          <w:lang w:val="nl-NL"/>
        </w:rPr>
        <w:t>“</w:t>
      </w:r>
      <w:r w:rsidRPr="00654568">
        <w:rPr>
          <w:rFonts w:ascii="Times New Roman" w:hAnsi="Times New Roman"/>
          <w:lang w:val="nl-NL"/>
        </w:rPr>
        <w:t>Licentie in faillissement</w:t>
      </w:r>
      <w:r w:rsidR="004D0EBA" w:rsidRPr="00654568">
        <w:rPr>
          <w:rFonts w:ascii="Times New Roman" w:hAnsi="Times New Roman"/>
          <w:lang w:val="nl-NL"/>
        </w:rPr>
        <w:t>”</w:t>
      </w:r>
      <w:r w:rsidRPr="00654568">
        <w:rPr>
          <w:rFonts w:ascii="Times New Roman" w:hAnsi="Times New Roman"/>
          <w:lang w:val="nl-NL"/>
        </w:rPr>
        <w:t xml:space="preserve">, </w:t>
      </w:r>
      <w:r w:rsidRPr="00654568">
        <w:rPr>
          <w:rFonts w:ascii="Times New Roman" w:hAnsi="Times New Roman"/>
          <w:i/>
          <w:iCs/>
          <w:lang w:val="nl-NL"/>
        </w:rPr>
        <w:t xml:space="preserve">VrA </w:t>
      </w:r>
      <w:r w:rsidRPr="00654568">
        <w:rPr>
          <w:rFonts w:ascii="Times New Roman" w:hAnsi="Times New Roman"/>
          <w:lang w:val="nl-NL"/>
        </w:rPr>
        <w:t>2008, 2</w:t>
      </w:r>
      <w:r w:rsidRPr="00654568">
        <w:rPr>
          <w:rFonts w:ascii="Times New Roman" w:hAnsi="Times New Roman"/>
          <w:vertAlign w:val="superscript"/>
          <w:lang w:val="nl-NL"/>
        </w:rPr>
        <w:t>nd</w:t>
      </w:r>
      <w:r w:rsidRPr="00654568">
        <w:rPr>
          <w:rFonts w:ascii="Times New Roman" w:hAnsi="Times New Roman"/>
          <w:lang w:val="nl-NL"/>
        </w:rPr>
        <w:t xml:space="preserve"> ed., 56; B.J. LENSELINK, </w:t>
      </w:r>
      <w:r w:rsidRPr="00654568">
        <w:rPr>
          <w:rFonts w:ascii="Times New Roman" w:hAnsi="Times New Roman"/>
          <w:i/>
          <w:iCs/>
          <w:lang w:val="nl-NL"/>
        </w:rPr>
        <w:t>De verlening van exploitatiebevoegdheden in het auteursrecht. Een rechtsvergelijkend onderzoek naar overdracht en licentieverlening in auteursrechtelijke exploitatiebevoegdheden naar Nederlands, Duits en Amerikaans recht</w:t>
      </w:r>
      <w:r w:rsidRPr="00654568">
        <w:rPr>
          <w:rFonts w:ascii="Times New Roman" w:hAnsi="Times New Roman"/>
          <w:lang w:val="nl-NL"/>
        </w:rPr>
        <w:t>, Den Haag, Sdu, 2005, 210.</w:t>
      </w:r>
    </w:p>
  </w:footnote>
  <w:footnote w:id="12">
    <w:p w14:paraId="35D5DF4A" w14:textId="167E6D74"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See Jan Felix Hoffmann, </w:t>
      </w:r>
      <w:r w:rsidR="004D0EBA" w:rsidRPr="00654568">
        <w:rPr>
          <w:rFonts w:ascii="Times New Roman" w:hAnsi="Times New Roman"/>
        </w:rPr>
        <w:t>‘</w:t>
      </w:r>
      <w:r w:rsidRPr="00654568">
        <w:rPr>
          <w:rFonts w:ascii="Times New Roman" w:hAnsi="Times New Roman"/>
        </w:rPr>
        <w:t xml:space="preserve">Executory Contracts, </w:t>
      </w:r>
      <w:r w:rsidRPr="00654568">
        <w:rPr>
          <w:rFonts w:ascii="Times New Roman" w:hAnsi="Times New Roman"/>
          <w:i/>
          <w:iCs/>
        </w:rPr>
        <w:t xml:space="preserve">Ipso Facto </w:t>
      </w:r>
      <w:r w:rsidRPr="00654568">
        <w:rPr>
          <w:rFonts w:ascii="Times New Roman" w:hAnsi="Times New Roman"/>
        </w:rPr>
        <w:t>Clauses and Licensing Agreements in Cross-Border Insolvencies: Executory Contracts in Cross-Border Insolvencies</w:t>
      </w:r>
      <w:r w:rsidR="004D0EBA" w:rsidRPr="00654568">
        <w:rPr>
          <w:rFonts w:ascii="Times New Roman" w:hAnsi="Times New Roman"/>
        </w:rPr>
        <w:t>’</w:t>
      </w:r>
      <w:r w:rsidRPr="00654568">
        <w:rPr>
          <w:rFonts w:ascii="Times New Roman" w:hAnsi="Times New Roman"/>
        </w:rPr>
        <w:t xml:space="preserve"> (2018) 27 </w:t>
      </w:r>
      <w:r w:rsidRPr="00654568">
        <w:rPr>
          <w:rFonts w:ascii="Times New Roman" w:hAnsi="Times New Roman"/>
          <w:i/>
          <w:iCs/>
        </w:rPr>
        <w:t>International Insolvency Review</w:t>
      </w:r>
      <w:r w:rsidRPr="00654568">
        <w:rPr>
          <w:rFonts w:ascii="Times New Roman" w:hAnsi="Times New Roman"/>
        </w:rPr>
        <w:t xml:space="preserve"> 300, 312.</w:t>
      </w:r>
    </w:p>
  </w:footnote>
  <w:footnote w:id="13">
    <w:p w14:paraId="68E3FC30" w14:textId="38890AFA"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Case C-533/07 </w:t>
      </w:r>
      <w:r w:rsidRPr="00654568">
        <w:rPr>
          <w:rFonts w:ascii="Times New Roman" w:hAnsi="Times New Roman"/>
          <w:i/>
          <w:iCs/>
        </w:rPr>
        <w:t xml:space="preserve">Falco Privatstiftung and Rabitsch, </w:t>
      </w:r>
      <w:r w:rsidRPr="00654568">
        <w:rPr>
          <w:rFonts w:ascii="Times New Roman" w:hAnsi="Times New Roman"/>
        </w:rPr>
        <w:t>ECLI:EU:C:2009:257, §30-32; Case C</w:t>
      </w:r>
      <w:r w:rsidRPr="00654568">
        <w:rPr>
          <w:rFonts w:ascii="Times New Roman" w:hAnsi="Times New Roman"/>
        </w:rPr>
        <w:noBreakHyphen/>
        <w:t xml:space="preserve">376/11 </w:t>
      </w:r>
      <w:r w:rsidRPr="00654568">
        <w:rPr>
          <w:rFonts w:ascii="Times New Roman" w:hAnsi="Times New Roman"/>
          <w:i/>
          <w:iCs/>
        </w:rPr>
        <w:t xml:space="preserve">Pie Optiek SPRL v Bureau Gevers SA and European Registry for Internet Domains ASBL, </w:t>
      </w:r>
      <w:r w:rsidRPr="00654568">
        <w:rPr>
          <w:rFonts w:ascii="Times New Roman" w:hAnsi="Times New Roman"/>
        </w:rPr>
        <w:t>ECLI:EU:C:2012:502, §47.</w:t>
      </w:r>
      <w:r w:rsidR="004D0EBA" w:rsidRPr="00654568">
        <w:rPr>
          <w:rFonts w:ascii="Times New Roman" w:hAnsi="Times New Roman"/>
        </w:rPr>
        <w:t xml:space="preserve"> </w:t>
      </w:r>
      <w:r w:rsidRPr="00654568">
        <w:rPr>
          <w:rFonts w:ascii="Times New Roman" w:hAnsi="Times New Roman"/>
        </w:rPr>
        <w:t>However, according to recent doctrine a positive obligation rests on the licensor to safeguard the licensee against any claims that may be brought by a third party, e.g. because the software allegedly infringes that third party</w:t>
      </w:r>
      <w:r w:rsidR="004D0EBA" w:rsidRPr="00654568">
        <w:rPr>
          <w:rFonts w:ascii="Times New Roman" w:hAnsi="Times New Roman"/>
        </w:rPr>
        <w:t>’</w:t>
      </w:r>
      <w:r w:rsidRPr="00654568">
        <w:rPr>
          <w:rFonts w:ascii="Times New Roman" w:hAnsi="Times New Roman"/>
        </w:rPr>
        <w:t xml:space="preserve">s copyright or patent rights (M. TRUYENS and S. AERTS, </w:t>
      </w:r>
      <w:r w:rsidR="004D0EBA" w:rsidRPr="00654568">
        <w:rPr>
          <w:rFonts w:ascii="Times New Roman" w:hAnsi="Times New Roman"/>
        </w:rPr>
        <w:t>“</w:t>
      </w:r>
      <w:r w:rsidRPr="00654568">
        <w:rPr>
          <w:rFonts w:ascii="Times New Roman" w:hAnsi="Times New Roman"/>
        </w:rPr>
        <w:t>Informaticacontracten in het faillissementsrecht</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Computerrecht </w:t>
      </w:r>
      <w:r w:rsidRPr="00654568">
        <w:rPr>
          <w:rFonts w:ascii="Times New Roman" w:hAnsi="Times New Roman"/>
        </w:rPr>
        <w:t>2017, ed. 1, 3).</w:t>
      </w:r>
    </w:p>
  </w:footnote>
  <w:footnote w:id="14">
    <w:p w14:paraId="5B27A4D0" w14:textId="5BDB2157" w:rsidR="00740520" w:rsidRPr="00654568" w:rsidRDefault="00740520">
      <w:pPr>
        <w:pStyle w:val="FootnoteText"/>
        <w:rPr>
          <w:rFonts w:ascii="Times New Roman" w:hAnsi="Times New Roman"/>
          <w:lang w:val="nl-BE"/>
        </w:rPr>
      </w:pPr>
      <w:r w:rsidRPr="00654568">
        <w:rPr>
          <w:rStyle w:val="FootnoteReference"/>
          <w:rFonts w:ascii="Times New Roman" w:hAnsi="Times New Roman"/>
        </w:rPr>
        <w:footnoteRef/>
      </w:r>
      <w:r w:rsidRPr="00654568">
        <w:rPr>
          <w:rFonts w:ascii="Times New Roman" w:hAnsi="Times New Roman"/>
        </w:rPr>
        <w:t xml:space="preserve"> Case C-128/11 </w:t>
      </w:r>
      <w:r w:rsidRPr="00654568">
        <w:rPr>
          <w:rFonts w:ascii="Times New Roman" w:hAnsi="Times New Roman"/>
          <w:i/>
          <w:iCs/>
        </w:rPr>
        <w:t>Used Soft GmbH v. Oracle International Corp</w:t>
      </w:r>
      <w:r w:rsidRPr="00654568">
        <w:rPr>
          <w:rFonts w:ascii="Times New Roman" w:hAnsi="Times New Roman"/>
        </w:rPr>
        <w:t>., ECLI:EU:C:2012:407.</w:t>
      </w:r>
    </w:p>
  </w:footnote>
  <w:footnote w:id="15">
    <w:p w14:paraId="0D4EA345" w14:textId="77777777" w:rsidR="000E6FB9" w:rsidRPr="00654568" w:rsidRDefault="000E6FB9" w:rsidP="004D0EBA">
      <w:pPr>
        <w:autoSpaceDE w:val="0"/>
        <w:autoSpaceDN w:val="0"/>
        <w:adjustRightInd w:val="0"/>
        <w:spacing w:after="0"/>
        <w:rPr>
          <w:rFonts w:ascii="Times New Roman" w:hAnsi="Times New Roman"/>
          <w:sz w:val="20"/>
          <w:lang w:val="nl-NL"/>
        </w:rPr>
      </w:pPr>
      <w:r w:rsidRPr="00654568">
        <w:rPr>
          <w:rStyle w:val="FootnoteReference"/>
          <w:rFonts w:ascii="Times New Roman" w:hAnsi="Times New Roman"/>
          <w:sz w:val="20"/>
        </w:rPr>
        <w:footnoteRef/>
      </w:r>
      <w:r w:rsidRPr="00654568">
        <w:rPr>
          <w:rFonts w:ascii="Times New Roman" w:hAnsi="Times New Roman"/>
          <w:sz w:val="20"/>
          <w:lang w:val="nl-NL"/>
        </w:rPr>
        <w:t xml:space="preserve"> S. BAEYENS, </w:t>
      </w:r>
      <w:r w:rsidRPr="00654568">
        <w:rPr>
          <w:rFonts w:ascii="Times New Roman" w:hAnsi="Times New Roman"/>
          <w:i/>
          <w:iCs/>
          <w:sz w:val="20"/>
          <w:lang w:val="nl-NL"/>
        </w:rPr>
        <w:t xml:space="preserve">Vermogensrechten en faillissement. Een rechtsvergelijkend onderzoek naar de tegenwerpelijkheid en afdwingbaarheid van verwervingsrechten, gebruiksrechten en verbodsrechten in faillissement, </w:t>
      </w:r>
      <w:r w:rsidRPr="00654568">
        <w:rPr>
          <w:rFonts w:ascii="Times New Roman" w:hAnsi="Times New Roman"/>
          <w:sz w:val="20"/>
          <w:lang w:val="nl-NL"/>
        </w:rPr>
        <w:t>Intersentia, 2023, 1st ed., 361, no. 307 (with references to other authors).</w:t>
      </w:r>
    </w:p>
  </w:footnote>
  <w:footnote w:id="16">
    <w:p w14:paraId="1CDA3BC6" w14:textId="115F2680" w:rsidR="000E6FB9" w:rsidRPr="00654568" w:rsidRDefault="000E6FB9" w:rsidP="004D0EBA">
      <w:pPr>
        <w:pStyle w:val="FootnoteText"/>
        <w:rPr>
          <w:rFonts w:ascii="Times New Roman" w:hAnsi="Times New Roman"/>
          <w:lang w:val="de-DE"/>
        </w:rPr>
      </w:pPr>
      <w:r w:rsidRPr="00654568">
        <w:rPr>
          <w:rStyle w:val="FootnoteReference"/>
          <w:rFonts w:ascii="Times New Roman" w:hAnsi="Times New Roman"/>
        </w:rPr>
        <w:footnoteRef/>
      </w:r>
      <w:r w:rsidRPr="00654568">
        <w:rPr>
          <w:rFonts w:ascii="Times New Roman" w:hAnsi="Times New Roman"/>
        </w:rPr>
        <w:t xml:space="preserve"> The German </w:t>
      </w:r>
      <w:r w:rsidRPr="00654568">
        <w:rPr>
          <w:rFonts w:ascii="Times New Roman" w:hAnsi="Times New Roman"/>
          <w:i/>
          <w:iCs/>
        </w:rPr>
        <w:t>Bundesgerichtshof</w:t>
      </w:r>
      <w:r w:rsidRPr="00654568">
        <w:rPr>
          <w:rFonts w:ascii="Times New Roman" w:hAnsi="Times New Roman"/>
        </w:rPr>
        <w:t xml:space="preserve"> applied a similar reasoning to a time-limited trademark </w:t>
      </w:r>
      <w:r w:rsidR="00061FBC">
        <w:rPr>
          <w:rFonts w:ascii="Times New Roman" w:hAnsi="Times New Roman"/>
        </w:rPr>
        <w:t>licence</w:t>
      </w:r>
      <w:r w:rsidRPr="00654568">
        <w:rPr>
          <w:rFonts w:ascii="Times New Roman" w:hAnsi="Times New Roman"/>
        </w:rPr>
        <w:t xml:space="preserve"> granted against a one-off </w:t>
      </w:r>
      <w:r w:rsidR="00061FBC">
        <w:rPr>
          <w:rFonts w:ascii="Times New Roman" w:hAnsi="Times New Roman"/>
        </w:rPr>
        <w:t>licence</w:t>
      </w:r>
      <w:r w:rsidRPr="00654568">
        <w:rPr>
          <w:rFonts w:ascii="Times New Roman" w:hAnsi="Times New Roman"/>
        </w:rPr>
        <w:t xml:space="preserve"> fee in its assessment of </w:t>
      </w:r>
      <w:r w:rsidR="004D0EBA" w:rsidRPr="00654568">
        <w:rPr>
          <w:rFonts w:ascii="Times New Roman" w:hAnsi="Times New Roman"/>
        </w:rPr>
        <w:t>Article</w:t>
      </w:r>
      <w:r w:rsidRPr="00654568">
        <w:rPr>
          <w:rFonts w:ascii="Times New Roman" w:hAnsi="Times New Roman"/>
        </w:rPr>
        <w:t xml:space="preserve"> 103 InsO (BGH 21 October 2015, </w:t>
      </w:r>
      <w:r w:rsidRPr="00654568">
        <w:rPr>
          <w:rFonts w:ascii="Times New Roman" w:hAnsi="Times New Roman"/>
          <w:i/>
          <w:iCs/>
        </w:rPr>
        <w:t xml:space="preserve">GRUR </w:t>
      </w:r>
      <w:r w:rsidRPr="00654568">
        <w:rPr>
          <w:rFonts w:ascii="Times New Roman" w:hAnsi="Times New Roman"/>
        </w:rPr>
        <w:t xml:space="preserve">2016, 201). </w:t>
      </w:r>
      <w:r w:rsidRPr="00654568">
        <w:rPr>
          <w:rFonts w:ascii="Times New Roman" w:hAnsi="Times New Roman"/>
          <w:lang w:val="de-DE"/>
        </w:rPr>
        <w:t xml:space="preserve">See also D. GROH, </w:t>
      </w:r>
      <w:r w:rsidR="004D0EBA" w:rsidRPr="00654568">
        <w:rPr>
          <w:rFonts w:ascii="Times New Roman" w:hAnsi="Times New Roman"/>
          <w:lang w:val="de-DE"/>
        </w:rPr>
        <w:t>“</w:t>
      </w:r>
      <w:r w:rsidRPr="00654568">
        <w:rPr>
          <w:rFonts w:ascii="Times New Roman" w:hAnsi="Times New Roman"/>
          <w:lang w:val="de-DE"/>
        </w:rPr>
        <w:t xml:space="preserve">Das Schicksal von Lizenzen an gewerblichen Schutzrechten in der Insolvenz des Lizenzgebers - Ein Überblick </w:t>
      </w:r>
      <w:r w:rsidR="004D0EBA" w:rsidRPr="00654568">
        <w:rPr>
          <w:rFonts w:ascii="Times New Roman" w:hAnsi="Times New Roman"/>
          <w:lang w:val="de-DE"/>
        </w:rPr>
        <w:t>“</w:t>
      </w:r>
      <w:r w:rsidRPr="00654568">
        <w:rPr>
          <w:rFonts w:ascii="Times New Roman" w:hAnsi="Times New Roman"/>
          <w:lang w:val="de-DE"/>
        </w:rPr>
        <w:t xml:space="preserve">, </w:t>
      </w:r>
      <w:r w:rsidRPr="00654568">
        <w:rPr>
          <w:rFonts w:ascii="Times New Roman" w:hAnsi="Times New Roman"/>
          <w:i/>
          <w:iCs/>
          <w:lang w:val="de-DE"/>
        </w:rPr>
        <w:t xml:space="preserve">ZinsO </w:t>
      </w:r>
      <w:r w:rsidRPr="00654568">
        <w:rPr>
          <w:rFonts w:ascii="Times New Roman" w:hAnsi="Times New Roman"/>
          <w:lang w:val="de-DE"/>
        </w:rPr>
        <w:t xml:space="preserve">2019, ed. 19, (925) 927; J.F. HOFFMANN, </w:t>
      </w:r>
      <w:r w:rsidR="004D0EBA" w:rsidRPr="00654568">
        <w:rPr>
          <w:rFonts w:ascii="Times New Roman" w:hAnsi="Times New Roman"/>
          <w:lang w:val="de-DE"/>
        </w:rPr>
        <w:t>“</w:t>
      </w:r>
      <w:r w:rsidRPr="00654568">
        <w:rPr>
          <w:rFonts w:ascii="Times New Roman" w:hAnsi="Times New Roman"/>
          <w:lang w:val="de-DE"/>
        </w:rPr>
        <w:t>§108</w:t>
      </w:r>
      <w:r w:rsidR="004D0EBA" w:rsidRPr="00654568">
        <w:rPr>
          <w:rFonts w:ascii="Times New Roman" w:hAnsi="Times New Roman"/>
          <w:lang w:val="de-DE"/>
        </w:rPr>
        <w:t>”</w:t>
      </w:r>
      <w:r w:rsidRPr="00654568">
        <w:rPr>
          <w:rFonts w:ascii="Times New Roman" w:hAnsi="Times New Roman"/>
          <w:lang w:val="de-DE"/>
        </w:rPr>
        <w:t xml:space="preserve"> in </w:t>
      </w:r>
      <w:r w:rsidRPr="00654568">
        <w:rPr>
          <w:rFonts w:ascii="Times New Roman" w:hAnsi="Times New Roman"/>
          <w:i/>
          <w:iCs/>
          <w:lang w:val="de-DE"/>
        </w:rPr>
        <w:t>Münchener Kommentar zur Insolvenzordnung</w:t>
      </w:r>
      <w:r w:rsidRPr="00654568">
        <w:rPr>
          <w:rFonts w:ascii="Times New Roman" w:hAnsi="Times New Roman"/>
          <w:lang w:val="de-DE"/>
        </w:rPr>
        <w:t>, München, C.H. Beck, losbl., no. 186.</w:t>
      </w:r>
    </w:p>
  </w:footnote>
  <w:footnote w:id="17">
    <w:p w14:paraId="7B33ED1F" w14:textId="706DFEC7"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004D0EBA" w:rsidRPr="00654568">
        <w:rPr>
          <w:rFonts w:ascii="Times New Roman" w:hAnsi="Times New Roman"/>
        </w:rPr>
        <w:t xml:space="preserve"> </w:t>
      </w:r>
      <w:r w:rsidR="00485D95" w:rsidRPr="00654568">
        <w:rPr>
          <w:rFonts w:ascii="Times New Roman" w:hAnsi="Times New Roman"/>
        </w:rPr>
        <w:t>O</w:t>
      </w:r>
      <w:r w:rsidRPr="00654568">
        <w:rPr>
          <w:rFonts w:ascii="Times New Roman" w:hAnsi="Times New Roman"/>
        </w:rPr>
        <w:t xml:space="preserve">r if a one-off payment was already made at the start of the </w:t>
      </w:r>
      <w:r w:rsidR="00061FBC">
        <w:rPr>
          <w:rFonts w:ascii="Times New Roman" w:hAnsi="Times New Roman"/>
        </w:rPr>
        <w:t>licence</w:t>
      </w:r>
      <w:r w:rsidRPr="00654568">
        <w:rPr>
          <w:rFonts w:ascii="Times New Roman" w:hAnsi="Times New Roman"/>
        </w:rPr>
        <w:t xml:space="preserve"> agreement.</w:t>
      </w:r>
    </w:p>
  </w:footnote>
  <w:footnote w:id="18">
    <w:p w14:paraId="121CC86F" w14:textId="4ABA65B6"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For the duration of the stay of enforcement as determined in the judgment opening the reorganisation proceedings (</w:t>
      </w:r>
      <w:r w:rsidR="004D0EBA" w:rsidRPr="00654568">
        <w:rPr>
          <w:rFonts w:ascii="Times New Roman" w:hAnsi="Times New Roman"/>
        </w:rPr>
        <w:t>Article</w:t>
      </w:r>
      <w:r w:rsidRPr="00654568">
        <w:rPr>
          <w:rFonts w:ascii="Times New Roman" w:hAnsi="Times New Roman"/>
        </w:rPr>
        <w:t xml:space="preserve"> XX.56</w:t>
      </w:r>
      <w:r w:rsidR="00485D95" w:rsidRPr="00654568">
        <w:rPr>
          <w:rFonts w:ascii="Times New Roman" w:hAnsi="Times New Roman"/>
        </w:rPr>
        <w:t>,</w:t>
      </w:r>
      <w:r w:rsidRPr="00654568">
        <w:rPr>
          <w:rFonts w:ascii="Times New Roman" w:hAnsi="Times New Roman"/>
        </w:rPr>
        <w:t xml:space="preserve"> CEL)</w:t>
      </w:r>
      <w:r w:rsidR="00485D95" w:rsidRPr="00654568">
        <w:rPr>
          <w:rFonts w:ascii="Times New Roman" w:hAnsi="Times New Roman"/>
        </w:rPr>
        <w:t>.</w:t>
      </w:r>
    </w:p>
  </w:footnote>
  <w:footnote w:id="19">
    <w:p w14:paraId="7541FBB3" w14:textId="6BDCD5E6"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Financial compensation will not only provide little relief given the potential business interruption and indirect and reputational damages which are difficult to budget, but such claim will also be an ordinary debt </w:t>
      </w:r>
      <w:r w:rsidRPr="00654568">
        <w:rPr>
          <w:rFonts w:ascii="Times New Roman" w:hAnsi="Times New Roman"/>
          <w:i/>
          <w:iCs/>
        </w:rPr>
        <w:t xml:space="preserve">in </w:t>
      </w:r>
      <w:r w:rsidRPr="00654568">
        <w:rPr>
          <w:rFonts w:ascii="Times New Roman" w:hAnsi="Times New Roman"/>
        </w:rPr>
        <w:t xml:space="preserve">the estate (and thus rank relatively low with little to no chance of recovery). See also P. S. MENELL, </w:t>
      </w:r>
      <w:r w:rsidR="004D0EBA" w:rsidRPr="00654568">
        <w:rPr>
          <w:rFonts w:ascii="Times New Roman" w:hAnsi="Times New Roman"/>
        </w:rPr>
        <w:t>‘</w:t>
      </w:r>
      <w:r w:rsidRPr="00654568">
        <w:rPr>
          <w:rFonts w:ascii="Times New Roman" w:hAnsi="Times New Roman"/>
        </w:rPr>
        <w:t>Bankruptcy Treatment of Intellectual Property Assets: An Economic Analysis</w:t>
      </w:r>
      <w:r w:rsidR="004D0EBA" w:rsidRPr="00654568">
        <w:rPr>
          <w:rFonts w:ascii="Times New Roman" w:hAnsi="Times New Roman"/>
        </w:rPr>
        <w:t>’</w:t>
      </w:r>
      <w:r w:rsidRPr="00654568">
        <w:rPr>
          <w:rFonts w:ascii="Times New Roman" w:hAnsi="Times New Roman"/>
        </w:rPr>
        <w:t xml:space="preserve"> (2007) 22 </w:t>
      </w:r>
      <w:r w:rsidRPr="00654568">
        <w:rPr>
          <w:rFonts w:ascii="Times New Roman" w:hAnsi="Times New Roman"/>
          <w:i/>
          <w:iCs/>
        </w:rPr>
        <w:t>Berkeley Technology Law Journal</w:t>
      </w:r>
      <w:r w:rsidRPr="00654568">
        <w:rPr>
          <w:rFonts w:ascii="Times New Roman" w:hAnsi="Times New Roman"/>
        </w:rPr>
        <w:t xml:space="preserve"> 31.</w:t>
      </w:r>
    </w:p>
  </w:footnote>
  <w:footnote w:id="20">
    <w:p w14:paraId="7F61F6C3" w14:textId="5999CB18"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As opposed to formal reorganisation proceedings, which are by nature </w:t>
      </w:r>
      <w:r w:rsidR="004D0EBA" w:rsidRPr="00654568">
        <w:rPr>
          <w:rFonts w:ascii="Times New Roman" w:hAnsi="Times New Roman"/>
          <w:i/>
          <w:iCs/>
        </w:rPr>
        <w:t>‘</w:t>
      </w:r>
      <w:r w:rsidRPr="00654568">
        <w:rPr>
          <w:rFonts w:ascii="Times New Roman" w:hAnsi="Times New Roman"/>
          <w:i/>
          <w:iCs/>
        </w:rPr>
        <w:t>debtor in possession</w:t>
      </w:r>
      <w:r w:rsidR="004D0EBA" w:rsidRPr="00654568">
        <w:rPr>
          <w:rFonts w:ascii="Times New Roman" w:hAnsi="Times New Roman"/>
          <w:i/>
          <w:iCs/>
        </w:rPr>
        <w:t>’</w:t>
      </w:r>
      <w:r w:rsidRPr="00654568">
        <w:rPr>
          <w:rFonts w:ascii="Times New Roman" w:hAnsi="Times New Roman"/>
          <w:i/>
          <w:iCs/>
        </w:rPr>
        <w:t xml:space="preserve"> </w:t>
      </w:r>
      <w:r w:rsidRPr="00654568">
        <w:rPr>
          <w:rFonts w:ascii="Times New Roman" w:hAnsi="Times New Roman"/>
        </w:rPr>
        <w:t>proceedings under Belgian insolvency law.</w:t>
      </w:r>
    </w:p>
  </w:footnote>
  <w:footnote w:id="21">
    <w:p w14:paraId="6C44970A" w14:textId="2A6BCB06"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D0EBA" w:rsidRPr="00654568">
        <w:rPr>
          <w:rFonts w:ascii="Times New Roman" w:hAnsi="Times New Roman"/>
        </w:rPr>
        <w:t>Article</w:t>
      </w:r>
      <w:r w:rsidRPr="00654568">
        <w:rPr>
          <w:rFonts w:ascii="Times New Roman" w:hAnsi="Times New Roman"/>
        </w:rPr>
        <w:t xml:space="preserve"> XX.139</w:t>
      </w:r>
      <w:r w:rsidR="00485D95" w:rsidRPr="00654568">
        <w:rPr>
          <w:rFonts w:ascii="Times New Roman" w:hAnsi="Times New Roman"/>
        </w:rPr>
        <w:t>,</w:t>
      </w:r>
      <w:r w:rsidRPr="00654568">
        <w:rPr>
          <w:rFonts w:ascii="Times New Roman" w:hAnsi="Times New Roman"/>
        </w:rPr>
        <w:t xml:space="preserve"> CEL</w:t>
      </w:r>
      <w:r w:rsidR="00485D95" w:rsidRPr="00654568">
        <w:rPr>
          <w:rFonts w:ascii="Times New Roman" w:hAnsi="Times New Roman"/>
        </w:rPr>
        <w:t>.</w:t>
      </w:r>
    </w:p>
  </w:footnote>
  <w:footnote w:id="22">
    <w:p w14:paraId="1E6352BF" w14:textId="6913816D"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w:t>
      </w:r>
      <w:r w:rsidR="00485D95" w:rsidRPr="00654568">
        <w:rPr>
          <w:rFonts w:ascii="Times New Roman" w:hAnsi="Times New Roman"/>
        </w:rPr>
        <w:t>W</w:t>
      </w:r>
      <w:r w:rsidRPr="00654568">
        <w:rPr>
          <w:rFonts w:ascii="Times New Roman" w:hAnsi="Times New Roman"/>
        </w:rPr>
        <w:t>hich is the exception because bankruptcy in principle entails the discontinuity of all business activity under Belgian law. The receiver can nonetheless request to court to authorize the continuation of the activities (</w:t>
      </w:r>
      <w:r w:rsidR="004D0EBA" w:rsidRPr="00654568">
        <w:rPr>
          <w:rFonts w:ascii="Times New Roman" w:hAnsi="Times New Roman"/>
        </w:rPr>
        <w:t>Article</w:t>
      </w:r>
      <w:r w:rsidRPr="00654568">
        <w:rPr>
          <w:rFonts w:ascii="Times New Roman" w:hAnsi="Times New Roman"/>
        </w:rPr>
        <w:t xml:space="preserve"> XX.140</w:t>
      </w:r>
      <w:r w:rsidR="00485D95" w:rsidRPr="00654568">
        <w:rPr>
          <w:rFonts w:ascii="Times New Roman" w:hAnsi="Times New Roman"/>
        </w:rPr>
        <w:t>,</w:t>
      </w:r>
      <w:r w:rsidRPr="00654568">
        <w:rPr>
          <w:rFonts w:ascii="Times New Roman" w:hAnsi="Times New Roman"/>
        </w:rPr>
        <w:t xml:space="preserve"> CEL). In such cases a receiver could request major customers to temporarily finance the continued operations, e.g. to keep the software running to recover data and allow migration to an alternative software. See, for instance, in Belgium: </w:t>
      </w:r>
      <w:r w:rsidR="004D0EBA" w:rsidRPr="00654568">
        <w:rPr>
          <w:rFonts w:ascii="Times New Roman" w:hAnsi="Times New Roman"/>
        </w:rPr>
        <w:t>“</w:t>
      </w:r>
      <w:r w:rsidRPr="00654568">
        <w:rPr>
          <w:rFonts w:ascii="Times New Roman" w:hAnsi="Times New Roman"/>
        </w:rPr>
        <w:t>Luxembourgers take over car charging stations from bankrupt Powerdale</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De Tijd</w:t>
      </w:r>
      <w:r w:rsidRPr="00654568">
        <w:rPr>
          <w:rFonts w:ascii="Times New Roman" w:hAnsi="Times New Roman"/>
        </w:rPr>
        <w:t xml:space="preserve">, 17 July 2023) </w:t>
      </w:r>
      <w:r w:rsidRPr="00654568">
        <w:rPr>
          <w:rFonts w:ascii="Times New Roman" w:hAnsi="Times New Roman"/>
          <w:u w:val="single"/>
        </w:rPr>
        <w:t>https://www.tijd.be/ondernemen/milieu-energie/luxemburgers-nemen-laadpaalfacturatie-over-van-failliete-powerdale/10481126.html</w:t>
      </w:r>
      <w:r w:rsidRPr="00654568">
        <w:rPr>
          <w:rFonts w:ascii="Times New Roman" w:hAnsi="Times New Roman"/>
        </w:rPr>
        <w:t xml:space="preserve"> and in the UK: </w:t>
      </w:r>
      <w:r w:rsidR="004D0EBA" w:rsidRPr="00654568">
        <w:rPr>
          <w:rFonts w:ascii="Times New Roman" w:hAnsi="Times New Roman"/>
        </w:rPr>
        <w:t>“</w:t>
      </w:r>
      <w:r w:rsidRPr="00654568">
        <w:rPr>
          <w:rFonts w:ascii="Times New Roman" w:hAnsi="Times New Roman"/>
        </w:rPr>
        <w:t>2e2 Datacentre Administrators Hold Customers</w:t>
      </w:r>
      <w:r w:rsidR="004D0EBA" w:rsidRPr="00654568">
        <w:rPr>
          <w:rFonts w:ascii="Times New Roman" w:hAnsi="Times New Roman"/>
        </w:rPr>
        <w:t>’</w:t>
      </w:r>
      <w:r w:rsidRPr="00654568">
        <w:rPr>
          <w:rFonts w:ascii="Times New Roman" w:hAnsi="Times New Roman"/>
        </w:rPr>
        <w:t xml:space="preserve"> Data to £1m Ransom</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ComputerWeekly.com </w:t>
      </w:r>
      <w:r w:rsidRPr="00654568">
        <w:rPr>
          <w:rFonts w:ascii="Times New Roman" w:hAnsi="Times New Roman"/>
        </w:rPr>
        <w:t xml:space="preserve">8 February 2013) </w:t>
      </w:r>
      <w:r w:rsidRPr="00654568">
        <w:rPr>
          <w:rFonts w:ascii="Times New Roman" w:hAnsi="Times New Roman"/>
          <w:u w:val="single"/>
        </w:rPr>
        <w:t>https://www.computerweekly.com/news/2240177744/2e2-datacentre-administrators-hold-customers-data-to-1m-ransom</w:t>
      </w:r>
      <w:r w:rsidR="00485D95" w:rsidRPr="00654568">
        <w:rPr>
          <w:rFonts w:ascii="Times New Roman" w:hAnsi="Times New Roman"/>
        </w:rPr>
        <w:t>.</w:t>
      </w:r>
    </w:p>
  </w:footnote>
  <w:footnote w:id="23">
    <w:p w14:paraId="636A2374" w14:textId="06515CC8"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Notwithstanding the licensee</w:t>
      </w:r>
      <w:r w:rsidR="004D0EBA" w:rsidRPr="00654568">
        <w:rPr>
          <w:rFonts w:ascii="Times New Roman" w:hAnsi="Times New Roman"/>
        </w:rPr>
        <w:t>’</w:t>
      </w:r>
      <w:r w:rsidRPr="00654568">
        <w:rPr>
          <w:rFonts w:ascii="Times New Roman" w:hAnsi="Times New Roman"/>
        </w:rPr>
        <w:t>s right to reproduce, translate, modify, and repair the software to be able to use it, and reproduce or translate (parts of) its source code to establish compatibility with other software programmes, without the software developer</w:t>
      </w:r>
      <w:r w:rsidR="004D0EBA" w:rsidRPr="00654568">
        <w:rPr>
          <w:rFonts w:ascii="Times New Roman" w:hAnsi="Times New Roman"/>
        </w:rPr>
        <w:t>’</w:t>
      </w:r>
      <w:r w:rsidRPr="00654568">
        <w:rPr>
          <w:rFonts w:ascii="Times New Roman" w:hAnsi="Times New Roman"/>
        </w:rPr>
        <w:t>s consent (</w:t>
      </w:r>
      <w:r w:rsidR="00485D95" w:rsidRPr="00654568">
        <w:rPr>
          <w:rFonts w:ascii="Times New Roman" w:hAnsi="Times New Roman"/>
        </w:rPr>
        <w:t>A</w:t>
      </w:r>
      <w:r w:rsidRPr="00654568">
        <w:rPr>
          <w:rFonts w:ascii="Times New Roman" w:hAnsi="Times New Roman"/>
        </w:rPr>
        <w:t>rticles XI.299-300</w:t>
      </w:r>
      <w:r w:rsidR="00485D95" w:rsidRPr="00654568">
        <w:rPr>
          <w:rFonts w:ascii="Times New Roman" w:hAnsi="Times New Roman"/>
        </w:rPr>
        <w:t>,</w:t>
      </w:r>
      <w:r w:rsidRPr="00654568">
        <w:rPr>
          <w:rFonts w:ascii="Times New Roman" w:hAnsi="Times New Roman"/>
        </w:rPr>
        <w:t xml:space="preserve"> CEL). To exercise these statutory rights, the licensee requires the source code of the software, as well as the necessary expertise to reconstruct the software (see </w:t>
      </w:r>
      <w:r w:rsidRPr="00654568">
        <w:rPr>
          <w:rFonts w:ascii="Times New Roman" w:hAnsi="Times New Roman"/>
          <w:i/>
          <w:iCs/>
        </w:rPr>
        <w:t>infra</w:t>
      </w:r>
      <w:r w:rsidRPr="00654568">
        <w:rPr>
          <w:rFonts w:ascii="Times New Roman" w:hAnsi="Times New Roman"/>
        </w:rPr>
        <w:t>). Similar considerations apply in relation to section §365(n)</w:t>
      </w:r>
      <w:r w:rsidR="00485D95" w:rsidRPr="00654568">
        <w:rPr>
          <w:rFonts w:ascii="Times New Roman" w:hAnsi="Times New Roman"/>
        </w:rPr>
        <w:t>,</w:t>
      </w:r>
      <w:r w:rsidRPr="00654568">
        <w:rPr>
          <w:rFonts w:ascii="Times New Roman" w:hAnsi="Times New Roman"/>
        </w:rPr>
        <w:t xml:space="preserve"> US Bankruptcy Code, see R. PARRY, </w:t>
      </w:r>
      <w:r w:rsidR="004D0EBA" w:rsidRPr="00654568">
        <w:rPr>
          <w:rFonts w:ascii="Times New Roman" w:hAnsi="Times New Roman"/>
        </w:rPr>
        <w:t>“</w:t>
      </w:r>
      <w:r w:rsidRPr="00654568">
        <w:rPr>
          <w:rFonts w:ascii="Times New Roman" w:hAnsi="Times New Roman"/>
        </w:rPr>
        <w:t>An assessment of the risk of service supplier bankruptcies as a cybersecurity threat</w:t>
      </w:r>
      <w:r w:rsidR="004D0EBA" w:rsidRPr="00654568">
        <w:rPr>
          <w:rFonts w:ascii="Times New Roman" w:hAnsi="Times New Roman"/>
        </w:rPr>
        <w:t>”</w:t>
      </w:r>
      <w:r w:rsidRPr="00654568">
        <w:rPr>
          <w:rFonts w:ascii="Times New Roman" w:hAnsi="Times New Roman"/>
        </w:rPr>
        <w:t xml:space="preserve"> in M. SARFRAZ, </w:t>
      </w:r>
      <w:r w:rsidRPr="00654568">
        <w:rPr>
          <w:rFonts w:ascii="Times New Roman" w:hAnsi="Times New Roman"/>
          <w:i/>
          <w:iCs/>
        </w:rPr>
        <w:t>Cybersecurity threats with new perspectives</w:t>
      </w:r>
      <w:r w:rsidRPr="00654568">
        <w:rPr>
          <w:rFonts w:ascii="Times New Roman" w:hAnsi="Times New Roman"/>
        </w:rPr>
        <w:t xml:space="preserve">, </w:t>
      </w:r>
      <w:r w:rsidRPr="00654568">
        <w:rPr>
          <w:rFonts w:ascii="Times New Roman" w:hAnsi="Times New Roman"/>
          <w:i/>
          <w:iCs/>
        </w:rPr>
        <w:t>IntechOpen</w:t>
      </w:r>
      <w:r w:rsidRPr="00654568">
        <w:rPr>
          <w:rFonts w:ascii="Times New Roman" w:hAnsi="Times New Roman"/>
        </w:rPr>
        <w:t>, 2021, 7.</w:t>
      </w:r>
    </w:p>
  </w:footnote>
  <w:footnote w:id="24">
    <w:p w14:paraId="79DF1093" w14:textId="6BDEE691" w:rsidR="000E6FB9" w:rsidRPr="00654568" w:rsidRDefault="000E6FB9" w:rsidP="004D0EBA">
      <w:pPr>
        <w:autoSpaceDE w:val="0"/>
        <w:autoSpaceDN w:val="0"/>
        <w:adjustRightInd w:val="0"/>
        <w:spacing w:after="0"/>
        <w:rPr>
          <w:rFonts w:ascii="Times New Roman" w:hAnsi="Times New Roman"/>
          <w:sz w:val="20"/>
        </w:rPr>
      </w:pPr>
      <w:r w:rsidRPr="00654568">
        <w:rPr>
          <w:rStyle w:val="FootnoteReference"/>
          <w:rFonts w:ascii="Times New Roman" w:hAnsi="Times New Roman"/>
          <w:sz w:val="20"/>
        </w:rPr>
        <w:footnoteRef/>
      </w:r>
      <w:r w:rsidRPr="00654568">
        <w:rPr>
          <w:rFonts w:ascii="Times New Roman" w:hAnsi="Times New Roman"/>
          <w:sz w:val="20"/>
        </w:rPr>
        <w:t xml:space="preserve"> e.g. for breach of contract or by invoking an </w:t>
      </w:r>
      <w:r w:rsidRPr="00654568">
        <w:rPr>
          <w:rFonts w:ascii="Times New Roman" w:hAnsi="Times New Roman"/>
          <w:i/>
          <w:iCs/>
          <w:sz w:val="20"/>
        </w:rPr>
        <w:t xml:space="preserve">ipso facto </w:t>
      </w:r>
      <w:r w:rsidRPr="00654568">
        <w:rPr>
          <w:rFonts w:ascii="Times New Roman" w:hAnsi="Times New Roman"/>
          <w:sz w:val="20"/>
        </w:rPr>
        <w:t xml:space="preserve">clause triggered by bankruptcy, which are common practice and enforceable under Belgian law (see A. DE WILDE, </w:t>
      </w:r>
      <w:r w:rsidR="004D0EBA" w:rsidRPr="00654568">
        <w:rPr>
          <w:rFonts w:ascii="Times New Roman" w:hAnsi="Times New Roman"/>
          <w:sz w:val="20"/>
        </w:rPr>
        <w:t>“</w:t>
      </w:r>
      <w:r w:rsidRPr="00654568">
        <w:rPr>
          <w:rFonts w:ascii="Times New Roman" w:hAnsi="Times New Roman"/>
          <w:sz w:val="20"/>
        </w:rPr>
        <w:t>Faillissement en lopende overeenkomsten</w:t>
      </w:r>
      <w:r w:rsidR="004D0EBA" w:rsidRPr="00654568">
        <w:rPr>
          <w:rFonts w:ascii="Times New Roman" w:hAnsi="Times New Roman"/>
          <w:sz w:val="20"/>
        </w:rPr>
        <w:t>”</w:t>
      </w:r>
      <w:r w:rsidRPr="00654568">
        <w:rPr>
          <w:rFonts w:ascii="Times New Roman" w:hAnsi="Times New Roman"/>
          <w:sz w:val="20"/>
        </w:rPr>
        <w:t xml:space="preserve"> in X., </w:t>
      </w:r>
      <w:r w:rsidRPr="00654568">
        <w:rPr>
          <w:rFonts w:ascii="Times New Roman" w:hAnsi="Times New Roman"/>
          <w:i/>
          <w:iCs/>
          <w:sz w:val="20"/>
        </w:rPr>
        <w:t>Faillissement &amp; Reorganisatie</w:t>
      </w:r>
      <w:r w:rsidRPr="00654568">
        <w:rPr>
          <w:rFonts w:ascii="Times New Roman" w:hAnsi="Times New Roman"/>
          <w:sz w:val="20"/>
        </w:rPr>
        <w:t xml:space="preserve">, II.E.32-5 and E. DIRIX, </w:t>
      </w:r>
      <w:r w:rsidR="004D0EBA" w:rsidRPr="00654568">
        <w:rPr>
          <w:rFonts w:ascii="Times New Roman" w:hAnsi="Times New Roman"/>
          <w:sz w:val="20"/>
        </w:rPr>
        <w:t>“</w:t>
      </w:r>
      <w:r w:rsidRPr="00654568">
        <w:rPr>
          <w:rFonts w:ascii="Times New Roman" w:hAnsi="Times New Roman"/>
          <w:sz w:val="20"/>
        </w:rPr>
        <w:t>Faillissement en lopende overeenkomsten</w:t>
      </w:r>
      <w:r w:rsidR="004D0EBA" w:rsidRPr="00654568">
        <w:rPr>
          <w:rFonts w:ascii="Times New Roman" w:hAnsi="Times New Roman"/>
          <w:sz w:val="20"/>
        </w:rPr>
        <w:t>”</w:t>
      </w:r>
      <w:r w:rsidRPr="00654568">
        <w:rPr>
          <w:rFonts w:ascii="Times New Roman" w:hAnsi="Times New Roman"/>
          <w:sz w:val="20"/>
        </w:rPr>
        <w:t xml:space="preserve">, </w:t>
      </w:r>
      <w:r w:rsidRPr="00654568">
        <w:rPr>
          <w:rFonts w:ascii="Times New Roman" w:hAnsi="Times New Roman"/>
          <w:i/>
          <w:iCs/>
          <w:sz w:val="20"/>
        </w:rPr>
        <w:t xml:space="preserve">R.W. </w:t>
      </w:r>
      <w:r w:rsidRPr="00654568">
        <w:rPr>
          <w:rFonts w:ascii="Times New Roman" w:hAnsi="Times New Roman"/>
          <w:sz w:val="20"/>
        </w:rPr>
        <w:t xml:space="preserve">2003-04, 202). The licensee could also terminate the </w:t>
      </w:r>
      <w:r w:rsidR="00061FBC">
        <w:rPr>
          <w:rFonts w:ascii="Times New Roman" w:hAnsi="Times New Roman"/>
          <w:sz w:val="20"/>
        </w:rPr>
        <w:t>licence</w:t>
      </w:r>
      <w:r w:rsidRPr="00654568">
        <w:rPr>
          <w:rFonts w:ascii="Times New Roman" w:hAnsi="Times New Roman"/>
          <w:sz w:val="20"/>
        </w:rPr>
        <w:t xml:space="preserve"> and all related contracts based on their </w:t>
      </w:r>
      <w:r w:rsidRPr="00654568">
        <w:rPr>
          <w:rFonts w:ascii="Times New Roman" w:hAnsi="Times New Roman"/>
          <w:i/>
          <w:iCs/>
          <w:sz w:val="20"/>
        </w:rPr>
        <w:t>intuitu personae</w:t>
      </w:r>
      <w:r w:rsidRPr="00654568">
        <w:rPr>
          <w:rFonts w:ascii="Times New Roman" w:hAnsi="Times New Roman"/>
          <w:sz w:val="20"/>
        </w:rPr>
        <w:t xml:space="preserve"> nature following the licensor</w:t>
      </w:r>
      <w:r w:rsidR="004D0EBA" w:rsidRPr="00654568">
        <w:rPr>
          <w:rFonts w:ascii="Times New Roman" w:hAnsi="Times New Roman"/>
          <w:sz w:val="20"/>
        </w:rPr>
        <w:t>’</w:t>
      </w:r>
      <w:r w:rsidRPr="00654568">
        <w:rPr>
          <w:rFonts w:ascii="Times New Roman" w:hAnsi="Times New Roman"/>
          <w:sz w:val="20"/>
        </w:rPr>
        <w:t xml:space="preserve">s bankruptcy (see Belgian Supreme Court, 24 June 2004, </w:t>
      </w:r>
      <w:r w:rsidRPr="00654568">
        <w:rPr>
          <w:rFonts w:ascii="Times New Roman" w:hAnsi="Times New Roman"/>
          <w:i/>
          <w:iCs/>
          <w:sz w:val="20"/>
        </w:rPr>
        <w:t>Arr.Cass.</w:t>
      </w:r>
      <w:r w:rsidRPr="00654568">
        <w:rPr>
          <w:rFonts w:ascii="Times New Roman" w:hAnsi="Times New Roman"/>
          <w:sz w:val="20"/>
        </w:rPr>
        <w:t xml:space="preserve"> 2004, 6 (8), 1201; however, the </w:t>
      </w:r>
      <w:r w:rsidR="00061FBC">
        <w:rPr>
          <w:rFonts w:ascii="Times New Roman" w:hAnsi="Times New Roman"/>
          <w:sz w:val="20"/>
        </w:rPr>
        <w:t>licence</w:t>
      </w:r>
      <w:r w:rsidRPr="00654568">
        <w:rPr>
          <w:rFonts w:ascii="Times New Roman" w:hAnsi="Times New Roman"/>
          <w:sz w:val="20"/>
        </w:rPr>
        <w:t xml:space="preserve"> does not automatically terminate, see President of Brussels Enterprise Court, 5 December 2016, </w:t>
      </w:r>
      <w:r w:rsidRPr="00654568">
        <w:rPr>
          <w:rFonts w:ascii="Times New Roman" w:hAnsi="Times New Roman"/>
          <w:i/>
          <w:iCs/>
          <w:sz w:val="20"/>
        </w:rPr>
        <w:t>ICIP</w:t>
      </w:r>
      <w:r w:rsidRPr="00654568">
        <w:rPr>
          <w:rFonts w:ascii="Times New Roman" w:hAnsi="Times New Roman"/>
          <w:sz w:val="20"/>
        </w:rPr>
        <w:t xml:space="preserve"> 2016, 4, 842)</w:t>
      </w:r>
      <w:r w:rsidR="00485D95" w:rsidRPr="00654568">
        <w:rPr>
          <w:rFonts w:ascii="Times New Roman" w:hAnsi="Times New Roman"/>
          <w:sz w:val="20"/>
        </w:rPr>
        <w:t>.</w:t>
      </w:r>
    </w:p>
  </w:footnote>
  <w:footnote w:id="25">
    <w:p w14:paraId="7D8BC5C5" w14:textId="77777777"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Belgian Supreme Court, 2 September 2020, </w:t>
      </w:r>
      <w:r w:rsidRPr="00654568">
        <w:rPr>
          <w:rFonts w:ascii="Times New Roman" w:hAnsi="Times New Roman"/>
          <w:i/>
          <w:iCs/>
          <w:color w:val="000000"/>
          <w:shd w:val="clear" w:color="auto" w:fill="FFFFFF"/>
        </w:rPr>
        <w:t>RW</w:t>
      </w:r>
      <w:r w:rsidRPr="00654568">
        <w:rPr>
          <w:rFonts w:ascii="Times New Roman" w:hAnsi="Times New Roman"/>
          <w:color w:val="000000"/>
          <w:shd w:val="clear" w:color="auto" w:fill="FFFFFF"/>
        </w:rPr>
        <w:t xml:space="preserve"> 2021-22, ed. 5, 203.</w:t>
      </w:r>
    </w:p>
  </w:footnote>
  <w:footnote w:id="26">
    <w:p w14:paraId="762F05D5" w14:textId="68ED6288" w:rsidR="000E6FB9" w:rsidRPr="00654568" w:rsidRDefault="000E6FB9" w:rsidP="004D0EBA">
      <w:pPr>
        <w:pStyle w:val="FootnoteText"/>
        <w:rPr>
          <w:rFonts w:ascii="Times New Roman" w:hAnsi="Times New Roman"/>
          <w:lang w:val="nl-NL"/>
        </w:rPr>
      </w:pPr>
      <w:r w:rsidRPr="00654568">
        <w:rPr>
          <w:rStyle w:val="FootnoteReference"/>
          <w:rFonts w:ascii="Times New Roman" w:hAnsi="Times New Roman"/>
        </w:rPr>
        <w:footnoteRef/>
      </w:r>
      <w:r w:rsidRPr="00654568">
        <w:rPr>
          <w:rFonts w:ascii="Times New Roman" w:hAnsi="Times New Roman"/>
          <w:lang w:val="nl-NL"/>
        </w:rPr>
        <w:t xml:space="preserve"> </w:t>
      </w:r>
      <w:r w:rsidR="004D0EBA" w:rsidRPr="00654568">
        <w:rPr>
          <w:rFonts w:ascii="Times New Roman" w:hAnsi="Times New Roman"/>
          <w:lang w:val="nl-NL"/>
        </w:rPr>
        <w:t>Article</w:t>
      </w:r>
      <w:r w:rsidRPr="00654568">
        <w:rPr>
          <w:rFonts w:ascii="Times New Roman" w:hAnsi="Times New Roman"/>
          <w:lang w:val="nl-NL"/>
        </w:rPr>
        <w:t xml:space="preserve"> XX.139</w:t>
      </w:r>
      <w:r w:rsidR="00485D95" w:rsidRPr="00654568">
        <w:rPr>
          <w:rFonts w:ascii="Times New Roman" w:hAnsi="Times New Roman"/>
          <w:lang w:val="nl-NL"/>
        </w:rPr>
        <w:t>,</w:t>
      </w:r>
      <w:r w:rsidRPr="00654568">
        <w:rPr>
          <w:rFonts w:ascii="Times New Roman" w:hAnsi="Times New Roman"/>
          <w:lang w:val="nl-NL"/>
        </w:rPr>
        <w:t xml:space="preserve"> CEL</w:t>
      </w:r>
      <w:r w:rsidR="00485D95" w:rsidRPr="00654568">
        <w:rPr>
          <w:rFonts w:ascii="Times New Roman" w:hAnsi="Times New Roman"/>
          <w:lang w:val="nl-NL"/>
        </w:rPr>
        <w:t>.</w:t>
      </w:r>
    </w:p>
  </w:footnote>
  <w:footnote w:id="27">
    <w:p w14:paraId="04FFB28B" w14:textId="27C8F680" w:rsidR="000E6FB9" w:rsidRPr="00654568" w:rsidRDefault="000E6FB9" w:rsidP="004D0EBA">
      <w:pPr>
        <w:autoSpaceDE w:val="0"/>
        <w:autoSpaceDN w:val="0"/>
        <w:adjustRightInd w:val="0"/>
        <w:spacing w:after="0"/>
        <w:rPr>
          <w:rFonts w:ascii="Times New Roman" w:hAnsi="Times New Roman"/>
          <w:sz w:val="20"/>
          <w:lang w:val="nl-NL"/>
        </w:rPr>
      </w:pPr>
      <w:r w:rsidRPr="00654568">
        <w:rPr>
          <w:rStyle w:val="FootnoteReference"/>
          <w:rFonts w:ascii="Times New Roman" w:hAnsi="Times New Roman"/>
          <w:sz w:val="20"/>
        </w:rPr>
        <w:footnoteRef/>
      </w:r>
      <w:r w:rsidRPr="00654568">
        <w:rPr>
          <w:rFonts w:ascii="Times New Roman" w:hAnsi="Times New Roman"/>
          <w:sz w:val="20"/>
          <w:lang w:val="nl-NL"/>
        </w:rPr>
        <w:t xml:space="preserve"> M. TRUYENS and S. AERTS, </w:t>
      </w:r>
      <w:r w:rsidR="004D0EBA" w:rsidRPr="00654568">
        <w:rPr>
          <w:rFonts w:ascii="Times New Roman" w:hAnsi="Times New Roman"/>
          <w:sz w:val="20"/>
          <w:lang w:val="nl-NL"/>
        </w:rPr>
        <w:t>“</w:t>
      </w:r>
      <w:r w:rsidRPr="00654568">
        <w:rPr>
          <w:rFonts w:ascii="Times New Roman" w:hAnsi="Times New Roman"/>
          <w:sz w:val="20"/>
          <w:lang w:val="nl-NL"/>
        </w:rPr>
        <w:t>Informaticacontracten in het faillissementsrecht</w:t>
      </w:r>
      <w:r w:rsidR="004D0EBA" w:rsidRPr="00654568">
        <w:rPr>
          <w:rFonts w:ascii="Times New Roman" w:hAnsi="Times New Roman"/>
          <w:sz w:val="20"/>
          <w:lang w:val="nl-NL"/>
        </w:rPr>
        <w:t>”</w:t>
      </w:r>
      <w:r w:rsidRPr="00654568">
        <w:rPr>
          <w:rFonts w:ascii="Times New Roman" w:hAnsi="Times New Roman"/>
          <w:sz w:val="20"/>
          <w:lang w:val="nl-NL"/>
        </w:rPr>
        <w:t xml:space="preserve">, </w:t>
      </w:r>
      <w:r w:rsidRPr="00654568">
        <w:rPr>
          <w:rFonts w:ascii="Times New Roman" w:hAnsi="Times New Roman"/>
          <w:i/>
          <w:iCs/>
          <w:sz w:val="20"/>
          <w:lang w:val="nl-NL"/>
        </w:rPr>
        <w:t xml:space="preserve">Computerrecht </w:t>
      </w:r>
      <w:r w:rsidRPr="00654568">
        <w:rPr>
          <w:rFonts w:ascii="Times New Roman" w:hAnsi="Times New Roman"/>
          <w:sz w:val="20"/>
          <w:lang w:val="nl-NL"/>
        </w:rPr>
        <w:t xml:space="preserve">2017, ed. 1, 6; P. COUSSEMENET, </w:t>
      </w:r>
      <w:r w:rsidR="004D0EBA" w:rsidRPr="00654568">
        <w:rPr>
          <w:rFonts w:ascii="Times New Roman" w:hAnsi="Times New Roman"/>
          <w:sz w:val="20"/>
          <w:lang w:val="nl-NL"/>
        </w:rPr>
        <w:t>“</w:t>
      </w:r>
      <w:r w:rsidRPr="00654568">
        <w:rPr>
          <w:rFonts w:ascii="Times New Roman" w:hAnsi="Times New Roman"/>
          <w:sz w:val="20"/>
          <w:lang w:val="nl-NL"/>
        </w:rPr>
        <w:t>Beëindiging tegenwerpelijke huurovereenkomst door curator</w:t>
      </w:r>
      <w:r w:rsidR="004D0EBA" w:rsidRPr="00654568">
        <w:rPr>
          <w:rFonts w:ascii="Times New Roman" w:hAnsi="Times New Roman"/>
          <w:sz w:val="20"/>
          <w:lang w:val="nl-NL"/>
        </w:rPr>
        <w:t>”</w:t>
      </w:r>
      <w:r w:rsidRPr="00654568">
        <w:rPr>
          <w:rFonts w:ascii="Times New Roman" w:hAnsi="Times New Roman"/>
          <w:sz w:val="20"/>
          <w:lang w:val="nl-NL"/>
        </w:rPr>
        <w:t xml:space="preserve">, </w:t>
      </w:r>
      <w:r w:rsidRPr="00654568">
        <w:rPr>
          <w:rFonts w:ascii="Times New Roman" w:hAnsi="Times New Roman"/>
          <w:i/>
          <w:iCs/>
          <w:sz w:val="20"/>
          <w:lang w:val="nl-NL"/>
        </w:rPr>
        <w:t xml:space="preserve">NJW </w:t>
      </w:r>
      <w:r w:rsidRPr="00654568">
        <w:rPr>
          <w:rFonts w:ascii="Times New Roman" w:hAnsi="Times New Roman"/>
          <w:sz w:val="20"/>
          <w:lang w:val="nl-NL"/>
        </w:rPr>
        <w:t>2008, ed. 184, 496</w:t>
      </w:r>
      <w:r w:rsidR="00485D95" w:rsidRPr="00654568">
        <w:rPr>
          <w:rFonts w:ascii="Times New Roman" w:hAnsi="Times New Roman"/>
          <w:sz w:val="20"/>
          <w:lang w:val="nl-NL"/>
        </w:rPr>
        <w:t>.</w:t>
      </w:r>
    </w:p>
  </w:footnote>
  <w:footnote w:id="28">
    <w:p w14:paraId="60714334" w14:textId="4AE2C397" w:rsidR="000E6FB9" w:rsidRPr="00654568" w:rsidRDefault="000E6FB9" w:rsidP="004D0EBA">
      <w:pPr>
        <w:autoSpaceDE w:val="0"/>
        <w:autoSpaceDN w:val="0"/>
        <w:adjustRightInd w:val="0"/>
        <w:spacing w:after="0"/>
        <w:rPr>
          <w:rFonts w:ascii="Times New Roman" w:hAnsi="Times New Roman"/>
          <w:sz w:val="20"/>
        </w:rPr>
      </w:pPr>
      <w:r w:rsidRPr="00654568">
        <w:rPr>
          <w:rStyle w:val="FootnoteReference"/>
          <w:rFonts w:ascii="Times New Roman" w:hAnsi="Times New Roman"/>
          <w:sz w:val="20"/>
        </w:rPr>
        <w:footnoteRef/>
      </w:r>
      <w:r w:rsidRPr="00654568">
        <w:rPr>
          <w:rFonts w:ascii="Times New Roman" w:hAnsi="Times New Roman"/>
          <w:sz w:val="20"/>
          <w:lang w:val="nl-NL"/>
        </w:rPr>
        <w:t xml:space="preserve"> M. LAUWERS, </w:t>
      </w:r>
      <w:r w:rsidR="004D0EBA" w:rsidRPr="00654568">
        <w:rPr>
          <w:rFonts w:ascii="Times New Roman" w:hAnsi="Times New Roman"/>
          <w:sz w:val="20"/>
          <w:lang w:val="nl-NL"/>
        </w:rPr>
        <w:t>“</w:t>
      </w:r>
      <w:r w:rsidRPr="00654568">
        <w:rPr>
          <w:rFonts w:ascii="Times New Roman" w:hAnsi="Times New Roman"/>
          <w:sz w:val="20"/>
          <w:lang w:val="nl-NL"/>
        </w:rPr>
        <w:t>Intellectuele rechten en faillissement. De gevolgen van een faillissement van de producent voor de intellectuele rechten met betrekking tot software en software gerelateerde producten</w:t>
      </w:r>
      <w:r w:rsidR="004D0EBA" w:rsidRPr="00654568">
        <w:rPr>
          <w:rFonts w:ascii="Times New Roman" w:hAnsi="Times New Roman"/>
          <w:sz w:val="20"/>
          <w:lang w:val="nl-NL"/>
        </w:rPr>
        <w:t>”</w:t>
      </w:r>
      <w:r w:rsidRPr="00654568">
        <w:rPr>
          <w:rFonts w:ascii="Times New Roman" w:hAnsi="Times New Roman"/>
          <w:sz w:val="20"/>
          <w:lang w:val="nl-NL"/>
        </w:rPr>
        <w:t xml:space="preserve"> in </w:t>
      </w:r>
      <w:r w:rsidRPr="00654568">
        <w:rPr>
          <w:rFonts w:ascii="Times New Roman" w:hAnsi="Times New Roman"/>
          <w:i/>
          <w:iCs/>
          <w:sz w:val="20"/>
          <w:lang w:val="nl-NL"/>
        </w:rPr>
        <w:t>Faillissement &amp; Reorganisatie</w:t>
      </w:r>
      <w:r w:rsidRPr="00654568">
        <w:rPr>
          <w:rFonts w:ascii="Times New Roman" w:hAnsi="Times New Roman"/>
          <w:sz w:val="20"/>
          <w:lang w:val="nl-NL"/>
        </w:rPr>
        <w:t xml:space="preserve">, Mechelen, Kluwer, 48; E. DIRIX, </w:t>
      </w:r>
      <w:r w:rsidR="004D0EBA" w:rsidRPr="00654568">
        <w:rPr>
          <w:rFonts w:ascii="Times New Roman" w:hAnsi="Times New Roman"/>
          <w:sz w:val="20"/>
          <w:lang w:val="nl-NL"/>
        </w:rPr>
        <w:t>“</w:t>
      </w:r>
      <w:r w:rsidRPr="00654568">
        <w:rPr>
          <w:rFonts w:ascii="Times New Roman" w:hAnsi="Times New Roman"/>
          <w:sz w:val="20"/>
          <w:lang w:val="nl-NL"/>
        </w:rPr>
        <w:t>Lopende overeenkomsten bij faillissement en gerechtelijke reorganisatie</w:t>
      </w:r>
      <w:r w:rsidR="004D0EBA" w:rsidRPr="00654568">
        <w:rPr>
          <w:rFonts w:ascii="Times New Roman" w:hAnsi="Times New Roman"/>
          <w:sz w:val="20"/>
          <w:lang w:val="nl-NL"/>
        </w:rPr>
        <w:t>”</w:t>
      </w:r>
      <w:r w:rsidRPr="00654568">
        <w:rPr>
          <w:rFonts w:ascii="Times New Roman" w:hAnsi="Times New Roman"/>
          <w:sz w:val="20"/>
          <w:lang w:val="nl-NL"/>
        </w:rPr>
        <w:t xml:space="preserve">, in X., </w:t>
      </w:r>
      <w:r w:rsidRPr="00654568">
        <w:rPr>
          <w:rFonts w:ascii="Times New Roman" w:hAnsi="Times New Roman"/>
          <w:i/>
          <w:iCs/>
          <w:sz w:val="20"/>
          <w:lang w:val="nl-NL"/>
        </w:rPr>
        <w:t>Curatoren en vereffenaars: actuele ontwikkelingen II</w:t>
      </w:r>
      <w:r w:rsidRPr="00654568">
        <w:rPr>
          <w:rFonts w:ascii="Times New Roman" w:hAnsi="Times New Roman"/>
          <w:sz w:val="20"/>
          <w:lang w:val="nl-NL"/>
        </w:rPr>
        <w:t xml:space="preserve">, Intersentia, Antwerpen, 2010, 162. </w:t>
      </w:r>
      <w:r w:rsidRPr="00654568">
        <w:rPr>
          <w:rFonts w:ascii="Times New Roman" w:hAnsi="Times New Roman"/>
          <w:i/>
          <w:iCs/>
          <w:sz w:val="20"/>
        </w:rPr>
        <w:t>Contra</w:t>
      </w:r>
      <w:r w:rsidRPr="00654568">
        <w:rPr>
          <w:rFonts w:ascii="Times New Roman" w:hAnsi="Times New Roman"/>
          <w:sz w:val="20"/>
        </w:rPr>
        <w:t xml:space="preserve">: JANSEN and STORME argue that </w:t>
      </w:r>
      <w:r w:rsidRPr="00654568">
        <w:rPr>
          <w:rFonts w:ascii="Times New Roman" w:hAnsi="Times New Roman"/>
          <w:color w:val="000000"/>
          <w:sz w:val="20"/>
          <w:shd w:val="clear" w:color="auto" w:fill="FFFFFF"/>
        </w:rPr>
        <w:t xml:space="preserve">the receiver may ignore any personal right of the creditor (on the condition of meeting the </w:t>
      </w:r>
      <w:r w:rsidR="004D0EBA" w:rsidRPr="00654568">
        <w:rPr>
          <w:rFonts w:ascii="Times New Roman" w:hAnsi="Times New Roman"/>
          <w:color w:val="000000"/>
          <w:sz w:val="20"/>
          <w:shd w:val="clear" w:color="auto" w:fill="FFFFFF"/>
        </w:rPr>
        <w:t>‘</w:t>
      </w:r>
      <w:r w:rsidRPr="00654568">
        <w:rPr>
          <w:rFonts w:ascii="Times New Roman" w:hAnsi="Times New Roman"/>
          <w:color w:val="000000"/>
          <w:sz w:val="20"/>
          <w:shd w:val="clear" w:color="auto" w:fill="FFFFFF"/>
        </w:rPr>
        <w:t>necessity</w:t>
      </w:r>
      <w:r w:rsidR="004D0EBA" w:rsidRPr="00654568">
        <w:rPr>
          <w:rFonts w:ascii="Times New Roman" w:hAnsi="Times New Roman"/>
          <w:color w:val="000000"/>
          <w:sz w:val="20"/>
          <w:shd w:val="clear" w:color="auto" w:fill="FFFFFF"/>
        </w:rPr>
        <w:t>’</w:t>
      </w:r>
      <w:r w:rsidRPr="00654568">
        <w:rPr>
          <w:rFonts w:ascii="Times New Roman" w:hAnsi="Times New Roman"/>
          <w:color w:val="000000"/>
          <w:sz w:val="20"/>
          <w:shd w:val="clear" w:color="auto" w:fill="FFFFFF"/>
        </w:rPr>
        <w:t xml:space="preserve"> requirement), including vested personal rights and even passive obligations (R. </w:t>
      </w:r>
      <w:r w:rsidRPr="00654568">
        <w:rPr>
          <w:rFonts w:ascii="Times New Roman" w:hAnsi="Times New Roman"/>
          <w:sz w:val="20"/>
        </w:rPr>
        <w:t xml:space="preserve">JANSEN and M.E. STORME </w:t>
      </w:r>
      <w:r w:rsidR="004D0EBA" w:rsidRPr="00654568">
        <w:rPr>
          <w:rFonts w:ascii="Times New Roman" w:hAnsi="Times New Roman"/>
          <w:sz w:val="20"/>
        </w:rPr>
        <w:t>“</w:t>
      </w:r>
      <w:r w:rsidRPr="00654568">
        <w:rPr>
          <w:rFonts w:ascii="Times New Roman" w:hAnsi="Times New Roman"/>
          <w:sz w:val="20"/>
        </w:rPr>
        <w:t>Tegenwerpelijke verbintenissen bij samenloop? Wat niet bezwaart, moet niet worden gelicht!</w:t>
      </w:r>
      <w:r w:rsidR="004D0EBA" w:rsidRPr="00654568">
        <w:rPr>
          <w:rFonts w:ascii="Times New Roman" w:hAnsi="Times New Roman"/>
          <w:sz w:val="20"/>
        </w:rPr>
        <w:t>”</w:t>
      </w:r>
      <w:r w:rsidRPr="00654568">
        <w:rPr>
          <w:rFonts w:ascii="Times New Roman" w:hAnsi="Times New Roman"/>
          <w:color w:val="000000"/>
          <w:sz w:val="20"/>
          <w:shd w:val="clear" w:color="auto" w:fill="FFFFFF"/>
        </w:rPr>
        <w:t xml:space="preserve"> </w:t>
      </w:r>
      <w:r w:rsidRPr="00654568">
        <w:rPr>
          <w:rFonts w:ascii="Times New Roman" w:hAnsi="Times New Roman"/>
          <w:i/>
          <w:iCs/>
          <w:color w:val="000000"/>
          <w:sz w:val="20"/>
          <w:shd w:val="clear" w:color="auto" w:fill="FFFFFF"/>
        </w:rPr>
        <w:t>RW</w:t>
      </w:r>
      <w:r w:rsidRPr="00654568">
        <w:rPr>
          <w:rFonts w:ascii="Times New Roman" w:hAnsi="Times New Roman"/>
          <w:color w:val="000000"/>
          <w:sz w:val="20"/>
          <w:shd w:val="clear" w:color="auto" w:fill="FFFFFF"/>
        </w:rPr>
        <w:t xml:space="preserve"> 2009-10, ed. 35, 1483). Lastly, VAN BUGGENHOUT and DE VOS take an intermediate position, limiting the possibility of terminating a </w:t>
      </w:r>
      <w:r w:rsidR="00061FBC">
        <w:rPr>
          <w:rFonts w:ascii="Times New Roman" w:hAnsi="Times New Roman"/>
          <w:color w:val="000000"/>
          <w:sz w:val="20"/>
          <w:shd w:val="clear" w:color="auto" w:fill="FFFFFF"/>
        </w:rPr>
        <w:t>licence</w:t>
      </w:r>
      <w:r w:rsidRPr="00654568">
        <w:rPr>
          <w:rFonts w:ascii="Times New Roman" w:hAnsi="Times New Roman"/>
          <w:color w:val="000000"/>
          <w:sz w:val="20"/>
          <w:shd w:val="clear" w:color="auto" w:fill="FFFFFF"/>
        </w:rPr>
        <w:t xml:space="preserve"> to specific circumstances, such as when an exclusive </w:t>
      </w:r>
      <w:r w:rsidR="00061FBC">
        <w:rPr>
          <w:rFonts w:ascii="Times New Roman" w:hAnsi="Times New Roman"/>
          <w:color w:val="000000"/>
          <w:sz w:val="20"/>
          <w:shd w:val="clear" w:color="auto" w:fill="FFFFFF"/>
        </w:rPr>
        <w:t>licence</w:t>
      </w:r>
      <w:r w:rsidRPr="00654568">
        <w:rPr>
          <w:rFonts w:ascii="Times New Roman" w:hAnsi="Times New Roman"/>
          <w:color w:val="000000"/>
          <w:sz w:val="20"/>
          <w:shd w:val="clear" w:color="auto" w:fill="FFFFFF"/>
        </w:rPr>
        <w:t xml:space="preserve"> prevents the saleability of the underlying intellectual property rights (</w:t>
      </w:r>
      <w:r w:rsidRPr="00654568">
        <w:rPr>
          <w:rFonts w:ascii="Times New Roman" w:hAnsi="Times New Roman"/>
          <w:sz w:val="20"/>
        </w:rPr>
        <w:t xml:space="preserve">C. VAN BUGGENHOUT and J. DE VOS, </w:t>
      </w:r>
      <w:r w:rsidR="004D0EBA" w:rsidRPr="00654568">
        <w:rPr>
          <w:rFonts w:ascii="Times New Roman" w:hAnsi="Times New Roman"/>
          <w:sz w:val="20"/>
        </w:rPr>
        <w:t>“</w:t>
      </w:r>
      <w:r w:rsidRPr="00654568">
        <w:rPr>
          <w:rFonts w:ascii="Times New Roman" w:hAnsi="Times New Roman"/>
          <w:sz w:val="20"/>
        </w:rPr>
        <w:t>De voortzetting van de overeenkomsten door de curator: het Cassatiearrest van 24 juni 2004</w:t>
      </w:r>
      <w:r w:rsidR="004D0EBA" w:rsidRPr="00654568">
        <w:rPr>
          <w:rFonts w:ascii="Times New Roman" w:hAnsi="Times New Roman"/>
          <w:sz w:val="20"/>
        </w:rPr>
        <w:t>”</w:t>
      </w:r>
      <w:r w:rsidRPr="00654568">
        <w:rPr>
          <w:rFonts w:ascii="Times New Roman" w:hAnsi="Times New Roman"/>
          <w:sz w:val="20"/>
        </w:rPr>
        <w:t xml:space="preserve">, in X., </w:t>
      </w:r>
      <w:r w:rsidRPr="00654568">
        <w:rPr>
          <w:rFonts w:ascii="Times New Roman" w:hAnsi="Times New Roman"/>
          <w:i/>
          <w:iCs/>
          <w:sz w:val="20"/>
        </w:rPr>
        <w:t>Curatoren en vereffenaars: actuele ontwikkelingen</w:t>
      </w:r>
      <w:r w:rsidRPr="00654568">
        <w:rPr>
          <w:rFonts w:ascii="Times New Roman" w:hAnsi="Times New Roman"/>
          <w:sz w:val="20"/>
        </w:rPr>
        <w:t>, Intersentia, Antwerpen, 2006, 631-632).</w:t>
      </w:r>
    </w:p>
  </w:footnote>
  <w:footnote w:id="29">
    <w:p w14:paraId="742C1162" w14:textId="554471AC"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See </w:t>
      </w:r>
      <w:r w:rsidR="00485D95" w:rsidRPr="00654568">
        <w:rPr>
          <w:rFonts w:ascii="Times New Roman" w:hAnsi="Times New Roman"/>
        </w:rPr>
        <w:t xml:space="preserve">above </w:t>
      </w:r>
      <w:r w:rsidRPr="00654568">
        <w:rPr>
          <w:rFonts w:ascii="Times New Roman" w:hAnsi="Times New Roman"/>
        </w:rPr>
        <w:t>footnote 2</w:t>
      </w:r>
      <w:r w:rsidR="00740520" w:rsidRPr="00654568">
        <w:rPr>
          <w:rFonts w:ascii="Times New Roman" w:hAnsi="Times New Roman"/>
        </w:rPr>
        <w:t>3</w:t>
      </w:r>
      <w:r w:rsidRPr="00654568">
        <w:rPr>
          <w:rFonts w:ascii="Times New Roman" w:hAnsi="Times New Roman"/>
        </w:rPr>
        <w:t>.</w:t>
      </w:r>
    </w:p>
  </w:footnote>
  <w:footnote w:id="30">
    <w:p w14:paraId="59A3C13B" w14:textId="5E1CB02D"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M. TRUYENS and S. AERTS, </w:t>
      </w:r>
      <w:r w:rsidR="004D0EBA" w:rsidRPr="00654568">
        <w:rPr>
          <w:rFonts w:ascii="Times New Roman" w:hAnsi="Times New Roman"/>
        </w:rPr>
        <w:t>“</w:t>
      </w:r>
      <w:r w:rsidRPr="00654568">
        <w:rPr>
          <w:rFonts w:ascii="Times New Roman" w:hAnsi="Times New Roman"/>
        </w:rPr>
        <w:t>Informaticacontracten in het faillissementsrecht</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Computerrecht </w:t>
      </w:r>
      <w:r w:rsidRPr="00654568">
        <w:rPr>
          <w:rFonts w:ascii="Times New Roman" w:hAnsi="Times New Roman"/>
        </w:rPr>
        <w:t xml:space="preserve">2017, ed. 1, 14; M. KEUP, </w:t>
      </w:r>
      <w:r w:rsidR="004D0EBA" w:rsidRPr="00654568">
        <w:rPr>
          <w:rFonts w:ascii="Times New Roman" w:hAnsi="Times New Roman"/>
        </w:rPr>
        <w:t>“</w:t>
      </w:r>
      <w:r w:rsidRPr="00654568">
        <w:rPr>
          <w:rFonts w:ascii="Times New Roman" w:hAnsi="Times New Roman"/>
        </w:rPr>
        <w:t>L</w:t>
      </w:r>
      <w:r w:rsidR="004D0EBA" w:rsidRPr="00654568">
        <w:rPr>
          <w:rFonts w:ascii="Times New Roman" w:hAnsi="Times New Roman"/>
        </w:rPr>
        <w:t>’</w:t>
      </w:r>
      <w:r w:rsidRPr="00654568">
        <w:rPr>
          <w:rFonts w:ascii="Times New Roman" w:hAnsi="Times New Roman"/>
        </w:rPr>
        <w:t xml:space="preserve">impact des procédures collectives sur les contrats de </w:t>
      </w:r>
      <w:r w:rsidR="00740520" w:rsidRPr="00654568">
        <w:rPr>
          <w:rFonts w:ascii="Times New Roman" w:hAnsi="Times New Roman"/>
        </w:rPr>
        <w:t>license</w:t>
      </w:r>
      <w:r w:rsidRPr="00654568">
        <w:rPr>
          <w:rFonts w:ascii="Times New Roman" w:hAnsi="Times New Roman"/>
        </w:rPr>
        <w:t>: l</w:t>
      </w:r>
      <w:r w:rsidR="004D0EBA" w:rsidRPr="00654568">
        <w:rPr>
          <w:rFonts w:ascii="Times New Roman" w:hAnsi="Times New Roman"/>
        </w:rPr>
        <w:t>’</w:t>
      </w:r>
      <w:r w:rsidRPr="00654568">
        <w:rPr>
          <w:rFonts w:ascii="Times New Roman" w:hAnsi="Times New Roman"/>
        </w:rPr>
        <w:t xml:space="preserve">exemple du contrat de </w:t>
      </w:r>
      <w:r w:rsidR="00740520" w:rsidRPr="00654568">
        <w:rPr>
          <w:rFonts w:ascii="Times New Roman" w:hAnsi="Times New Roman"/>
        </w:rPr>
        <w:t>license</w:t>
      </w:r>
      <w:r w:rsidRPr="00654568">
        <w:rPr>
          <w:rFonts w:ascii="Times New Roman" w:hAnsi="Times New Roman"/>
        </w:rPr>
        <w:t xml:space="preserve"> sur les logiciels</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IRDI </w:t>
      </w:r>
      <w:r w:rsidRPr="00654568">
        <w:rPr>
          <w:rFonts w:ascii="Times New Roman" w:hAnsi="Times New Roman"/>
        </w:rPr>
        <w:t>2016, ed. 4, 308; J.-C. TROUSSEL</w:t>
      </w:r>
      <w:r w:rsidRPr="00654568">
        <w:rPr>
          <w:rFonts w:ascii="Times New Roman" w:hAnsi="Times New Roman"/>
          <w:i/>
          <w:iCs/>
        </w:rPr>
        <w:t>.</w:t>
      </w:r>
      <w:r w:rsidRPr="00654568">
        <w:rPr>
          <w:rFonts w:ascii="Times New Roman" w:hAnsi="Times New Roman"/>
        </w:rPr>
        <w:t xml:space="preserve">, </w:t>
      </w:r>
      <w:r w:rsidR="004D0EBA" w:rsidRPr="00654568">
        <w:rPr>
          <w:rFonts w:ascii="Times New Roman" w:hAnsi="Times New Roman"/>
        </w:rPr>
        <w:t>“</w:t>
      </w:r>
      <w:r w:rsidRPr="00654568">
        <w:rPr>
          <w:rFonts w:ascii="Times New Roman" w:hAnsi="Times New Roman"/>
        </w:rPr>
        <w:t>Licentieovereenkomsten en intellectuele eigendomsrechten in het licht van collectieve insolventieprocedures</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TBH </w:t>
      </w:r>
      <w:r w:rsidRPr="00654568">
        <w:rPr>
          <w:rFonts w:ascii="Times New Roman" w:hAnsi="Times New Roman"/>
        </w:rPr>
        <w:t>2015, ed. 9, 882, no. 40.</w:t>
      </w:r>
    </w:p>
  </w:footnote>
  <w:footnote w:id="31">
    <w:p w14:paraId="7A38CC2C" w14:textId="77777777"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Specialised escrow agencies are NCC (</w:t>
      </w:r>
      <w:r w:rsidRPr="00654568">
        <w:rPr>
          <w:rFonts w:ascii="Times New Roman" w:hAnsi="Times New Roman"/>
          <w:i/>
          <w:iCs/>
        </w:rPr>
        <w:t>National Computing Centre</w:t>
      </w:r>
      <w:r w:rsidRPr="00654568">
        <w:rPr>
          <w:rFonts w:ascii="Times New Roman" w:hAnsi="Times New Roman"/>
        </w:rPr>
        <w:t>) in the UK and DSI (</w:t>
      </w:r>
      <w:r w:rsidRPr="00654568">
        <w:rPr>
          <w:rFonts w:ascii="Times New Roman" w:hAnsi="Times New Roman"/>
          <w:i/>
          <w:iCs/>
        </w:rPr>
        <w:t>Data Securities International</w:t>
      </w:r>
      <w:r w:rsidRPr="00654568">
        <w:rPr>
          <w:rFonts w:ascii="Times New Roman" w:hAnsi="Times New Roman"/>
        </w:rPr>
        <w:t>) in the US.</w:t>
      </w:r>
    </w:p>
  </w:footnote>
  <w:footnote w:id="32">
    <w:p w14:paraId="6FFDA8B8" w14:textId="1E872CF0"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Businesses are increasingly opting for hosting software in the cloud (and less on their own servers). Where it is already difficult to reconstruct a software programme ensuring compatibility with the licensee</w:t>
      </w:r>
      <w:r w:rsidR="004D0EBA" w:rsidRPr="00654568">
        <w:rPr>
          <w:rFonts w:ascii="Times New Roman" w:hAnsi="Times New Roman"/>
        </w:rPr>
        <w:t>’</w:t>
      </w:r>
      <w:r w:rsidRPr="00654568">
        <w:rPr>
          <w:rFonts w:ascii="Times New Roman" w:hAnsi="Times New Roman"/>
        </w:rPr>
        <w:t xml:space="preserve">s other systems, rebuilding a complex cloud environment seems even more challenging (M. TRUYENS and S. AERTS, </w:t>
      </w:r>
      <w:r w:rsidR="004D0EBA" w:rsidRPr="00654568">
        <w:rPr>
          <w:rFonts w:ascii="Times New Roman" w:hAnsi="Times New Roman"/>
        </w:rPr>
        <w:t>“</w:t>
      </w:r>
      <w:r w:rsidRPr="00654568">
        <w:rPr>
          <w:rFonts w:ascii="Times New Roman" w:hAnsi="Times New Roman"/>
        </w:rPr>
        <w:t>Informaticacontracten in het faillissementsrecht</w:t>
      </w:r>
      <w:r w:rsidR="004D0EBA" w:rsidRPr="00654568">
        <w:rPr>
          <w:rFonts w:ascii="Times New Roman" w:hAnsi="Times New Roman"/>
        </w:rPr>
        <w:t>”</w:t>
      </w:r>
      <w:r w:rsidRPr="00654568">
        <w:rPr>
          <w:rFonts w:ascii="Times New Roman" w:hAnsi="Times New Roman"/>
        </w:rPr>
        <w:t xml:space="preserve">, </w:t>
      </w:r>
      <w:r w:rsidRPr="00654568">
        <w:rPr>
          <w:rFonts w:ascii="Times New Roman" w:hAnsi="Times New Roman"/>
          <w:i/>
          <w:iCs/>
        </w:rPr>
        <w:t xml:space="preserve">Computerrecht </w:t>
      </w:r>
      <w:r w:rsidRPr="00654568">
        <w:rPr>
          <w:rFonts w:ascii="Times New Roman" w:hAnsi="Times New Roman"/>
        </w:rPr>
        <w:t>2017, ed. 1, 10).</w:t>
      </w:r>
    </w:p>
  </w:footnote>
  <w:footnote w:id="33">
    <w:p w14:paraId="713E9B0B" w14:textId="1280D034" w:rsidR="000E6FB9" w:rsidRPr="00654568" w:rsidRDefault="000E6FB9" w:rsidP="004D0EBA">
      <w:pPr>
        <w:pStyle w:val="FootnoteText"/>
        <w:rPr>
          <w:rFonts w:ascii="Times New Roman" w:hAnsi="Times New Roman"/>
        </w:rPr>
      </w:pPr>
      <w:r w:rsidRPr="00654568">
        <w:rPr>
          <w:rStyle w:val="FootnoteReference"/>
          <w:rFonts w:ascii="Times New Roman" w:hAnsi="Times New Roman"/>
        </w:rPr>
        <w:footnoteRef/>
      </w:r>
      <w:r w:rsidRPr="00654568">
        <w:rPr>
          <w:rFonts w:ascii="Times New Roman" w:hAnsi="Times New Roman"/>
        </w:rPr>
        <w:t xml:space="preserve"> R. PARRY and R BISSON,</w:t>
      </w:r>
      <w:r w:rsidR="004D0EBA" w:rsidRPr="00654568">
        <w:rPr>
          <w:rFonts w:ascii="Times New Roman" w:hAnsi="Times New Roman"/>
        </w:rPr>
        <w:t>”</w:t>
      </w:r>
      <w:r w:rsidRPr="00654568">
        <w:rPr>
          <w:rFonts w:ascii="Times New Roman" w:hAnsi="Times New Roman"/>
        </w:rPr>
        <w:t xml:space="preserve"> Legal approaches to management of the risk of cloud computing insolvencies</w:t>
      </w:r>
      <w:r w:rsidR="004D0EBA" w:rsidRPr="00654568">
        <w:rPr>
          <w:rFonts w:ascii="Times New Roman" w:hAnsi="Times New Roman"/>
        </w:rPr>
        <w:t>”</w:t>
      </w:r>
      <w:r w:rsidRPr="00654568">
        <w:rPr>
          <w:rFonts w:ascii="Times New Roman" w:hAnsi="Times New Roman"/>
        </w:rPr>
        <w:t>, Journal of Corporate Law Studies 2020, 20(2), 434.</w:t>
      </w:r>
    </w:p>
  </w:footnote>
  <w:footnote w:id="34">
    <w:p w14:paraId="09CEED1C" w14:textId="3962D7F9" w:rsidR="000E6FB9" w:rsidRPr="00654568" w:rsidRDefault="000E6FB9" w:rsidP="004D0EBA">
      <w:pPr>
        <w:pStyle w:val="FootnoteText"/>
        <w:rPr>
          <w:rFonts w:ascii="Times New Roman" w:hAnsi="Times New Roman"/>
          <w:lang w:val="nl-NL"/>
        </w:rPr>
      </w:pPr>
      <w:r w:rsidRPr="00654568">
        <w:rPr>
          <w:rStyle w:val="FootnoteReference"/>
          <w:rFonts w:ascii="Times New Roman" w:hAnsi="Times New Roman"/>
        </w:rPr>
        <w:footnoteRef/>
      </w:r>
      <w:r w:rsidRPr="00654568">
        <w:rPr>
          <w:rFonts w:ascii="Times New Roman" w:hAnsi="Times New Roman"/>
          <w:lang w:val="nl-NL"/>
        </w:rPr>
        <w:t xml:space="preserve"> M. LAUWERS, </w:t>
      </w:r>
      <w:r w:rsidR="004D0EBA" w:rsidRPr="00654568">
        <w:rPr>
          <w:rFonts w:ascii="Times New Roman" w:hAnsi="Times New Roman"/>
          <w:lang w:val="nl-NL"/>
        </w:rPr>
        <w:t>“</w:t>
      </w:r>
      <w:r w:rsidRPr="00654568">
        <w:rPr>
          <w:rFonts w:ascii="Times New Roman" w:hAnsi="Times New Roman"/>
          <w:lang w:val="nl-NL"/>
        </w:rPr>
        <w:t>Intellectuele rechten en faillissement. De gevolgen van een faillissement van de producent voor de intellectuele rechten met betrekking tot software en software gerelateerde producten</w:t>
      </w:r>
      <w:r w:rsidR="004D0EBA" w:rsidRPr="00654568">
        <w:rPr>
          <w:rFonts w:ascii="Times New Roman" w:hAnsi="Times New Roman"/>
          <w:lang w:val="nl-NL"/>
        </w:rPr>
        <w:t>”</w:t>
      </w:r>
      <w:r w:rsidRPr="00654568">
        <w:rPr>
          <w:rFonts w:ascii="Times New Roman" w:hAnsi="Times New Roman"/>
          <w:lang w:val="nl-NL"/>
        </w:rPr>
        <w:t xml:space="preserve"> in </w:t>
      </w:r>
      <w:r w:rsidRPr="00654568">
        <w:rPr>
          <w:rFonts w:ascii="Times New Roman" w:hAnsi="Times New Roman"/>
          <w:i/>
          <w:iCs/>
          <w:lang w:val="nl-NL"/>
        </w:rPr>
        <w:t>Faillissement &amp; Reorganisatie</w:t>
      </w:r>
      <w:r w:rsidRPr="00654568">
        <w:rPr>
          <w:rFonts w:ascii="Times New Roman" w:hAnsi="Times New Roman"/>
          <w:lang w:val="nl-NL"/>
        </w:rPr>
        <w:t>, Mechelen, Kluwer, 45.</w:t>
      </w:r>
    </w:p>
  </w:footnote>
  <w:footnote w:id="35">
    <w:p w14:paraId="626B053D" w14:textId="634DDE2C" w:rsidR="000E6FB9" w:rsidRPr="004D0EBA" w:rsidRDefault="000E6FB9" w:rsidP="004D0EBA">
      <w:pPr>
        <w:autoSpaceDE w:val="0"/>
        <w:autoSpaceDN w:val="0"/>
        <w:adjustRightInd w:val="0"/>
        <w:spacing w:after="0"/>
        <w:rPr>
          <w:rFonts w:ascii="Times New Roman" w:hAnsi="Times New Roman"/>
          <w:sz w:val="20"/>
        </w:rPr>
      </w:pPr>
      <w:r w:rsidRPr="00654568">
        <w:rPr>
          <w:rStyle w:val="FootnoteReference"/>
          <w:rFonts w:ascii="Times New Roman" w:hAnsi="Times New Roman"/>
          <w:sz w:val="20"/>
        </w:rPr>
        <w:footnoteRef/>
      </w:r>
      <w:r w:rsidRPr="00654568">
        <w:rPr>
          <w:rFonts w:ascii="Times New Roman" w:hAnsi="Times New Roman"/>
          <w:sz w:val="20"/>
        </w:rPr>
        <w:t xml:space="preserve"> It should be noted that under Belgian contract law, an escrow agreement generally qualifies as a custody (</w:t>
      </w:r>
      <w:r w:rsidR="004D0EBA" w:rsidRPr="00654568">
        <w:rPr>
          <w:rFonts w:ascii="Times New Roman" w:hAnsi="Times New Roman"/>
          <w:sz w:val="20"/>
        </w:rPr>
        <w:t>“</w:t>
      </w:r>
      <w:r w:rsidRPr="00654568">
        <w:rPr>
          <w:rFonts w:ascii="Times New Roman" w:hAnsi="Times New Roman"/>
          <w:i/>
          <w:iCs/>
          <w:sz w:val="20"/>
        </w:rPr>
        <w:t>bewaargeving</w:t>
      </w:r>
      <w:r w:rsidR="004D0EBA" w:rsidRPr="00654568">
        <w:rPr>
          <w:rFonts w:ascii="Times New Roman" w:hAnsi="Times New Roman"/>
          <w:sz w:val="20"/>
        </w:rPr>
        <w:t>”</w:t>
      </w:r>
      <w:r w:rsidRPr="00654568">
        <w:rPr>
          <w:rFonts w:ascii="Times New Roman" w:hAnsi="Times New Roman"/>
          <w:sz w:val="20"/>
        </w:rPr>
        <w:t xml:space="preserve">). Pursuant to Article 1944 (old) Civil Code. The depositor (licensor) has the statutory right to demand the return of the deposited goods (source code) from the custodian (escrow agent) at any time. Hence, it is crucial (and therefore common practice) to have the licensor waive this right of return in case the escrow agreement would be governed by Belgian law (A. NAYAERT, </w:t>
      </w:r>
      <w:r w:rsidR="004D0EBA" w:rsidRPr="00654568">
        <w:rPr>
          <w:rFonts w:ascii="Times New Roman" w:hAnsi="Times New Roman"/>
          <w:sz w:val="20"/>
        </w:rPr>
        <w:t>“</w:t>
      </w:r>
      <w:r w:rsidRPr="00654568">
        <w:rPr>
          <w:rFonts w:ascii="Times New Roman" w:hAnsi="Times New Roman"/>
          <w:sz w:val="20"/>
        </w:rPr>
        <w:t>De broncode en het faillissement van de softwareleverancier</w:t>
      </w:r>
      <w:r w:rsidR="004D0EBA" w:rsidRPr="00654568">
        <w:rPr>
          <w:rFonts w:ascii="Times New Roman" w:hAnsi="Times New Roman"/>
          <w:sz w:val="20"/>
        </w:rPr>
        <w:t>”</w:t>
      </w:r>
      <w:r w:rsidRPr="00654568">
        <w:rPr>
          <w:rFonts w:ascii="Times New Roman" w:hAnsi="Times New Roman"/>
          <w:sz w:val="20"/>
        </w:rPr>
        <w:t xml:space="preserve">, </w:t>
      </w:r>
      <w:r w:rsidRPr="00654568">
        <w:rPr>
          <w:rFonts w:ascii="Times New Roman" w:hAnsi="Times New Roman"/>
          <w:i/>
          <w:iCs/>
          <w:sz w:val="20"/>
        </w:rPr>
        <w:t xml:space="preserve">Computerrecht </w:t>
      </w:r>
      <w:r w:rsidRPr="00654568">
        <w:rPr>
          <w:rFonts w:ascii="Times New Roman" w:hAnsi="Times New Roman"/>
          <w:sz w:val="20"/>
        </w:rPr>
        <w:t>1996/3, 543).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72DD0220"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0E6FB9">
      <w:rPr>
        <w:rFonts w:ascii="Arial" w:hAnsi="Arial" w:cs="Arial"/>
        <w:b/>
        <w:sz w:val="20"/>
      </w:rPr>
      <w:t>June</w:t>
    </w:r>
    <w:r w:rsidR="002A5779" w:rsidRPr="002331CA">
      <w:rPr>
        <w:rFonts w:ascii="Arial" w:hAnsi="Arial" w:cs="Arial"/>
        <w:b/>
        <w:sz w:val="20"/>
      </w:rPr>
      <w:t xml:space="preserve"> 20</w:t>
    </w:r>
    <w:r w:rsidR="00087612" w:rsidRPr="002331CA">
      <w:rPr>
        <w:rFonts w:ascii="Arial" w:hAnsi="Arial" w:cs="Arial"/>
        <w:b/>
        <w:sz w:val="20"/>
      </w:rPr>
      <w:t>2</w:t>
    </w:r>
    <w:r w:rsidR="00183674">
      <w:rPr>
        <w:rFonts w:ascii="Arial" w:hAnsi="Arial" w:cs="Arial"/>
        <w:b/>
        <w:sz w:val="20"/>
      </w:rPr>
      <w:t>4</w:t>
    </w:r>
    <w:r w:rsidR="00D90E9D">
      <w:rPr>
        <w:rFonts w:ascii="Arial" w:hAnsi="Arial" w:cs="Arial"/>
        <w:b/>
        <w:sz w:val="20"/>
      </w:rPr>
      <w:t>)</w:t>
    </w:r>
  </w:p>
  <w:p w14:paraId="0F2C5C5A" w14:textId="01B2770E" w:rsidR="00BF3D3E" w:rsidRPr="000E6FB9" w:rsidRDefault="000E6FB9" w:rsidP="00D90E9D">
    <w:pPr>
      <w:pStyle w:val="Header"/>
      <w:spacing w:after="0"/>
      <w:rPr>
        <w:rFonts w:ascii="Arial" w:hAnsi="Arial" w:cs="Arial"/>
        <w:b/>
        <w:sz w:val="20"/>
      </w:rPr>
    </w:pPr>
    <w:r>
      <w:rPr>
        <w:rFonts w:ascii="Arial" w:hAnsi="Arial" w:cs="Arial"/>
        <w:b/>
        <w:sz w:val="20"/>
      </w:rPr>
      <w:t>Jente Dengler</w:t>
    </w:r>
    <w:r w:rsidR="00183674">
      <w:rPr>
        <w:rFonts w:ascii="Arial" w:hAnsi="Arial" w:cs="Arial"/>
        <w:b/>
        <w:sz w:val="20"/>
      </w:rPr>
      <w:t xml:space="preserve"> </w:t>
    </w:r>
    <w:r w:rsidR="00640EFC" w:rsidRPr="000E6FB9">
      <w:rPr>
        <w:rFonts w:ascii="Arial" w:hAnsi="Arial" w:cs="Arial"/>
        <w:b/>
        <w:sz w:val="20"/>
      </w:rPr>
      <w:t>(</w:t>
    </w:r>
    <w:r w:rsidRPr="000E6FB9">
      <w:rPr>
        <w:rFonts w:ascii="Arial" w:hAnsi="Arial" w:cs="Arial"/>
        <w:b/>
        <w:sz w:val="20"/>
      </w:rPr>
      <w:t>BE</w:t>
    </w:r>
    <w:r w:rsidR="00BF3D3E"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34D9167B"/>
    <w:multiLevelType w:val="hybridMultilevel"/>
    <w:tmpl w:val="67F6B9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7"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78872330">
    <w:abstractNumId w:val="5"/>
  </w:num>
  <w:num w:numId="2" w16cid:durableId="1440948558">
    <w:abstractNumId w:val="0"/>
  </w:num>
  <w:num w:numId="3" w16cid:durableId="1310088957">
    <w:abstractNumId w:val="8"/>
  </w:num>
  <w:num w:numId="4" w16cid:durableId="203103219">
    <w:abstractNumId w:val="2"/>
  </w:num>
  <w:num w:numId="5" w16cid:durableId="2066877404">
    <w:abstractNumId w:val="1"/>
  </w:num>
  <w:num w:numId="6" w16cid:durableId="979458416">
    <w:abstractNumId w:val="6"/>
  </w:num>
  <w:num w:numId="7" w16cid:durableId="2011323175">
    <w:abstractNumId w:val="7"/>
  </w:num>
  <w:num w:numId="8" w16cid:durableId="1717658000">
    <w:abstractNumId w:val="4"/>
  </w:num>
  <w:num w:numId="9" w16cid:durableId="93605807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1FBC"/>
    <w:rsid w:val="00065DA6"/>
    <w:rsid w:val="00086E49"/>
    <w:rsid w:val="00087612"/>
    <w:rsid w:val="000921F0"/>
    <w:rsid w:val="00092307"/>
    <w:rsid w:val="000B09D3"/>
    <w:rsid w:val="000C4532"/>
    <w:rsid w:val="000C7620"/>
    <w:rsid w:val="000D2082"/>
    <w:rsid w:val="000D3C8B"/>
    <w:rsid w:val="000E6FB9"/>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007C"/>
    <w:rsid w:val="00424A47"/>
    <w:rsid w:val="004356E2"/>
    <w:rsid w:val="00437BFE"/>
    <w:rsid w:val="004408B0"/>
    <w:rsid w:val="00440CF8"/>
    <w:rsid w:val="004433C5"/>
    <w:rsid w:val="00470254"/>
    <w:rsid w:val="0047439B"/>
    <w:rsid w:val="00484F6D"/>
    <w:rsid w:val="00485D95"/>
    <w:rsid w:val="00492065"/>
    <w:rsid w:val="004B3FED"/>
    <w:rsid w:val="004B4D8F"/>
    <w:rsid w:val="004D0EBA"/>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4C14"/>
    <w:rsid w:val="005D6C09"/>
    <w:rsid w:val="005D783E"/>
    <w:rsid w:val="005D79E3"/>
    <w:rsid w:val="005E270C"/>
    <w:rsid w:val="005E7C6B"/>
    <w:rsid w:val="00603657"/>
    <w:rsid w:val="00617533"/>
    <w:rsid w:val="00623598"/>
    <w:rsid w:val="00631F24"/>
    <w:rsid w:val="00640EFC"/>
    <w:rsid w:val="006441B0"/>
    <w:rsid w:val="00654568"/>
    <w:rsid w:val="00657FC0"/>
    <w:rsid w:val="00674D11"/>
    <w:rsid w:val="00694350"/>
    <w:rsid w:val="006945CB"/>
    <w:rsid w:val="006B7ABD"/>
    <w:rsid w:val="006D08C2"/>
    <w:rsid w:val="006D0A86"/>
    <w:rsid w:val="006E7E8D"/>
    <w:rsid w:val="00703D03"/>
    <w:rsid w:val="00707113"/>
    <w:rsid w:val="007203F3"/>
    <w:rsid w:val="00740520"/>
    <w:rsid w:val="00740F50"/>
    <w:rsid w:val="00752792"/>
    <w:rsid w:val="00753FB5"/>
    <w:rsid w:val="00772427"/>
    <w:rsid w:val="00772DFE"/>
    <w:rsid w:val="00782731"/>
    <w:rsid w:val="00785E77"/>
    <w:rsid w:val="00786CA6"/>
    <w:rsid w:val="00790DFB"/>
    <w:rsid w:val="00797291"/>
    <w:rsid w:val="007A0387"/>
    <w:rsid w:val="007C4484"/>
    <w:rsid w:val="007D39E7"/>
    <w:rsid w:val="007E1590"/>
    <w:rsid w:val="008034E6"/>
    <w:rsid w:val="00807744"/>
    <w:rsid w:val="00825991"/>
    <w:rsid w:val="008432D1"/>
    <w:rsid w:val="00847988"/>
    <w:rsid w:val="00850500"/>
    <w:rsid w:val="008506FC"/>
    <w:rsid w:val="008609CB"/>
    <w:rsid w:val="00867725"/>
    <w:rsid w:val="00872A8B"/>
    <w:rsid w:val="00876BCD"/>
    <w:rsid w:val="00877CBB"/>
    <w:rsid w:val="00886023"/>
    <w:rsid w:val="008876AA"/>
    <w:rsid w:val="008979BB"/>
    <w:rsid w:val="008A229B"/>
    <w:rsid w:val="008B0583"/>
    <w:rsid w:val="00900A95"/>
    <w:rsid w:val="009069C9"/>
    <w:rsid w:val="009224B4"/>
    <w:rsid w:val="00933B42"/>
    <w:rsid w:val="0093601D"/>
    <w:rsid w:val="009542ED"/>
    <w:rsid w:val="009656AB"/>
    <w:rsid w:val="0097553C"/>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0144B"/>
    <w:rsid w:val="00C16DFA"/>
    <w:rsid w:val="00C2522B"/>
    <w:rsid w:val="00C378D4"/>
    <w:rsid w:val="00C900E1"/>
    <w:rsid w:val="00C96534"/>
    <w:rsid w:val="00CA2E89"/>
    <w:rsid w:val="00CA53BB"/>
    <w:rsid w:val="00CB7636"/>
    <w:rsid w:val="00CC02EB"/>
    <w:rsid w:val="00CC2668"/>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1893</Words>
  <Characters>10894</Characters>
  <Application>Microsoft Office Word</Application>
  <DocSecurity>0</DocSecurity>
  <PresentationFormat/>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5</cp:revision>
  <cp:lastPrinted>2017-11-20T20:14:00Z</cp:lastPrinted>
  <dcterms:created xsi:type="dcterms:W3CDTF">2024-07-05T09:23:00Z</dcterms:created>
  <dcterms:modified xsi:type="dcterms:W3CDTF">2024-12-06T14:02:00Z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y fmtid="{D5CDD505-2E9C-101B-9397-08002B2CF9AE}" pid="4" name="Plato EditorId">
    <vt:lpwstr>f07f08cd-9207-477d-8855-467f3691996a</vt:lpwstr>
  </property>
</Properties>
</file>