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DC7109" w:rsidRDefault="005D783E" w:rsidP="00AA741E">
      <w:pPr>
        <w:spacing w:after="0"/>
        <w:rPr>
          <w:rFonts w:ascii="Times New Roman" w:hAnsi="Times New Roman"/>
          <w:sz w:val="24"/>
          <w:szCs w:val="24"/>
        </w:rPr>
      </w:pPr>
    </w:p>
    <w:p w14:paraId="44A10E9D" w14:textId="77777777" w:rsidR="00D847D8" w:rsidRPr="00DC7109" w:rsidRDefault="00D847D8" w:rsidP="00D847D8">
      <w:pPr>
        <w:spacing w:after="0"/>
        <w:contextualSpacing/>
        <w:jc w:val="center"/>
        <w:rPr>
          <w:rFonts w:ascii="Times New Roman" w:hAnsi="Times New Roman"/>
          <w:b/>
          <w:sz w:val="24"/>
          <w:szCs w:val="24"/>
        </w:rPr>
      </w:pPr>
      <w:r w:rsidRPr="00DC7109">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DC7109" w:rsidRDefault="00617533" w:rsidP="00AA741E">
      <w:pPr>
        <w:spacing w:after="0"/>
        <w:jc w:val="center"/>
        <w:rPr>
          <w:rFonts w:ascii="Times New Roman" w:hAnsi="Times New Roman"/>
          <w:b/>
          <w:sz w:val="24"/>
          <w:szCs w:val="24"/>
        </w:rPr>
      </w:pPr>
    </w:p>
    <w:p w14:paraId="545E44B6" w14:textId="2B184373" w:rsidR="00617533" w:rsidRPr="00DC7109" w:rsidRDefault="00617533" w:rsidP="00AA741E">
      <w:pPr>
        <w:spacing w:after="0"/>
        <w:jc w:val="center"/>
        <w:rPr>
          <w:rFonts w:ascii="Times New Roman" w:hAnsi="Times New Roman"/>
          <w:b/>
          <w:sz w:val="36"/>
          <w:szCs w:val="36"/>
        </w:rPr>
      </w:pPr>
      <w:r w:rsidRPr="00DC7109">
        <w:rPr>
          <w:rFonts w:ascii="Times New Roman" w:hAnsi="Times New Roman"/>
          <w:b/>
          <w:sz w:val="36"/>
          <w:szCs w:val="36"/>
        </w:rPr>
        <w:t xml:space="preserve">Inside Story – </w:t>
      </w:r>
      <w:r w:rsidR="007A7C16" w:rsidRPr="00DC7109">
        <w:rPr>
          <w:rFonts w:ascii="Times New Roman" w:hAnsi="Times New Roman"/>
          <w:b/>
          <w:sz w:val="36"/>
          <w:szCs w:val="36"/>
        </w:rPr>
        <w:t>Dec</w:t>
      </w:r>
      <w:r w:rsidR="005D2A1D" w:rsidRPr="00DC7109">
        <w:rPr>
          <w:rFonts w:ascii="Times New Roman" w:hAnsi="Times New Roman"/>
          <w:b/>
          <w:sz w:val="36"/>
          <w:szCs w:val="36"/>
        </w:rPr>
        <w:t>ember</w:t>
      </w:r>
      <w:r w:rsidRPr="00DC7109">
        <w:rPr>
          <w:rFonts w:ascii="Times New Roman" w:hAnsi="Times New Roman"/>
          <w:b/>
          <w:sz w:val="36"/>
          <w:szCs w:val="36"/>
        </w:rPr>
        <w:t xml:space="preserve"> 20</w:t>
      </w:r>
      <w:r w:rsidR="00C50AF8" w:rsidRPr="00DC7109">
        <w:rPr>
          <w:rFonts w:ascii="Times New Roman" w:hAnsi="Times New Roman"/>
          <w:b/>
          <w:sz w:val="36"/>
          <w:szCs w:val="36"/>
        </w:rPr>
        <w:t>2</w:t>
      </w:r>
      <w:r w:rsidR="000A146B" w:rsidRPr="00DC7109">
        <w:rPr>
          <w:rFonts w:ascii="Times New Roman" w:hAnsi="Times New Roman"/>
          <w:b/>
          <w:sz w:val="36"/>
          <w:szCs w:val="36"/>
        </w:rPr>
        <w:t>4</w:t>
      </w:r>
    </w:p>
    <w:p w14:paraId="3F7EEBFB" w14:textId="77777777" w:rsidR="00617533" w:rsidRPr="00DC7109" w:rsidRDefault="00617533" w:rsidP="00AA741E">
      <w:pPr>
        <w:spacing w:after="0"/>
        <w:jc w:val="center"/>
        <w:rPr>
          <w:rFonts w:ascii="Times New Roman" w:hAnsi="Times New Roman"/>
          <w:b/>
          <w:sz w:val="24"/>
          <w:szCs w:val="24"/>
        </w:rPr>
      </w:pPr>
    </w:p>
    <w:p w14:paraId="79B2F271" w14:textId="1663D91A" w:rsidR="00865CA7" w:rsidRPr="00DC7109" w:rsidRDefault="007A7C16" w:rsidP="00865CA7">
      <w:pPr>
        <w:spacing w:after="0"/>
        <w:jc w:val="center"/>
        <w:rPr>
          <w:rFonts w:ascii="Times New Roman" w:hAnsi="Times New Roman"/>
          <w:b/>
          <w:sz w:val="28"/>
          <w:szCs w:val="28"/>
        </w:rPr>
      </w:pPr>
      <w:r w:rsidRPr="00DC7109">
        <w:rPr>
          <w:rFonts w:ascii="Times New Roman" w:hAnsi="Times New Roman"/>
          <w:b/>
          <w:bCs/>
          <w:sz w:val="28"/>
          <w:szCs w:val="28"/>
          <w:lang w:eastAsia="en-US"/>
        </w:rPr>
        <w:t>Kosovo’s New Insolvency Law</w:t>
      </w:r>
      <w:r w:rsidR="000A146B" w:rsidRPr="00DC7109">
        <w:rPr>
          <w:rFonts w:ascii="Times New Roman" w:hAnsi="Times New Roman"/>
          <w:b/>
          <w:bCs/>
          <w:sz w:val="28"/>
          <w:szCs w:val="28"/>
          <w:lang w:eastAsia="en-US"/>
        </w:rPr>
        <w:t xml:space="preserve">: </w:t>
      </w:r>
      <w:r w:rsidRPr="00DC7109">
        <w:rPr>
          <w:rFonts w:ascii="Times New Roman" w:hAnsi="Times New Roman"/>
          <w:b/>
          <w:bCs/>
          <w:sz w:val="28"/>
          <w:szCs w:val="28"/>
          <w:lang w:eastAsia="en-US"/>
        </w:rPr>
        <w:t>Challenges of a New Legal Framework</w:t>
      </w:r>
    </w:p>
    <w:p w14:paraId="032FD235" w14:textId="053B7A2A" w:rsidR="005D783E" w:rsidRPr="00DC7109" w:rsidRDefault="005D783E" w:rsidP="00AA741E">
      <w:pPr>
        <w:spacing w:after="0"/>
        <w:jc w:val="center"/>
        <w:rPr>
          <w:rFonts w:ascii="Times New Roman" w:hAnsi="Times New Roman"/>
          <w:b/>
          <w:sz w:val="24"/>
          <w:szCs w:val="24"/>
        </w:rPr>
      </w:pPr>
    </w:p>
    <w:p w14:paraId="0B9464FF" w14:textId="72086CB9" w:rsidR="002A635A" w:rsidRPr="00DC7109" w:rsidRDefault="007A7C16" w:rsidP="000A146B">
      <w:pPr>
        <w:pStyle w:val="PlainText"/>
        <w:jc w:val="center"/>
        <w:rPr>
          <w:rFonts w:ascii="Times New Roman" w:hAnsi="Times New Roman"/>
          <w:bCs/>
          <w:i/>
          <w:iCs/>
          <w:sz w:val="24"/>
          <w:szCs w:val="24"/>
          <w:lang w:val="en-GB"/>
        </w:rPr>
      </w:pPr>
      <w:r w:rsidRPr="00DC7109">
        <w:rPr>
          <w:rFonts w:ascii="Times New Roman" w:hAnsi="Times New Roman"/>
          <w:i/>
          <w:iCs/>
          <w:sz w:val="24"/>
          <w:szCs w:val="24"/>
          <w:lang w:val="en-GB"/>
        </w:rPr>
        <w:t>Vlora Maxhuni</w:t>
      </w:r>
      <w:r w:rsidR="00D976DE" w:rsidRPr="00DC7109">
        <w:rPr>
          <w:rFonts w:ascii="Times New Roman" w:hAnsi="Times New Roman"/>
          <w:i/>
          <w:iCs/>
          <w:sz w:val="24"/>
          <w:szCs w:val="24"/>
          <w:lang w:val="en-GB"/>
        </w:rPr>
        <w:t xml:space="preserve">, </w:t>
      </w:r>
      <w:r w:rsidRPr="00DC7109">
        <w:rPr>
          <w:rFonts w:ascii="Times New Roman" w:hAnsi="Times New Roman"/>
          <w:i/>
          <w:iCs/>
          <w:sz w:val="24"/>
          <w:szCs w:val="24"/>
          <w:lang w:val="en-GB"/>
        </w:rPr>
        <w:t>Rule of Law Advisor</w:t>
      </w:r>
      <w:r w:rsidR="00D976DE" w:rsidRPr="00DC7109">
        <w:rPr>
          <w:rFonts w:ascii="Times New Roman" w:hAnsi="Times New Roman"/>
          <w:i/>
          <w:iCs/>
          <w:sz w:val="24"/>
          <w:szCs w:val="24"/>
          <w:lang w:val="en-GB"/>
        </w:rPr>
        <w:t xml:space="preserve">, </w:t>
      </w:r>
      <w:r w:rsidRPr="00DC7109">
        <w:rPr>
          <w:rFonts w:ascii="Times New Roman" w:hAnsi="Times New Roman"/>
          <w:i/>
          <w:iCs/>
          <w:sz w:val="24"/>
          <w:szCs w:val="24"/>
          <w:lang w:val="en-GB"/>
        </w:rPr>
        <w:t>Deutsche Gesellschaft für Internationale Zusammenarbeit</w:t>
      </w:r>
      <w:r w:rsidR="00D976DE" w:rsidRPr="00DC7109">
        <w:rPr>
          <w:rFonts w:ascii="Times New Roman" w:hAnsi="Times New Roman"/>
          <w:i/>
          <w:iCs/>
          <w:sz w:val="24"/>
          <w:szCs w:val="24"/>
          <w:lang w:val="en-GB"/>
        </w:rPr>
        <w:t xml:space="preserve">, </w:t>
      </w:r>
      <w:r w:rsidRPr="00DC7109">
        <w:rPr>
          <w:rFonts w:ascii="Times New Roman" w:hAnsi="Times New Roman"/>
          <w:i/>
          <w:iCs/>
          <w:sz w:val="24"/>
          <w:szCs w:val="24"/>
          <w:lang w:val="en-GB"/>
        </w:rPr>
        <w:t xml:space="preserve">Kosovo </w:t>
      </w:r>
      <w:r w:rsidR="00D976DE" w:rsidRPr="00DC7109">
        <w:rPr>
          <w:rFonts w:ascii="Times New Roman" w:hAnsi="Times New Roman"/>
          <w:i/>
          <w:iCs/>
          <w:sz w:val="24"/>
          <w:szCs w:val="24"/>
          <w:lang w:val="en-GB"/>
        </w:rPr>
        <w:t>&lt;</w:t>
      </w:r>
      <w:r w:rsidRPr="00DC7109">
        <w:rPr>
          <w:rFonts w:ascii="Times New Roman" w:hAnsi="Times New Roman"/>
          <w:i/>
          <w:iCs/>
          <w:sz w:val="24"/>
          <w:szCs w:val="24"/>
          <w:lang w:val="en-GB"/>
        </w:rPr>
        <w:t>vloramax@gmail.com</w:t>
      </w:r>
      <w:r w:rsidR="00D976DE" w:rsidRPr="00DC7109">
        <w:rPr>
          <w:rFonts w:ascii="Times New Roman" w:hAnsi="Times New Roman"/>
          <w:i/>
          <w:iCs/>
          <w:sz w:val="24"/>
          <w:szCs w:val="24"/>
          <w:lang w:val="en-GB"/>
        </w:rPr>
        <w:t xml:space="preserve">&gt;; </w:t>
      </w:r>
    </w:p>
    <w:p w14:paraId="4C0F3661" w14:textId="77777777" w:rsidR="00617533" w:rsidRPr="00DC7109" w:rsidRDefault="00617533" w:rsidP="00C54799">
      <w:pPr>
        <w:spacing w:after="0"/>
        <w:jc w:val="center"/>
        <w:rPr>
          <w:rFonts w:ascii="Times New Roman" w:hAnsi="Times New Roman"/>
          <w:b/>
          <w:sz w:val="24"/>
          <w:szCs w:val="24"/>
        </w:rPr>
      </w:pPr>
    </w:p>
    <w:p w14:paraId="6DE3035C" w14:textId="68FDE813" w:rsidR="00C54799" w:rsidRPr="00DC7109" w:rsidRDefault="00C54799" w:rsidP="007A7C16">
      <w:pPr>
        <w:pStyle w:val="Body"/>
        <w:jc w:val="both"/>
        <w:rPr>
          <w:rFonts w:cs="Times New Roman"/>
          <w:b/>
          <w:bCs/>
          <w:color w:val="auto"/>
          <w:sz w:val="24"/>
          <w:szCs w:val="24"/>
          <w:lang w:val="en-GB"/>
        </w:rPr>
      </w:pPr>
      <w:r w:rsidRPr="00DC7109">
        <w:rPr>
          <w:rFonts w:cs="Times New Roman"/>
          <w:bCs/>
          <w:i/>
          <w:color w:val="auto"/>
          <w:sz w:val="24"/>
          <w:szCs w:val="24"/>
          <w:lang w:val="en-GB"/>
        </w:rPr>
        <w:t>Introduction</w:t>
      </w:r>
    </w:p>
    <w:p w14:paraId="25054542" w14:textId="058EA757" w:rsidR="00560963" w:rsidRPr="00DC7109" w:rsidRDefault="00560963" w:rsidP="007A7C16">
      <w:pPr>
        <w:spacing w:after="0"/>
        <w:rPr>
          <w:rFonts w:ascii="Times New Roman" w:hAnsi="Times New Roman"/>
          <w:sz w:val="24"/>
          <w:szCs w:val="24"/>
        </w:rPr>
      </w:pPr>
    </w:p>
    <w:p w14:paraId="6C35FC7F" w14:textId="7165C604"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In August 2024, Kosovo adopted a new Law on Bankruptcy Proceedings,</w:t>
      </w:r>
      <w:r w:rsidRPr="00DC7109">
        <w:rPr>
          <w:rStyle w:val="FootnoteReference"/>
          <w:rFonts w:ascii="Times New Roman" w:hAnsi="Times New Roman"/>
          <w:sz w:val="24"/>
          <w:szCs w:val="24"/>
        </w:rPr>
        <w:footnoteReference w:id="2"/>
      </w:r>
      <w:r w:rsidRPr="00DC7109">
        <w:rPr>
          <w:rFonts w:ascii="Times New Roman" w:hAnsi="Times New Roman"/>
          <w:sz w:val="24"/>
          <w:szCs w:val="24"/>
        </w:rPr>
        <w:t xml:space="preserve"> repealing the previous law of 2016. The new law is partially harmonized with the EU Regulation 2015/848 on insolvency proceedings (recast) and Directive (EU) 2019/1023 on preventive restructuring frameworks. The new Law presents multiple changes to insolvency proceedings, ranging from changes to the involuntary initiation of cases to termination of bankruptcy, as well as a new institutional setup regarding selection and disciplinary proceedings for bankruptcy administrators. Moreover, in February 2022, the Law on the Commercial Court entered into force, establishing the Commercial Court as the competent court for insolvency proceedings.</w:t>
      </w:r>
      <w:r w:rsidRPr="00DC7109">
        <w:rPr>
          <w:rStyle w:val="FootnoteReference"/>
          <w:rFonts w:ascii="Times New Roman" w:hAnsi="Times New Roman"/>
          <w:sz w:val="24"/>
          <w:szCs w:val="24"/>
        </w:rPr>
        <w:footnoteReference w:id="3"/>
      </w:r>
    </w:p>
    <w:p w14:paraId="384559FC" w14:textId="77777777" w:rsidR="007A7C16" w:rsidRPr="00DC7109" w:rsidRDefault="007A7C16" w:rsidP="007A7C16">
      <w:pPr>
        <w:spacing w:after="0"/>
        <w:rPr>
          <w:rFonts w:ascii="Times New Roman" w:hAnsi="Times New Roman"/>
          <w:sz w:val="24"/>
          <w:szCs w:val="24"/>
        </w:rPr>
      </w:pPr>
    </w:p>
    <w:p w14:paraId="4F33C9D6" w14:textId="77777777"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These changes have been prompted by the judiciary and private sector, who have highlighted numerous loopholes and irregularities in the Bankruptcy Law 2016. Additionally, they were included as necessary changes within the Kosovo Rule of Law Strategy 2021-2026 (“RoL Strategy”), such as establishing the Chambers of Bankruptcy Administrators and aligning the Law on Bankruptcy Proceedings with the Law on the Commercial Court.</w:t>
      </w:r>
      <w:r w:rsidRPr="00DC7109">
        <w:rPr>
          <w:rStyle w:val="FootnoteReference"/>
          <w:rFonts w:ascii="Times New Roman" w:hAnsi="Times New Roman"/>
          <w:sz w:val="24"/>
          <w:szCs w:val="24"/>
        </w:rPr>
        <w:footnoteReference w:id="4"/>
      </w:r>
    </w:p>
    <w:p w14:paraId="0A1BF682" w14:textId="77777777" w:rsidR="007A7C16" w:rsidRPr="00DC7109" w:rsidRDefault="007A7C16" w:rsidP="007A7C16">
      <w:pPr>
        <w:spacing w:after="0"/>
        <w:rPr>
          <w:rFonts w:ascii="Times New Roman" w:hAnsi="Times New Roman"/>
          <w:sz w:val="24"/>
          <w:szCs w:val="24"/>
        </w:rPr>
      </w:pPr>
    </w:p>
    <w:p w14:paraId="07CF73CF" w14:textId="10D302B8"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Nonetheless, the number of insolvency disputes in Kosovo remains low. From January until September 2024, there were nine insolvency cases. Seven were continued from previous years, and two were newly filed in 2024. None of these cases were resolved during this period.</w:t>
      </w:r>
      <w:r w:rsidRPr="00DC7109">
        <w:rPr>
          <w:rStyle w:val="FootnoteReference"/>
          <w:rFonts w:ascii="Times New Roman" w:hAnsi="Times New Roman"/>
          <w:sz w:val="24"/>
          <w:szCs w:val="24"/>
        </w:rPr>
        <w:footnoteReference w:id="5"/>
      </w:r>
    </w:p>
    <w:p w14:paraId="37BA5528" w14:textId="77777777" w:rsidR="007A7C16" w:rsidRPr="00DC7109" w:rsidRDefault="007A7C16" w:rsidP="007A7C16">
      <w:pPr>
        <w:spacing w:after="0"/>
        <w:rPr>
          <w:rFonts w:ascii="Times New Roman" w:hAnsi="Times New Roman"/>
          <w:sz w:val="24"/>
          <w:szCs w:val="24"/>
        </w:rPr>
      </w:pPr>
    </w:p>
    <w:p w14:paraId="3C9A7A48" w14:textId="18456445"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lastRenderedPageBreak/>
        <w:t>Key changes to insolvency proceedings imposed by the new legal framework will be outlined below.</w:t>
      </w:r>
    </w:p>
    <w:p w14:paraId="1D4CF885" w14:textId="77777777" w:rsidR="007A7C16" w:rsidRPr="00DC7109" w:rsidRDefault="007A7C16" w:rsidP="007A7C16">
      <w:pPr>
        <w:spacing w:after="0"/>
        <w:rPr>
          <w:rFonts w:ascii="Times New Roman" w:hAnsi="Times New Roman"/>
          <w:b/>
          <w:bCs/>
          <w:i/>
          <w:iCs/>
          <w:sz w:val="24"/>
          <w:szCs w:val="24"/>
        </w:rPr>
      </w:pPr>
    </w:p>
    <w:p w14:paraId="0D51EAD6" w14:textId="35DA932D"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Jurisdiction</w:t>
      </w:r>
    </w:p>
    <w:p w14:paraId="2E04894B" w14:textId="77777777" w:rsidR="007A7C16" w:rsidRPr="00DC7109" w:rsidRDefault="007A7C16" w:rsidP="007A7C16">
      <w:pPr>
        <w:spacing w:after="0"/>
        <w:rPr>
          <w:rFonts w:ascii="Times New Roman" w:hAnsi="Times New Roman"/>
          <w:color w:val="000000"/>
          <w:sz w:val="24"/>
          <w:szCs w:val="24"/>
          <w:bdr w:val="none" w:sz="0" w:space="0" w:color="auto" w:frame="1"/>
        </w:rPr>
      </w:pPr>
    </w:p>
    <w:p w14:paraId="1AAABC95" w14:textId="50D489A5" w:rsidR="007A7C16" w:rsidRPr="00DC7109" w:rsidRDefault="007A7C16" w:rsidP="007A7C16">
      <w:pPr>
        <w:spacing w:after="0"/>
        <w:rPr>
          <w:rFonts w:ascii="Times New Roman" w:hAnsi="Times New Roman"/>
          <w:color w:val="000000"/>
          <w:sz w:val="24"/>
          <w:szCs w:val="24"/>
          <w:bdr w:val="none" w:sz="0" w:space="0" w:color="auto" w:frame="1"/>
        </w:rPr>
      </w:pPr>
      <w:r w:rsidRPr="00DC7109">
        <w:rPr>
          <w:rFonts w:ascii="Times New Roman" w:hAnsi="Times New Roman"/>
          <w:color w:val="000000"/>
          <w:sz w:val="24"/>
          <w:szCs w:val="24"/>
          <w:bdr w:val="none" w:sz="0" w:space="0" w:color="auto" w:frame="1"/>
        </w:rPr>
        <w:t>A significant change in the new regulatory regime is to the competent court to decide on insolvency disputes. The competence has shifted to the exclusive jurisdiction of the Commercial Court from the Division of Commercial Matters within the Basic Court of Prishtina.</w:t>
      </w:r>
      <w:r w:rsidRPr="00DC7109">
        <w:rPr>
          <w:rStyle w:val="FootnoteReference"/>
          <w:rFonts w:ascii="Times New Roman" w:hAnsi="Times New Roman"/>
          <w:color w:val="000000"/>
          <w:sz w:val="24"/>
          <w:szCs w:val="24"/>
          <w:bdr w:val="none" w:sz="0" w:space="0" w:color="auto" w:frame="1"/>
        </w:rPr>
        <w:footnoteReference w:id="6"/>
      </w:r>
      <w:r w:rsidRPr="00DC7109">
        <w:rPr>
          <w:rFonts w:ascii="Times New Roman" w:hAnsi="Times New Roman"/>
          <w:color w:val="000000"/>
          <w:sz w:val="24"/>
          <w:szCs w:val="24"/>
          <w:bdr w:val="none" w:sz="0" w:space="0" w:color="auto" w:frame="1"/>
        </w:rPr>
        <w:t xml:space="preserve"> The cases are heard at two instances: First Instance Chambers, which decide on bankruptcy disputes, and the Second Instance Chambers, which decide on appeals.</w:t>
      </w:r>
      <w:r w:rsidRPr="00DC7109">
        <w:rPr>
          <w:rStyle w:val="FootnoteReference"/>
          <w:rFonts w:ascii="Times New Roman" w:hAnsi="Times New Roman"/>
          <w:color w:val="000000"/>
          <w:sz w:val="24"/>
          <w:szCs w:val="24"/>
          <w:bdr w:val="none" w:sz="0" w:space="0" w:color="auto" w:frame="1"/>
        </w:rPr>
        <w:footnoteReference w:id="7"/>
      </w:r>
      <w:r w:rsidRPr="00DC7109">
        <w:rPr>
          <w:rFonts w:ascii="Times New Roman" w:hAnsi="Times New Roman"/>
          <w:color w:val="000000"/>
          <w:sz w:val="24"/>
          <w:szCs w:val="24"/>
          <w:bdr w:val="none" w:sz="0" w:space="0" w:color="auto" w:frame="1"/>
        </w:rPr>
        <w:t xml:space="preserve"> The appeals have no suspensive effect unless the second instance chambers decide differently.</w:t>
      </w:r>
      <w:r w:rsidRPr="00DC7109">
        <w:rPr>
          <w:rStyle w:val="FootnoteReference"/>
          <w:rFonts w:ascii="Times New Roman" w:hAnsi="Times New Roman"/>
          <w:color w:val="000000"/>
          <w:sz w:val="24"/>
          <w:szCs w:val="24"/>
          <w:bdr w:val="none" w:sz="0" w:space="0" w:color="auto" w:frame="1"/>
        </w:rPr>
        <w:footnoteReference w:id="8"/>
      </w:r>
      <w:r w:rsidRPr="00DC7109">
        <w:rPr>
          <w:rFonts w:ascii="Times New Roman" w:hAnsi="Times New Roman"/>
          <w:color w:val="000000"/>
          <w:sz w:val="24"/>
          <w:szCs w:val="24"/>
          <w:bdr w:val="none" w:sz="0" w:space="0" w:color="auto" w:frame="1"/>
        </w:rPr>
        <w:t xml:space="preserve"> Extraordinary legal remedies are not permitted in bankruptcy proceedings.</w:t>
      </w:r>
      <w:r w:rsidRPr="00DC7109">
        <w:rPr>
          <w:rStyle w:val="FootnoteReference"/>
          <w:rFonts w:ascii="Times New Roman" w:hAnsi="Times New Roman"/>
          <w:color w:val="000000"/>
          <w:sz w:val="24"/>
          <w:szCs w:val="24"/>
          <w:bdr w:val="none" w:sz="0" w:space="0" w:color="auto" w:frame="1"/>
        </w:rPr>
        <w:footnoteReference w:id="9"/>
      </w:r>
    </w:p>
    <w:p w14:paraId="5DB3EA9D" w14:textId="77777777" w:rsidR="007A7C16" w:rsidRPr="00DC7109" w:rsidRDefault="007A7C16" w:rsidP="007A7C16">
      <w:pPr>
        <w:spacing w:after="0"/>
        <w:rPr>
          <w:rFonts w:ascii="Times New Roman" w:hAnsi="Times New Roman"/>
          <w:color w:val="000000"/>
          <w:sz w:val="24"/>
          <w:szCs w:val="24"/>
          <w:bdr w:val="none" w:sz="0" w:space="0" w:color="auto" w:frame="1"/>
        </w:rPr>
      </w:pPr>
    </w:p>
    <w:p w14:paraId="23115362" w14:textId="49E6DA51" w:rsidR="007A7C16" w:rsidRPr="00DC7109" w:rsidRDefault="007A7C16" w:rsidP="007A7C16">
      <w:pPr>
        <w:spacing w:after="0"/>
        <w:rPr>
          <w:rFonts w:ascii="Times New Roman" w:hAnsi="Times New Roman"/>
          <w:sz w:val="24"/>
          <w:szCs w:val="24"/>
        </w:rPr>
      </w:pPr>
      <w:r w:rsidRPr="00DC7109">
        <w:rPr>
          <w:rFonts w:ascii="Times New Roman" w:hAnsi="Times New Roman"/>
          <w:color w:val="000000"/>
          <w:sz w:val="24"/>
          <w:szCs w:val="24"/>
          <w:bdr w:val="none" w:sz="0" w:space="0" w:color="auto" w:frame="1"/>
        </w:rPr>
        <w:t>The Law on the Commercial Court provides that all bankruptcy proceedings will be treated with priority.</w:t>
      </w:r>
      <w:r w:rsidRPr="00DC7109">
        <w:rPr>
          <w:rStyle w:val="FootnoteReference"/>
          <w:rFonts w:ascii="Times New Roman" w:hAnsi="Times New Roman"/>
          <w:color w:val="000000"/>
          <w:sz w:val="24"/>
          <w:szCs w:val="24"/>
          <w:bdr w:val="none" w:sz="0" w:space="0" w:color="auto" w:frame="1"/>
        </w:rPr>
        <w:footnoteReference w:id="10"/>
      </w:r>
      <w:r w:rsidRPr="00DC7109">
        <w:rPr>
          <w:rFonts w:ascii="Times New Roman" w:hAnsi="Times New Roman"/>
          <w:color w:val="000000"/>
          <w:sz w:val="24"/>
          <w:szCs w:val="24"/>
          <w:bdr w:val="none" w:sz="0" w:space="0" w:color="auto" w:frame="1"/>
        </w:rPr>
        <w:t xml:space="preserve"> Moreover, the Law on Contested Procedures will apply as a subsidiary source of law as long as it does not contradict the Law on </w:t>
      </w:r>
      <w:r w:rsidRPr="00DC7109">
        <w:rPr>
          <w:rFonts w:ascii="Times New Roman" w:hAnsi="Times New Roman"/>
          <w:sz w:val="24"/>
          <w:szCs w:val="24"/>
        </w:rPr>
        <w:t>Bankruptcy Proceedings.</w:t>
      </w:r>
      <w:r w:rsidRPr="00DC7109">
        <w:rPr>
          <w:rStyle w:val="FootnoteReference"/>
          <w:rFonts w:ascii="Times New Roman" w:hAnsi="Times New Roman"/>
          <w:sz w:val="24"/>
          <w:szCs w:val="24"/>
        </w:rPr>
        <w:footnoteReference w:id="11"/>
      </w:r>
    </w:p>
    <w:p w14:paraId="3852242D" w14:textId="77777777" w:rsidR="007A7C16" w:rsidRPr="00DC7109" w:rsidRDefault="007A7C16" w:rsidP="007A7C16">
      <w:pPr>
        <w:spacing w:after="0"/>
        <w:rPr>
          <w:rFonts w:ascii="Times New Roman" w:hAnsi="Times New Roman"/>
          <w:color w:val="000000"/>
          <w:sz w:val="24"/>
          <w:szCs w:val="24"/>
          <w:bdr w:val="none" w:sz="0" w:space="0" w:color="auto" w:frame="1"/>
        </w:rPr>
      </w:pPr>
    </w:p>
    <w:p w14:paraId="6AB8935E"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General Principles of the Law on Bankruptcy</w:t>
      </w:r>
    </w:p>
    <w:p w14:paraId="21407B93" w14:textId="77777777" w:rsidR="007A7C16" w:rsidRPr="00DC7109" w:rsidRDefault="007A7C16" w:rsidP="007A7C16">
      <w:pPr>
        <w:spacing w:after="0"/>
        <w:rPr>
          <w:rFonts w:ascii="Times New Roman" w:hAnsi="Times New Roman"/>
          <w:sz w:val="24"/>
          <w:szCs w:val="24"/>
        </w:rPr>
      </w:pPr>
    </w:p>
    <w:p w14:paraId="45FA62E7" w14:textId="41D16934"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new Law on Bankruptcy Proceedings addresses the situation when the individual debtor passes away. In such cases, the new law adds a new measure that requires that the court resumes the procedure under the assumption that the heirs of the debtor will inherit both the assets and obligations in accordance with the respective law on inheritance.</w:t>
      </w:r>
      <w:r w:rsidRPr="00DC7109">
        <w:rPr>
          <w:rStyle w:val="FootnoteReference"/>
          <w:rFonts w:ascii="Times New Roman" w:hAnsi="Times New Roman"/>
          <w:sz w:val="24"/>
          <w:szCs w:val="24"/>
        </w:rPr>
        <w:footnoteReference w:id="12"/>
      </w:r>
    </w:p>
    <w:p w14:paraId="19BDCF94" w14:textId="77777777" w:rsidR="007A7C16" w:rsidRPr="00DC7109" w:rsidRDefault="007A7C16" w:rsidP="007A7C16">
      <w:pPr>
        <w:spacing w:after="0"/>
        <w:rPr>
          <w:rFonts w:ascii="Times New Roman" w:hAnsi="Times New Roman"/>
          <w:sz w:val="24"/>
          <w:szCs w:val="24"/>
        </w:rPr>
      </w:pPr>
    </w:p>
    <w:p w14:paraId="31B10505"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Involuntary Initiation of the Case by the Creditors</w:t>
      </w:r>
    </w:p>
    <w:p w14:paraId="6CC0432B" w14:textId="77777777" w:rsidR="007A7C16" w:rsidRPr="00DC7109" w:rsidRDefault="007A7C16" w:rsidP="007A7C16">
      <w:pPr>
        <w:spacing w:after="0"/>
        <w:rPr>
          <w:rFonts w:ascii="Times New Roman" w:hAnsi="Times New Roman"/>
          <w:sz w:val="24"/>
          <w:szCs w:val="24"/>
        </w:rPr>
      </w:pPr>
    </w:p>
    <w:p w14:paraId="39D026F4" w14:textId="77777777"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In comparison with the previous law, which only allowed the opening of a bankruptcy case by two or more creditors, the new law foresees that one creditor may also initiate the case under certain conditions, i.e., the debtor has failed to pay at least one debt to the creditor, where:</w:t>
      </w:r>
    </w:p>
    <w:p w14:paraId="3C395922" w14:textId="77777777" w:rsidR="007A7C16" w:rsidRPr="00DC7109" w:rsidRDefault="007A7C16" w:rsidP="007A7C16">
      <w:pPr>
        <w:spacing w:after="0"/>
        <w:rPr>
          <w:rFonts w:ascii="Times New Roman" w:hAnsi="Times New Roman"/>
          <w:sz w:val="24"/>
          <w:szCs w:val="24"/>
        </w:rPr>
      </w:pPr>
    </w:p>
    <w:p w14:paraId="59F1A830" w14:textId="77777777" w:rsidR="007A7C16" w:rsidRPr="00DC7109" w:rsidRDefault="007A7C16" w:rsidP="00DC7109">
      <w:pPr>
        <w:spacing w:after="0"/>
        <w:ind w:left="720"/>
        <w:rPr>
          <w:rFonts w:ascii="Times New Roman" w:hAnsi="Times New Roman"/>
          <w:sz w:val="24"/>
          <w:szCs w:val="24"/>
        </w:rPr>
      </w:pPr>
      <w:r w:rsidRPr="00DC7109">
        <w:rPr>
          <w:rFonts w:ascii="Times New Roman" w:hAnsi="Times New Roman"/>
          <w:sz w:val="24"/>
          <w:szCs w:val="24"/>
        </w:rPr>
        <w:t>(a) the debt has passed the payment term of at least ninety (90) days;</w:t>
      </w:r>
    </w:p>
    <w:p w14:paraId="580BAF8B" w14:textId="77777777" w:rsidR="007A7C16" w:rsidRPr="00DC7109" w:rsidRDefault="007A7C16" w:rsidP="00DC7109">
      <w:pPr>
        <w:spacing w:after="0"/>
        <w:ind w:left="720"/>
        <w:rPr>
          <w:rFonts w:ascii="Times New Roman" w:hAnsi="Times New Roman"/>
          <w:sz w:val="24"/>
          <w:szCs w:val="24"/>
        </w:rPr>
      </w:pPr>
      <w:r w:rsidRPr="00DC7109">
        <w:rPr>
          <w:rFonts w:ascii="Times New Roman" w:hAnsi="Times New Roman"/>
          <w:sz w:val="24"/>
          <w:szCs w:val="24"/>
        </w:rPr>
        <w:t xml:space="preserve">(b) the total amount of the debt is at least EUR 30,000 (thirty thousand); </w:t>
      </w:r>
    </w:p>
    <w:p w14:paraId="275EC11D" w14:textId="77777777" w:rsidR="007A7C16" w:rsidRPr="00DC7109" w:rsidRDefault="007A7C16" w:rsidP="00DC7109">
      <w:pPr>
        <w:spacing w:after="0"/>
        <w:ind w:left="720"/>
        <w:rPr>
          <w:rFonts w:ascii="Times New Roman" w:hAnsi="Times New Roman"/>
          <w:sz w:val="24"/>
          <w:szCs w:val="24"/>
        </w:rPr>
      </w:pPr>
      <w:r w:rsidRPr="00DC7109">
        <w:rPr>
          <w:rFonts w:ascii="Times New Roman" w:hAnsi="Times New Roman"/>
          <w:sz w:val="24"/>
          <w:szCs w:val="24"/>
        </w:rPr>
        <w:t xml:space="preserve">(c) each debt is not conditional or subject to pending court proceedings or an ongoing arbitration procedure; and </w:t>
      </w:r>
    </w:p>
    <w:p w14:paraId="6F1A6722" w14:textId="6209A729" w:rsidR="007A7C16" w:rsidRPr="00DC7109" w:rsidRDefault="007A7C16" w:rsidP="00DC7109">
      <w:pPr>
        <w:spacing w:after="0"/>
        <w:ind w:left="720"/>
        <w:rPr>
          <w:rFonts w:ascii="Times New Roman" w:hAnsi="Times New Roman"/>
          <w:sz w:val="24"/>
          <w:szCs w:val="24"/>
        </w:rPr>
      </w:pPr>
      <w:r w:rsidRPr="00DC7109">
        <w:rPr>
          <w:rFonts w:ascii="Times New Roman" w:hAnsi="Times New Roman"/>
          <w:sz w:val="24"/>
          <w:szCs w:val="24"/>
        </w:rPr>
        <w:t>(d) the creditor does not have the opportunity or has failed to collect the debt through the enforcement procedure or other legal procedures.</w:t>
      </w:r>
      <w:r w:rsidRPr="00DC7109">
        <w:rPr>
          <w:rStyle w:val="FootnoteReference"/>
          <w:rFonts w:ascii="Times New Roman" w:hAnsi="Times New Roman"/>
          <w:sz w:val="24"/>
          <w:szCs w:val="24"/>
        </w:rPr>
        <w:footnoteReference w:id="13"/>
      </w:r>
    </w:p>
    <w:p w14:paraId="2757D249" w14:textId="77777777" w:rsidR="00F5286B" w:rsidRPr="00DC7109" w:rsidRDefault="00F5286B" w:rsidP="007A7C16">
      <w:pPr>
        <w:spacing w:after="0"/>
        <w:rPr>
          <w:rFonts w:ascii="Times New Roman" w:hAnsi="Times New Roman"/>
          <w:sz w:val="24"/>
          <w:szCs w:val="24"/>
        </w:rPr>
      </w:pPr>
    </w:p>
    <w:p w14:paraId="62F366C8" w14:textId="1CA181AB"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 xml:space="preserve">Moreover, the amount of the debt as a precondition for initiating the procedure by two or more creditors has changed to </w:t>
      </w:r>
      <w:r w:rsidR="00F5286B" w:rsidRPr="00DC7109">
        <w:rPr>
          <w:rFonts w:ascii="Times New Roman" w:hAnsi="Times New Roman"/>
          <w:sz w:val="24"/>
          <w:szCs w:val="24"/>
        </w:rPr>
        <w:t>EUR 5,000 (</w:t>
      </w:r>
      <w:r w:rsidRPr="00DC7109">
        <w:rPr>
          <w:rFonts w:ascii="Times New Roman" w:hAnsi="Times New Roman"/>
          <w:sz w:val="24"/>
          <w:szCs w:val="24"/>
        </w:rPr>
        <w:t xml:space="preserve">five thousand), as opposed to the previous law, which required a minimum of </w:t>
      </w:r>
      <w:r w:rsidR="00F5286B" w:rsidRPr="00DC7109">
        <w:rPr>
          <w:rFonts w:ascii="Times New Roman" w:hAnsi="Times New Roman"/>
          <w:sz w:val="24"/>
          <w:szCs w:val="24"/>
        </w:rPr>
        <w:t>EUR 3,000 (</w:t>
      </w:r>
      <w:r w:rsidRPr="00DC7109">
        <w:rPr>
          <w:rFonts w:ascii="Times New Roman" w:hAnsi="Times New Roman"/>
          <w:sz w:val="24"/>
          <w:szCs w:val="24"/>
        </w:rPr>
        <w:t>three thousand).</w:t>
      </w:r>
      <w:r w:rsidRPr="00DC7109">
        <w:rPr>
          <w:rStyle w:val="FootnoteReference"/>
          <w:rFonts w:ascii="Times New Roman" w:hAnsi="Times New Roman"/>
          <w:sz w:val="24"/>
          <w:szCs w:val="24"/>
        </w:rPr>
        <w:footnoteReference w:id="14"/>
      </w:r>
    </w:p>
    <w:p w14:paraId="2024FB78" w14:textId="77777777" w:rsidR="00F5286B" w:rsidRPr="00DC7109" w:rsidRDefault="00F5286B" w:rsidP="007A7C16">
      <w:pPr>
        <w:spacing w:after="0"/>
        <w:rPr>
          <w:rFonts w:ascii="Times New Roman" w:hAnsi="Times New Roman"/>
          <w:sz w:val="24"/>
          <w:szCs w:val="24"/>
        </w:rPr>
      </w:pPr>
    </w:p>
    <w:p w14:paraId="2EBAE1FF" w14:textId="4754F613"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 xml:space="preserve">Additionally, the new law adds a new precondition for involuntary initiation of the case by creditors: the creditor must </w:t>
      </w:r>
      <w:r w:rsidR="00F5286B" w:rsidRPr="00DC7109">
        <w:rPr>
          <w:rFonts w:ascii="Times New Roman" w:hAnsi="Times New Roman"/>
          <w:sz w:val="24"/>
          <w:szCs w:val="24"/>
        </w:rPr>
        <w:t xml:space="preserve">first </w:t>
      </w:r>
      <w:r w:rsidRPr="00DC7109">
        <w:rPr>
          <w:rFonts w:ascii="Times New Roman" w:hAnsi="Times New Roman"/>
          <w:sz w:val="24"/>
          <w:szCs w:val="24"/>
        </w:rPr>
        <w:t>have failed to collect the debt through the enforcement procedure or other legal procedures or not have had the opportunity to pursue the claim through the</w:t>
      </w:r>
      <w:r w:rsidR="00F5286B" w:rsidRPr="00DC7109">
        <w:rPr>
          <w:rFonts w:ascii="Times New Roman" w:hAnsi="Times New Roman"/>
          <w:sz w:val="24"/>
          <w:szCs w:val="24"/>
        </w:rPr>
        <w:t xml:space="preserve"> </w:t>
      </w:r>
      <w:r w:rsidRPr="00DC7109">
        <w:rPr>
          <w:rFonts w:ascii="Times New Roman" w:hAnsi="Times New Roman"/>
          <w:sz w:val="24"/>
          <w:szCs w:val="24"/>
        </w:rPr>
        <w:t>enforcement procedure against the debtor.</w:t>
      </w:r>
      <w:r w:rsidRPr="00DC7109">
        <w:rPr>
          <w:rStyle w:val="FootnoteReference"/>
          <w:rFonts w:ascii="Times New Roman" w:hAnsi="Times New Roman"/>
          <w:sz w:val="24"/>
          <w:szCs w:val="24"/>
        </w:rPr>
        <w:footnoteReference w:id="15"/>
      </w:r>
      <w:r w:rsidRPr="00DC7109">
        <w:rPr>
          <w:rFonts w:ascii="Times New Roman" w:hAnsi="Times New Roman"/>
          <w:sz w:val="24"/>
          <w:szCs w:val="24"/>
        </w:rPr>
        <w:t xml:space="preserve"> This new requirement highlights the importance of exhausting available remedies before turning to bankruptcy.</w:t>
      </w:r>
    </w:p>
    <w:p w14:paraId="2171111E" w14:textId="77777777" w:rsidR="00F5286B" w:rsidRPr="00DC7109" w:rsidRDefault="00F5286B" w:rsidP="007A7C16">
      <w:pPr>
        <w:spacing w:after="0"/>
        <w:rPr>
          <w:rFonts w:ascii="Times New Roman" w:hAnsi="Times New Roman"/>
          <w:sz w:val="24"/>
          <w:szCs w:val="24"/>
        </w:rPr>
      </w:pPr>
    </w:p>
    <w:p w14:paraId="527CB739"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Registration of the Case</w:t>
      </w:r>
    </w:p>
    <w:p w14:paraId="6C190981" w14:textId="77777777" w:rsidR="00F5286B" w:rsidRPr="00DC7109" w:rsidRDefault="00F5286B" w:rsidP="007A7C16">
      <w:pPr>
        <w:spacing w:after="0"/>
        <w:rPr>
          <w:rFonts w:ascii="Times New Roman" w:hAnsi="Times New Roman"/>
          <w:sz w:val="24"/>
          <w:szCs w:val="24"/>
        </w:rPr>
      </w:pPr>
    </w:p>
    <w:p w14:paraId="158DD968" w14:textId="2B9CEB32"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Upon opening the case, the court will notify the relevant institutions within two weeks,</w:t>
      </w:r>
      <w:r w:rsidR="00F5286B" w:rsidRPr="00DC7109">
        <w:rPr>
          <w:rFonts w:ascii="Times New Roman" w:hAnsi="Times New Roman"/>
          <w:sz w:val="24"/>
          <w:szCs w:val="24"/>
        </w:rPr>
        <w:t xml:space="preserve"> </w:t>
      </w:r>
      <w:r w:rsidRPr="00DC7109">
        <w:rPr>
          <w:rFonts w:ascii="Times New Roman" w:hAnsi="Times New Roman"/>
          <w:sz w:val="24"/>
          <w:szCs w:val="24"/>
        </w:rPr>
        <w:t>such as the Business Registration Agency, the Pledge Registry, the Mortgage Registry, commercial banks, the credit registry, and the Tax Administration. The new law requires that</w:t>
      </w:r>
      <w:r w:rsidR="00F5286B" w:rsidRPr="00DC7109">
        <w:rPr>
          <w:rFonts w:ascii="Times New Roman" w:hAnsi="Times New Roman"/>
          <w:sz w:val="24"/>
          <w:szCs w:val="24"/>
        </w:rPr>
        <w:t>,</w:t>
      </w:r>
      <w:r w:rsidRPr="00DC7109">
        <w:rPr>
          <w:rFonts w:ascii="Times New Roman" w:hAnsi="Times New Roman"/>
          <w:sz w:val="24"/>
          <w:szCs w:val="24"/>
        </w:rPr>
        <w:t xml:space="preserve"> once these institutions receive notice, they shall document the initiation of bankruptcy proceedings in their official records.</w:t>
      </w:r>
      <w:r w:rsidRPr="00DC7109">
        <w:rPr>
          <w:rStyle w:val="FootnoteReference"/>
          <w:rFonts w:ascii="Times New Roman" w:hAnsi="Times New Roman"/>
          <w:sz w:val="24"/>
          <w:szCs w:val="24"/>
        </w:rPr>
        <w:footnoteReference w:id="16"/>
      </w:r>
      <w:r w:rsidRPr="00DC7109">
        <w:rPr>
          <w:rFonts w:ascii="Times New Roman" w:hAnsi="Times New Roman"/>
          <w:sz w:val="24"/>
          <w:szCs w:val="24"/>
        </w:rPr>
        <w:t xml:space="preserve"> This requirement aims to ensure a comprehensive and transparent tracking of bankruptcy cases across various financial and regulatory sectors.</w:t>
      </w:r>
    </w:p>
    <w:p w14:paraId="3DF79A9B" w14:textId="77777777" w:rsidR="00F5286B" w:rsidRPr="00DC7109" w:rsidRDefault="00F5286B" w:rsidP="007A7C16">
      <w:pPr>
        <w:spacing w:after="0"/>
        <w:rPr>
          <w:rFonts w:ascii="Times New Roman" w:hAnsi="Times New Roman"/>
          <w:sz w:val="24"/>
          <w:szCs w:val="24"/>
        </w:rPr>
      </w:pPr>
    </w:p>
    <w:p w14:paraId="7DDA1A22"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Termination of Bankruptcy Procedure Due to Insufficient Assets</w:t>
      </w:r>
    </w:p>
    <w:p w14:paraId="2BEF3519" w14:textId="77777777" w:rsidR="00F5286B" w:rsidRPr="00DC7109" w:rsidRDefault="00F5286B" w:rsidP="007A7C16">
      <w:pPr>
        <w:spacing w:after="0"/>
        <w:rPr>
          <w:rFonts w:ascii="Times New Roman" w:hAnsi="Times New Roman"/>
          <w:color w:val="0D0D0D" w:themeColor="text1" w:themeTint="F2"/>
          <w:sz w:val="24"/>
          <w:szCs w:val="24"/>
        </w:rPr>
      </w:pPr>
    </w:p>
    <w:p w14:paraId="332982C3" w14:textId="12D4D9C6" w:rsidR="007A7C16" w:rsidRPr="00DC7109" w:rsidRDefault="007A7C16" w:rsidP="007A7C16">
      <w:pPr>
        <w:spacing w:after="0"/>
        <w:rPr>
          <w:rFonts w:ascii="Times New Roman" w:hAnsi="Times New Roman"/>
          <w:color w:val="0D0D0D" w:themeColor="text1" w:themeTint="F2"/>
          <w:sz w:val="24"/>
          <w:szCs w:val="24"/>
        </w:rPr>
      </w:pPr>
      <w:r w:rsidRPr="00DC7109">
        <w:rPr>
          <w:rFonts w:ascii="Times New Roman" w:hAnsi="Times New Roman"/>
          <w:color w:val="0D0D0D" w:themeColor="text1" w:themeTint="F2"/>
          <w:sz w:val="24"/>
          <w:szCs w:val="24"/>
        </w:rPr>
        <w:t>The law introduces a new important provision regulating the termination of the bankruptcy procedure by the court once it finds that the debtor lacks sufficient assets to pay the creditors.</w:t>
      </w:r>
      <w:r w:rsidRPr="00DC7109">
        <w:rPr>
          <w:rStyle w:val="FootnoteReference"/>
          <w:rFonts w:ascii="Times New Roman" w:hAnsi="Times New Roman"/>
          <w:color w:val="0D0D0D" w:themeColor="text1" w:themeTint="F2"/>
          <w:sz w:val="24"/>
          <w:szCs w:val="24"/>
        </w:rPr>
        <w:footnoteReference w:id="17"/>
      </w:r>
    </w:p>
    <w:p w14:paraId="0AB344AB" w14:textId="77777777" w:rsidR="00F5286B" w:rsidRPr="00DC7109" w:rsidRDefault="00F5286B" w:rsidP="007A7C16">
      <w:pPr>
        <w:spacing w:after="0"/>
        <w:rPr>
          <w:rFonts w:ascii="Times New Roman" w:hAnsi="Times New Roman"/>
          <w:color w:val="0D0D0D" w:themeColor="text1" w:themeTint="F2"/>
          <w:sz w:val="24"/>
          <w:szCs w:val="24"/>
        </w:rPr>
      </w:pPr>
    </w:p>
    <w:p w14:paraId="5A8A48C8" w14:textId="451E8FFC" w:rsidR="007A7C16" w:rsidRPr="00DC7109" w:rsidRDefault="007A7C16" w:rsidP="007A7C16">
      <w:pPr>
        <w:spacing w:after="0"/>
        <w:rPr>
          <w:rFonts w:ascii="Times New Roman" w:hAnsi="Times New Roman"/>
          <w:color w:val="0D0D0D" w:themeColor="text1" w:themeTint="F2"/>
          <w:sz w:val="24"/>
          <w:szCs w:val="24"/>
        </w:rPr>
      </w:pPr>
      <w:r w:rsidRPr="00DC7109">
        <w:rPr>
          <w:rFonts w:ascii="Times New Roman" w:hAnsi="Times New Roman"/>
          <w:color w:val="0D0D0D" w:themeColor="text1" w:themeTint="F2"/>
          <w:sz w:val="24"/>
          <w:szCs w:val="24"/>
        </w:rPr>
        <w:t>The law mandates a structured process before the court decides to terminate proceedings. Initially, the court is required to notify the Business Registration Agency</w:t>
      </w:r>
      <w:r w:rsidRPr="00DC7109">
        <w:rPr>
          <w:rStyle w:val="FootnoteReference"/>
          <w:rFonts w:ascii="Times New Roman" w:hAnsi="Times New Roman"/>
          <w:color w:val="0D0D0D" w:themeColor="text1" w:themeTint="F2"/>
          <w:sz w:val="24"/>
          <w:szCs w:val="24"/>
        </w:rPr>
        <w:footnoteReference w:id="18"/>
      </w:r>
      <w:r w:rsidRPr="00DC7109">
        <w:rPr>
          <w:rFonts w:ascii="Times New Roman" w:hAnsi="Times New Roman"/>
          <w:color w:val="0D0D0D" w:themeColor="text1" w:themeTint="F2"/>
          <w:sz w:val="24"/>
          <w:szCs w:val="24"/>
        </w:rPr>
        <w:t xml:space="preserve"> and other relevant public authorities to ensure that all relevant records are reflected accordingly. Once this announcement is made, creditors and other interested parties, within sixty days after the announcement is made, can file an appeal against the decision to terminate the procedure based on these grounds</w:t>
      </w:r>
      <w:r w:rsidR="00F5286B" w:rsidRPr="00DC7109">
        <w:rPr>
          <w:rFonts w:ascii="Times New Roman" w:hAnsi="Times New Roman"/>
          <w:color w:val="0D0D0D" w:themeColor="text1" w:themeTint="F2"/>
          <w:sz w:val="24"/>
          <w:szCs w:val="24"/>
        </w:rPr>
        <w:t>:</w:t>
      </w:r>
    </w:p>
    <w:p w14:paraId="408687EB" w14:textId="77777777" w:rsidR="00F5286B" w:rsidRPr="00DC7109" w:rsidRDefault="00F5286B" w:rsidP="007A7C16">
      <w:pPr>
        <w:spacing w:after="0"/>
        <w:rPr>
          <w:rFonts w:ascii="Times New Roman" w:hAnsi="Times New Roman"/>
          <w:color w:val="0D0D0D" w:themeColor="text1" w:themeTint="F2"/>
          <w:sz w:val="24"/>
          <w:szCs w:val="24"/>
        </w:rPr>
      </w:pPr>
    </w:p>
    <w:p w14:paraId="0617079D" w14:textId="410032D3" w:rsidR="007A7C16" w:rsidRPr="00DC7109" w:rsidRDefault="007A7C16" w:rsidP="00F5286B">
      <w:pPr>
        <w:pStyle w:val="ListParagraph"/>
        <w:numPr>
          <w:ilvl w:val="0"/>
          <w:numId w:val="34"/>
        </w:numPr>
        <w:spacing w:after="0"/>
        <w:rPr>
          <w:rFonts w:ascii="Times New Roman" w:hAnsi="Times New Roman" w:cs="Times New Roman"/>
          <w:color w:val="0D0D0D" w:themeColor="text1" w:themeTint="F2"/>
          <w:sz w:val="24"/>
          <w:szCs w:val="24"/>
          <w:lang w:val="en-GB"/>
        </w:rPr>
      </w:pPr>
      <w:r w:rsidRPr="00DC7109">
        <w:rPr>
          <w:rFonts w:ascii="Times New Roman" w:hAnsi="Times New Roman" w:cs="Times New Roman"/>
          <w:color w:val="0D0D0D" w:themeColor="text1" w:themeTint="F2"/>
          <w:sz w:val="24"/>
          <w:szCs w:val="24"/>
          <w:lang w:val="en-GB"/>
        </w:rPr>
        <w:t>The debtor has sufficient assets; and</w:t>
      </w:r>
    </w:p>
    <w:p w14:paraId="3C8BB52D" w14:textId="77777777" w:rsidR="007A7C16" w:rsidRPr="00DC7109" w:rsidRDefault="007A7C16" w:rsidP="007A7C16">
      <w:pPr>
        <w:pStyle w:val="ListParagraph"/>
        <w:numPr>
          <w:ilvl w:val="0"/>
          <w:numId w:val="34"/>
        </w:numPr>
        <w:spacing w:after="0" w:line="240" w:lineRule="auto"/>
        <w:jc w:val="both"/>
        <w:rPr>
          <w:rFonts w:ascii="Times New Roman" w:hAnsi="Times New Roman" w:cs="Times New Roman"/>
          <w:color w:val="0D0D0D" w:themeColor="text1" w:themeTint="F2"/>
          <w:sz w:val="24"/>
          <w:szCs w:val="24"/>
          <w:lang w:val="en-GB"/>
        </w:rPr>
      </w:pPr>
      <w:r w:rsidRPr="00DC7109">
        <w:rPr>
          <w:rFonts w:ascii="Times New Roman" w:hAnsi="Times New Roman" w:cs="Times New Roman"/>
          <w:color w:val="0D0D0D" w:themeColor="text1" w:themeTint="F2"/>
          <w:sz w:val="24"/>
          <w:szCs w:val="24"/>
          <w:lang w:val="en-GB"/>
        </w:rPr>
        <w:t>An investigation is necessary to establish whether the debtor’s assets have been fraudulently transferred.</w:t>
      </w:r>
    </w:p>
    <w:p w14:paraId="72CAA23F" w14:textId="77777777" w:rsidR="00F5286B" w:rsidRPr="00DC7109" w:rsidRDefault="00F5286B" w:rsidP="007A7C16">
      <w:pPr>
        <w:spacing w:after="0"/>
        <w:rPr>
          <w:rFonts w:ascii="Times New Roman" w:hAnsi="Times New Roman"/>
          <w:color w:val="0D0D0D" w:themeColor="text1" w:themeTint="F2"/>
          <w:sz w:val="24"/>
          <w:szCs w:val="24"/>
        </w:rPr>
      </w:pPr>
    </w:p>
    <w:p w14:paraId="56B26074" w14:textId="5E3D616E" w:rsidR="007A7C16" w:rsidRPr="00DC7109" w:rsidRDefault="007A7C16" w:rsidP="007A7C16">
      <w:pPr>
        <w:spacing w:after="0"/>
        <w:rPr>
          <w:rFonts w:ascii="Times New Roman" w:hAnsi="Times New Roman"/>
          <w:color w:val="0D0D0D" w:themeColor="text1" w:themeTint="F2"/>
          <w:sz w:val="24"/>
          <w:szCs w:val="24"/>
        </w:rPr>
      </w:pPr>
      <w:r w:rsidRPr="00DC7109">
        <w:rPr>
          <w:rFonts w:ascii="Times New Roman" w:hAnsi="Times New Roman"/>
          <w:color w:val="0D0D0D" w:themeColor="text1" w:themeTint="F2"/>
          <w:sz w:val="24"/>
          <w:szCs w:val="24"/>
        </w:rPr>
        <w:t>Five days after the deadline for submission of appeals, the court informs the prosecutor of</w:t>
      </w:r>
      <w:r w:rsidR="00F5286B" w:rsidRPr="00DC7109">
        <w:rPr>
          <w:rFonts w:ascii="Times New Roman" w:hAnsi="Times New Roman"/>
          <w:color w:val="0D0D0D" w:themeColor="text1" w:themeTint="F2"/>
          <w:sz w:val="24"/>
          <w:szCs w:val="24"/>
        </w:rPr>
        <w:t xml:space="preserve"> </w:t>
      </w:r>
      <w:r w:rsidRPr="00DC7109">
        <w:rPr>
          <w:rFonts w:ascii="Times New Roman" w:hAnsi="Times New Roman"/>
          <w:color w:val="0D0D0D" w:themeColor="text1" w:themeTint="F2"/>
          <w:sz w:val="24"/>
          <w:szCs w:val="24"/>
        </w:rPr>
        <w:t>the allegations made by the parties to open the investigations and suspends the procedure for six months. The court decides to terminate the procedure if there are no appeals within sixty days or if the prosecutor decides not to start or dismiss the criminal case.</w:t>
      </w:r>
    </w:p>
    <w:p w14:paraId="73CFAA06" w14:textId="77777777" w:rsidR="00F5286B" w:rsidRPr="00DC7109" w:rsidRDefault="00F5286B" w:rsidP="007A7C16">
      <w:pPr>
        <w:spacing w:after="0"/>
        <w:rPr>
          <w:rFonts w:ascii="Times New Roman" w:hAnsi="Times New Roman"/>
          <w:color w:val="0D0D0D" w:themeColor="text1" w:themeTint="F2"/>
          <w:sz w:val="24"/>
          <w:szCs w:val="24"/>
        </w:rPr>
      </w:pPr>
    </w:p>
    <w:p w14:paraId="142B2B91"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Challenging the Final List</w:t>
      </w:r>
    </w:p>
    <w:p w14:paraId="146762F0" w14:textId="77777777" w:rsidR="00F5286B" w:rsidRPr="00DC7109" w:rsidRDefault="00F5286B" w:rsidP="007A7C16">
      <w:pPr>
        <w:spacing w:after="0"/>
        <w:rPr>
          <w:rFonts w:ascii="Times New Roman" w:hAnsi="Times New Roman"/>
          <w:sz w:val="24"/>
          <w:szCs w:val="24"/>
        </w:rPr>
      </w:pPr>
    </w:p>
    <w:p w14:paraId="573322F4" w14:textId="1F20DC3A"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new law regulates the challenging of the final list of creditors and their claims with their amounts and status, complied by the administrator and submitted to the court.</w:t>
      </w:r>
      <w:r w:rsidRPr="00DC7109">
        <w:rPr>
          <w:rStyle w:val="FootnoteReference"/>
          <w:rFonts w:ascii="Times New Roman" w:hAnsi="Times New Roman"/>
          <w:sz w:val="24"/>
          <w:szCs w:val="24"/>
        </w:rPr>
        <w:footnoteReference w:id="19"/>
      </w:r>
      <w:r w:rsidRPr="00DC7109">
        <w:rPr>
          <w:rFonts w:ascii="Times New Roman" w:hAnsi="Times New Roman"/>
          <w:sz w:val="24"/>
          <w:szCs w:val="24"/>
        </w:rPr>
        <w:t xml:space="preserve"> The creditors may file their objections to the final list within thirty days. The administrator and the creditor have </w:t>
      </w:r>
      <w:r w:rsidR="00F5286B" w:rsidRPr="00DC7109">
        <w:rPr>
          <w:rFonts w:ascii="Times New Roman" w:hAnsi="Times New Roman"/>
          <w:sz w:val="24"/>
          <w:szCs w:val="24"/>
        </w:rPr>
        <w:t>10 (</w:t>
      </w:r>
      <w:r w:rsidRPr="00DC7109">
        <w:rPr>
          <w:rFonts w:ascii="Times New Roman" w:hAnsi="Times New Roman"/>
          <w:sz w:val="24"/>
          <w:szCs w:val="24"/>
        </w:rPr>
        <w:t xml:space="preserve">ten) days from the date of notification to respond to the arguments. If the administrator agrees with the objection, he communicates this officially to the court and changes the list of creditors. The court decides on all objections within </w:t>
      </w:r>
      <w:r w:rsidR="00F5286B" w:rsidRPr="00DC7109">
        <w:rPr>
          <w:rFonts w:ascii="Times New Roman" w:hAnsi="Times New Roman"/>
          <w:sz w:val="24"/>
          <w:szCs w:val="24"/>
        </w:rPr>
        <w:t>15 (</w:t>
      </w:r>
      <w:r w:rsidRPr="00DC7109">
        <w:rPr>
          <w:rFonts w:ascii="Times New Roman" w:hAnsi="Times New Roman"/>
          <w:sz w:val="24"/>
          <w:szCs w:val="24"/>
        </w:rPr>
        <w:t xml:space="preserve">fifteen) days of receiving the administrator's response. The court may decide to suspend all or a part of the proceedings only if the disputed claims affect more than </w:t>
      </w:r>
      <w:r w:rsidR="00F5286B" w:rsidRPr="00DC7109">
        <w:rPr>
          <w:rFonts w:ascii="Times New Roman" w:hAnsi="Times New Roman"/>
          <w:sz w:val="24"/>
          <w:szCs w:val="24"/>
        </w:rPr>
        <w:t>25% (</w:t>
      </w:r>
      <w:r w:rsidRPr="00DC7109">
        <w:rPr>
          <w:rFonts w:ascii="Times New Roman" w:hAnsi="Times New Roman"/>
          <w:sz w:val="24"/>
          <w:szCs w:val="24"/>
        </w:rPr>
        <w:t>twenty-five percent</w:t>
      </w:r>
      <w:r w:rsidR="00F5286B" w:rsidRPr="00DC7109">
        <w:rPr>
          <w:rFonts w:ascii="Times New Roman" w:hAnsi="Times New Roman"/>
          <w:sz w:val="24"/>
          <w:szCs w:val="24"/>
        </w:rPr>
        <w:t>)</w:t>
      </w:r>
      <w:r w:rsidRPr="00DC7109">
        <w:rPr>
          <w:rFonts w:ascii="Times New Roman" w:hAnsi="Times New Roman"/>
          <w:sz w:val="24"/>
          <w:szCs w:val="24"/>
        </w:rPr>
        <w:t xml:space="preserve"> of the total claims included in the initial list of creditors.</w:t>
      </w:r>
    </w:p>
    <w:p w14:paraId="4AAD68BF" w14:textId="77777777" w:rsidR="00F5286B" w:rsidRPr="00DC7109" w:rsidRDefault="00F5286B" w:rsidP="007A7C16">
      <w:pPr>
        <w:spacing w:after="0"/>
        <w:rPr>
          <w:rFonts w:ascii="Times New Roman" w:hAnsi="Times New Roman"/>
          <w:sz w:val="24"/>
          <w:szCs w:val="24"/>
        </w:rPr>
      </w:pPr>
    </w:p>
    <w:p w14:paraId="5FD0DD34" w14:textId="799852C1"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Administrative Expenses</w:t>
      </w:r>
    </w:p>
    <w:p w14:paraId="4F2A5FD4" w14:textId="77777777" w:rsidR="00F5286B" w:rsidRPr="00DC7109" w:rsidRDefault="00F5286B" w:rsidP="007A7C16">
      <w:pPr>
        <w:spacing w:after="0"/>
        <w:rPr>
          <w:rFonts w:ascii="Times New Roman" w:hAnsi="Times New Roman"/>
          <w:sz w:val="24"/>
          <w:szCs w:val="24"/>
        </w:rPr>
      </w:pPr>
    </w:p>
    <w:p w14:paraId="6AC309AD" w14:textId="015CE2C3"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law also regulates the scenario when the debtor does not guarantee the payment of the administrative expenses for the administration of the case. In such cases, the debtor, upon the court’s request, shall deposit an amount in a trust account to cover these expenses.</w:t>
      </w:r>
      <w:r w:rsidRPr="00DC7109">
        <w:rPr>
          <w:rStyle w:val="FootnoteReference"/>
          <w:rFonts w:ascii="Times New Roman" w:hAnsi="Times New Roman"/>
          <w:sz w:val="24"/>
          <w:szCs w:val="24"/>
        </w:rPr>
        <w:footnoteReference w:id="20"/>
      </w:r>
      <w:r w:rsidRPr="00DC7109">
        <w:rPr>
          <w:rFonts w:ascii="Times New Roman" w:hAnsi="Times New Roman"/>
          <w:sz w:val="24"/>
          <w:szCs w:val="24"/>
        </w:rPr>
        <w:t xml:space="preserve"> This addresses the issue of administrators not being paid for their work, affecting the </w:t>
      </w:r>
      <w:r w:rsidR="00F5286B" w:rsidRPr="00DC7109">
        <w:rPr>
          <w:rFonts w:ascii="Times New Roman" w:hAnsi="Times New Roman"/>
          <w:sz w:val="24"/>
          <w:szCs w:val="24"/>
        </w:rPr>
        <w:t xml:space="preserve">progress of </w:t>
      </w:r>
      <w:r w:rsidRPr="00DC7109">
        <w:rPr>
          <w:rFonts w:ascii="Times New Roman" w:hAnsi="Times New Roman"/>
          <w:sz w:val="24"/>
          <w:szCs w:val="24"/>
        </w:rPr>
        <w:t>bankruptcy proceedings.</w:t>
      </w:r>
    </w:p>
    <w:p w14:paraId="6B24C164" w14:textId="77777777" w:rsidR="00F5286B" w:rsidRPr="00DC7109" w:rsidRDefault="00F5286B" w:rsidP="007A7C16">
      <w:pPr>
        <w:spacing w:after="0"/>
        <w:rPr>
          <w:rFonts w:ascii="Times New Roman" w:hAnsi="Times New Roman"/>
          <w:sz w:val="24"/>
          <w:szCs w:val="24"/>
        </w:rPr>
      </w:pPr>
    </w:p>
    <w:p w14:paraId="5757205E" w14:textId="6374014B" w:rsidR="007A7C16" w:rsidRPr="00DC7109" w:rsidRDefault="007A7C16" w:rsidP="007A7C16">
      <w:pPr>
        <w:spacing w:after="0"/>
        <w:rPr>
          <w:rFonts w:ascii="Times New Roman" w:hAnsi="Times New Roman"/>
          <w:i/>
          <w:iCs/>
          <w:color w:val="0D0D0D" w:themeColor="text1" w:themeTint="F2"/>
          <w:sz w:val="24"/>
          <w:szCs w:val="24"/>
        </w:rPr>
      </w:pPr>
      <w:r w:rsidRPr="00DC7109">
        <w:rPr>
          <w:rFonts w:ascii="Times New Roman" w:hAnsi="Times New Roman"/>
          <w:i/>
          <w:iCs/>
          <w:color w:val="0D0D0D" w:themeColor="text1" w:themeTint="F2"/>
          <w:sz w:val="24"/>
          <w:szCs w:val="24"/>
        </w:rPr>
        <w:t>Sale of the Assets in the Liquidation Procedure</w:t>
      </w:r>
    </w:p>
    <w:p w14:paraId="0398A444" w14:textId="77777777" w:rsidR="00F5286B" w:rsidRPr="00DC7109" w:rsidRDefault="00F5286B" w:rsidP="007A7C16">
      <w:pPr>
        <w:spacing w:after="0"/>
        <w:rPr>
          <w:rFonts w:ascii="Times New Roman" w:hAnsi="Times New Roman"/>
          <w:color w:val="0D0D0D" w:themeColor="text1" w:themeTint="F2"/>
          <w:sz w:val="24"/>
          <w:szCs w:val="24"/>
        </w:rPr>
      </w:pPr>
    </w:p>
    <w:p w14:paraId="44818CEA" w14:textId="482640F5" w:rsidR="007A7C16" w:rsidRPr="00DC7109" w:rsidRDefault="007A7C16" w:rsidP="007A7C16">
      <w:pPr>
        <w:spacing w:after="0"/>
        <w:rPr>
          <w:rFonts w:ascii="Times New Roman" w:hAnsi="Times New Roman"/>
          <w:color w:val="0D0D0D" w:themeColor="text1" w:themeTint="F2"/>
          <w:sz w:val="24"/>
          <w:szCs w:val="24"/>
        </w:rPr>
      </w:pPr>
      <w:r w:rsidRPr="00DC7109">
        <w:rPr>
          <w:rFonts w:ascii="Times New Roman" w:hAnsi="Times New Roman"/>
          <w:color w:val="0D0D0D" w:themeColor="text1" w:themeTint="F2"/>
          <w:sz w:val="24"/>
          <w:szCs w:val="24"/>
        </w:rPr>
        <w:t>The new legal framework provides a more detailed procedure for the</w:t>
      </w:r>
      <w:r w:rsidR="00F5286B" w:rsidRPr="00DC7109">
        <w:rPr>
          <w:rFonts w:ascii="Times New Roman" w:hAnsi="Times New Roman"/>
          <w:color w:val="0D0D0D" w:themeColor="text1" w:themeTint="F2"/>
          <w:sz w:val="24"/>
          <w:szCs w:val="24"/>
        </w:rPr>
        <w:t xml:space="preserve"> </w:t>
      </w:r>
      <w:r w:rsidRPr="00DC7109">
        <w:rPr>
          <w:rFonts w:ascii="Times New Roman" w:hAnsi="Times New Roman"/>
          <w:color w:val="0D0D0D" w:themeColor="text1" w:themeTint="F2"/>
          <w:sz w:val="24"/>
          <w:szCs w:val="24"/>
        </w:rPr>
        <w:t>sale of assets in the liquidation procedure. The law explicitly provides that the sale of assets is carried out</w:t>
      </w:r>
      <w:r w:rsidR="00F5286B" w:rsidRPr="00DC7109">
        <w:rPr>
          <w:rFonts w:ascii="Times New Roman" w:hAnsi="Times New Roman"/>
          <w:color w:val="0D0D0D" w:themeColor="text1" w:themeTint="F2"/>
          <w:sz w:val="24"/>
          <w:szCs w:val="24"/>
        </w:rPr>
        <w:t xml:space="preserve"> </w:t>
      </w:r>
      <w:r w:rsidRPr="00DC7109">
        <w:rPr>
          <w:rFonts w:ascii="Times New Roman" w:hAnsi="Times New Roman"/>
          <w:color w:val="0D0D0D" w:themeColor="text1" w:themeTint="F2"/>
          <w:sz w:val="24"/>
          <w:szCs w:val="24"/>
        </w:rPr>
        <w:t>through auction in accordance with the Law on Enforcement Procedure</w:t>
      </w:r>
      <w:r w:rsidR="00F5286B" w:rsidRPr="00DC7109">
        <w:rPr>
          <w:rFonts w:ascii="Times New Roman" w:hAnsi="Times New Roman"/>
          <w:color w:val="0D0D0D" w:themeColor="text1" w:themeTint="F2"/>
          <w:sz w:val="24"/>
          <w:szCs w:val="24"/>
        </w:rPr>
        <w:t>s</w:t>
      </w:r>
      <w:r w:rsidRPr="00DC7109">
        <w:rPr>
          <w:rFonts w:ascii="Times New Roman" w:hAnsi="Times New Roman"/>
          <w:color w:val="0D0D0D" w:themeColor="text1" w:themeTint="F2"/>
          <w:sz w:val="24"/>
          <w:szCs w:val="24"/>
        </w:rPr>
        <w:t>. The debtor has a 15</w:t>
      </w:r>
      <w:r w:rsidR="00F5286B" w:rsidRPr="00DC7109">
        <w:rPr>
          <w:rFonts w:ascii="Times New Roman" w:hAnsi="Times New Roman"/>
          <w:color w:val="0D0D0D" w:themeColor="text1" w:themeTint="F2"/>
          <w:sz w:val="24"/>
          <w:szCs w:val="24"/>
        </w:rPr>
        <w:t xml:space="preserve"> (fifteen)</w:t>
      </w:r>
      <w:r w:rsidRPr="00DC7109">
        <w:rPr>
          <w:rFonts w:ascii="Times New Roman" w:hAnsi="Times New Roman"/>
          <w:color w:val="0D0D0D" w:themeColor="text1" w:themeTint="F2"/>
          <w:sz w:val="24"/>
          <w:szCs w:val="24"/>
        </w:rPr>
        <w:t>-day window to submit an appeal before the court.</w:t>
      </w:r>
      <w:r w:rsidRPr="00DC7109">
        <w:rPr>
          <w:rStyle w:val="FootnoteReference"/>
          <w:rFonts w:ascii="Times New Roman" w:hAnsi="Times New Roman"/>
          <w:color w:val="0D0D0D" w:themeColor="text1" w:themeTint="F2"/>
          <w:sz w:val="24"/>
          <w:szCs w:val="24"/>
        </w:rPr>
        <w:footnoteReference w:id="21"/>
      </w:r>
      <w:r w:rsidRPr="00DC7109">
        <w:rPr>
          <w:rFonts w:ascii="Times New Roman" w:hAnsi="Times New Roman"/>
          <w:color w:val="0D0D0D" w:themeColor="text1" w:themeTint="F2"/>
          <w:sz w:val="24"/>
          <w:szCs w:val="24"/>
        </w:rPr>
        <w:t xml:space="preserve"> To ensure the highest return for the sale of the</w:t>
      </w:r>
      <w:r w:rsidR="00F5286B" w:rsidRPr="00DC7109">
        <w:rPr>
          <w:rFonts w:ascii="Times New Roman" w:hAnsi="Times New Roman"/>
          <w:color w:val="0D0D0D" w:themeColor="text1" w:themeTint="F2"/>
          <w:sz w:val="24"/>
          <w:szCs w:val="24"/>
        </w:rPr>
        <w:t xml:space="preserve"> </w:t>
      </w:r>
      <w:r w:rsidRPr="00DC7109">
        <w:rPr>
          <w:rFonts w:ascii="Times New Roman" w:hAnsi="Times New Roman"/>
          <w:color w:val="0D0D0D" w:themeColor="text1" w:themeTint="F2"/>
          <w:sz w:val="24"/>
          <w:szCs w:val="24"/>
        </w:rPr>
        <w:t>company’s assets, the new law provides that</w:t>
      </w:r>
      <w:r w:rsidR="00F5286B" w:rsidRPr="00DC7109">
        <w:rPr>
          <w:rFonts w:ascii="Times New Roman" w:hAnsi="Times New Roman"/>
          <w:color w:val="0D0D0D" w:themeColor="text1" w:themeTint="F2"/>
          <w:sz w:val="24"/>
          <w:szCs w:val="24"/>
        </w:rPr>
        <w:t>,</w:t>
      </w:r>
      <w:r w:rsidRPr="00DC7109">
        <w:rPr>
          <w:rFonts w:ascii="Times New Roman" w:hAnsi="Times New Roman"/>
          <w:color w:val="0D0D0D" w:themeColor="text1" w:themeTint="F2"/>
          <w:sz w:val="24"/>
          <w:szCs w:val="24"/>
        </w:rPr>
        <w:t xml:space="preserve"> when determining the minimum sale price of the company's assets, the </w:t>
      </w:r>
      <w:r w:rsidR="00F5286B" w:rsidRPr="00DC7109">
        <w:rPr>
          <w:rFonts w:ascii="Times New Roman" w:hAnsi="Times New Roman"/>
          <w:color w:val="0D0D0D" w:themeColor="text1" w:themeTint="F2"/>
          <w:sz w:val="24"/>
          <w:szCs w:val="24"/>
        </w:rPr>
        <w:t>a</w:t>
      </w:r>
      <w:r w:rsidRPr="00DC7109">
        <w:rPr>
          <w:rFonts w:ascii="Times New Roman" w:hAnsi="Times New Roman"/>
          <w:color w:val="0D0D0D" w:themeColor="text1" w:themeTint="F2"/>
          <w:sz w:val="24"/>
          <w:szCs w:val="24"/>
        </w:rPr>
        <w:t>dministrator will take as a basis the assessment of those assets by a professional engaged in accordance with this Law and will make maximum efforts so that the initial price of the assets is at the level or it approaches the number of debts of the company in bankruptcy.</w:t>
      </w:r>
    </w:p>
    <w:p w14:paraId="1F71C1B1" w14:textId="77777777" w:rsidR="00F5286B" w:rsidRPr="00DC7109" w:rsidRDefault="00F5286B" w:rsidP="007A7C16">
      <w:pPr>
        <w:spacing w:after="0"/>
        <w:rPr>
          <w:rFonts w:ascii="Times New Roman" w:hAnsi="Times New Roman"/>
          <w:color w:val="0D0D0D" w:themeColor="text1" w:themeTint="F2"/>
          <w:sz w:val="24"/>
          <w:szCs w:val="24"/>
        </w:rPr>
      </w:pPr>
    </w:p>
    <w:p w14:paraId="3907D3E3"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The Reopening of the Case</w:t>
      </w:r>
    </w:p>
    <w:p w14:paraId="7A11CF65" w14:textId="77777777" w:rsidR="00F5286B" w:rsidRPr="00DC7109" w:rsidRDefault="00F5286B" w:rsidP="007A7C16">
      <w:pPr>
        <w:spacing w:after="0"/>
        <w:rPr>
          <w:rFonts w:ascii="Times New Roman" w:hAnsi="Times New Roman"/>
          <w:sz w:val="24"/>
          <w:szCs w:val="24"/>
        </w:rPr>
      </w:pPr>
    </w:p>
    <w:p w14:paraId="7C586DFF" w14:textId="4BAE2971"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law provides a new provision that allows the</w:t>
      </w:r>
      <w:r w:rsidR="00F5286B" w:rsidRPr="00DC7109">
        <w:rPr>
          <w:rFonts w:ascii="Times New Roman" w:hAnsi="Times New Roman"/>
          <w:sz w:val="24"/>
          <w:szCs w:val="24"/>
        </w:rPr>
        <w:t xml:space="preserve"> </w:t>
      </w:r>
      <w:r w:rsidRPr="00DC7109">
        <w:rPr>
          <w:rFonts w:ascii="Times New Roman" w:hAnsi="Times New Roman"/>
          <w:sz w:val="24"/>
          <w:szCs w:val="24"/>
        </w:rPr>
        <w:t>resumption of the bankruptcy procedure. The law stipulates that the reopening of the case may be requested by the creditors within one year following the conclusion of the initial bankruptcy case based on the following:</w:t>
      </w:r>
    </w:p>
    <w:p w14:paraId="73789FA7" w14:textId="77777777" w:rsidR="00F5286B" w:rsidRPr="00DC7109" w:rsidRDefault="00F5286B" w:rsidP="007A7C16">
      <w:pPr>
        <w:spacing w:after="0"/>
        <w:rPr>
          <w:rFonts w:ascii="Times New Roman" w:hAnsi="Times New Roman"/>
          <w:sz w:val="24"/>
          <w:szCs w:val="24"/>
        </w:rPr>
      </w:pPr>
    </w:p>
    <w:p w14:paraId="105693C4" w14:textId="77777777" w:rsidR="00F5286B" w:rsidRPr="00DC7109" w:rsidRDefault="007A7C16" w:rsidP="00F5286B">
      <w:pPr>
        <w:pStyle w:val="ListParagraph"/>
        <w:numPr>
          <w:ilvl w:val="0"/>
          <w:numId w:val="35"/>
        </w:numPr>
        <w:spacing w:after="0"/>
        <w:rPr>
          <w:rFonts w:ascii="Times New Roman" w:hAnsi="Times New Roman" w:cs="Times New Roman"/>
          <w:sz w:val="24"/>
          <w:szCs w:val="24"/>
          <w:lang w:val="en-GB"/>
        </w:rPr>
      </w:pPr>
      <w:r w:rsidRPr="00DC7109">
        <w:rPr>
          <w:rFonts w:ascii="Times New Roman" w:hAnsi="Times New Roman" w:cs="Times New Roman"/>
          <w:sz w:val="24"/>
          <w:szCs w:val="24"/>
          <w:lang w:val="en-GB"/>
        </w:rPr>
        <w:t>new assets belonging to the debtor are identified, or</w:t>
      </w:r>
    </w:p>
    <w:p w14:paraId="55672932" w14:textId="2B6D049C" w:rsidR="007A7C16" w:rsidRPr="00DC7109" w:rsidRDefault="007A7C16" w:rsidP="00F5286B">
      <w:pPr>
        <w:pStyle w:val="ListParagraph"/>
        <w:numPr>
          <w:ilvl w:val="0"/>
          <w:numId w:val="35"/>
        </w:numPr>
        <w:spacing w:after="0"/>
        <w:jc w:val="both"/>
        <w:rPr>
          <w:rFonts w:ascii="Times New Roman" w:hAnsi="Times New Roman" w:cs="Times New Roman"/>
          <w:sz w:val="24"/>
          <w:szCs w:val="24"/>
          <w:lang w:val="en-GB"/>
        </w:rPr>
      </w:pPr>
      <w:r w:rsidRPr="00DC7109">
        <w:rPr>
          <w:rFonts w:ascii="Times New Roman" w:hAnsi="Times New Roman" w:cs="Times New Roman"/>
          <w:sz w:val="24"/>
          <w:szCs w:val="24"/>
          <w:lang w:val="en-GB"/>
        </w:rPr>
        <w:t>possible claims for avoidance of actions or responsibilities of the governing bodies are identified.</w:t>
      </w:r>
      <w:r w:rsidRPr="00DC7109">
        <w:rPr>
          <w:rStyle w:val="FootnoteReference"/>
          <w:rFonts w:ascii="Times New Roman" w:hAnsi="Times New Roman" w:cs="Times New Roman"/>
          <w:sz w:val="24"/>
          <w:szCs w:val="24"/>
          <w:lang w:val="en-GB"/>
        </w:rPr>
        <w:footnoteReference w:id="22"/>
      </w:r>
    </w:p>
    <w:p w14:paraId="23459DC4" w14:textId="77777777" w:rsidR="00F5286B" w:rsidRPr="00DC7109" w:rsidRDefault="00F5286B" w:rsidP="007A7C16">
      <w:pPr>
        <w:spacing w:after="0"/>
        <w:rPr>
          <w:rFonts w:ascii="Times New Roman" w:hAnsi="Times New Roman"/>
          <w:sz w:val="24"/>
          <w:szCs w:val="24"/>
        </w:rPr>
      </w:pPr>
    </w:p>
    <w:p w14:paraId="43DC4B83" w14:textId="463E5360"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 xml:space="preserve">The removal of the company from the register does not affect the re-opening of the procedure. Consequently, the company will be reinstated solely to restart the bankruptcy procedure. However, the court will only agree to reopen the case if the newly identified assets or causes of action are deemed substantial enough to cover at least 5% </w:t>
      </w:r>
      <w:r w:rsidR="00F5286B" w:rsidRPr="00DC7109">
        <w:rPr>
          <w:rFonts w:ascii="Times New Roman" w:hAnsi="Times New Roman"/>
          <w:sz w:val="24"/>
          <w:szCs w:val="24"/>
        </w:rPr>
        <w:t xml:space="preserve">(five percent) </w:t>
      </w:r>
      <w:r w:rsidRPr="00DC7109">
        <w:rPr>
          <w:rFonts w:ascii="Times New Roman" w:hAnsi="Times New Roman"/>
          <w:sz w:val="24"/>
          <w:szCs w:val="24"/>
        </w:rPr>
        <w:t>of the claims from the highest-ranking creditors. If the case is resumed, it will be managed as a liquidation proceeding.</w:t>
      </w:r>
    </w:p>
    <w:p w14:paraId="1889B9DE" w14:textId="77777777" w:rsidR="00F5286B" w:rsidRPr="00DC7109" w:rsidRDefault="00F5286B" w:rsidP="007A7C16">
      <w:pPr>
        <w:spacing w:after="0"/>
        <w:rPr>
          <w:rFonts w:ascii="Times New Roman" w:hAnsi="Times New Roman"/>
          <w:sz w:val="24"/>
          <w:szCs w:val="24"/>
        </w:rPr>
      </w:pPr>
    </w:p>
    <w:p w14:paraId="7549AE96" w14:textId="7C5DAE8D"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court will appoint the same administrator who oversaw the initial proceedings to create a new list of creditors. The court will schedule a hearing to evaluate whether the requirements for resuming the procedure are met. If the court decides to reopen the case, it will annul the previous decision to close the proceedings and officially initiate the resumption of the bankruptcy process.</w:t>
      </w:r>
    </w:p>
    <w:p w14:paraId="30FE3FC0" w14:textId="77777777" w:rsidR="00F5286B" w:rsidRPr="00DC7109" w:rsidRDefault="00F5286B" w:rsidP="007A7C16">
      <w:pPr>
        <w:spacing w:after="0"/>
        <w:rPr>
          <w:rFonts w:ascii="Times New Roman" w:hAnsi="Times New Roman"/>
          <w:sz w:val="24"/>
          <w:szCs w:val="24"/>
        </w:rPr>
      </w:pPr>
    </w:p>
    <w:p w14:paraId="26BBB411" w14:textId="3E1C33FD" w:rsidR="007A7C16" w:rsidRPr="00DC7109" w:rsidRDefault="007A7C16" w:rsidP="007A7C16">
      <w:pPr>
        <w:spacing w:after="0"/>
        <w:rPr>
          <w:rFonts w:ascii="Times New Roman" w:hAnsi="Times New Roman"/>
          <w:sz w:val="24"/>
          <w:szCs w:val="24"/>
        </w:rPr>
      </w:pPr>
      <w:r w:rsidRPr="00DC7109">
        <w:rPr>
          <w:rFonts w:ascii="Times New Roman" w:hAnsi="Times New Roman"/>
          <w:i/>
          <w:iCs/>
          <w:sz w:val="24"/>
          <w:szCs w:val="24"/>
        </w:rPr>
        <w:t xml:space="preserve">Establishment of </w:t>
      </w:r>
      <w:r w:rsidR="00F5286B" w:rsidRPr="00DC7109">
        <w:rPr>
          <w:rFonts w:ascii="Times New Roman" w:hAnsi="Times New Roman"/>
          <w:i/>
          <w:iCs/>
          <w:sz w:val="24"/>
          <w:szCs w:val="24"/>
        </w:rPr>
        <w:t xml:space="preserve">a </w:t>
      </w:r>
      <w:r w:rsidRPr="00DC7109">
        <w:rPr>
          <w:rFonts w:ascii="Times New Roman" w:hAnsi="Times New Roman"/>
          <w:i/>
          <w:iCs/>
          <w:sz w:val="24"/>
          <w:szCs w:val="24"/>
        </w:rPr>
        <w:t>Chamber of Bankruptcy Administrators</w:t>
      </w:r>
    </w:p>
    <w:p w14:paraId="507DD4E0" w14:textId="77777777" w:rsidR="00F5286B" w:rsidRPr="00DC7109" w:rsidRDefault="00F5286B" w:rsidP="007A7C16">
      <w:pPr>
        <w:spacing w:after="0"/>
        <w:rPr>
          <w:rFonts w:ascii="Times New Roman" w:hAnsi="Times New Roman"/>
          <w:sz w:val="24"/>
          <w:szCs w:val="24"/>
        </w:rPr>
      </w:pPr>
    </w:p>
    <w:p w14:paraId="36E8DF02" w14:textId="7EE4E2F4" w:rsidR="00F5286B" w:rsidRPr="00DC7109" w:rsidRDefault="007A7C16" w:rsidP="007A7C16">
      <w:pPr>
        <w:spacing w:after="0"/>
        <w:rPr>
          <w:rFonts w:ascii="Times New Roman" w:hAnsi="Times New Roman"/>
          <w:sz w:val="24"/>
          <w:szCs w:val="24"/>
        </w:rPr>
      </w:pPr>
      <w:r w:rsidRPr="00DC7109">
        <w:rPr>
          <w:rFonts w:ascii="Times New Roman" w:hAnsi="Times New Roman"/>
          <w:sz w:val="24"/>
          <w:szCs w:val="24"/>
        </w:rPr>
        <w:t>An important novelty of the new law is the establishment of the Chamber of Bankruptcy Administrators (</w:t>
      </w:r>
      <w:r w:rsidR="00F5286B" w:rsidRPr="00DC7109">
        <w:rPr>
          <w:rFonts w:ascii="Times New Roman" w:hAnsi="Times New Roman"/>
          <w:sz w:val="24"/>
          <w:szCs w:val="24"/>
        </w:rPr>
        <w:t>“</w:t>
      </w:r>
      <w:r w:rsidRPr="00DC7109">
        <w:rPr>
          <w:rFonts w:ascii="Times New Roman" w:hAnsi="Times New Roman"/>
          <w:sz w:val="24"/>
          <w:szCs w:val="24"/>
        </w:rPr>
        <w:t>Chamber</w:t>
      </w:r>
      <w:r w:rsidR="00F5286B" w:rsidRPr="00DC7109">
        <w:rPr>
          <w:rFonts w:ascii="Times New Roman" w:hAnsi="Times New Roman"/>
          <w:sz w:val="24"/>
          <w:szCs w:val="24"/>
        </w:rPr>
        <w:t>”</w:t>
      </w:r>
      <w:r w:rsidRPr="00DC7109">
        <w:rPr>
          <w:rFonts w:ascii="Times New Roman" w:hAnsi="Times New Roman"/>
          <w:sz w:val="24"/>
          <w:szCs w:val="24"/>
        </w:rPr>
        <w:t>). The Chamber is a professional body in which all bankruptcy administrators are members. The Chamber acts as a non-governmental organization and has its seat in Prishtina.</w:t>
      </w:r>
      <w:r w:rsidRPr="00DC7109">
        <w:rPr>
          <w:rStyle w:val="FootnoteReference"/>
          <w:rFonts w:ascii="Times New Roman" w:hAnsi="Times New Roman"/>
          <w:sz w:val="24"/>
          <w:szCs w:val="24"/>
        </w:rPr>
        <w:footnoteReference w:id="23"/>
      </w:r>
      <w:r w:rsidRPr="00DC7109">
        <w:rPr>
          <w:rFonts w:ascii="Times New Roman" w:hAnsi="Times New Roman"/>
          <w:sz w:val="24"/>
          <w:szCs w:val="24"/>
        </w:rPr>
        <w:t xml:space="preserve"> The main bodies of the Chamber are</w:t>
      </w:r>
      <w:r w:rsidR="00F5286B" w:rsidRPr="00DC7109">
        <w:rPr>
          <w:rFonts w:ascii="Times New Roman" w:hAnsi="Times New Roman"/>
          <w:sz w:val="24"/>
          <w:szCs w:val="24"/>
        </w:rPr>
        <w:t xml:space="preserve"> </w:t>
      </w:r>
      <w:r w:rsidRPr="00DC7109">
        <w:rPr>
          <w:rFonts w:ascii="Times New Roman" w:hAnsi="Times New Roman"/>
          <w:sz w:val="24"/>
          <w:szCs w:val="24"/>
        </w:rPr>
        <w:t>the Assembly, Executive Board, Control Council, and the President of the Chamber.</w:t>
      </w:r>
      <w:r w:rsidRPr="00DC7109">
        <w:rPr>
          <w:rStyle w:val="FootnoteReference"/>
          <w:rFonts w:ascii="Times New Roman" w:hAnsi="Times New Roman"/>
          <w:sz w:val="24"/>
          <w:szCs w:val="24"/>
        </w:rPr>
        <w:footnoteReference w:id="24"/>
      </w:r>
    </w:p>
    <w:p w14:paraId="4A97AD69" w14:textId="77777777" w:rsidR="00F5286B" w:rsidRPr="00DC7109" w:rsidRDefault="00F5286B" w:rsidP="007A7C16">
      <w:pPr>
        <w:spacing w:after="0"/>
        <w:rPr>
          <w:rFonts w:ascii="Times New Roman" w:hAnsi="Times New Roman"/>
          <w:sz w:val="24"/>
          <w:szCs w:val="24"/>
        </w:rPr>
      </w:pPr>
    </w:p>
    <w:p w14:paraId="09F7C885" w14:textId="2DE39412"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 xml:space="preserve">The main responsibilities of the Chamber are preserving the prestige, dignity, and rights of the administrator’s profession, issuing the Statute, Code of Ethics for insolvency </w:t>
      </w:r>
      <w:r w:rsidR="00F5286B" w:rsidRPr="00DC7109">
        <w:rPr>
          <w:rFonts w:ascii="Times New Roman" w:hAnsi="Times New Roman"/>
          <w:sz w:val="24"/>
          <w:szCs w:val="24"/>
        </w:rPr>
        <w:t>a</w:t>
      </w:r>
      <w:r w:rsidRPr="00DC7109">
        <w:rPr>
          <w:rFonts w:ascii="Times New Roman" w:hAnsi="Times New Roman"/>
          <w:sz w:val="24"/>
          <w:szCs w:val="24"/>
        </w:rPr>
        <w:t>dministrators and other acts, representing and protecting the rights of administrators before public institutions, ensuring professional advancement of the administrators, establishing and maintaining cooperation with the</w:t>
      </w:r>
      <w:r w:rsidR="00F5286B" w:rsidRPr="00DC7109">
        <w:rPr>
          <w:rFonts w:ascii="Times New Roman" w:hAnsi="Times New Roman"/>
          <w:sz w:val="24"/>
          <w:szCs w:val="24"/>
        </w:rPr>
        <w:t xml:space="preserve"> </w:t>
      </w:r>
      <w:r w:rsidRPr="00DC7109">
        <w:rPr>
          <w:rFonts w:ascii="Times New Roman" w:hAnsi="Times New Roman"/>
          <w:sz w:val="24"/>
          <w:szCs w:val="24"/>
        </w:rPr>
        <w:t xml:space="preserve">Chamber of </w:t>
      </w:r>
      <w:r w:rsidR="00F5286B" w:rsidRPr="00DC7109">
        <w:rPr>
          <w:rFonts w:ascii="Times New Roman" w:hAnsi="Times New Roman"/>
          <w:sz w:val="24"/>
          <w:szCs w:val="24"/>
        </w:rPr>
        <w:t>B</w:t>
      </w:r>
      <w:r w:rsidRPr="00DC7109">
        <w:rPr>
          <w:rFonts w:ascii="Times New Roman" w:hAnsi="Times New Roman"/>
          <w:sz w:val="24"/>
          <w:szCs w:val="24"/>
        </w:rPr>
        <w:t xml:space="preserve">ankruptcy </w:t>
      </w:r>
      <w:r w:rsidR="00F5286B" w:rsidRPr="00DC7109">
        <w:rPr>
          <w:rFonts w:ascii="Times New Roman" w:hAnsi="Times New Roman"/>
          <w:sz w:val="24"/>
          <w:szCs w:val="24"/>
        </w:rPr>
        <w:t>A</w:t>
      </w:r>
      <w:r w:rsidRPr="00DC7109">
        <w:rPr>
          <w:rFonts w:ascii="Times New Roman" w:hAnsi="Times New Roman"/>
          <w:sz w:val="24"/>
          <w:szCs w:val="24"/>
        </w:rPr>
        <w:t xml:space="preserve">dministrators of other countries, and carry out other duties as stipulated in the law and the </w:t>
      </w:r>
      <w:r w:rsidR="00F5286B" w:rsidRPr="00DC7109">
        <w:rPr>
          <w:rFonts w:ascii="Times New Roman" w:hAnsi="Times New Roman"/>
          <w:sz w:val="24"/>
          <w:szCs w:val="24"/>
        </w:rPr>
        <w:t xml:space="preserve">Chamber </w:t>
      </w:r>
      <w:r w:rsidRPr="00DC7109">
        <w:rPr>
          <w:rFonts w:ascii="Times New Roman" w:hAnsi="Times New Roman"/>
          <w:sz w:val="24"/>
          <w:szCs w:val="24"/>
        </w:rPr>
        <w:t>Statute.</w:t>
      </w:r>
      <w:r w:rsidRPr="00DC7109">
        <w:rPr>
          <w:rStyle w:val="FootnoteReference"/>
          <w:rFonts w:ascii="Times New Roman" w:hAnsi="Times New Roman"/>
          <w:sz w:val="24"/>
          <w:szCs w:val="24"/>
        </w:rPr>
        <w:footnoteReference w:id="25"/>
      </w:r>
    </w:p>
    <w:p w14:paraId="0EB43076" w14:textId="77777777" w:rsidR="00F5286B" w:rsidRPr="00DC7109" w:rsidRDefault="00F5286B" w:rsidP="007A7C16">
      <w:pPr>
        <w:spacing w:after="0"/>
        <w:rPr>
          <w:rFonts w:ascii="Times New Roman" w:hAnsi="Times New Roman"/>
          <w:sz w:val="24"/>
          <w:szCs w:val="24"/>
        </w:rPr>
      </w:pPr>
    </w:p>
    <w:p w14:paraId="01D44FB7"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 xml:space="preserve">Licensing of Bankruptcy Administrators </w:t>
      </w:r>
    </w:p>
    <w:p w14:paraId="5CF2109C" w14:textId="77777777" w:rsidR="00F5286B" w:rsidRPr="00DC7109" w:rsidRDefault="00F5286B" w:rsidP="007A7C16">
      <w:pPr>
        <w:spacing w:after="0"/>
        <w:rPr>
          <w:rFonts w:ascii="Times New Roman" w:hAnsi="Times New Roman"/>
          <w:sz w:val="24"/>
          <w:szCs w:val="24"/>
        </w:rPr>
      </w:pPr>
    </w:p>
    <w:p w14:paraId="4902D833" w14:textId="6E7F99F9"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new law provides a detailed procedure for the examination and the licensing of bankruptcy administrators.</w:t>
      </w:r>
      <w:r w:rsidRPr="00DC7109">
        <w:rPr>
          <w:rStyle w:val="FootnoteReference"/>
          <w:rFonts w:ascii="Times New Roman" w:hAnsi="Times New Roman"/>
          <w:sz w:val="24"/>
          <w:szCs w:val="24"/>
        </w:rPr>
        <w:footnoteReference w:id="26"/>
      </w:r>
      <w:r w:rsidRPr="00DC7109">
        <w:rPr>
          <w:rFonts w:ascii="Times New Roman" w:hAnsi="Times New Roman"/>
          <w:sz w:val="24"/>
          <w:szCs w:val="24"/>
        </w:rPr>
        <w:t xml:space="preserve"> The Ministry of Justice carries out the licensing process. The evaluation procedure is conducted by the Evaluation Commission,</w:t>
      </w:r>
      <w:r w:rsidR="00DC7109" w:rsidRPr="00DC7109">
        <w:rPr>
          <w:rFonts w:ascii="Times New Roman" w:hAnsi="Times New Roman"/>
          <w:sz w:val="24"/>
          <w:szCs w:val="24"/>
        </w:rPr>
        <w:t xml:space="preserve"> </w:t>
      </w:r>
      <w:r w:rsidRPr="00DC7109">
        <w:rPr>
          <w:rFonts w:ascii="Times New Roman" w:hAnsi="Times New Roman"/>
          <w:sz w:val="24"/>
          <w:szCs w:val="24"/>
        </w:rPr>
        <w:t>whose members are selected by the Minister of Justice. The Commission is composed of two judges from the Commercial Court, two bankruptcy administrators, and one representative from the Ministry of Justice. The Commission prepares a list of candidates who are then licensed by the Minister of Justice.</w:t>
      </w:r>
    </w:p>
    <w:p w14:paraId="3042E822" w14:textId="77777777" w:rsidR="00DC7109" w:rsidRPr="00DC7109" w:rsidRDefault="00DC7109" w:rsidP="007A7C16">
      <w:pPr>
        <w:spacing w:after="0"/>
        <w:rPr>
          <w:rFonts w:ascii="Times New Roman" w:hAnsi="Times New Roman"/>
          <w:sz w:val="24"/>
          <w:szCs w:val="24"/>
        </w:rPr>
      </w:pPr>
    </w:p>
    <w:p w14:paraId="0D2D09A1" w14:textId="77777777" w:rsidR="007A7C16" w:rsidRPr="00DC7109" w:rsidRDefault="007A7C16" w:rsidP="007A7C16">
      <w:pPr>
        <w:spacing w:after="0"/>
        <w:rPr>
          <w:rFonts w:ascii="Times New Roman" w:hAnsi="Times New Roman"/>
          <w:sz w:val="24"/>
          <w:szCs w:val="24"/>
        </w:rPr>
      </w:pPr>
      <w:r w:rsidRPr="00DC7109">
        <w:rPr>
          <w:rFonts w:ascii="Times New Roman" w:hAnsi="Times New Roman"/>
          <w:i/>
          <w:iCs/>
          <w:sz w:val="24"/>
          <w:szCs w:val="24"/>
        </w:rPr>
        <w:t>Disciplinary Proceedings</w:t>
      </w:r>
    </w:p>
    <w:p w14:paraId="7B1349F4" w14:textId="77777777" w:rsidR="00DC7109" w:rsidRPr="00DC7109" w:rsidRDefault="00DC7109" w:rsidP="007A7C16">
      <w:pPr>
        <w:spacing w:after="0"/>
        <w:rPr>
          <w:rFonts w:ascii="Times New Roman" w:hAnsi="Times New Roman"/>
          <w:sz w:val="24"/>
          <w:szCs w:val="24"/>
        </w:rPr>
      </w:pPr>
    </w:p>
    <w:p w14:paraId="13D71B97" w14:textId="3142D8B6"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new law lists eleven disciplinary violations and five disciplinary measures.</w:t>
      </w:r>
      <w:r w:rsidRPr="00DC7109">
        <w:rPr>
          <w:rStyle w:val="FootnoteReference"/>
          <w:rFonts w:ascii="Times New Roman" w:hAnsi="Times New Roman"/>
          <w:sz w:val="24"/>
          <w:szCs w:val="24"/>
        </w:rPr>
        <w:footnoteReference w:id="27"/>
      </w:r>
      <w:r w:rsidRPr="00DC7109">
        <w:rPr>
          <w:rFonts w:ascii="Times New Roman" w:hAnsi="Times New Roman"/>
          <w:sz w:val="24"/>
          <w:szCs w:val="24"/>
        </w:rPr>
        <w:t xml:space="preserve"> The disciplinary procedure can be initiated </w:t>
      </w:r>
      <w:r w:rsidRPr="00DC7109">
        <w:rPr>
          <w:rFonts w:ascii="Times New Roman" w:hAnsi="Times New Roman"/>
          <w:i/>
          <w:iCs/>
          <w:sz w:val="24"/>
          <w:szCs w:val="24"/>
        </w:rPr>
        <w:t>ex officio</w:t>
      </w:r>
      <w:r w:rsidRPr="00DC7109">
        <w:rPr>
          <w:rFonts w:ascii="Times New Roman" w:hAnsi="Times New Roman"/>
          <w:sz w:val="24"/>
          <w:szCs w:val="24"/>
        </w:rPr>
        <w:t xml:space="preserve"> by the President of the Commercial Court, the Ministry of Justice, and the President of the Chambers or based on the complaints of the parties to the bankruptcy procedure and their representatives.</w:t>
      </w:r>
      <w:r w:rsidRPr="00DC7109">
        <w:rPr>
          <w:rStyle w:val="FootnoteReference"/>
          <w:rFonts w:ascii="Times New Roman" w:hAnsi="Times New Roman"/>
          <w:sz w:val="24"/>
          <w:szCs w:val="24"/>
        </w:rPr>
        <w:footnoteReference w:id="28"/>
      </w:r>
      <w:r w:rsidRPr="00DC7109">
        <w:rPr>
          <w:rFonts w:ascii="Times New Roman" w:hAnsi="Times New Roman"/>
          <w:sz w:val="24"/>
          <w:szCs w:val="24"/>
        </w:rPr>
        <w:t xml:space="preserve"> The Disciplinary Commission appointed by the Minister of Justice decides whether there has been a violation by the administrator and the disciplinary measure. The decision of the Commission is final, and against it, the administrative conflict can be initiated.</w:t>
      </w:r>
      <w:r w:rsidRPr="00DC7109">
        <w:rPr>
          <w:rStyle w:val="FootnoteReference"/>
          <w:rFonts w:ascii="Times New Roman" w:hAnsi="Times New Roman"/>
          <w:sz w:val="24"/>
          <w:szCs w:val="24"/>
        </w:rPr>
        <w:footnoteReference w:id="29"/>
      </w:r>
    </w:p>
    <w:p w14:paraId="6C809914" w14:textId="77777777" w:rsidR="00DC7109" w:rsidRPr="00DC7109" w:rsidRDefault="00DC7109" w:rsidP="007A7C16">
      <w:pPr>
        <w:spacing w:after="0"/>
        <w:rPr>
          <w:rFonts w:ascii="Times New Roman" w:hAnsi="Times New Roman"/>
          <w:sz w:val="24"/>
          <w:szCs w:val="24"/>
        </w:rPr>
      </w:pPr>
    </w:p>
    <w:p w14:paraId="3E4A28E0" w14:textId="77777777"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Retroactivity</w:t>
      </w:r>
    </w:p>
    <w:p w14:paraId="5532A455" w14:textId="77777777" w:rsidR="00DC7109" w:rsidRPr="00DC7109" w:rsidRDefault="00DC7109" w:rsidP="007A7C16">
      <w:pPr>
        <w:spacing w:after="0"/>
        <w:rPr>
          <w:rFonts w:ascii="Times New Roman" w:hAnsi="Times New Roman"/>
          <w:sz w:val="24"/>
          <w:szCs w:val="24"/>
        </w:rPr>
      </w:pPr>
    </w:p>
    <w:p w14:paraId="3E0EFBFB" w14:textId="2AFA08DC"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The new law applies to all active bankruptcy cases initiated before the Law on Bankruptcy Proceedings entered into force.</w:t>
      </w:r>
      <w:r w:rsidRPr="00DC7109">
        <w:rPr>
          <w:rStyle w:val="FootnoteReference"/>
          <w:rFonts w:ascii="Times New Roman" w:hAnsi="Times New Roman"/>
          <w:sz w:val="24"/>
          <w:szCs w:val="24"/>
        </w:rPr>
        <w:footnoteReference w:id="30"/>
      </w:r>
    </w:p>
    <w:p w14:paraId="57D22E4C" w14:textId="77777777" w:rsidR="00DC7109" w:rsidRPr="00DC7109" w:rsidRDefault="00DC7109" w:rsidP="007A7C16">
      <w:pPr>
        <w:spacing w:after="0"/>
        <w:rPr>
          <w:rFonts w:ascii="Times New Roman" w:hAnsi="Times New Roman"/>
          <w:sz w:val="24"/>
          <w:szCs w:val="24"/>
        </w:rPr>
      </w:pPr>
    </w:p>
    <w:p w14:paraId="5FE5A785" w14:textId="1E549A90" w:rsidR="007A7C16" w:rsidRPr="00DC7109" w:rsidRDefault="007A7C16" w:rsidP="007A7C16">
      <w:pPr>
        <w:spacing w:after="0"/>
        <w:rPr>
          <w:rFonts w:ascii="Times New Roman" w:hAnsi="Times New Roman"/>
          <w:i/>
          <w:iCs/>
          <w:sz w:val="24"/>
          <w:szCs w:val="24"/>
        </w:rPr>
      </w:pPr>
      <w:r w:rsidRPr="00DC7109">
        <w:rPr>
          <w:rFonts w:ascii="Times New Roman" w:hAnsi="Times New Roman"/>
          <w:i/>
          <w:iCs/>
          <w:sz w:val="24"/>
          <w:szCs w:val="24"/>
        </w:rPr>
        <w:t>Conclusion</w:t>
      </w:r>
    </w:p>
    <w:p w14:paraId="7ED0CA9E" w14:textId="77777777" w:rsidR="00DC7109" w:rsidRPr="00DC7109" w:rsidRDefault="00DC7109" w:rsidP="007A7C16">
      <w:pPr>
        <w:spacing w:after="0"/>
        <w:rPr>
          <w:rFonts w:ascii="Times New Roman" w:hAnsi="Times New Roman"/>
          <w:b/>
          <w:bCs/>
          <w:i/>
          <w:iCs/>
          <w:sz w:val="24"/>
          <w:szCs w:val="24"/>
        </w:rPr>
      </w:pPr>
    </w:p>
    <w:p w14:paraId="08588345" w14:textId="149FC44B"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 xml:space="preserve">The new Law on Bankruptcy </w:t>
      </w:r>
      <w:r w:rsidR="00DC7109" w:rsidRPr="00DC7109">
        <w:rPr>
          <w:rFonts w:ascii="Times New Roman" w:hAnsi="Times New Roman"/>
          <w:sz w:val="24"/>
          <w:szCs w:val="24"/>
        </w:rPr>
        <w:t xml:space="preserve">Proceedings </w:t>
      </w:r>
      <w:r w:rsidRPr="00DC7109">
        <w:rPr>
          <w:rFonts w:ascii="Times New Roman" w:hAnsi="Times New Roman"/>
          <w:sz w:val="24"/>
          <w:szCs w:val="24"/>
        </w:rPr>
        <w:t>marks significant progress in insolvency proceedings in Kosovo. The Law lays a clear foundation for insolvency proceedings while addressing the gaps and irregularities of the previous legal framework.</w:t>
      </w:r>
    </w:p>
    <w:p w14:paraId="503A2552" w14:textId="77777777" w:rsidR="00DC7109" w:rsidRPr="00DC7109" w:rsidRDefault="00DC7109" w:rsidP="007A7C16">
      <w:pPr>
        <w:spacing w:after="0"/>
        <w:rPr>
          <w:rFonts w:ascii="Times New Roman" w:hAnsi="Times New Roman"/>
          <w:sz w:val="24"/>
          <w:szCs w:val="24"/>
        </w:rPr>
      </w:pPr>
    </w:p>
    <w:p w14:paraId="46B09B66" w14:textId="0817E788" w:rsidR="007A7C16" w:rsidRPr="00DC7109" w:rsidRDefault="007A7C16" w:rsidP="007A7C16">
      <w:pPr>
        <w:spacing w:after="0"/>
        <w:rPr>
          <w:rFonts w:ascii="Times New Roman" w:hAnsi="Times New Roman"/>
          <w:sz w:val="24"/>
          <w:szCs w:val="24"/>
        </w:rPr>
      </w:pPr>
      <w:r w:rsidRPr="00DC7109">
        <w:rPr>
          <w:rFonts w:ascii="Times New Roman" w:hAnsi="Times New Roman"/>
          <w:sz w:val="24"/>
          <w:szCs w:val="24"/>
        </w:rPr>
        <w:t xml:space="preserve">The new legal framework has regulated several gaps and irregularities identified in the RoL Strategy, such as the lack of clarity of insolvency proceedings, the absence of </w:t>
      </w:r>
      <w:r w:rsidR="00DC7109" w:rsidRPr="00DC7109">
        <w:rPr>
          <w:rFonts w:ascii="Times New Roman" w:hAnsi="Times New Roman"/>
          <w:sz w:val="24"/>
          <w:szCs w:val="24"/>
        </w:rPr>
        <w:t xml:space="preserve">a </w:t>
      </w:r>
      <w:r w:rsidRPr="00DC7109">
        <w:rPr>
          <w:rFonts w:ascii="Times New Roman" w:hAnsi="Times New Roman"/>
          <w:sz w:val="24"/>
          <w:szCs w:val="24"/>
        </w:rPr>
        <w:t>Chamber of Bankruptcy Administrators, and clear rules on overseeing</w:t>
      </w:r>
      <w:r w:rsidR="00DC7109" w:rsidRPr="00DC7109">
        <w:rPr>
          <w:rFonts w:ascii="Times New Roman" w:hAnsi="Times New Roman"/>
          <w:sz w:val="24"/>
          <w:szCs w:val="24"/>
        </w:rPr>
        <w:t xml:space="preserve"> </w:t>
      </w:r>
      <w:r w:rsidRPr="00DC7109">
        <w:rPr>
          <w:rFonts w:ascii="Times New Roman" w:hAnsi="Times New Roman"/>
          <w:sz w:val="24"/>
          <w:szCs w:val="24"/>
        </w:rPr>
        <w:t>the work of administrators and disciplinary proceedings.</w:t>
      </w:r>
      <w:r w:rsidRPr="00DC7109">
        <w:rPr>
          <w:rStyle w:val="FootnoteReference"/>
          <w:rFonts w:ascii="Times New Roman" w:hAnsi="Times New Roman"/>
          <w:sz w:val="24"/>
          <w:szCs w:val="24"/>
        </w:rPr>
        <w:footnoteReference w:id="31"/>
      </w:r>
    </w:p>
    <w:p w14:paraId="3607AEF8" w14:textId="77777777" w:rsidR="00DC7109" w:rsidRPr="00DC7109" w:rsidRDefault="00DC7109" w:rsidP="007A7C16">
      <w:pPr>
        <w:spacing w:after="0"/>
        <w:rPr>
          <w:rFonts w:ascii="Times New Roman" w:hAnsi="Times New Roman"/>
          <w:sz w:val="24"/>
          <w:szCs w:val="24"/>
        </w:rPr>
      </w:pPr>
    </w:p>
    <w:p w14:paraId="00466DC7" w14:textId="2E734551" w:rsidR="007A7C16" w:rsidRPr="00DC7109" w:rsidRDefault="007A7C16" w:rsidP="007A7C16">
      <w:pPr>
        <w:spacing w:after="0"/>
        <w:rPr>
          <w:rFonts w:ascii="Times New Roman" w:hAnsi="Times New Roman"/>
          <w:b/>
          <w:bCs/>
          <w:color w:val="000000"/>
          <w:sz w:val="24"/>
          <w:szCs w:val="24"/>
        </w:rPr>
      </w:pPr>
      <w:r w:rsidRPr="00DC7109">
        <w:rPr>
          <w:rFonts w:ascii="Times New Roman" w:hAnsi="Times New Roman"/>
          <w:sz w:val="24"/>
          <w:szCs w:val="24"/>
        </w:rPr>
        <w:t>Key challenges, however, remain the implementation of the new Law on Bankruptcy, awareness-raising for bankruptcy proceedings, and strengthening the capacity of the bankruptcy administrators. Additionally, upcoming actions stemming from the RoL Strategy and the new Law on Bankruptcy</w:t>
      </w:r>
      <w:r w:rsidR="00DC7109" w:rsidRPr="00DC7109">
        <w:rPr>
          <w:rFonts w:ascii="Times New Roman" w:hAnsi="Times New Roman"/>
          <w:sz w:val="24"/>
          <w:szCs w:val="24"/>
        </w:rPr>
        <w:t xml:space="preserve"> Proceedings</w:t>
      </w:r>
      <w:r w:rsidRPr="00DC7109">
        <w:rPr>
          <w:rFonts w:ascii="Times New Roman" w:hAnsi="Times New Roman"/>
          <w:sz w:val="24"/>
          <w:szCs w:val="24"/>
        </w:rPr>
        <w:t xml:space="preserve"> include the adoption of</w:t>
      </w:r>
      <w:r w:rsidR="00DC7109" w:rsidRPr="00DC7109">
        <w:rPr>
          <w:rFonts w:ascii="Times New Roman" w:hAnsi="Times New Roman"/>
          <w:sz w:val="24"/>
          <w:szCs w:val="24"/>
        </w:rPr>
        <w:t xml:space="preserve"> </w:t>
      </w:r>
      <w:r w:rsidRPr="00DC7109">
        <w:rPr>
          <w:rFonts w:ascii="Times New Roman" w:hAnsi="Times New Roman"/>
          <w:sz w:val="24"/>
          <w:szCs w:val="24"/>
        </w:rPr>
        <w:t>sub-legal acts stemming from the new Law</w:t>
      </w:r>
      <w:r w:rsidR="00DC7109" w:rsidRPr="00DC7109">
        <w:rPr>
          <w:rFonts w:ascii="Times New Roman" w:hAnsi="Times New Roman"/>
          <w:sz w:val="24"/>
          <w:szCs w:val="24"/>
        </w:rPr>
        <w:t xml:space="preserve"> and</w:t>
      </w:r>
      <w:r w:rsidRPr="00DC7109">
        <w:rPr>
          <w:rFonts w:ascii="Times New Roman" w:hAnsi="Times New Roman"/>
          <w:sz w:val="24"/>
          <w:szCs w:val="24"/>
        </w:rPr>
        <w:t xml:space="preserve"> the </w:t>
      </w:r>
      <w:r w:rsidR="00DC7109" w:rsidRPr="00DC7109">
        <w:rPr>
          <w:rFonts w:ascii="Times New Roman" w:hAnsi="Times New Roman"/>
          <w:sz w:val="24"/>
          <w:szCs w:val="24"/>
        </w:rPr>
        <w:t>Chamber S</w:t>
      </w:r>
      <w:r w:rsidRPr="00DC7109">
        <w:rPr>
          <w:rFonts w:ascii="Times New Roman" w:hAnsi="Times New Roman"/>
          <w:sz w:val="24"/>
          <w:szCs w:val="24"/>
        </w:rPr>
        <w:t>tatute.</w:t>
      </w:r>
    </w:p>
    <w:p w14:paraId="28EE16FA" w14:textId="77777777" w:rsidR="007A7C16" w:rsidRPr="00DC7109" w:rsidRDefault="007A7C16" w:rsidP="007A7C16">
      <w:pPr>
        <w:spacing w:after="0"/>
        <w:textAlignment w:val="baseline"/>
        <w:rPr>
          <w:rFonts w:ascii="Times New Roman" w:hAnsi="Times New Roman"/>
          <w:b/>
          <w:bCs/>
          <w:color w:val="000000"/>
          <w:sz w:val="24"/>
          <w:szCs w:val="24"/>
        </w:rPr>
      </w:pPr>
    </w:p>
    <w:p w14:paraId="4CB66010" w14:textId="3C3EB045" w:rsidR="002A635A" w:rsidRPr="00DC7109" w:rsidRDefault="002A635A" w:rsidP="007A7C16">
      <w:pPr>
        <w:spacing w:after="0"/>
        <w:rPr>
          <w:rFonts w:ascii="Times New Roman" w:hAnsi="Times New Roman"/>
          <w:sz w:val="24"/>
          <w:szCs w:val="24"/>
        </w:rPr>
      </w:pPr>
    </w:p>
    <w:sectPr w:rsidR="002A635A" w:rsidRPr="00DC7109"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E517" w14:textId="77777777" w:rsidR="00F22C57" w:rsidRDefault="00F22C57">
      <w:r>
        <w:separator/>
      </w:r>
    </w:p>
  </w:endnote>
  <w:endnote w:type="continuationSeparator" w:id="0">
    <w:p w14:paraId="5E2F9CE6" w14:textId="77777777" w:rsidR="00F22C57" w:rsidRDefault="00F22C57">
      <w:r>
        <w:continuationSeparator/>
      </w:r>
    </w:p>
  </w:endnote>
  <w:endnote w:type="continuationNotice" w:id="1">
    <w:p w14:paraId="03636961" w14:textId="77777777" w:rsidR="00F22C57" w:rsidRDefault="00F22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TZhongsong">
    <w:altName w:val="STZho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D5B29" w14:textId="77777777" w:rsidR="00F22C57" w:rsidRDefault="00F22C57">
      <w:r>
        <w:separator/>
      </w:r>
    </w:p>
  </w:footnote>
  <w:footnote w:type="continuationSeparator" w:id="0">
    <w:p w14:paraId="603B863A" w14:textId="77777777" w:rsidR="00F22C57" w:rsidRDefault="00F22C57">
      <w:r>
        <w:continuationSeparator/>
      </w:r>
    </w:p>
  </w:footnote>
  <w:footnote w:type="continuationNotice" w:id="1">
    <w:p w14:paraId="22FA6859" w14:textId="77777777" w:rsidR="00F22C57" w:rsidRDefault="00F22C57">
      <w:pPr>
        <w:spacing w:after="0"/>
      </w:pPr>
    </w:p>
  </w:footnote>
  <w:footnote w:id="2">
    <w:p w14:paraId="50F44AB0" w14:textId="2AEA9791"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Law on Bankruptcy </w:t>
      </w:r>
      <w:r>
        <w:rPr>
          <w:rFonts w:ascii="Times New Roman" w:hAnsi="Times New Roman"/>
        </w:rPr>
        <w:t xml:space="preserve">Proceedings </w:t>
      </w:r>
      <w:r w:rsidRPr="007A7C16">
        <w:rPr>
          <w:rFonts w:ascii="Times New Roman" w:hAnsi="Times New Roman"/>
        </w:rPr>
        <w:t>(no. 08/L-256) Official Gazette of the Republic of Kosovo, available at: &lt;https://gzk.rks-gov.net/ActDetail.aspx?ActID=12664&gt;.</w:t>
      </w:r>
    </w:p>
  </w:footnote>
  <w:footnote w:id="3">
    <w:p w14:paraId="46E2304F" w14:textId="78A6B151"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Law on </w:t>
      </w:r>
      <w:r>
        <w:rPr>
          <w:rFonts w:ascii="Times New Roman" w:hAnsi="Times New Roman"/>
        </w:rPr>
        <w:t xml:space="preserve">the </w:t>
      </w:r>
      <w:r w:rsidRPr="007A7C16">
        <w:rPr>
          <w:rFonts w:ascii="Times New Roman" w:hAnsi="Times New Roman"/>
        </w:rPr>
        <w:t>Commercial Court (no. 08/L-015), available at: &lt;https://gzk.rks-gov.net/ActDetail.aspx?ActID=53748&gt;.</w:t>
      </w:r>
    </w:p>
  </w:footnote>
  <w:footnote w:id="4">
    <w:p w14:paraId="6E640F87" w14:textId="78748DA3"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Rule of Law Strategy 2021-2026, available at: &lt;https://md.rks-gov.net/desk/inc/media/8EF86336-E250-4EA2-9780-D4B8F7E853B5.pdf&gt;.</w:t>
      </w:r>
    </w:p>
  </w:footnote>
  <w:footnote w:id="5">
    <w:p w14:paraId="0FB49D2A" w14:textId="225D1255"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See</w:t>
      </w:r>
      <w:r>
        <w:rPr>
          <w:rFonts w:ascii="Times New Roman" w:hAnsi="Times New Roman"/>
        </w:rPr>
        <w:t xml:space="preserve">: </w:t>
      </w:r>
      <w:r w:rsidRPr="007A7C16">
        <w:rPr>
          <w:rFonts w:ascii="Times New Roman" w:hAnsi="Times New Roman"/>
        </w:rPr>
        <w:t>Kosovo Judicial Council, Statistical Report of the Courts Nine-Month Period 2024, 7, available at: &lt;https://www.gjyqesori-rks.org/wp-content/uploads/reports/36675_Raporti_statistikor_Gjykatave_nentmujori_2024.pdf&gt;.</w:t>
      </w:r>
    </w:p>
  </w:footnote>
  <w:footnote w:id="6">
    <w:p w14:paraId="1EFE161F" w14:textId="7F7A3FDF"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sidRPr="007A7C16">
        <w:rPr>
          <w:rFonts w:ascii="Times New Roman" w:hAnsi="Times New Roman"/>
        </w:rPr>
        <w:t>Article 13, para</w:t>
      </w:r>
      <w:r w:rsidR="00F5286B">
        <w:rPr>
          <w:rFonts w:ascii="Times New Roman" w:hAnsi="Times New Roman"/>
        </w:rPr>
        <w:t>graph</w:t>
      </w:r>
      <w:r w:rsidR="00F5286B" w:rsidRPr="007A7C16">
        <w:rPr>
          <w:rFonts w:ascii="Times New Roman" w:hAnsi="Times New Roman"/>
        </w:rPr>
        <w:t xml:space="preserve"> 1.5</w:t>
      </w:r>
      <w:r w:rsidR="00F5286B">
        <w:rPr>
          <w:rFonts w:ascii="Times New Roman" w:hAnsi="Times New Roman"/>
        </w:rPr>
        <w:t xml:space="preserve">, </w:t>
      </w:r>
      <w:r w:rsidRPr="007A7C16">
        <w:rPr>
          <w:rFonts w:ascii="Times New Roman" w:hAnsi="Times New Roman"/>
        </w:rPr>
        <w:t xml:space="preserve">Law on </w:t>
      </w:r>
      <w:r w:rsidR="00F5286B">
        <w:rPr>
          <w:rFonts w:ascii="Times New Roman" w:hAnsi="Times New Roman"/>
        </w:rPr>
        <w:t xml:space="preserve">the </w:t>
      </w:r>
      <w:r w:rsidRPr="007A7C16">
        <w:rPr>
          <w:rFonts w:ascii="Times New Roman" w:hAnsi="Times New Roman"/>
        </w:rPr>
        <w:t xml:space="preserve">Commercial Court (no.08/L-015) </w:t>
      </w:r>
      <w:r w:rsidR="00F5286B">
        <w:rPr>
          <w:rFonts w:ascii="Times New Roman" w:hAnsi="Times New Roman"/>
        </w:rPr>
        <w:t>(</w:t>
      </w:r>
      <w:r w:rsidRPr="007A7C16">
        <w:rPr>
          <w:rFonts w:ascii="Times New Roman" w:hAnsi="Times New Roman"/>
        </w:rPr>
        <w:t>above note 2</w:t>
      </w:r>
      <w:r w:rsidR="00F5286B">
        <w:rPr>
          <w:rFonts w:ascii="Times New Roman" w:hAnsi="Times New Roman"/>
        </w:rPr>
        <w:t>)</w:t>
      </w:r>
      <w:r w:rsidRPr="007A7C16">
        <w:rPr>
          <w:rFonts w:ascii="Times New Roman" w:hAnsi="Times New Roman"/>
        </w:rPr>
        <w:t>.</w:t>
      </w:r>
    </w:p>
  </w:footnote>
  <w:footnote w:id="7">
    <w:p w14:paraId="14A37024" w14:textId="4F42BC3E"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I</w:t>
      </w:r>
      <w:r w:rsidR="00F5286B">
        <w:rPr>
          <w:rFonts w:ascii="Times New Roman" w:hAnsi="Times New Roman"/>
        </w:rPr>
        <w:t>bid.</w:t>
      </w:r>
      <w:r w:rsidRPr="007A7C16">
        <w:rPr>
          <w:rFonts w:ascii="Times New Roman" w:hAnsi="Times New Roman"/>
        </w:rPr>
        <w:t>, Article 10.</w:t>
      </w:r>
    </w:p>
  </w:footnote>
  <w:footnote w:id="8">
    <w:p w14:paraId="5D11D67D" w14:textId="5BE14E03"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sidRPr="007A7C16">
        <w:rPr>
          <w:rFonts w:ascii="Times New Roman" w:hAnsi="Times New Roman"/>
        </w:rPr>
        <w:t>Article 6, para</w:t>
      </w:r>
      <w:r w:rsidR="00F5286B">
        <w:rPr>
          <w:rFonts w:ascii="Times New Roman" w:hAnsi="Times New Roman"/>
        </w:rPr>
        <w:t>graph</w:t>
      </w:r>
      <w:r w:rsidR="00F5286B" w:rsidRPr="007A7C16">
        <w:rPr>
          <w:rFonts w:ascii="Times New Roman" w:hAnsi="Times New Roman"/>
        </w:rPr>
        <w:t xml:space="preserve"> 4</w:t>
      </w:r>
      <w:r w:rsidR="00F5286B">
        <w:rPr>
          <w:rFonts w:ascii="Times New Roman" w:hAnsi="Times New Roman"/>
        </w:rPr>
        <w:t xml:space="preserve">, </w:t>
      </w:r>
      <w:r w:rsidRPr="007A7C16">
        <w:rPr>
          <w:rFonts w:ascii="Times New Roman" w:hAnsi="Times New Roman"/>
        </w:rPr>
        <w:t xml:space="preserve">Law on Bankruptcy </w:t>
      </w:r>
      <w:r w:rsidR="00F5286B">
        <w:rPr>
          <w:rFonts w:ascii="Times New Roman" w:hAnsi="Times New Roman"/>
        </w:rPr>
        <w:t xml:space="preserve">Proceedings </w:t>
      </w:r>
      <w:r w:rsidRPr="007A7C16">
        <w:rPr>
          <w:rFonts w:ascii="Times New Roman" w:hAnsi="Times New Roman"/>
        </w:rPr>
        <w:t xml:space="preserve">(no. 08/L-256) </w:t>
      </w:r>
      <w:r w:rsidR="00F5286B">
        <w:rPr>
          <w:rFonts w:ascii="Times New Roman" w:hAnsi="Times New Roman"/>
        </w:rPr>
        <w:t>(</w:t>
      </w:r>
      <w:r w:rsidRPr="007A7C16">
        <w:rPr>
          <w:rFonts w:ascii="Times New Roman" w:hAnsi="Times New Roman"/>
        </w:rPr>
        <w:t>above note 1</w:t>
      </w:r>
      <w:r w:rsidR="00F5286B">
        <w:rPr>
          <w:rFonts w:ascii="Times New Roman" w:hAnsi="Times New Roman"/>
        </w:rPr>
        <w:t>)</w:t>
      </w:r>
      <w:r w:rsidRPr="007A7C16">
        <w:rPr>
          <w:rFonts w:ascii="Times New Roman" w:hAnsi="Times New Roman"/>
        </w:rPr>
        <w:t>.</w:t>
      </w:r>
    </w:p>
  </w:footnote>
  <w:footnote w:id="9">
    <w:p w14:paraId="105E6935" w14:textId="3B18B281"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Pr>
          <w:rFonts w:ascii="Times New Roman" w:hAnsi="Times New Roman"/>
        </w:rPr>
        <w:t>Ibid.</w:t>
      </w:r>
      <w:r w:rsidRPr="007A7C16">
        <w:rPr>
          <w:rFonts w:ascii="Times New Roman" w:hAnsi="Times New Roman"/>
        </w:rPr>
        <w:t xml:space="preserve">, </w:t>
      </w:r>
      <w:r w:rsidR="00F5286B">
        <w:rPr>
          <w:rFonts w:ascii="Times New Roman" w:hAnsi="Times New Roman"/>
        </w:rPr>
        <w:t xml:space="preserve">Article 6, </w:t>
      </w:r>
      <w:r w:rsidRPr="007A7C16">
        <w:rPr>
          <w:rFonts w:ascii="Times New Roman" w:hAnsi="Times New Roman"/>
        </w:rPr>
        <w:t>para</w:t>
      </w:r>
      <w:r w:rsidR="00F5286B">
        <w:rPr>
          <w:rFonts w:ascii="Times New Roman" w:hAnsi="Times New Roman"/>
        </w:rPr>
        <w:t>graph</w:t>
      </w:r>
      <w:r w:rsidRPr="007A7C16">
        <w:rPr>
          <w:rFonts w:ascii="Times New Roman" w:hAnsi="Times New Roman"/>
        </w:rPr>
        <w:t xml:space="preserve"> 6.</w:t>
      </w:r>
    </w:p>
  </w:footnote>
  <w:footnote w:id="10">
    <w:p w14:paraId="10F6CA08" w14:textId="15DA7F33"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sidRPr="007A7C16">
        <w:rPr>
          <w:rFonts w:ascii="Times New Roman" w:hAnsi="Times New Roman"/>
        </w:rPr>
        <w:t>Article 30</w:t>
      </w:r>
      <w:r w:rsidR="00F5286B">
        <w:rPr>
          <w:rFonts w:ascii="Times New Roman" w:hAnsi="Times New Roman"/>
        </w:rPr>
        <w:t xml:space="preserve">, </w:t>
      </w:r>
      <w:r w:rsidRPr="007A7C16">
        <w:rPr>
          <w:rFonts w:ascii="Times New Roman" w:hAnsi="Times New Roman"/>
        </w:rPr>
        <w:t xml:space="preserve">Law on </w:t>
      </w:r>
      <w:r w:rsidR="00F5286B">
        <w:rPr>
          <w:rFonts w:ascii="Times New Roman" w:hAnsi="Times New Roman"/>
        </w:rPr>
        <w:t xml:space="preserve">the </w:t>
      </w:r>
      <w:r w:rsidRPr="007A7C16">
        <w:rPr>
          <w:rFonts w:ascii="Times New Roman" w:hAnsi="Times New Roman"/>
        </w:rPr>
        <w:t xml:space="preserve">Commercial Court (no.08/L-015) </w:t>
      </w:r>
      <w:r w:rsidR="00F5286B">
        <w:rPr>
          <w:rFonts w:ascii="Times New Roman" w:hAnsi="Times New Roman"/>
        </w:rPr>
        <w:t>(</w:t>
      </w:r>
      <w:r w:rsidRPr="007A7C16">
        <w:rPr>
          <w:rFonts w:ascii="Times New Roman" w:hAnsi="Times New Roman"/>
        </w:rPr>
        <w:t>above note 2</w:t>
      </w:r>
      <w:r w:rsidR="00F5286B">
        <w:rPr>
          <w:rFonts w:ascii="Times New Roman" w:hAnsi="Times New Roman"/>
        </w:rPr>
        <w:t>)</w:t>
      </w:r>
      <w:r w:rsidRPr="007A7C16">
        <w:rPr>
          <w:rFonts w:ascii="Times New Roman" w:hAnsi="Times New Roman"/>
        </w:rPr>
        <w:t>.</w:t>
      </w:r>
    </w:p>
  </w:footnote>
  <w:footnote w:id="11">
    <w:p w14:paraId="66B15C16" w14:textId="6E0C023E"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sidRPr="007A7C16">
        <w:rPr>
          <w:rFonts w:ascii="Times New Roman" w:hAnsi="Times New Roman"/>
        </w:rPr>
        <w:t>Article 7</w:t>
      </w:r>
      <w:r w:rsidR="00F5286B">
        <w:rPr>
          <w:rFonts w:ascii="Times New Roman" w:hAnsi="Times New Roman"/>
        </w:rPr>
        <w:t xml:space="preserve">, </w:t>
      </w:r>
      <w:r w:rsidRPr="007A7C16">
        <w:rPr>
          <w:rFonts w:ascii="Times New Roman" w:hAnsi="Times New Roman"/>
        </w:rPr>
        <w:t xml:space="preserve">Law on Bankruptcy </w:t>
      </w:r>
      <w:r w:rsidR="00F5286B">
        <w:rPr>
          <w:rFonts w:ascii="Times New Roman" w:hAnsi="Times New Roman"/>
        </w:rPr>
        <w:t xml:space="preserve">Proceedings </w:t>
      </w:r>
      <w:r w:rsidRPr="007A7C16">
        <w:rPr>
          <w:rFonts w:ascii="Times New Roman" w:hAnsi="Times New Roman"/>
        </w:rPr>
        <w:t xml:space="preserve">(no. 08/L-256) </w:t>
      </w:r>
      <w:r w:rsidR="00F5286B">
        <w:rPr>
          <w:rFonts w:ascii="Times New Roman" w:hAnsi="Times New Roman"/>
        </w:rPr>
        <w:t>(</w:t>
      </w:r>
      <w:r w:rsidRPr="007A7C16">
        <w:rPr>
          <w:rFonts w:ascii="Times New Roman" w:hAnsi="Times New Roman"/>
        </w:rPr>
        <w:t>above note 1</w:t>
      </w:r>
      <w:r w:rsidR="00F5286B">
        <w:rPr>
          <w:rFonts w:ascii="Times New Roman" w:hAnsi="Times New Roman"/>
        </w:rPr>
        <w:t>)</w:t>
      </w:r>
      <w:r w:rsidRPr="007A7C16">
        <w:rPr>
          <w:rFonts w:ascii="Times New Roman" w:hAnsi="Times New Roman"/>
        </w:rPr>
        <w:t>.</w:t>
      </w:r>
    </w:p>
  </w:footnote>
  <w:footnote w:id="12">
    <w:p w14:paraId="3D26A743" w14:textId="6F11294E"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I</w:t>
      </w:r>
      <w:r w:rsidR="00F5286B">
        <w:rPr>
          <w:rFonts w:ascii="Times New Roman" w:hAnsi="Times New Roman"/>
        </w:rPr>
        <w:t>bid.</w:t>
      </w:r>
      <w:r w:rsidRPr="007A7C16">
        <w:rPr>
          <w:rFonts w:ascii="Times New Roman" w:hAnsi="Times New Roman"/>
        </w:rPr>
        <w:t>, Article 4, para</w:t>
      </w:r>
      <w:r w:rsidR="00F5286B">
        <w:rPr>
          <w:rFonts w:ascii="Times New Roman" w:hAnsi="Times New Roman"/>
        </w:rPr>
        <w:t>graph</w:t>
      </w:r>
      <w:r w:rsidRPr="007A7C16">
        <w:rPr>
          <w:rFonts w:ascii="Times New Roman" w:hAnsi="Times New Roman"/>
        </w:rPr>
        <w:t xml:space="preserve"> 3.7.</w:t>
      </w:r>
    </w:p>
  </w:footnote>
  <w:footnote w:id="13">
    <w:p w14:paraId="0EEB8511" w14:textId="1DBCFBEE"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I</w:t>
      </w:r>
      <w:r w:rsidR="00F5286B">
        <w:rPr>
          <w:rFonts w:ascii="Times New Roman" w:hAnsi="Times New Roman"/>
        </w:rPr>
        <w:t>bid.</w:t>
      </w:r>
      <w:r w:rsidRPr="007A7C16">
        <w:rPr>
          <w:rFonts w:ascii="Times New Roman" w:hAnsi="Times New Roman"/>
        </w:rPr>
        <w:t>, Article 17, para</w:t>
      </w:r>
      <w:r w:rsidR="00F5286B">
        <w:rPr>
          <w:rFonts w:ascii="Times New Roman" w:hAnsi="Times New Roman"/>
        </w:rPr>
        <w:t>graph</w:t>
      </w:r>
      <w:r w:rsidRPr="007A7C16">
        <w:rPr>
          <w:rFonts w:ascii="Times New Roman" w:hAnsi="Times New Roman"/>
        </w:rPr>
        <w:t xml:space="preserve"> 1.1.</w:t>
      </w:r>
    </w:p>
  </w:footnote>
  <w:footnote w:id="14">
    <w:p w14:paraId="7C5C9AD7" w14:textId="5FCB7B48"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Pr>
          <w:rFonts w:ascii="Times New Roman" w:hAnsi="Times New Roman"/>
        </w:rPr>
        <w:t>Ibid.</w:t>
      </w:r>
      <w:r w:rsidRPr="007A7C16">
        <w:rPr>
          <w:rFonts w:ascii="Times New Roman" w:hAnsi="Times New Roman"/>
        </w:rPr>
        <w:t>, Article 17, para</w:t>
      </w:r>
      <w:r w:rsidR="00F5286B">
        <w:rPr>
          <w:rFonts w:ascii="Times New Roman" w:hAnsi="Times New Roman"/>
        </w:rPr>
        <w:t>graph</w:t>
      </w:r>
      <w:r w:rsidRPr="007A7C16">
        <w:rPr>
          <w:rFonts w:ascii="Times New Roman" w:hAnsi="Times New Roman"/>
        </w:rPr>
        <w:t xml:space="preserve"> 2.</w:t>
      </w:r>
    </w:p>
  </w:footnote>
  <w:footnote w:id="15">
    <w:p w14:paraId="07AD16C1" w14:textId="3B8CA1B9"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Pr>
          <w:rFonts w:ascii="Times New Roman" w:hAnsi="Times New Roman"/>
        </w:rPr>
        <w:t>Ibid.</w:t>
      </w:r>
      <w:r w:rsidRPr="007A7C16">
        <w:rPr>
          <w:rFonts w:ascii="Times New Roman" w:hAnsi="Times New Roman"/>
        </w:rPr>
        <w:t>, Article 17, para</w:t>
      </w:r>
      <w:r w:rsidR="00F5286B">
        <w:rPr>
          <w:rFonts w:ascii="Times New Roman" w:hAnsi="Times New Roman"/>
        </w:rPr>
        <w:t>graph</w:t>
      </w:r>
      <w:r w:rsidRPr="007A7C16">
        <w:rPr>
          <w:rFonts w:ascii="Times New Roman" w:hAnsi="Times New Roman"/>
        </w:rPr>
        <w:t>s 1.1.4, 2.1.4.</w:t>
      </w:r>
    </w:p>
  </w:footnote>
  <w:footnote w:id="16">
    <w:p w14:paraId="164EAC47" w14:textId="37EBBB94"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Pr>
          <w:rFonts w:ascii="Times New Roman" w:hAnsi="Times New Roman"/>
        </w:rPr>
        <w:t>Ibid</w:t>
      </w:r>
      <w:r w:rsidRPr="007A7C16">
        <w:rPr>
          <w:rFonts w:ascii="Times New Roman" w:hAnsi="Times New Roman"/>
        </w:rPr>
        <w:t>.</w:t>
      </w:r>
      <w:r w:rsidR="00F5286B">
        <w:rPr>
          <w:rFonts w:ascii="Times New Roman" w:hAnsi="Times New Roman"/>
        </w:rPr>
        <w:t>,</w:t>
      </w:r>
      <w:r w:rsidRPr="007A7C16">
        <w:rPr>
          <w:rFonts w:ascii="Times New Roman" w:hAnsi="Times New Roman"/>
        </w:rPr>
        <w:t xml:space="preserve"> Article 23, para. 3.</w:t>
      </w:r>
    </w:p>
  </w:footnote>
  <w:footnote w:id="17">
    <w:p w14:paraId="6333E22D" w14:textId="0CE97643"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sidRPr="007A7C16">
        <w:rPr>
          <w:rFonts w:ascii="Times New Roman" w:hAnsi="Times New Roman"/>
        </w:rPr>
        <w:t>Article 22</w:t>
      </w:r>
      <w:r w:rsidR="00F5286B">
        <w:rPr>
          <w:rFonts w:ascii="Times New Roman" w:hAnsi="Times New Roman"/>
        </w:rPr>
        <w:t xml:space="preserve">, </w:t>
      </w:r>
      <w:r w:rsidRPr="007A7C16">
        <w:rPr>
          <w:rFonts w:ascii="Times New Roman" w:hAnsi="Times New Roman"/>
        </w:rPr>
        <w:t>Law on Bankruptcy (no. 08/L-256)</w:t>
      </w:r>
      <w:r w:rsidR="00F5286B">
        <w:rPr>
          <w:rFonts w:ascii="Times New Roman" w:hAnsi="Times New Roman"/>
        </w:rPr>
        <w:t xml:space="preserve"> (</w:t>
      </w:r>
      <w:r w:rsidRPr="007A7C16">
        <w:rPr>
          <w:rFonts w:ascii="Times New Roman" w:hAnsi="Times New Roman"/>
        </w:rPr>
        <w:t>above note 1</w:t>
      </w:r>
      <w:r w:rsidR="00F5286B">
        <w:rPr>
          <w:rFonts w:ascii="Times New Roman" w:hAnsi="Times New Roman"/>
        </w:rPr>
        <w:t>)</w:t>
      </w:r>
      <w:r w:rsidRPr="007A7C16">
        <w:rPr>
          <w:rFonts w:ascii="Times New Roman" w:hAnsi="Times New Roman"/>
        </w:rPr>
        <w:t>.</w:t>
      </w:r>
    </w:p>
  </w:footnote>
  <w:footnote w:id="18">
    <w:p w14:paraId="5878D600" w14:textId="5D108547"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For more on the Business Registration Agency, see: &lt;https://arbk.rks-gov.net/&gt;</w:t>
      </w:r>
      <w:r w:rsidR="00F5286B">
        <w:rPr>
          <w:rFonts w:ascii="Times New Roman" w:hAnsi="Times New Roman"/>
        </w:rPr>
        <w:t>.</w:t>
      </w:r>
    </w:p>
  </w:footnote>
  <w:footnote w:id="19">
    <w:p w14:paraId="2EB6AF4B" w14:textId="226B3DE3"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w:t>
      </w:r>
      <w:r w:rsidR="00F5286B" w:rsidRPr="007A7C16">
        <w:rPr>
          <w:rFonts w:ascii="Times New Roman" w:hAnsi="Times New Roman"/>
        </w:rPr>
        <w:t>Article 49</w:t>
      </w:r>
      <w:r w:rsidR="00F5286B">
        <w:rPr>
          <w:rFonts w:ascii="Times New Roman" w:hAnsi="Times New Roman"/>
        </w:rPr>
        <w:t xml:space="preserve">, </w:t>
      </w:r>
      <w:r w:rsidRPr="007A7C16">
        <w:rPr>
          <w:rFonts w:ascii="Times New Roman" w:hAnsi="Times New Roman"/>
        </w:rPr>
        <w:t>Law on Bankruptcy (no. 08/L-256)</w:t>
      </w:r>
      <w:r w:rsidR="00F5286B">
        <w:rPr>
          <w:rFonts w:ascii="Times New Roman" w:hAnsi="Times New Roman"/>
        </w:rPr>
        <w:t xml:space="preserve"> (</w:t>
      </w:r>
      <w:r w:rsidRPr="007A7C16">
        <w:rPr>
          <w:rFonts w:ascii="Times New Roman" w:hAnsi="Times New Roman"/>
        </w:rPr>
        <w:t>above note 1</w:t>
      </w:r>
      <w:r w:rsidR="00F5286B">
        <w:rPr>
          <w:rFonts w:ascii="Times New Roman" w:hAnsi="Times New Roman"/>
        </w:rPr>
        <w:t>)</w:t>
      </w:r>
      <w:r w:rsidRPr="007A7C16">
        <w:rPr>
          <w:rFonts w:ascii="Times New Roman" w:hAnsi="Times New Roman"/>
        </w:rPr>
        <w:t>.</w:t>
      </w:r>
    </w:p>
  </w:footnote>
  <w:footnote w:id="20">
    <w:p w14:paraId="316F9C4D" w14:textId="4E02481A"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F5286B">
        <w:rPr>
          <w:rFonts w:ascii="Times New Roman" w:hAnsi="Times New Roman"/>
          <w:lang w:val="fr-FR"/>
        </w:rPr>
        <w:t>Ibid.</w:t>
      </w:r>
      <w:r w:rsidRPr="007A7C16">
        <w:rPr>
          <w:rFonts w:ascii="Times New Roman" w:hAnsi="Times New Roman"/>
          <w:lang w:val="fr-FR"/>
        </w:rPr>
        <w:t>, Article 56, para</w:t>
      </w:r>
      <w:r w:rsidR="00F5286B">
        <w:rPr>
          <w:rFonts w:ascii="Times New Roman" w:hAnsi="Times New Roman"/>
          <w:lang w:val="fr-FR"/>
        </w:rPr>
        <w:t>graph</w:t>
      </w:r>
      <w:r w:rsidRPr="007A7C16">
        <w:rPr>
          <w:rFonts w:ascii="Times New Roman" w:hAnsi="Times New Roman"/>
          <w:lang w:val="fr-FR"/>
        </w:rPr>
        <w:t>s 4, 5.</w:t>
      </w:r>
    </w:p>
  </w:footnote>
  <w:footnote w:id="21">
    <w:p w14:paraId="21CBF776" w14:textId="67B297AB"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F5286B">
        <w:rPr>
          <w:rFonts w:ascii="Times New Roman" w:hAnsi="Times New Roman"/>
          <w:lang w:val="fr-FR"/>
        </w:rPr>
        <w:t>Ibid.</w:t>
      </w:r>
      <w:r w:rsidRPr="007A7C16">
        <w:rPr>
          <w:rFonts w:ascii="Times New Roman" w:hAnsi="Times New Roman"/>
          <w:lang w:val="fr-FR"/>
        </w:rPr>
        <w:t>, Article 98.</w:t>
      </w:r>
    </w:p>
  </w:footnote>
  <w:footnote w:id="22">
    <w:p w14:paraId="28E13A44" w14:textId="16981A4C"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Pr="007A7C16">
        <w:rPr>
          <w:rFonts w:ascii="Times New Roman" w:hAnsi="Times New Roman"/>
          <w:lang w:val="fr-FR"/>
        </w:rPr>
        <w:t>, Article 102</w:t>
      </w:r>
      <w:r w:rsidR="00DC7109">
        <w:rPr>
          <w:rFonts w:ascii="Times New Roman" w:hAnsi="Times New Roman"/>
          <w:lang w:val="fr-FR"/>
        </w:rPr>
        <w:t>.</w:t>
      </w:r>
    </w:p>
  </w:footnote>
  <w:footnote w:id="23">
    <w:p w14:paraId="638518B8" w14:textId="756B7C11"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00DC7109" w:rsidRPr="007A7C16">
        <w:rPr>
          <w:rFonts w:ascii="Times New Roman" w:hAnsi="Times New Roman"/>
          <w:lang w:val="fr-FR"/>
        </w:rPr>
        <w:t xml:space="preserve">, </w:t>
      </w:r>
      <w:r w:rsidRPr="007A7C16">
        <w:rPr>
          <w:rFonts w:ascii="Times New Roman" w:hAnsi="Times New Roman"/>
          <w:lang w:val="fr-FR"/>
        </w:rPr>
        <w:t>Article 141.</w:t>
      </w:r>
    </w:p>
  </w:footnote>
  <w:footnote w:id="24">
    <w:p w14:paraId="041238C4" w14:textId="09FBFB7B"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00DC7109" w:rsidRPr="007A7C16">
        <w:rPr>
          <w:rFonts w:ascii="Times New Roman" w:hAnsi="Times New Roman"/>
          <w:lang w:val="fr-FR"/>
        </w:rPr>
        <w:t>,</w:t>
      </w:r>
      <w:r w:rsidRPr="007A7C16">
        <w:rPr>
          <w:rFonts w:ascii="Times New Roman" w:hAnsi="Times New Roman"/>
          <w:lang w:val="fr-FR"/>
        </w:rPr>
        <w:t xml:space="preserve"> Article 144.</w:t>
      </w:r>
    </w:p>
  </w:footnote>
  <w:footnote w:id="25">
    <w:p w14:paraId="4A187C96" w14:textId="1CC1A94B"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00DC7109" w:rsidRPr="007A7C16">
        <w:rPr>
          <w:rFonts w:ascii="Times New Roman" w:hAnsi="Times New Roman"/>
          <w:lang w:val="fr-FR"/>
        </w:rPr>
        <w:t>,</w:t>
      </w:r>
      <w:r w:rsidRPr="007A7C16">
        <w:rPr>
          <w:rFonts w:ascii="Times New Roman" w:hAnsi="Times New Roman"/>
          <w:lang w:val="fr-FR"/>
        </w:rPr>
        <w:t xml:space="preserve"> Article 142.</w:t>
      </w:r>
    </w:p>
  </w:footnote>
  <w:footnote w:id="26">
    <w:p w14:paraId="287067FA" w14:textId="3603222D"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Pr="007A7C16">
        <w:rPr>
          <w:rFonts w:ascii="Times New Roman" w:hAnsi="Times New Roman"/>
          <w:lang w:val="fr-FR"/>
        </w:rPr>
        <w:t>, Articles 156-168.</w:t>
      </w:r>
    </w:p>
  </w:footnote>
  <w:footnote w:id="27">
    <w:p w14:paraId="7B51A15B" w14:textId="368819DA"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Pr="007A7C16">
        <w:rPr>
          <w:rFonts w:ascii="Times New Roman" w:hAnsi="Times New Roman"/>
          <w:lang w:val="fr-FR"/>
        </w:rPr>
        <w:t>, Articles 173,</w:t>
      </w:r>
      <w:r w:rsidR="00DC7109">
        <w:rPr>
          <w:rFonts w:ascii="Times New Roman" w:hAnsi="Times New Roman"/>
          <w:lang w:val="fr-FR"/>
        </w:rPr>
        <w:t xml:space="preserve"> </w:t>
      </w:r>
      <w:r w:rsidRPr="007A7C16">
        <w:rPr>
          <w:rFonts w:ascii="Times New Roman" w:hAnsi="Times New Roman"/>
          <w:lang w:val="fr-FR"/>
        </w:rPr>
        <w:t>174.</w:t>
      </w:r>
    </w:p>
  </w:footnote>
  <w:footnote w:id="28">
    <w:p w14:paraId="05A82177" w14:textId="391296ED"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00DC7109" w:rsidRPr="007A7C16">
        <w:rPr>
          <w:rFonts w:ascii="Times New Roman" w:hAnsi="Times New Roman"/>
          <w:lang w:val="fr-FR"/>
        </w:rPr>
        <w:t>,</w:t>
      </w:r>
      <w:r w:rsidRPr="007A7C16">
        <w:rPr>
          <w:rFonts w:ascii="Times New Roman" w:hAnsi="Times New Roman"/>
          <w:lang w:val="fr-FR"/>
        </w:rPr>
        <w:t xml:space="preserve"> Article 172.</w:t>
      </w:r>
    </w:p>
  </w:footnote>
  <w:footnote w:id="29">
    <w:p w14:paraId="1E187A05" w14:textId="1934E72E"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00DC7109" w:rsidRPr="007A7C16">
        <w:rPr>
          <w:rFonts w:ascii="Times New Roman" w:hAnsi="Times New Roman"/>
          <w:lang w:val="fr-FR"/>
        </w:rPr>
        <w:t>,</w:t>
      </w:r>
      <w:r w:rsidRPr="007A7C16">
        <w:rPr>
          <w:rFonts w:ascii="Times New Roman" w:hAnsi="Times New Roman"/>
          <w:lang w:val="fr-FR"/>
        </w:rPr>
        <w:t xml:space="preserve"> Article 179.</w:t>
      </w:r>
    </w:p>
  </w:footnote>
  <w:footnote w:id="30">
    <w:p w14:paraId="2C0DD69A" w14:textId="159005B5" w:rsidR="007A7C16" w:rsidRPr="007A7C16" w:rsidRDefault="007A7C16" w:rsidP="007A7C16">
      <w:pPr>
        <w:pStyle w:val="FootnoteText"/>
        <w:rPr>
          <w:rFonts w:ascii="Times New Roman" w:hAnsi="Times New Roman"/>
          <w:lang w:val="fr-FR"/>
        </w:rPr>
      </w:pPr>
      <w:r w:rsidRPr="007A7C16">
        <w:rPr>
          <w:rStyle w:val="FootnoteReference"/>
          <w:rFonts w:ascii="Times New Roman" w:hAnsi="Times New Roman"/>
        </w:rPr>
        <w:footnoteRef/>
      </w:r>
      <w:r w:rsidRPr="007A7C16">
        <w:rPr>
          <w:rFonts w:ascii="Times New Roman" w:hAnsi="Times New Roman"/>
          <w:lang w:val="fr-FR"/>
        </w:rPr>
        <w:t xml:space="preserve"> </w:t>
      </w:r>
      <w:r w:rsidR="00DC7109">
        <w:rPr>
          <w:rFonts w:ascii="Times New Roman" w:hAnsi="Times New Roman"/>
          <w:lang w:val="fr-FR"/>
        </w:rPr>
        <w:t>Ibid.</w:t>
      </w:r>
      <w:r w:rsidR="00DC7109" w:rsidRPr="007A7C16">
        <w:rPr>
          <w:rFonts w:ascii="Times New Roman" w:hAnsi="Times New Roman"/>
          <w:lang w:val="fr-FR"/>
        </w:rPr>
        <w:t xml:space="preserve">, </w:t>
      </w:r>
      <w:r w:rsidRPr="007A7C16">
        <w:rPr>
          <w:rFonts w:ascii="Times New Roman" w:hAnsi="Times New Roman"/>
          <w:lang w:val="fr-FR"/>
        </w:rPr>
        <w:t>Article 181.</w:t>
      </w:r>
    </w:p>
  </w:footnote>
  <w:footnote w:id="31">
    <w:p w14:paraId="29EEA20C" w14:textId="77777777" w:rsidR="007A7C16" w:rsidRPr="007A7C16" w:rsidRDefault="007A7C16" w:rsidP="007A7C16">
      <w:pPr>
        <w:pStyle w:val="FootnoteText"/>
        <w:rPr>
          <w:rFonts w:ascii="Times New Roman" w:hAnsi="Times New Roman"/>
        </w:rPr>
      </w:pPr>
      <w:r w:rsidRPr="007A7C16">
        <w:rPr>
          <w:rStyle w:val="FootnoteReference"/>
          <w:rFonts w:ascii="Times New Roman" w:hAnsi="Times New Roman"/>
        </w:rPr>
        <w:footnoteRef/>
      </w:r>
      <w:r w:rsidRPr="007A7C16">
        <w:rPr>
          <w:rFonts w:ascii="Times New Roman" w:hAnsi="Times New Roman"/>
        </w:rPr>
        <w:t xml:space="preserve"> Annual Report on the Implementation of the Strategy on Rule of Law 2021-2024, 2023, available at: &lt;https://md.rks-gov.net/desk/inc/media/3877B62B-C99C-47CA-9387-94122ED08215.pdf&gt;.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0DD" w14:textId="37797D9C" w:rsidR="00BF3D3E" w:rsidRPr="00C2522B" w:rsidRDefault="00BF3D3E" w:rsidP="00C2522B">
    <w:pPr>
      <w:pStyle w:val="Header"/>
      <w:spacing w:after="0"/>
      <w:rPr>
        <w:rFonts w:ascii="Arial" w:hAnsi="Arial" w:cs="Arial"/>
        <w:b/>
      </w:rPr>
    </w:pPr>
    <w:r w:rsidRPr="00C2522B">
      <w:rPr>
        <w:rFonts w:ascii="Arial" w:hAnsi="Arial" w:cs="Arial"/>
        <w:b/>
      </w:rPr>
      <w:t>Inside Story (</w:t>
    </w:r>
    <w:r w:rsidR="007A7C16">
      <w:rPr>
        <w:rFonts w:ascii="Arial" w:hAnsi="Arial" w:cs="Arial"/>
        <w:b/>
      </w:rPr>
      <w:t>Dec</w:t>
    </w:r>
    <w:r w:rsidR="00D976DE">
      <w:rPr>
        <w:rFonts w:ascii="Arial" w:hAnsi="Arial" w:cs="Arial"/>
        <w:b/>
      </w:rPr>
      <w:t>ember</w:t>
    </w:r>
    <w:r w:rsidR="001B33AD">
      <w:rPr>
        <w:rFonts w:ascii="Arial" w:hAnsi="Arial" w:cs="Arial"/>
        <w:b/>
      </w:rPr>
      <w:t xml:space="preserve"> </w:t>
    </w:r>
    <w:r w:rsidR="003666A0">
      <w:rPr>
        <w:rFonts w:ascii="Arial" w:hAnsi="Arial" w:cs="Arial"/>
        <w:b/>
      </w:rPr>
      <w:t>20</w:t>
    </w:r>
    <w:r w:rsidR="00C50AF8">
      <w:rPr>
        <w:rFonts w:ascii="Arial" w:hAnsi="Arial" w:cs="Arial"/>
        <w:b/>
      </w:rPr>
      <w:t>2</w:t>
    </w:r>
    <w:r w:rsidR="000A146B">
      <w:rPr>
        <w:rFonts w:ascii="Arial" w:hAnsi="Arial" w:cs="Arial"/>
        <w:b/>
      </w:rPr>
      <w:t>4</w:t>
    </w:r>
    <w:r w:rsidRPr="00C2522B">
      <w:rPr>
        <w:rFonts w:ascii="Arial" w:hAnsi="Arial" w:cs="Arial"/>
        <w:b/>
      </w:rPr>
      <w:t>)</w:t>
    </w:r>
  </w:p>
  <w:p w14:paraId="5CB97EE8" w14:textId="1CD1C041" w:rsidR="00BF3D3E" w:rsidRPr="00C2522B" w:rsidRDefault="007A7C16" w:rsidP="00C2522B">
    <w:pPr>
      <w:pStyle w:val="Header"/>
      <w:spacing w:after="0"/>
      <w:rPr>
        <w:rFonts w:ascii="Arial" w:hAnsi="Arial" w:cs="Arial"/>
        <w:b/>
      </w:rPr>
    </w:pPr>
    <w:r>
      <w:rPr>
        <w:rFonts w:ascii="Arial" w:hAnsi="Arial" w:cs="Arial"/>
        <w:b/>
      </w:rPr>
      <w:t>Vlora Maxhuni</w:t>
    </w:r>
    <w:r w:rsidR="000A146B">
      <w:rPr>
        <w:rFonts w:ascii="Arial" w:hAnsi="Arial" w:cs="Arial"/>
        <w:b/>
      </w:rPr>
      <w:t xml:space="preserve"> </w:t>
    </w:r>
    <w:r w:rsidR="00BF3D3E" w:rsidRPr="00C2522B">
      <w:rPr>
        <w:rFonts w:ascii="Arial" w:hAnsi="Arial" w:cs="Arial"/>
        <w:b/>
      </w:rPr>
      <w:t>(</w:t>
    </w:r>
    <w:r>
      <w:rPr>
        <w:rFonts w:ascii="Arial" w:hAnsi="Arial" w:cs="Arial"/>
        <w:b/>
      </w:rPr>
      <w:t>Kosovo</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71565"/>
    <w:multiLevelType w:val="hybridMultilevel"/>
    <w:tmpl w:val="7F541C78"/>
    <w:lvl w:ilvl="0" w:tplc="AB7A0AAA">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9" w15:restartNumberingAfterBreak="0">
    <w:nsid w:val="179448BC"/>
    <w:multiLevelType w:val="hybridMultilevel"/>
    <w:tmpl w:val="E2E87F00"/>
    <w:lvl w:ilvl="0" w:tplc="78B2A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78437FE"/>
    <w:multiLevelType w:val="hybridMultilevel"/>
    <w:tmpl w:val="300CC820"/>
    <w:lvl w:ilvl="0" w:tplc="1500256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8C5C26"/>
    <w:multiLevelType w:val="hybridMultilevel"/>
    <w:tmpl w:val="99EEE866"/>
    <w:lvl w:ilvl="0" w:tplc="527CCD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512229702">
    <w:abstractNumId w:val="8"/>
  </w:num>
  <w:num w:numId="2" w16cid:durableId="1132821249">
    <w:abstractNumId w:val="5"/>
  </w:num>
  <w:num w:numId="3" w16cid:durableId="575826211">
    <w:abstractNumId w:val="23"/>
  </w:num>
  <w:num w:numId="4" w16cid:durableId="723989451">
    <w:abstractNumId w:val="11"/>
  </w:num>
  <w:num w:numId="5" w16cid:durableId="364404748">
    <w:abstractNumId w:val="13"/>
  </w:num>
  <w:num w:numId="6" w16cid:durableId="355237854">
    <w:abstractNumId w:val="24"/>
  </w:num>
  <w:num w:numId="7" w16cid:durableId="635531606">
    <w:abstractNumId w:val="0"/>
  </w:num>
  <w:num w:numId="8" w16cid:durableId="1886944038">
    <w:abstractNumId w:val="7"/>
  </w:num>
  <w:num w:numId="9" w16cid:durableId="1172261800">
    <w:abstractNumId w:val="2"/>
  </w:num>
  <w:num w:numId="10" w16cid:durableId="494957413">
    <w:abstractNumId w:val="1"/>
  </w:num>
  <w:num w:numId="11" w16cid:durableId="890120120">
    <w:abstractNumId w:val="20"/>
  </w:num>
  <w:num w:numId="12" w16cid:durableId="1152402417">
    <w:abstractNumId w:val="6"/>
  </w:num>
  <w:num w:numId="13" w16cid:durableId="953756196">
    <w:abstractNumId w:val="19"/>
  </w:num>
  <w:num w:numId="14" w16cid:durableId="224217837">
    <w:abstractNumId w:val="13"/>
  </w:num>
  <w:num w:numId="15" w16cid:durableId="1518807059">
    <w:abstractNumId w:val="13"/>
  </w:num>
  <w:num w:numId="16" w16cid:durableId="1488739582">
    <w:abstractNumId w:val="13"/>
  </w:num>
  <w:num w:numId="17" w16cid:durableId="322127524">
    <w:abstractNumId w:val="13"/>
  </w:num>
  <w:num w:numId="18" w16cid:durableId="2073968765">
    <w:abstractNumId w:val="13"/>
  </w:num>
  <w:num w:numId="19" w16cid:durableId="899369597">
    <w:abstractNumId w:val="13"/>
  </w:num>
  <w:num w:numId="20" w16cid:durableId="1096513273">
    <w:abstractNumId w:val="5"/>
  </w:num>
  <w:num w:numId="21" w16cid:durableId="844172947">
    <w:abstractNumId w:val="23"/>
  </w:num>
  <w:num w:numId="22" w16cid:durableId="1939555092">
    <w:abstractNumId w:val="13"/>
  </w:num>
  <w:num w:numId="23" w16cid:durableId="2146897003">
    <w:abstractNumId w:val="11"/>
  </w:num>
  <w:num w:numId="24" w16cid:durableId="668337704">
    <w:abstractNumId w:val="22"/>
  </w:num>
  <w:num w:numId="25" w16cid:durableId="193471279">
    <w:abstractNumId w:val="15"/>
  </w:num>
  <w:num w:numId="26" w16cid:durableId="204290891">
    <w:abstractNumId w:val="17"/>
  </w:num>
  <w:num w:numId="27" w16cid:durableId="1261259017">
    <w:abstractNumId w:val="14"/>
  </w:num>
  <w:num w:numId="28" w16cid:durableId="324288780">
    <w:abstractNumId w:val="16"/>
  </w:num>
  <w:num w:numId="29" w16cid:durableId="191723789">
    <w:abstractNumId w:val="4"/>
  </w:num>
  <w:num w:numId="30" w16cid:durableId="1780178787">
    <w:abstractNumId w:val="10"/>
  </w:num>
  <w:num w:numId="31" w16cid:durableId="1725249653">
    <w:abstractNumId w:val="21"/>
  </w:num>
  <w:num w:numId="32" w16cid:durableId="649211623">
    <w:abstractNumId w:val="12"/>
  </w:num>
  <w:num w:numId="33" w16cid:durableId="775832020">
    <w:abstractNumId w:val="9"/>
  </w:num>
  <w:num w:numId="34" w16cid:durableId="664476623">
    <w:abstractNumId w:val="3"/>
  </w:num>
  <w:num w:numId="35" w16cid:durableId="206513053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55219"/>
    <w:rsid w:val="00071336"/>
    <w:rsid w:val="00086E49"/>
    <w:rsid w:val="000921F0"/>
    <w:rsid w:val="00092307"/>
    <w:rsid w:val="000A146B"/>
    <w:rsid w:val="000B27DE"/>
    <w:rsid w:val="000C4532"/>
    <w:rsid w:val="000D3C8B"/>
    <w:rsid w:val="00106A4F"/>
    <w:rsid w:val="001258A8"/>
    <w:rsid w:val="00127C4A"/>
    <w:rsid w:val="00141375"/>
    <w:rsid w:val="00142A99"/>
    <w:rsid w:val="00145356"/>
    <w:rsid w:val="00161EA8"/>
    <w:rsid w:val="00165980"/>
    <w:rsid w:val="00173A72"/>
    <w:rsid w:val="001835B2"/>
    <w:rsid w:val="001934CC"/>
    <w:rsid w:val="001A713B"/>
    <w:rsid w:val="001A79B0"/>
    <w:rsid w:val="001B33AD"/>
    <w:rsid w:val="001C30BB"/>
    <w:rsid w:val="001C5080"/>
    <w:rsid w:val="001C7EFA"/>
    <w:rsid w:val="001D3A90"/>
    <w:rsid w:val="001D3B09"/>
    <w:rsid w:val="001E0189"/>
    <w:rsid w:val="001F119D"/>
    <w:rsid w:val="00207BAF"/>
    <w:rsid w:val="00244BC4"/>
    <w:rsid w:val="00247BAC"/>
    <w:rsid w:val="002510D8"/>
    <w:rsid w:val="00257DA8"/>
    <w:rsid w:val="00276632"/>
    <w:rsid w:val="00277B0D"/>
    <w:rsid w:val="00280030"/>
    <w:rsid w:val="002A635A"/>
    <w:rsid w:val="002E09E9"/>
    <w:rsid w:val="003021B6"/>
    <w:rsid w:val="00310F8E"/>
    <w:rsid w:val="003217E3"/>
    <w:rsid w:val="003218D0"/>
    <w:rsid w:val="0032563F"/>
    <w:rsid w:val="00334BA9"/>
    <w:rsid w:val="00340FF0"/>
    <w:rsid w:val="00343960"/>
    <w:rsid w:val="003518FD"/>
    <w:rsid w:val="00353A7E"/>
    <w:rsid w:val="003666A0"/>
    <w:rsid w:val="00367985"/>
    <w:rsid w:val="003771FB"/>
    <w:rsid w:val="00395D89"/>
    <w:rsid w:val="00396E5A"/>
    <w:rsid w:val="003978ED"/>
    <w:rsid w:val="003C284E"/>
    <w:rsid w:val="003C69AB"/>
    <w:rsid w:val="003D060C"/>
    <w:rsid w:val="003E3EAC"/>
    <w:rsid w:val="00404D9A"/>
    <w:rsid w:val="00415AEE"/>
    <w:rsid w:val="00415DDB"/>
    <w:rsid w:val="00434808"/>
    <w:rsid w:val="00437BFE"/>
    <w:rsid w:val="00440777"/>
    <w:rsid w:val="00440CF8"/>
    <w:rsid w:val="004433C5"/>
    <w:rsid w:val="00450C04"/>
    <w:rsid w:val="00462D69"/>
    <w:rsid w:val="00470254"/>
    <w:rsid w:val="00484F6D"/>
    <w:rsid w:val="004B33DA"/>
    <w:rsid w:val="004B3FED"/>
    <w:rsid w:val="004C1D5E"/>
    <w:rsid w:val="004D1D7E"/>
    <w:rsid w:val="004F57B8"/>
    <w:rsid w:val="00525C8B"/>
    <w:rsid w:val="00535342"/>
    <w:rsid w:val="005452A1"/>
    <w:rsid w:val="00557280"/>
    <w:rsid w:val="00557A0F"/>
    <w:rsid w:val="00560963"/>
    <w:rsid w:val="00570073"/>
    <w:rsid w:val="005764A7"/>
    <w:rsid w:val="00577785"/>
    <w:rsid w:val="00593E77"/>
    <w:rsid w:val="005D0DB7"/>
    <w:rsid w:val="005D2A1D"/>
    <w:rsid w:val="005D6C09"/>
    <w:rsid w:val="005D783E"/>
    <w:rsid w:val="005D79E3"/>
    <w:rsid w:val="005E7C6B"/>
    <w:rsid w:val="00617533"/>
    <w:rsid w:val="00623598"/>
    <w:rsid w:val="006441B0"/>
    <w:rsid w:val="00660074"/>
    <w:rsid w:val="00673BB3"/>
    <w:rsid w:val="00694350"/>
    <w:rsid w:val="006A4E12"/>
    <w:rsid w:val="006D0A86"/>
    <w:rsid w:val="006E2316"/>
    <w:rsid w:val="006E7E8D"/>
    <w:rsid w:val="00703D03"/>
    <w:rsid w:val="00707113"/>
    <w:rsid w:val="00740F50"/>
    <w:rsid w:val="00772427"/>
    <w:rsid w:val="00774314"/>
    <w:rsid w:val="00782C44"/>
    <w:rsid w:val="00790DFB"/>
    <w:rsid w:val="007A7C16"/>
    <w:rsid w:val="007C4484"/>
    <w:rsid w:val="007D5F6C"/>
    <w:rsid w:val="007E1590"/>
    <w:rsid w:val="00807744"/>
    <w:rsid w:val="008432D1"/>
    <w:rsid w:val="00847988"/>
    <w:rsid w:val="00865CA7"/>
    <w:rsid w:val="00867725"/>
    <w:rsid w:val="00876BCD"/>
    <w:rsid w:val="00877CBB"/>
    <w:rsid w:val="00886023"/>
    <w:rsid w:val="008C6394"/>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0A09"/>
    <w:rsid w:val="009F52F0"/>
    <w:rsid w:val="00A0599F"/>
    <w:rsid w:val="00A14E9E"/>
    <w:rsid w:val="00A34959"/>
    <w:rsid w:val="00A3654A"/>
    <w:rsid w:val="00A81BCB"/>
    <w:rsid w:val="00A81F5B"/>
    <w:rsid w:val="00AA5888"/>
    <w:rsid w:val="00AA741E"/>
    <w:rsid w:val="00AD3470"/>
    <w:rsid w:val="00AD6AE4"/>
    <w:rsid w:val="00AE7905"/>
    <w:rsid w:val="00B10912"/>
    <w:rsid w:val="00B113A0"/>
    <w:rsid w:val="00B40F88"/>
    <w:rsid w:val="00B46BCC"/>
    <w:rsid w:val="00B81A6D"/>
    <w:rsid w:val="00BA1EF1"/>
    <w:rsid w:val="00BC4C0D"/>
    <w:rsid w:val="00BD0697"/>
    <w:rsid w:val="00BD6C97"/>
    <w:rsid w:val="00BF3D3E"/>
    <w:rsid w:val="00C036D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976DE"/>
    <w:rsid w:val="00DA66F6"/>
    <w:rsid w:val="00DC7109"/>
    <w:rsid w:val="00DE3F8B"/>
    <w:rsid w:val="00DE5F99"/>
    <w:rsid w:val="00DE7BB0"/>
    <w:rsid w:val="00E007BF"/>
    <w:rsid w:val="00E2501C"/>
    <w:rsid w:val="00E33168"/>
    <w:rsid w:val="00E37A5D"/>
    <w:rsid w:val="00E53ABF"/>
    <w:rsid w:val="00E6510B"/>
    <w:rsid w:val="00EB1C4C"/>
    <w:rsid w:val="00EB6116"/>
    <w:rsid w:val="00EC1075"/>
    <w:rsid w:val="00ED21A7"/>
    <w:rsid w:val="00F173BA"/>
    <w:rsid w:val="00F20AC6"/>
    <w:rsid w:val="00F22C57"/>
    <w:rsid w:val="00F36532"/>
    <w:rsid w:val="00F5286B"/>
    <w:rsid w:val="00F55F2D"/>
    <w:rsid w:val="00F77372"/>
    <w:rsid w:val="00F90C01"/>
    <w:rsid w:val="00FB7C3C"/>
    <w:rsid w:val="00FC09B6"/>
    <w:rsid w:val="00FC7C4F"/>
    <w:rsid w:val="00FD1151"/>
    <w:rsid w:val="00FD50FE"/>
    <w:rsid w:val="00FE08BF"/>
    <w:rsid w:val="00FE4E82"/>
    <w:rsid w:val="00FE5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 w:type="paragraph" w:styleId="PlainText">
    <w:name w:val="Plain Text"/>
    <w:basedOn w:val="Normal"/>
    <w:link w:val="PlainTextChar"/>
    <w:uiPriority w:val="99"/>
    <w:unhideWhenUsed/>
    <w:rsid w:val="00865CA7"/>
    <w:pPr>
      <w:spacing w:after="0"/>
      <w:jc w:val="left"/>
    </w:pPr>
    <w:rPr>
      <w:rFonts w:ascii="Consolas" w:eastAsia="Calibri" w:hAnsi="Consolas"/>
      <w:szCs w:val="21"/>
      <w:lang w:val="en-US" w:eastAsia="en-US"/>
    </w:rPr>
  </w:style>
  <w:style w:type="character" w:customStyle="1" w:styleId="PlainTextChar">
    <w:name w:val="Plain Text Char"/>
    <w:basedOn w:val="DefaultParagraphFont"/>
    <w:link w:val="PlainText"/>
    <w:uiPriority w:val="99"/>
    <w:rsid w:val="00865CA7"/>
    <w:rPr>
      <w:rFonts w:ascii="Consolas" w:eastAsia="Calibri" w:hAnsi="Consolas"/>
      <w:sz w:val="21"/>
      <w:szCs w:val="21"/>
      <w:lang w:val="en-US" w:eastAsia="en-US"/>
    </w:rPr>
  </w:style>
  <w:style w:type="paragraph" w:styleId="BodyTextIndent">
    <w:name w:val="Body Text Indent"/>
    <w:basedOn w:val="Normal"/>
    <w:link w:val="BodyTextIndentChar"/>
    <w:semiHidden/>
    <w:unhideWhenUsed/>
    <w:rsid w:val="00D976DE"/>
    <w:pPr>
      <w:spacing w:after="120"/>
      <w:ind w:left="283"/>
    </w:pPr>
  </w:style>
  <w:style w:type="character" w:customStyle="1" w:styleId="BodyTextIndentChar">
    <w:name w:val="Body Text Indent Char"/>
    <w:basedOn w:val="DefaultParagraphFont"/>
    <w:link w:val="BodyTextIndent"/>
    <w:semiHidden/>
    <w:rsid w:val="00D976DE"/>
    <w:rPr>
      <w:rFonts w:ascii="Calibri" w:hAnsi="Calibri"/>
      <w:sz w:val="21"/>
      <w:szCs w:val="20"/>
    </w:rPr>
  </w:style>
  <w:style w:type="paragraph" w:customStyle="1" w:styleId="MarginText">
    <w:name w:val="Margin Text"/>
    <w:basedOn w:val="Normal"/>
    <w:rsid w:val="00D976DE"/>
    <w:pPr>
      <w:adjustRightInd w:val="0"/>
      <w:spacing w:line="360" w:lineRule="auto"/>
    </w:pPr>
    <w:rPr>
      <w:rFonts w:ascii="Times New Roman" w:eastAsia="STZhongsong" w:hAnsi="Times New Roman"/>
      <w:kern w:val="28"/>
      <w:sz w:val="22"/>
      <w:lang w:eastAsia="zh-CN"/>
    </w:rPr>
  </w:style>
  <w:style w:type="character" w:styleId="UnresolvedMention">
    <w:name w:val="Unresolved Mention"/>
    <w:basedOn w:val="DefaultParagraphFont"/>
    <w:uiPriority w:val="99"/>
    <w:semiHidden/>
    <w:unhideWhenUsed/>
    <w:rsid w:val="00F52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E1DC-3F04-4278-A332-2B2A3889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1927</Words>
  <Characters>10989</Characters>
  <Application>Microsoft Office Word</Application>
  <DocSecurity>0</DocSecurity>
  <PresentationFormat/>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12891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17</cp:revision>
  <cp:lastPrinted>2017-11-20T20:14:00Z</cp:lastPrinted>
  <dcterms:created xsi:type="dcterms:W3CDTF">2020-04-01T13:31:00Z</dcterms:created>
  <dcterms:modified xsi:type="dcterms:W3CDTF">2024-12-12T09:55:00Z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